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830580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UNITED STATES</w:t>
      </w:r>
    </w:p>
    <w:p>
      <w:pPr>
        <w:spacing w:after="0" w:line="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SECURITIES AND EXCHANGE COMMISSION</w:t>
      </w:r>
    </w:p>
    <w:p>
      <w:pPr>
        <w:spacing w:after="0" w:line="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70485</wp:posOffset>
            </wp:positionV>
            <wp:extent cx="23831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1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FORM 10-Q</w:t>
      </w:r>
    </w:p>
    <w:p>
      <w:pPr>
        <w:spacing w:after="0" w:line="80" w:lineRule="exact"/>
        <w:rPr>
          <w:sz w:val="24"/>
          <w:szCs w:val="24"/>
          <w:color w:val="auto"/>
        </w:rPr>
      </w:pPr>
    </w:p>
    <w:p>
      <w:pPr>
        <w:ind w:left="1580" w:hanging="182"/>
        <w:spacing w:after="0"/>
        <w:tabs>
          <w:tab w:leader="none" w:pos="1580" w:val="left"/>
        </w:tabs>
        <w:numPr>
          <w:ilvl w:val="0"/>
          <w:numId w:val="1"/>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QUARTERLY REPORT PURSUANT TO SECTION 13 OR 15(d) OF THE SECURITIES EXCHANGE ACT OF 1934</w:t>
      </w:r>
    </w:p>
    <w:p>
      <w:pPr>
        <w:spacing w:after="0" w:line="72" w:lineRule="exact"/>
        <w:rPr>
          <w:rFonts w:ascii="MS PGothic" w:cs="MS PGothic" w:eastAsia="MS PGothic" w:hAnsi="MS PGothic"/>
          <w:sz w:val="16"/>
          <w:szCs w:val="16"/>
          <w:color w:val="auto"/>
          <w:highlight w:val="black"/>
        </w:rPr>
      </w:pPr>
    </w:p>
    <w:p>
      <w:pPr>
        <w:ind w:left="4180"/>
        <w:spacing w:after="0"/>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For the quarterly period ended June 30, 2025</w:t>
      </w:r>
    </w:p>
    <w:p>
      <w:pPr>
        <w:spacing w:after="0" w:line="72" w:lineRule="exact"/>
        <w:rPr>
          <w:rFonts w:ascii="MS PGothic" w:cs="MS PGothic" w:eastAsia="MS PGothic" w:hAnsi="MS PGothic"/>
          <w:sz w:val="16"/>
          <w:szCs w:val="16"/>
          <w:color w:val="auto"/>
          <w:highlight w:val="black"/>
        </w:rPr>
      </w:pPr>
    </w:p>
    <w:p>
      <w:pPr>
        <w:ind w:left="5500"/>
        <w:spacing w:after="0"/>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OR</w:t>
      </w:r>
    </w:p>
    <w:p>
      <w:pPr>
        <w:spacing w:after="0" w:line="72" w:lineRule="exact"/>
        <w:rPr>
          <w:rFonts w:ascii="MS PGothic" w:cs="MS PGothic" w:eastAsia="MS PGothic" w:hAnsi="MS PGothic"/>
          <w:sz w:val="16"/>
          <w:szCs w:val="16"/>
          <w:color w:val="auto"/>
          <w:highlight w:val="black"/>
        </w:rPr>
      </w:pPr>
    </w:p>
    <w:p>
      <w:pPr>
        <w:jc w:val="center"/>
        <w:ind w:left="3800" w:right="1400" w:hanging="2398"/>
        <w:spacing w:after="0" w:line="334" w:lineRule="auto"/>
        <w:tabs>
          <w:tab w:leader="none" w:pos="1592" w:val="left"/>
        </w:tabs>
        <w:numPr>
          <w:ilvl w:val="1"/>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 For the transition period from ________ to ________</w:t>
      </w:r>
    </w:p>
    <w:p>
      <w:pPr>
        <w:ind w:left="4360"/>
        <w:spacing w:after="0"/>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Commission File Number 001-37635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73025</wp:posOffset>
            </wp:positionV>
            <wp:extent cx="23831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1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AXSOME THERAPEUTICS, INC.</w:t>
      </w:r>
    </w:p>
    <w:p>
      <w:pPr>
        <w:spacing w:after="0" w:line="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46" w:lineRule="exact"/>
        <w:rPr>
          <w:sz w:val="24"/>
          <w:szCs w:val="24"/>
          <w:color w:val="auto"/>
        </w:rPr>
      </w:pPr>
    </w:p>
    <w:tbl>
      <w:tblPr>
        <w:tblLayout w:type="fixed"/>
        <w:tblInd w:w="1100" w:type="dxa"/>
        <w:tblCellMar>
          <w:top w:w="0" w:type="dxa"/>
          <w:left w:w="0" w:type="dxa"/>
          <w:bottom w:w="0" w:type="dxa"/>
          <w:right w:w="0" w:type="dxa"/>
        </w:tblCellMar>
      </w:tblPr>
      <w:tr>
        <w:trPr>
          <w:trHeight w:val="196"/>
        </w:trPr>
        <w:tc>
          <w:tcPr>
            <w:tcW w:w="4860" w:type="dxa"/>
            <w:vAlign w:val="bottom"/>
          </w:tcPr>
          <w:p>
            <w:pPr>
              <w:jc w:val="center"/>
              <w:ind w:right="1362"/>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3520" w:type="dxa"/>
            <w:vAlign w:val="bottom"/>
          </w:tcPr>
          <w:p>
            <w:pPr>
              <w:jc w:val="right"/>
              <w:ind w:right="584"/>
              <w:spacing w:after="0"/>
              <w:rPr>
                <w:sz w:val="20"/>
                <w:szCs w:val="20"/>
                <w:color w:val="auto"/>
              </w:rPr>
            </w:pPr>
            <w:r>
              <w:rPr>
                <w:rFonts w:ascii="Times New Roman" w:cs="Times New Roman" w:eastAsia="Times New Roman" w:hAnsi="Times New Roman"/>
                <w:sz w:val="16"/>
                <w:szCs w:val="16"/>
                <w:b w:val="1"/>
                <w:bCs w:val="1"/>
                <w:color w:val="auto"/>
              </w:rPr>
              <w:t>45-4241907</w:t>
            </w:r>
          </w:p>
        </w:tc>
      </w:tr>
      <w:tr>
        <w:trPr>
          <w:trHeight w:val="188"/>
        </w:trPr>
        <w:tc>
          <w:tcPr>
            <w:tcW w:w="4860" w:type="dxa"/>
            <w:vAlign w:val="bottom"/>
          </w:tcPr>
          <w:p>
            <w:pPr>
              <w:jc w:val="center"/>
              <w:ind w:right="1342"/>
              <w:spacing w:after="0"/>
              <w:rPr>
                <w:sz w:val="20"/>
                <w:szCs w:val="20"/>
                <w:color w:val="auto"/>
              </w:rPr>
            </w:pPr>
            <w:r>
              <w:rPr>
                <w:rFonts w:ascii="Times New Roman" w:cs="Times New Roman" w:eastAsia="Times New Roman" w:hAnsi="Times New Roman"/>
                <w:sz w:val="14"/>
                <w:szCs w:val="14"/>
                <w:color w:val="auto"/>
              </w:rPr>
              <w:t>(State or other jurisdiction of incorporation or organization)</w:t>
            </w:r>
          </w:p>
        </w:tc>
        <w:tc>
          <w:tcPr>
            <w:tcW w:w="3520" w:type="dxa"/>
            <w:vAlign w:val="bottom"/>
          </w:tcPr>
          <w:p>
            <w:pPr>
              <w:jc w:val="center"/>
              <w:ind w:left="1344"/>
              <w:spacing w:after="0"/>
              <w:rPr>
                <w:sz w:val="20"/>
                <w:szCs w:val="20"/>
                <w:color w:val="auto"/>
              </w:rPr>
            </w:pPr>
            <w:r>
              <w:rPr>
                <w:rFonts w:ascii="Times New Roman" w:cs="Times New Roman" w:eastAsia="Times New Roman" w:hAnsi="Times New Roman"/>
                <w:sz w:val="14"/>
                <w:szCs w:val="14"/>
                <w:color w:val="auto"/>
              </w:rPr>
              <w:t>(I.R.S. Employer Identification No.)</w:t>
            </w:r>
          </w:p>
        </w:tc>
      </w:tr>
      <w:tr>
        <w:trPr>
          <w:trHeight w:val="237"/>
        </w:trPr>
        <w:tc>
          <w:tcPr>
            <w:tcW w:w="4860" w:type="dxa"/>
            <w:vAlign w:val="bottom"/>
          </w:tcPr>
          <w:p>
            <w:pPr>
              <w:jc w:val="center"/>
              <w:ind w:right="1342"/>
              <w:spacing w:after="0"/>
              <w:rPr>
                <w:sz w:val="20"/>
                <w:szCs w:val="20"/>
                <w:color w:val="auto"/>
              </w:rPr>
            </w:pPr>
            <w:r>
              <w:rPr>
                <w:rFonts w:ascii="Times New Roman" w:cs="Times New Roman" w:eastAsia="Times New Roman" w:hAnsi="Times New Roman"/>
                <w:sz w:val="16"/>
                <w:szCs w:val="16"/>
                <w:b w:val="1"/>
                <w:bCs w:val="1"/>
                <w:color w:val="auto"/>
              </w:rPr>
              <w:t>One World Trade Center</w:t>
            </w:r>
          </w:p>
        </w:tc>
        <w:tc>
          <w:tcPr>
            <w:tcW w:w="3520" w:type="dxa"/>
            <w:vAlign w:val="bottom"/>
          </w:tcPr>
          <w:p>
            <w:pPr>
              <w:spacing w:after="0"/>
              <w:rPr>
                <w:sz w:val="20"/>
                <w:szCs w:val="20"/>
                <w:color w:val="auto"/>
              </w:rPr>
            </w:pPr>
          </w:p>
        </w:tc>
      </w:tr>
      <w:tr>
        <w:trPr>
          <w:trHeight w:val="203"/>
        </w:trPr>
        <w:tc>
          <w:tcPr>
            <w:tcW w:w="4860" w:type="dxa"/>
            <w:vAlign w:val="bottom"/>
          </w:tcPr>
          <w:p>
            <w:pPr>
              <w:jc w:val="center"/>
              <w:ind w:right="1342"/>
              <w:spacing w:after="0"/>
              <w:rPr>
                <w:sz w:val="20"/>
                <w:szCs w:val="20"/>
                <w:color w:val="auto"/>
              </w:rPr>
            </w:pPr>
            <w:r>
              <w:rPr>
                <w:rFonts w:ascii="Times New Roman" w:cs="Times New Roman" w:eastAsia="Times New Roman" w:hAnsi="Times New Roman"/>
                <w:sz w:val="16"/>
                <w:szCs w:val="16"/>
                <w:b w:val="1"/>
                <w:bCs w:val="1"/>
                <w:color w:val="auto"/>
              </w:rPr>
              <w:t>29th Floor</w:t>
            </w:r>
          </w:p>
        </w:tc>
        <w:tc>
          <w:tcPr>
            <w:tcW w:w="3520" w:type="dxa"/>
            <w:vAlign w:val="bottom"/>
          </w:tcPr>
          <w:p>
            <w:pPr>
              <w:spacing w:after="0"/>
              <w:rPr>
                <w:sz w:val="17"/>
                <w:szCs w:val="17"/>
                <w:color w:val="auto"/>
              </w:rPr>
            </w:pPr>
          </w:p>
        </w:tc>
      </w:tr>
      <w:tr>
        <w:trPr>
          <w:trHeight w:val="196"/>
        </w:trPr>
        <w:tc>
          <w:tcPr>
            <w:tcW w:w="4860" w:type="dxa"/>
            <w:vAlign w:val="bottom"/>
          </w:tcPr>
          <w:p>
            <w:pPr>
              <w:jc w:val="center"/>
              <w:ind w:right="1362"/>
              <w:spacing w:after="0"/>
              <w:rPr>
                <w:sz w:val="20"/>
                <w:szCs w:val="20"/>
                <w:color w:val="auto"/>
              </w:rPr>
            </w:pPr>
            <w:r>
              <w:rPr>
                <w:rFonts w:ascii="Times New Roman" w:cs="Times New Roman" w:eastAsia="Times New Roman" w:hAnsi="Times New Roman"/>
                <w:sz w:val="16"/>
                <w:szCs w:val="16"/>
                <w:b w:val="1"/>
                <w:bCs w:val="1"/>
                <w:color w:val="auto"/>
              </w:rPr>
              <w:t>New York, New York</w:t>
            </w:r>
          </w:p>
        </w:tc>
        <w:tc>
          <w:tcPr>
            <w:tcW w:w="3520" w:type="dxa"/>
            <w:vAlign w:val="bottom"/>
          </w:tcPr>
          <w:p>
            <w:pPr>
              <w:jc w:val="right"/>
              <w:ind w:right="764"/>
              <w:spacing w:after="0"/>
              <w:rPr>
                <w:sz w:val="20"/>
                <w:szCs w:val="20"/>
                <w:color w:val="auto"/>
              </w:rPr>
            </w:pPr>
            <w:r>
              <w:rPr>
                <w:rFonts w:ascii="Times New Roman" w:cs="Times New Roman" w:eastAsia="Times New Roman" w:hAnsi="Times New Roman"/>
                <w:sz w:val="16"/>
                <w:szCs w:val="16"/>
                <w:b w:val="1"/>
                <w:bCs w:val="1"/>
                <w:color w:val="auto"/>
              </w:rPr>
              <w:t>10007</w:t>
            </w:r>
          </w:p>
        </w:tc>
      </w:tr>
      <w:tr>
        <w:trPr>
          <w:trHeight w:val="188"/>
        </w:trPr>
        <w:tc>
          <w:tcPr>
            <w:tcW w:w="4860" w:type="dxa"/>
            <w:vAlign w:val="bottom"/>
          </w:tcPr>
          <w:p>
            <w:pPr>
              <w:jc w:val="center"/>
              <w:ind w:right="1342"/>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3520" w:type="dxa"/>
            <w:vAlign w:val="bottom"/>
          </w:tcPr>
          <w:p>
            <w:pPr>
              <w:jc w:val="center"/>
              <w:ind w:left="1344"/>
              <w:spacing w:after="0"/>
              <w:rPr>
                <w:sz w:val="20"/>
                <w:szCs w:val="20"/>
                <w:color w:val="auto"/>
              </w:rPr>
            </w:pPr>
            <w:r>
              <w:rPr>
                <w:rFonts w:ascii="Times New Roman" w:cs="Times New Roman" w:eastAsia="Times New Roman" w:hAnsi="Times New Roman"/>
                <w:sz w:val="14"/>
                <w:szCs w:val="14"/>
                <w:color w:val="auto"/>
              </w:rPr>
              <w:t>(Zip Code)</w:t>
            </w:r>
          </w:p>
        </w:tc>
      </w:tr>
    </w:tbl>
    <w:p>
      <w:pPr>
        <w:spacing w:after="0" w:line="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 (212) 332-3241</w:t>
      </w:r>
    </w:p>
    <w:p>
      <w:pPr>
        <w:spacing w:after="0" w:line="66" w:lineRule="exact"/>
        <w:rPr>
          <w:sz w:val="24"/>
          <w:szCs w:val="24"/>
          <w:color w:val="auto"/>
        </w:rPr>
      </w:pPr>
    </w:p>
    <w:p>
      <w:pPr>
        <w:ind w:right="180"/>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highlight w:val="black"/>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6" w:lineRule="exact"/>
        <w:rPr>
          <w:sz w:val="24"/>
          <w:szCs w:val="24"/>
          <w:color w:val="auto"/>
        </w:rPr>
      </w:pPr>
    </w:p>
    <w:p>
      <w:pPr>
        <w:ind w:right="220"/>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6" w:lineRule="exact"/>
        <w:rPr>
          <w:sz w:val="24"/>
          <w:szCs w:val="24"/>
          <w:color w:val="auto"/>
        </w:rPr>
      </w:pPr>
    </w:p>
    <w:p>
      <w:pPr>
        <w:ind w:right="600"/>
        <w:spacing w:after="0" w:line="258"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176"/>
        </w:trPr>
        <w:tc>
          <w:tcPr>
            <w:tcW w:w="206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2220" w:type="dxa"/>
            <w:vAlign w:val="bottom"/>
          </w:tcPr>
          <w:p>
            <w:pPr>
              <w:ind w:left="760"/>
              <w:spacing w:after="0" w:line="141" w:lineRule="exact"/>
              <w:rPr>
                <w:sz w:val="20"/>
                <w:szCs w:val="20"/>
                <w:color w:val="auto"/>
              </w:rPr>
            </w:pPr>
            <w:r>
              <w:rPr>
                <w:rFonts w:ascii="MS PGothic" w:cs="MS PGothic" w:eastAsia="MS PGothic" w:hAnsi="MS PGothic"/>
                <w:sz w:val="14"/>
                <w:szCs w:val="14"/>
                <w:color w:val="auto"/>
              </w:rPr>
              <w:t>☒</w:t>
            </w:r>
          </w:p>
        </w:tc>
        <w:tc>
          <w:tcPr>
            <w:tcW w:w="3540" w:type="dxa"/>
            <w:vAlign w:val="bottom"/>
          </w:tcPr>
          <w:p>
            <w:pPr>
              <w:ind w:left="1340"/>
              <w:spacing w:after="0"/>
              <w:rPr>
                <w:sz w:val="20"/>
                <w:szCs w:val="20"/>
                <w:color w:val="auto"/>
              </w:rPr>
            </w:pPr>
            <w:r>
              <w:rPr>
                <w:rFonts w:ascii="Times New Roman" w:cs="Times New Roman" w:eastAsia="Times New Roman" w:hAnsi="Times New Roman"/>
                <w:sz w:val="14"/>
                <w:szCs w:val="14"/>
                <w:color w:val="auto"/>
              </w:rPr>
              <w:t>Accelerated Filer</w:t>
            </w:r>
          </w:p>
        </w:tc>
        <w:tc>
          <w:tcPr>
            <w:tcW w:w="740" w:type="dxa"/>
            <w:vAlign w:val="bottom"/>
          </w:tcPr>
          <w:p>
            <w:pPr>
              <w:ind w:left="62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175"/>
        </w:trPr>
        <w:tc>
          <w:tcPr>
            <w:tcW w:w="206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2220" w:type="dxa"/>
            <w:vAlign w:val="bottom"/>
          </w:tcPr>
          <w:p>
            <w:pPr>
              <w:ind w:left="760"/>
              <w:spacing w:after="0" w:line="141" w:lineRule="exact"/>
              <w:rPr>
                <w:sz w:val="20"/>
                <w:szCs w:val="20"/>
                <w:color w:val="auto"/>
              </w:rPr>
            </w:pPr>
            <w:r>
              <w:rPr>
                <w:rFonts w:ascii="MS PGothic" w:cs="MS PGothic" w:eastAsia="MS PGothic" w:hAnsi="MS PGothic"/>
                <w:sz w:val="14"/>
                <w:szCs w:val="14"/>
                <w:color w:val="auto"/>
              </w:rPr>
              <w:t>☐</w:t>
            </w:r>
          </w:p>
        </w:tc>
        <w:tc>
          <w:tcPr>
            <w:tcW w:w="3540" w:type="dxa"/>
            <w:vAlign w:val="bottom"/>
          </w:tcPr>
          <w:p>
            <w:pPr>
              <w:ind w:left="134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740" w:type="dxa"/>
            <w:vAlign w:val="bottom"/>
          </w:tcPr>
          <w:p>
            <w:pPr>
              <w:ind w:left="62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42"/>
        </w:trPr>
        <w:tc>
          <w:tcPr>
            <w:tcW w:w="2060" w:type="dxa"/>
            <w:vAlign w:val="bottom"/>
          </w:tcPr>
          <w:p>
            <w:pPr>
              <w:spacing w:after="0"/>
              <w:rPr>
                <w:sz w:val="21"/>
                <w:szCs w:val="21"/>
                <w:color w:val="auto"/>
              </w:rPr>
            </w:pPr>
          </w:p>
        </w:tc>
        <w:tc>
          <w:tcPr>
            <w:tcW w:w="2220" w:type="dxa"/>
            <w:vAlign w:val="bottom"/>
          </w:tcPr>
          <w:p>
            <w:pPr>
              <w:spacing w:after="0"/>
              <w:rPr>
                <w:sz w:val="21"/>
                <w:szCs w:val="21"/>
                <w:color w:val="auto"/>
              </w:rPr>
            </w:pPr>
          </w:p>
        </w:tc>
        <w:tc>
          <w:tcPr>
            <w:tcW w:w="3540" w:type="dxa"/>
            <w:vAlign w:val="bottom"/>
          </w:tcPr>
          <w:p>
            <w:pPr>
              <w:ind w:left="1340"/>
              <w:spacing w:after="0"/>
              <w:rPr>
                <w:sz w:val="20"/>
                <w:szCs w:val="20"/>
                <w:color w:val="auto"/>
              </w:rPr>
            </w:pPr>
            <w:r>
              <w:rPr>
                <w:rFonts w:ascii="Times New Roman" w:cs="Times New Roman" w:eastAsia="Times New Roman" w:hAnsi="Times New Roman"/>
                <w:sz w:val="14"/>
                <w:szCs w:val="14"/>
                <w:color w:val="auto"/>
              </w:rPr>
              <w:t>Emerging growth company</w:t>
            </w:r>
          </w:p>
        </w:tc>
        <w:tc>
          <w:tcPr>
            <w:tcW w:w="740" w:type="dxa"/>
            <w:vAlign w:val="bottom"/>
          </w:tcPr>
          <w:p>
            <w:pPr>
              <w:ind w:left="62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19" w:lineRule="exact"/>
        <w:rPr>
          <w:sz w:val="24"/>
          <w:szCs w:val="24"/>
          <w:color w:val="auto"/>
        </w:rPr>
      </w:pPr>
    </w:p>
    <w:p>
      <w:pPr>
        <w:ind w:right="560"/>
        <w:spacing w:after="0" w:line="186"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highlight w:val="black"/>
        </w:rPr>
        <w:t>☒</w:t>
      </w:r>
    </w:p>
    <w:p>
      <w:pPr>
        <w:spacing w:after="0" w:line="1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p>
      <w:pPr>
        <w:spacing w:after="0" w:line="79" w:lineRule="exact"/>
        <w:rPr>
          <w:sz w:val="24"/>
          <w:szCs w:val="24"/>
          <w:color w:val="auto"/>
        </w:rPr>
      </w:pPr>
    </w:p>
    <w:tbl>
      <w:tblPr>
        <w:tblLayout w:type="fixed"/>
        <w:tblInd w:w="0" w:type="dxa"/>
        <w:tblCellMar>
          <w:top w:w="0" w:type="dxa"/>
          <w:left w:w="0" w:type="dxa"/>
          <w:bottom w:w="0" w:type="dxa"/>
          <w:right w:w="0" w:type="dxa"/>
        </w:tblCellMar>
      </w:tblPr>
      <w:tr>
        <w:trPr>
          <w:trHeight w:val="171"/>
        </w:trPr>
        <w:tc>
          <w:tcPr>
            <w:tcW w:w="3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Title of each class:</w:t>
            </w:r>
          </w:p>
        </w:tc>
        <w:tc>
          <w:tcPr>
            <w:tcW w:w="220" w:type="dxa"/>
            <w:vAlign w:val="bottom"/>
          </w:tcPr>
          <w:p>
            <w:pPr>
              <w:spacing w:after="0"/>
              <w:rPr>
                <w:sz w:val="14"/>
                <w:szCs w:val="14"/>
                <w:color w:val="auto"/>
              </w:rPr>
            </w:pPr>
          </w:p>
        </w:tc>
        <w:tc>
          <w:tcPr>
            <w:tcW w:w="3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Trading Symbol(s)</w:t>
            </w:r>
          </w:p>
        </w:tc>
        <w:tc>
          <w:tcPr>
            <w:tcW w:w="200" w:type="dxa"/>
            <w:vAlign w:val="bottom"/>
          </w:tcPr>
          <w:p>
            <w:pPr>
              <w:spacing w:after="0"/>
              <w:rPr>
                <w:sz w:val="14"/>
                <w:szCs w:val="14"/>
                <w:color w:val="auto"/>
              </w:rPr>
            </w:pPr>
          </w:p>
        </w:tc>
        <w:tc>
          <w:tcPr>
            <w:tcW w:w="3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Name of each exchange on which registered:</w:t>
            </w:r>
          </w:p>
        </w:tc>
      </w:tr>
      <w:tr>
        <w:trPr>
          <w:trHeight w:val="182"/>
        </w:trPr>
        <w:tc>
          <w:tcPr>
            <w:tcW w:w="36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Common Stock, Par Value $0.0001 Per Share</w:t>
            </w:r>
          </w:p>
        </w:tc>
        <w:tc>
          <w:tcPr>
            <w:tcW w:w="220" w:type="dxa"/>
            <w:vAlign w:val="bottom"/>
          </w:tcPr>
          <w:p>
            <w:pPr>
              <w:spacing w:after="0"/>
              <w:rPr>
                <w:sz w:val="15"/>
                <w:szCs w:val="15"/>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AXSM</w:t>
            </w:r>
          </w:p>
        </w:tc>
        <w:tc>
          <w:tcPr>
            <w:tcW w:w="200" w:type="dxa"/>
            <w:vAlign w:val="bottom"/>
          </w:tcPr>
          <w:p>
            <w:pPr>
              <w:spacing w:after="0"/>
              <w:rPr>
                <w:sz w:val="15"/>
                <w:szCs w:val="15"/>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The Nasdaq Global Market</w:t>
            </w:r>
          </w:p>
        </w:tc>
      </w:tr>
    </w:tbl>
    <w:p>
      <w:pPr>
        <w:spacing w:after="0" w:line="113"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There were 49,901,487 shares of the registrant’s common stock, $0.0001 par value, outstanding as of July 28,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1048385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152400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3"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AXSOME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QUARTERLY REPORT ON FORM 10-Q</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 ENDED JUNE 30, 2025</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40" w:type="dxa"/>
            <w:vAlign w:val="bottom"/>
            <w:gridSpan w:val="4"/>
          </w:tcPr>
          <w:p>
            <w:pPr>
              <w:jc w:val="center"/>
              <w:ind w:right="2540"/>
              <w:spacing w:after="0"/>
              <w:rPr>
                <w:sz w:val="20"/>
                <w:szCs w:val="20"/>
                <w:color w:val="auto"/>
              </w:rPr>
            </w:pPr>
            <w:r>
              <w:rPr>
                <w:rFonts w:ascii="Times New Roman" w:cs="Times New Roman" w:eastAsia="Times New Roman" w:hAnsi="Times New Roman"/>
                <w:sz w:val="18"/>
                <w:szCs w:val="18"/>
                <w:b w:val="1"/>
                <w:bCs w:val="1"/>
                <w:color w:val="auto"/>
                <w:w w:val="99"/>
              </w:rPr>
              <w:t>TABLE OF CONTENTS</w:t>
            </w: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5860" w:type="dxa"/>
            <w:vAlign w:val="bottom"/>
            <w:gridSpan w:val="12"/>
            <w:vMerge w:val="restart"/>
          </w:tcPr>
          <w:p>
            <w:pPr>
              <w:spacing w:after="0"/>
              <w:rPr>
                <w:sz w:val="20"/>
                <w:szCs w:val="20"/>
                <w:color w:val="auto"/>
              </w:rPr>
            </w:pPr>
            <w:r>
              <w:rPr>
                <w:rFonts w:ascii="Times New Roman" w:cs="Times New Roman" w:eastAsia="Times New Roman" w:hAnsi="Times New Roman"/>
                <w:sz w:val="18"/>
                <w:szCs w:val="18"/>
                <w:color w:val="auto"/>
                <w:w w:val="99"/>
              </w:rPr>
              <w:t>CAUTIONARY NOTE REGARDING FORWARD LOOKING STATEMENTS</w:t>
            </w:r>
          </w:p>
        </w:tc>
        <w:tc>
          <w:tcPr>
            <w:tcW w:w="4660" w:type="dxa"/>
            <w:vAlign w:val="bottom"/>
            <w:gridSpan w:val="2"/>
            <w:vMerge w:val="restart"/>
          </w:tcPr>
          <w:p>
            <w:pPr>
              <w:spacing w:after="0"/>
              <w:rPr>
                <w:sz w:val="24"/>
                <w:szCs w:val="24"/>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174"/>
        </w:trPr>
        <w:tc>
          <w:tcPr>
            <w:tcW w:w="5860" w:type="dxa"/>
            <w:vAlign w:val="bottom"/>
            <w:tcBorders>
              <w:bottom w:val="single" w:sz="8" w:color="0000EE"/>
            </w:tcBorders>
            <w:gridSpan w:val="12"/>
            <w:vMerge w:val="continue"/>
          </w:tcPr>
          <w:p>
            <w:pPr>
              <w:spacing w:after="0"/>
              <w:rPr>
                <w:sz w:val="14"/>
                <w:szCs w:val="14"/>
                <w:color w:val="auto"/>
              </w:rPr>
            </w:pPr>
          </w:p>
        </w:tc>
        <w:tc>
          <w:tcPr>
            <w:tcW w:w="4660" w:type="dxa"/>
            <w:vAlign w:val="bottom"/>
            <w:gridSpan w:val="2"/>
            <w:vMerge w:val="continue"/>
          </w:tcPr>
          <w:p>
            <w:pPr>
              <w:spacing w:after="0"/>
              <w:rPr>
                <w:sz w:val="14"/>
                <w:szCs w:val="14"/>
                <w:color w:val="auto"/>
              </w:rPr>
            </w:pPr>
          </w:p>
        </w:tc>
        <w:tc>
          <w:tcPr>
            <w:tcW w:w="72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1"/>
        </w:trPr>
        <w:tc>
          <w:tcPr>
            <w:tcW w:w="10520" w:type="dxa"/>
            <w:vAlign w:val="bottom"/>
            <w:gridSpan w:val="14"/>
          </w:tcPr>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102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18"/>
                <w:szCs w:val="18"/>
                <w:color w:val="auto"/>
              </w:rPr>
              <w:t>ITEM 1</w:t>
            </w:r>
          </w:p>
        </w:tc>
        <w:tc>
          <w:tcPr>
            <w:tcW w:w="2260" w:type="dxa"/>
            <w:vAlign w:val="bottom"/>
            <w:tcBorders>
              <w:top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auto"/>
              </w:rPr>
              <w:t>Financial Statements</w:t>
            </w:r>
          </w:p>
        </w:tc>
        <w:tc>
          <w:tcPr>
            <w:tcW w:w="7240" w:type="dxa"/>
            <w:vAlign w:val="bottom"/>
            <w:gridSpan w:val="4"/>
          </w:tcPr>
          <w:p>
            <w:pPr>
              <w:spacing w:after="0"/>
              <w:rPr>
                <w:sz w:val="24"/>
                <w:szCs w:val="24"/>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320" w:type="dxa"/>
            <w:vAlign w:val="bottom"/>
            <w:gridSpan w:val="2"/>
          </w:tcPr>
          <w:p>
            <w:pPr>
              <w:spacing w:after="0" w:line="20" w:lineRule="exact"/>
              <w:rPr>
                <w:sz w:val="1"/>
                <w:szCs w:val="1"/>
                <w:color w:val="auto"/>
              </w:rPr>
            </w:pPr>
          </w:p>
        </w:tc>
        <w:tc>
          <w:tcPr>
            <w:tcW w:w="2180" w:type="dxa"/>
            <w:vAlign w:val="bottom"/>
            <w:gridSpan w:val="2"/>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950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w:t>
            </w:r>
          </w:p>
        </w:tc>
        <w:tc>
          <w:tcPr>
            <w:tcW w:w="7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6460" w:type="dxa"/>
            <w:vAlign w:val="bottom"/>
            <w:tcBorders>
              <w:top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auto"/>
              </w:rPr>
              <w:t>Quantitative and Qualitative Disclosure About Market Risk</w:t>
            </w:r>
          </w:p>
        </w:tc>
        <w:tc>
          <w:tcPr>
            <w:tcW w:w="3040" w:type="dxa"/>
            <w:vAlign w:val="bottom"/>
          </w:tcPr>
          <w:p>
            <w:pPr>
              <w:spacing w:after="0"/>
              <w:rPr>
                <w:sz w:val="17"/>
                <w:szCs w:val="17"/>
                <w:color w:val="auto"/>
              </w:rPr>
            </w:pPr>
          </w:p>
        </w:tc>
        <w:tc>
          <w:tcPr>
            <w:tcW w:w="7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4280" w:type="dxa"/>
            <w:vAlign w:val="bottom"/>
            <w:tcBorders>
              <w:top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auto"/>
              </w:rPr>
              <w:t>Controls and Procedures</w:t>
            </w:r>
          </w:p>
        </w:tc>
        <w:tc>
          <w:tcPr>
            <w:tcW w:w="5220" w:type="dxa"/>
            <w:vAlign w:val="bottom"/>
            <w:gridSpan w:val="3"/>
          </w:tcPr>
          <w:p>
            <w:pPr>
              <w:spacing w:after="0"/>
              <w:rPr>
                <w:sz w:val="17"/>
                <w:szCs w:val="17"/>
                <w:color w:val="auto"/>
              </w:rPr>
            </w:pPr>
          </w:p>
        </w:tc>
        <w:tc>
          <w:tcPr>
            <w:tcW w:w="7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540" w:type="dxa"/>
            <w:vAlign w:val="bottom"/>
            <w:gridSpan w:val="5"/>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10520" w:type="dxa"/>
            <w:vAlign w:val="bottom"/>
            <w:gridSpan w:val="14"/>
          </w:tcPr>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102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18"/>
                <w:szCs w:val="18"/>
                <w:color w:val="auto"/>
              </w:rPr>
              <w:t>ITEM 1</w:t>
            </w:r>
          </w:p>
        </w:tc>
        <w:tc>
          <w:tcPr>
            <w:tcW w:w="1340" w:type="dxa"/>
            <w:vAlign w:val="bottom"/>
            <w:tcBorders>
              <w:top w:val="single" w:sz="8" w:color="0000EE"/>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auto"/>
                <w:w w:val="98"/>
              </w:rPr>
              <w:t>Legal Proceedings</w:t>
            </w:r>
          </w:p>
        </w:tc>
        <w:tc>
          <w:tcPr>
            <w:tcW w:w="620" w:type="dxa"/>
            <w:vAlign w:val="bottom"/>
            <w:tcBorders>
              <w:top w:val="single" w:sz="8" w:color="0000EE"/>
            </w:tcBorders>
            <w:gridSpan w:val="3"/>
          </w:tcPr>
          <w:p>
            <w:pPr>
              <w:spacing w:after="0"/>
              <w:rPr>
                <w:sz w:val="24"/>
                <w:szCs w:val="24"/>
                <w:color w:val="auto"/>
              </w:rPr>
            </w:pPr>
          </w:p>
        </w:tc>
        <w:tc>
          <w:tcPr>
            <w:tcW w:w="7540" w:type="dxa"/>
            <w:vAlign w:val="bottom"/>
            <w:gridSpan w:val="5"/>
          </w:tcPr>
          <w:p>
            <w:pPr>
              <w:spacing w:after="0"/>
              <w:rPr>
                <w:sz w:val="24"/>
                <w:szCs w:val="24"/>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1A</w:t>
            </w:r>
          </w:p>
        </w:tc>
        <w:tc>
          <w:tcPr>
            <w:tcW w:w="950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auto"/>
              </w:rPr>
              <w:t>Risk Factors</w:t>
            </w:r>
          </w:p>
        </w:tc>
        <w:tc>
          <w:tcPr>
            <w:tcW w:w="7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180" w:type="dxa"/>
            <w:vAlign w:val="bottom"/>
            <w:gridSpan w:val="9"/>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5</w:t>
            </w:r>
          </w:p>
        </w:tc>
        <w:tc>
          <w:tcPr>
            <w:tcW w:w="132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auto"/>
                <w:w w:val="98"/>
              </w:rPr>
              <w:t>Other Information</w:t>
            </w:r>
          </w:p>
        </w:tc>
        <w:tc>
          <w:tcPr>
            <w:tcW w:w="8180" w:type="dxa"/>
            <w:vAlign w:val="bottom"/>
            <w:gridSpan w:val="9"/>
          </w:tcPr>
          <w:p>
            <w:pPr>
              <w:spacing w:after="0"/>
              <w:rPr>
                <w:sz w:val="17"/>
                <w:szCs w:val="17"/>
                <w:color w:val="auto"/>
              </w:rPr>
            </w:pPr>
          </w:p>
        </w:tc>
        <w:tc>
          <w:tcPr>
            <w:tcW w:w="7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110</w:t>
            </w:r>
          </w:p>
        </w:tc>
        <w:tc>
          <w:tcPr>
            <w:tcW w:w="0" w:type="dxa"/>
            <w:vAlign w:val="bottom"/>
          </w:tcPr>
          <w:p>
            <w:pPr>
              <w:spacing w:after="0"/>
              <w:rPr>
                <w:sz w:val="1"/>
                <w:szCs w:val="1"/>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6</w:t>
            </w:r>
          </w:p>
        </w:tc>
        <w:tc>
          <w:tcPr>
            <w:tcW w:w="950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auto"/>
              </w:rPr>
              <w:t>Exhibits</w:t>
            </w:r>
          </w:p>
        </w:tc>
        <w:tc>
          <w:tcPr>
            <w:tcW w:w="7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112</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0" w:type="dxa"/>
            <w:vAlign w:val="bottom"/>
            <w:gridSpan w:val="11"/>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950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auto"/>
              </w:rPr>
              <w:t>Signatures</w:t>
            </w:r>
          </w:p>
        </w:tc>
        <w:tc>
          <w:tcPr>
            <w:tcW w:w="7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113</w:t>
            </w:r>
          </w:p>
        </w:tc>
        <w:tc>
          <w:tcPr>
            <w:tcW w:w="0" w:type="dxa"/>
            <w:vAlign w:val="bottom"/>
          </w:tcPr>
          <w:p>
            <w:pPr>
              <w:spacing w:after="0"/>
              <w:rPr>
                <w:sz w:val="1"/>
                <w:szCs w:val="1"/>
                <w:color w:val="auto"/>
              </w:rPr>
            </w:pPr>
          </w:p>
        </w:tc>
      </w:tr>
      <w:tr>
        <w:trPr>
          <w:trHeight w:val="885"/>
        </w:trPr>
        <w:tc>
          <w:tcPr>
            <w:tcW w:w="1020" w:type="dxa"/>
            <w:vAlign w:val="bottom"/>
          </w:tcPr>
          <w:p>
            <w:pPr>
              <w:spacing w:after="0"/>
              <w:rPr>
                <w:sz w:val="24"/>
                <w:szCs w:val="24"/>
                <w:color w:val="auto"/>
              </w:rPr>
            </w:pPr>
          </w:p>
        </w:tc>
        <w:tc>
          <w:tcPr>
            <w:tcW w:w="700" w:type="dxa"/>
            <w:vAlign w:val="bottom"/>
            <w:tcBorders>
              <w:top w:val="single" w:sz="8" w:color="0000EE"/>
            </w:tcBorders>
            <w:gridSpan w:val="2"/>
          </w:tcPr>
          <w:p>
            <w:pPr>
              <w:spacing w:after="0"/>
              <w:rPr>
                <w:sz w:val="24"/>
                <w:szCs w:val="24"/>
                <w:color w:val="auto"/>
              </w:rPr>
            </w:pPr>
          </w:p>
        </w:tc>
        <w:tc>
          <w:tcPr>
            <w:tcW w:w="4140" w:type="dxa"/>
            <w:vAlign w:val="bottom"/>
            <w:gridSpan w:val="9"/>
          </w:tcPr>
          <w:p>
            <w:pPr>
              <w:jc w:val="right"/>
              <w:ind w:right="200"/>
              <w:spacing w:after="0"/>
              <w:rPr>
                <w:sz w:val="20"/>
                <w:szCs w:val="20"/>
                <w:color w:val="auto"/>
              </w:rPr>
            </w:pPr>
            <w:r>
              <w:rPr>
                <w:rFonts w:ascii="Times New Roman" w:cs="Times New Roman" w:eastAsia="Times New Roman" w:hAnsi="Times New Roman"/>
                <w:sz w:val="18"/>
                <w:szCs w:val="18"/>
                <w:color w:val="auto"/>
              </w:rPr>
              <w:t>2</w:t>
            </w:r>
          </w:p>
        </w:tc>
        <w:tc>
          <w:tcPr>
            <w:tcW w:w="162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102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0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304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Certain matters discussed in this report, including matters discussed under the caption “Management’s Discussion and Analysis of Financial Condition and Results of Operations,” may constitute forward-looking statements for purposes of the Securities Act of 1933, as amended, or the Securities Act, and the Securities Exchange Act of 1934, as amended, or the Exchange Act, and involve known and unknown risks, uncertainties and other factors that may cause our actual results, performance or achievements to be materially different from the future results, performance or achievements expressed or implied by such forward-looking statements. The words “anticipate,” “believe,” “estimate,” “may,” “expect” and similar expressions are generally intended to identify forward-looking statements. Our actual results may differ materially from the results anticipated in these forward-looking statements due to a variety of factors, including, without limitation, those discussed under the captions “Risk Factors,” “Management’s Discussion and Analysis of Financial Condition and Results of Operations” and elsewhere in this report, as well as other factors which may be identified from time to time in our other filings with the U.S. Securities and Exchange Commission, or the SEC, or in the documents where such forward-looking statements appear. All written or oral forward-looking statements attributable to us are expressly qualified in their entirety by these cautionary statements. Such forward-looking statements include, but are not limited to, statements about:</w:t>
      </w:r>
    </w:p>
    <w:p>
      <w:pPr>
        <w:spacing w:after="0" w:line="70" w:lineRule="exact"/>
        <w:rPr>
          <w:sz w:val="20"/>
          <w:szCs w:val="20"/>
          <w:color w:val="auto"/>
        </w:rPr>
      </w:pPr>
    </w:p>
    <w:p>
      <w:pPr>
        <w:ind w:left="760" w:hanging="378"/>
        <w:spacing w:after="0"/>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for increases or decreases in expenses;</w:t>
      </w:r>
    </w:p>
    <w:p>
      <w:pPr>
        <w:spacing w:after="0" w:line="117" w:lineRule="exact"/>
        <w:rPr>
          <w:rFonts w:ascii="Times New Roman" w:cs="Times New Roman" w:eastAsia="Times New Roman" w:hAnsi="Times New Roman"/>
          <w:sz w:val="18"/>
          <w:szCs w:val="18"/>
          <w:color w:val="auto"/>
        </w:rPr>
      </w:pPr>
    </w:p>
    <w:p>
      <w:pPr>
        <w:ind w:left="760" w:right="980" w:hanging="378"/>
        <w:spacing w:after="0" w:line="282" w:lineRule="auto"/>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for the clinical and preclinical development, manufacturing and regulatory approval of our product candidates, and commercialization of our pharmaceutical products or any other products that we may acquire or in-license;</w:t>
      </w:r>
    </w:p>
    <w:p>
      <w:pPr>
        <w:spacing w:after="0" w:line="40" w:lineRule="exact"/>
        <w:rPr>
          <w:rFonts w:ascii="Times New Roman" w:cs="Times New Roman" w:eastAsia="Times New Roman" w:hAnsi="Times New Roman"/>
          <w:sz w:val="18"/>
          <w:szCs w:val="18"/>
          <w:color w:val="auto"/>
        </w:rPr>
      </w:pPr>
    </w:p>
    <w:p>
      <w:pPr>
        <w:ind w:left="760" w:right="860" w:hanging="378"/>
        <w:spacing w:after="0" w:line="282" w:lineRule="auto"/>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of the sufficiency of our existing capital resources combined with future anticipated cash flows to finance our operating requirements;</w:t>
      </w:r>
    </w:p>
    <w:p>
      <w:pPr>
        <w:spacing w:after="0" w:line="40"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for incurring capital expenditures to expand our research and development and manufacturing capabilities;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circumstances or other disruptions to normal business operations arising from or related to geopolitical conflicts or pandemics;</w:t>
      </w:r>
    </w:p>
    <w:p>
      <w:pPr>
        <w:spacing w:after="0" w:line="10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revenue projections, sales forecasts, and potential peak market data;</w:t>
      </w:r>
    </w:p>
    <w:p>
      <w:pPr>
        <w:spacing w:after="0" w:line="10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for generating revenue or becoming profitable on a sustained basis;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or ability to enter into marketing and other partnership agreements;</w:t>
      </w:r>
    </w:p>
    <w:p>
      <w:pPr>
        <w:spacing w:after="0" w:line="10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or ability to enter into product acquisitions and in-licensing transactions;</w:t>
      </w:r>
    </w:p>
    <w:p>
      <w:pPr>
        <w:spacing w:after="0" w:line="10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or ability to build our own commercial infrastructure to manufacture, market and sell our products;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expected losses;</w:t>
      </w:r>
    </w:p>
    <w:p>
      <w:pPr>
        <w:spacing w:after="0" w:line="10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intellectual property protection for our products;</w:t>
      </w:r>
    </w:p>
    <w:p>
      <w:pPr>
        <w:spacing w:after="0" w:line="10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acceptance of our products by doctors, patients, or payors;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stock price and its volatility;</w:t>
      </w:r>
    </w:p>
    <w:p>
      <w:pPr>
        <w:spacing w:after="0" w:line="10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key personnel;</w:t>
      </w:r>
    </w:p>
    <w:p>
      <w:pPr>
        <w:spacing w:after="0" w:line="10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of third-party manufacturers;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for future capital requirements; and</w:t>
      </w:r>
    </w:p>
    <w:p>
      <w:pPr>
        <w:spacing w:after="0" w:line="10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implement our strategy.</w:t>
      </w:r>
    </w:p>
    <w:p>
      <w:pPr>
        <w:spacing w:after="0" w:line="225" w:lineRule="exact"/>
        <w:rPr>
          <w:sz w:val="20"/>
          <w:szCs w:val="20"/>
          <w:color w:val="auto"/>
        </w:rPr>
      </w:pPr>
    </w:p>
    <w:p>
      <w:pPr>
        <w:ind w:right="20" w:firstLine="749"/>
        <w:spacing w:after="0" w:line="282" w:lineRule="auto"/>
        <w:rPr>
          <w:sz w:val="20"/>
          <w:szCs w:val="20"/>
          <w:color w:val="auto"/>
        </w:rPr>
      </w:pPr>
      <w:r>
        <w:rPr>
          <w:rFonts w:ascii="Times New Roman" w:cs="Times New Roman" w:eastAsia="Times New Roman" w:hAnsi="Times New Roman"/>
          <w:sz w:val="18"/>
          <w:szCs w:val="18"/>
          <w:color w:val="auto"/>
        </w:rPr>
        <w:t>The forward-looking statements contained in this report reflect our views and assumptions only as of the date that this report is signed. Except as required by law, we assume no responsibility for updating any forward-looking statements.</w:t>
      </w:r>
    </w:p>
    <w:p>
      <w:pPr>
        <w:spacing w:after="0" w:line="162" w:lineRule="exact"/>
        <w:rPr>
          <w:sz w:val="20"/>
          <w:szCs w:val="20"/>
          <w:color w:val="auto"/>
        </w:rPr>
      </w:pPr>
    </w:p>
    <w:p>
      <w:pPr>
        <w:ind w:right="280" w:firstLine="749"/>
        <w:spacing w:after="0" w:line="312" w:lineRule="auto"/>
        <w:rPr>
          <w:sz w:val="20"/>
          <w:szCs w:val="20"/>
          <w:color w:val="auto"/>
        </w:rPr>
      </w:pPr>
      <w:r>
        <w:rPr>
          <w:rFonts w:ascii="Times New Roman" w:cs="Times New Roman" w:eastAsia="Times New Roman" w:hAnsi="Times New Roman"/>
          <w:sz w:val="17"/>
          <w:szCs w:val="17"/>
          <w:color w:val="auto"/>
        </w:rPr>
        <w:t>We qualify all of our forward-looking statements by these cautionary statements. In addition, with respect to all of our forward-looking statements, we claim the protection of the safe harbor for forward-looking statements contained in the Private Securities Litigation Reform Act of 1995.</w:t>
      </w: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Axsome Therapeutics, Inc.</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(In thousands, except share and per share amounts)</w:t>
      </w:r>
    </w:p>
    <w:p>
      <w:pPr>
        <w:spacing w:after="0" w:line="188"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73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6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4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20" w:type="dxa"/>
            <w:vAlign w:val="bottom"/>
          </w:tcPr>
          <w:p>
            <w:pPr>
              <w:spacing w:after="0"/>
              <w:rPr>
                <w:sz w:val="15"/>
                <w:szCs w:val="15"/>
                <w:color w:val="auto"/>
              </w:rPr>
            </w:pPr>
          </w:p>
        </w:tc>
        <w:tc>
          <w:tcPr>
            <w:tcW w:w="73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center"/>
              <w:ind w:right="19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r>
      <w:tr>
        <w:trPr>
          <w:trHeight w:val="142"/>
        </w:trPr>
        <w:tc>
          <w:tcPr>
            <w:tcW w:w="20" w:type="dxa"/>
            <w:vAlign w:val="bottom"/>
          </w:tcPr>
          <w:p>
            <w:pPr>
              <w:spacing w:after="0"/>
              <w:rPr>
                <w:sz w:val="12"/>
                <w:szCs w:val="12"/>
                <w:color w:val="auto"/>
              </w:rPr>
            </w:pPr>
          </w:p>
        </w:tc>
        <w:tc>
          <w:tcPr>
            <w:tcW w:w="7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00" w:type="dxa"/>
            <w:vAlign w:val="bottom"/>
          </w:tcPr>
          <w:p>
            <w:pPr>
              <w:jc w:val="center"/>
              <w:ind w:right="192"/>
              <w:spacing w:after="0" w:line="142"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5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303,016</w:t>
            </w:r>
          </w:p>
        </w:tc>
        <w:tc>
          <w:tcPr>
            <w:tcW w:w="160" w:type="dxa"/>
            <w:vAlign w:val="bottom"/>
            <w:shd w:val="clear" w:color="auto" w:fill="CFF0FC"/>
          </w:tcPr>
          <w:p>
            <w:pPr>
              <w:spacing w:after="0"/>
              <w:rPr>
                <w:sz w:val="18"/>
                <w:szCs w:val="18"/>
                <w:color w:val="auto"/>
              </w:rPr>
            </w:pPr>
          </w:p>
        </w:tc>
        <w:tc>
          <w:tcPr>
            <w:tcW w:w="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315,353</w:t>
            </w:r>
          </w:p>
        </w:tc>
        <w:tc>
          <w:tcPr>
            <w:tcW w:w="10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Accounts receivable, net</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198,825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142,001</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Inventories, net</w:t>
            </w: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18,441</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15,732</w:t>
            </w:r>
          </w:p>
        </w:tc>
        <w:tc>
          <w:tcPr>
            <w:tcW w:w="10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Prepaid and other current assets</w:t>
            </w:r>
          </w:p>
        </w:tc>
        <w:tc>
          <w:tcPr>
            <w:tcW w:w="2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16,338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11,978</w:t>
            </w:r>
          </w:p>
        </w:tc>
        <w:tc>
          <w:tcPr>
            <w:tcW w:w="10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7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536,620</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485,064</w:t>
            </w:r>
          </w:p>
        </w:tc>
        <w:tc>
          <w:tcPr>
            <w:tcW w:w="10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Equipment, net</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Right-of-use asset - operating lease</w:t>
            </w: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22,472</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5,383</w:t>
            </w:r>
          </w:p>
        </w:tc>
        <w:tc>
          <w:tcPr>
            <w:tcW w:w="10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12,042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12,042</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Intangible asset, net</w:t>
            </w: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43,733</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46,894</w:t>
            </w:r>
          </w:p>
        </w:tc>
        <w:tc>
          <w:tcPr>
            <w:tcW w:w="10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Non-current inventory and other assets</w:t>
            </w:r>
          </w:p>
        </w:tc>
        <w:tc>
          <w:tcPr>
            <w:tcW w:w="2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24,251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18,531</w:t>
            </w:r>
          </w:p>
        </w:tc>
        <w:tc>
          <w:tcPr>
            <w:tcW w:w="100" w:type="dxa"/>
            <w:vAlign w:val="bottom"/>
          </w:tcPr>
          <w:p>
            <w:pPr>
              <w:spacing w:after="0"/>
              <w:rPr>
                <w:sz w:val="18"/>
                <w:szCs w:val="18"/>
                <w:color w:val="auto"/>
              </w:rPr>
            </w:pPr>
          </w:p>
        </w:tc>
      </w:tr>
      <w:tr>
        <w:trPr>
          <w:trHeight w:val="250"/>
        </w:trPr>
        <w:tc>
          <w:tcPr>
            <w:tcW w:w="20" w:type="dxa"/>
            <w:vAlign w:val="bottom"/>
          </w:tcPr>
          <w:p>
            <w:pPr>
              <w:spacing w:after="0"/>
              <w:rPr>
                <w:sz w:val="21"/>
                <w:szCs w:val="21"/>
                <w:color w:val="auto"/>
              </w:rPr>
            </w:pPr>
          </w:p>
        </w:tc>
        <w:tc>
          <w:tcPr>
            <w:tcW w:w="7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5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639,785</w:t>
            </w:r>
          </w:p>
        </w:tc>
        <w:tc>
          <w:tcPr>
            <w:tcW w:w="160" w:type="dxa"/>
            <w:vAlign w:val="bottom"/>
            <w:shd w:val="clear" w:color="auto" w:fill="CFF0FC"/>
          </w:tcPr>
          <w:p>
            <w:pPr>
              <w:spacing w:after="0"/>
              <w:rPr>
                <w:sz w:val="21"/>
                <w:szCs w:val="21"/>
                <w:color w:val="auto"/>
              </w:rPr>
            </w:pPr>
          </w:p>
        </w:tc>
        <w:tc>
          <w:tcPr>
            <w:tcW w:w="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568,498</w:t>
            </w:r>
          </w:p>
        </w:tc>
        <w:tc>
          <w:tcPr>
            <w:tcW w:w="100" w:type="dxa"/>
            <w:vAlign w:val="bottom"/>
            <w:shd w:val="clear" w:color="auto" w:fill="CFF0FC"/>
          </w:tcPr>
          <w:p>
            <w:pPr>
              <w:spacing w:after="0"/>
              <w:rPr>
                <w:sz w:val="21"/>
                <w:szCs w:val="21"/>
                <w:color w:val="auto"/>
              </w:rPr>
            </w:pPr>
          </w:p>
        </w:tc>
      </w:tr>
      <w:tr>
        <w:trPr>
          <w:trHeight w:val="197"/>
        </w:trPr>
        <w:tc>
          <w:tcPr>
            <w:tcW w:w="20" w:type="dxa"/>
            <w:vAlign w:val="bottom"/>
          </w:tcPr>
          <w:p>
            <w:pPr>
              <w:spacing w:after="0"/>
              <w:rPr>
                <w:sz w:val="17"/>
                <w:szCs w:val="17"/>
                <w:color w:val="auto"/>
              </w:rPr>
            </w:pPr>
          </w:p>
        </w:tc>
        <w:tc>
          <w:tcPr>
            <w:tcW w:w="738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60" w:type="dxa"/>
            <w:vAlign w:val="bottom"/>
            <w:tcBorders>
              <w:top w:val="single" w:sz="8" w:color="CFF0FC"/>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60" w:type="dxa"/>
            <w:vAlign w:val="bottom"/>
            <w:tcBorders>
              <w:top w:val="single" w:sz="8" w:color="CFF0FC"/>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Accounts payable</w:t>
            </w: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91,628</w:t>
            </w:r>
          </w:p>
        </w:tc>
        <w:tc>
          <w:tcPr>
            <w:tcW w:w="160" w:type="dxa"/>
            <w:vAlign w:val="bottom"/>
          </w:tcPr>
          <w:p>
            <w:pPr>
              <w:spacing w:after="0"/>
              <w:rPr>
                <w:sz w:val="18"/>
                <w:szCs w:val="18"/>
                <w:color w:val="auto"/>
              </w:rPr>
            </w:pP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71,997</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170,902</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147,987</w:t>
            </w:r>
          </w:p>
        </w:tc>
        <w:tc>
          <w:tcPr>
            <w:tcW w:w="10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Operating lease liability, current portion</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1,835</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Contingent consideration, current</w:t>
            </w: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9,232</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8,285</w:t>
            </w:r>
          </w:p>
        </w:tc>
        <w:tc>
          <w:tcPr>
            <w:tcW w:w="10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Short-term borrowings</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20" w:type="dxa"/>
            <w:vAlign w:val="bottom"/>
          </w:tcPr>
          <w:p>
            <w:pPr>
              <w:spacing w:after="0"/>
              <w:rPr>
                <w:sz w:val="18"/>
                <w:szCs w:val="18"/>
                <w:color w:val="auto"/>
              </w:rPr>
            </w:pPr>
          </w:p>
        </w:tc>
        <w:tc>
          <w:tcPr>
            <w:tcW w:w="7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60" w:type="dxa"/>
            <w:vAlign w:val="bottom"/>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13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342,099</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13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230,104</w:t>
            </w:r>
          </w:p>
        </w:tc>
        <w:tc>
          <w:tcPr>
            <w:tcW w:w="10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Contingent consideration, non-current</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79,655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91,680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Loan payable, long-term</w:t>
            </w: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117,540</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180,710</w:t>
            </w:r>
          </w:p>
        </w:tc>
        <w:tc>
          <w:tcPr>
            <w:tcW w:w="10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liability, long-term</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23,624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6,046</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Finance lease liability, long-term</w:t>
            </w:r>
          </w:p>
        </w:tc>
        <w:tc>
          <w:tcPr>
            <w:tcW w:w="26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3,792</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2,943</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566,710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511,483</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198"/>
        </w:trPr>
        <w:tc>
          <w:tcPr>
            <w:tcW w:w="20" w:type="dxa"/>
            <w:vAlign w:val="bottom"/>
          </w:tcPr>
          <w:p>
            <w:pPr>
              <w:spacing w:after="0"/>
              <w:rPr>
                <w:sz w:val="17"/>
                <w:szCs w:val="17"/>
                <w:color w:val="auto"/>
              </w:rPr>
            </w:pPr>
          </w:p>
        </w:tc>
        <w:tc>
          <w:tcPr>
            <w:tcW w:w="7380" w:type="dxa"/>
            <w:vAlign w:val="bottom"/>
          </w:tcPr>
          <w:p>
            <w:pPr>
              <w:ind w:left="120"/>
              <w:spacing w:after="0" w:line="198" w:lineRule="exact"/>
              <w:rPr>
                <w:sz w:val="20"/>
                <w:szCs w:val="20"/>
                <w:color w:val="auto"/>
              </w:rPr>
            </w:pPr>
            <w:r>
              <w:rPr>
                <w:rFonts w:ascii="Times New Roman" w:cs="Times New Roman" w:eastAsia="Times New Roman" w:hAnsi="Times New Roman"/>
                <w:sz w:val="18"/>
                <w:szCs w:val="18"/>
                <w:color w:val="auto"/>
              </w:rPr>
              <w:t>Preferred stock, $0.0001 par value per share (10,000,000 shares authorized, none issued and</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20" w:type="dxa"/>
            <w:vAlign w:val="bottom"/>
          </w:tcPr>
          <w:p>
            <w:pPr>
              <w:spacing w:after="0"/>
              <w:rPr>
                <w:sz w:val="20"/>
                <w:szCs w:val="20"/>
                <w:color w:val="auto"/>
              </w:rPr>
            </w:pPr>
          </w:p>
        </w:tc>
        <w:tc>
          <w:tcPr>
            <w:tcW w:w="7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outstanding)</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20" w:type="dxa"/>
            <w:vAlign w:val="bottom"/>
          </w:tcPr>
          <w:p>
            <w:pPr>
              <w:spacing w:after="0"/>
              <w:rPr>
                <w:sz w:val="17"/>
                <w:szCs w:val="17"/>
                <w:color w:val="auto"/>
              </w:rPr>
            </w:pPr>
          </w:p>
        </w:tc>
        <w:tc>
          <w:tcPr>
            <w:tcW w:w="7380" w:type="dxa"/>
            <w:vAlign w:val="bottom"/>
            <w:shd w:val="clear" w:color="auto" w:fill="CFF0FC"/>
          </w:tcPr>
          <w:p>
            <w:pPr>
              <w:ind w:left="120"/>
              <w:spacing w:after="0" w:line="198" w:lineRule="exact"/>
              <w:rPr>
                <w:sz w:val="20"/>
                <w:szCs w:val="20"/>
                <w:color w:val="auto"/>
              </w:rPr>
            </w:pPr>
            <w:r>
              <w:rPr>
                <w:rFonts w:ascii="Times New Roman" w:cs="Times New Roman" w:eastAsia="Times New Roman" w:hAnsi="Times New Roman"/>
                <w:sz w:val="18"/>
                <w:szCs w:val="18"/>
                <w:color w:val="auto"/>
              </w:rPr>
              <w:t>Common stock, $0.0001 par value per share (150,000,000 shares authorized, 49,815,301 and</w:t>
            </w:r>
          </w:p>
        </w:tc>
        <w:tc>
          <w:tcPr>
            <w:tcW w:w="2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34"/>
        </w:trPr>
        <w:tc>
          <w:tcPr>
            <w:tcW w:w="20" w:type="dxa"/>
            <w:vAlign w:val="bottom"/>
          </w:tcPr>
          <w:p>
            <w:pPr>
              <w:spacing w:after="0"/>
              <w:rPr>
                <w:sz w:val="20"/>
                <w:szCs w:val="20"/>
                <w:color w:val="auto"/>
              </w:rPr>
            </w:pPr>
          </w:p>
        </w:tc>
        <w:tc>
          <w:tcPr>
            <w:tcW w:w="73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48,667,587 shares issued and outstanding at June 30, 2025 and December 31, 2024, respectively)</w:t>
            </w:r>
          </w:p>
        </w:tc>
        <w:tc>
          <w:tcPr>
            <w:tcW w:w="2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FF0FC"/>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1,303,243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1,179,797</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Accumulated deficit</w:t>
            </w: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(1,230,173)</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(1,122,787)</w:t>
            </w:r>
          </w:p>
        </w:tc>
      </w:tr>
      <w:tr>
        <w:trPr>
          <w:trHeight w:val="210"/>
        </w:trPr>
        <w:tc>
          <w:tcPr>
            <w:tcW w:w="20" w:type="dxa"/>
            <w:vAlign w:val="bottom"/>
          </w:tcPr>
          <w:p>
            <w:pPr>
              <w:spacing w:after="0"/>
              <w:rPr>
                <w:sz w:val="18"/>
                <w:szCs w:val="18"/>
                <w:color w:val="auto"/>
              </w:rPr>
            </w:pPr>
          </w:p>
        </w:tc>
        <w:tc>
          <w:tcPr>
            <w:tcW w:w="738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60" w:type="dxa"/>
            <w:vAlign w:val="bottom"/>
            <w:tcBorders>
              <w:top w:val="single" w:sz="8" w:color="CFF0FC"/>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73,075</w:t>
            </w:r>
          </w:p>
        </w:tc>
        <w:tc>
          <w:tcPr>
            <w:tcW w:w="160" w:type="dxa"/>
            <w:vAlign w:val="bottom"/>
            <w:tcBorders>
              <w:top w:val="single" w:sz="8" w:color="CFF0FC"/>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57,015</w:t>
            </w:r>
          </w:p>
        </w:tc>
        <w:tc>
          <w:tcPr>
            <w:tcW w:w="100" w:type="dxa"/>
            <w:vAlign w:val="bottom"/>
            <w:tcBorders>
              <w:top w:val="single" w:sz="8" w:color="CFF0FC"/>
            </w:tcBorders>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7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5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639,785</w:t>
            </w:r>
          </w:p>
        </w:tc>
        <w:tc>
          <w:tcPr>
            <w:tcW w:w="16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568,498</w:t>
            </w:r>
          </w:p>
        </w:tc>
        <w:tc>
          <w:tcPr>
            <w:tcW w:w="100" w:type="dxa"/>
            <w:vAlign w:val="bottom"/>
            <w:shd w:val="clear" w:color="auto" w:fill="CFF0FC"/>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738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5876925</wp:posOffset>
            </wp:positionH>
            <wp:positionV relativeFrom="paragraph">
              <wp:posOffset>-3102610</wp:posOffset>
            </wp:positionV>
            <wp:extent cx="6858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-3085465</wp:posOffset>
            </wp:positionV>
            <wp:extent cx="6858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-3102610</wp:posOffset>
            </wp:positionV>
            <wp:extent cx="6858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-3085465</wp:posOffset>
            </wp:positionV>
            <wp:extent cx="6858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-1422400</wp:posOffset>
            </wp:positionV>
            <wp:extent cx="685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-1422400</wp:posOffset>
            </wp:positionV>
            <wp:extent cx="685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-316865</wp:posOffset>
            </wp:positionV>
            <wp:extent cx="6858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-316865</wp:posOffset>
            </wp:positionV>
            <wp:extent cx="6858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-24765</wp:posOffset>
            </wp:positionV>
            <wp:extent cx="685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-7620</wp:posOffset>
            </wp:positionV>
            <wp:extent cx="685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-24765</wp:posOffset>
            </wp:positionV>
            <wp:extent cx="685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-7620</wp:posOffset>
            </wp:positionV>
            <wp:extent cx="685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 consolidated financial statements.</w:t>
      </w:r>
    </w:p>
    <w:p>
      <w:pPr>
        <w:spacing w:after="0" w:line="200" w:lineRule="exact"/>
        <w:rPr>
          <w:sz w:val="20"/>
          <w:szCs w:val="20"/>
          <w:color w:val="auto"/>
        </w:rPr>
      </w:pPr>
    </w:p>
    <w:p>
      <w:pPr>
        <w:spacing w:after="0" w:line="24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4" w:right="39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Axsome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and per share amounts)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2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60" w:type="dxa"/>
            <w:vAlign w:val="bottom"/>
            <w:gridSpan w:val="6"/>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60" w:type="dxa"/>
            <w:vAlign w:val="bottom"/>
            <w:gridSpan w:val="5"/>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42"/>
        </w:trPr>
        <w:tc>
          <w:tcPr>
            <w:tcW w:w="52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33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35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33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Borders>
              <w:top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35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r>
      <w:tr>
        <w:trPr>
          <w:trHeight w:val="209"/>
        </w:trPr>
        <w:tc>
          <w:tcPr>
            <w:tcW w:w="5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Revenues:</w:t>
            </w:r>
          </w:p>
        </w:tc>
        <w:tc>
          <w:tcPr>
            <w:tcW w:w="5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5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Product sales, net</w:t>
            </w:r>
          </w:p>
        </w:tc>
        <w:tc>
          <w:tcPr>
            <w:tcW w:w="7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148,959</w:t>
            </w:r>
          </w:p>
        </w:tc>
        <w:tc>
          <w:tcPr>
            <w:tcW w:w="160" w:type="dxa"/>
            <w:vAlign w:val="bottom"/>
          </w:tcPr>
          <w:p>
            <w:pPr>
              <w:spacing w:after="0"/>
              <w:rPr>
                <w:sz w:val="18"/>
                <w:szCs w:val="18"/>
                <w:color w:val="auto"/>
              </w:rPr>
            </w:pP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86,520</w:t>
            </w:r>
          </w:p>
        </w:tc>
        <w:tc>
          <w:tcPr>
            <w:tcW w:w="140" w:type="dxa"/>
            <w:vAlign w:val="bottom"/>
          </w:tcPr>
          <w:p>
            <w:pPr>
              <w:spacing w:after="0"/>
              <w:rPr>
                <w:sz w:val="18"/>
                <w:szCs w:val="18"/>
                <w:color w:val="auto"/>
              </w:rPr>
            </w:pP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269,317</w:t>
            </w:r>
          </w:p>
        </w:tc>
        <w:tc>
          <w:tcPr>
            <w:tcW w:w="260" w:type="dxa"/>
            <w:vAlign w:val="bottom"/>
          </w:tcPr>
          <w:p>
            <w:pPr>
              <w:spacing w:after="0"/>
              <w:rPr>
                <w:sz w:val="18"/>
                <w:szCs w:val="18"/>
                <w:color w:val="auto"/>
              </w:rPr>
            </w:pP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160,616</w:t>
            </w:r>
          </w:p>
        </w:tc>
        <w:tc>
          <w:tcPr>
            <w:tcW w:w="120" w:type="dxa"/>
            <w:vAlign w:val="bottom"/>
          </w:tcPr>
          <w:p>
            <w:pPr>
              <w:spacing w:after="0"/>
              <w:rPr>
                <w:sz w:val="18"/>
                <w:szCs w:val="18"/>
                <w:color w:val="auto"/>
              </w:rPr>
            </w:pPr>
          </w:p>
        </w:tc>
      </w:tr>
      <w:tr>
        <w:trPr>
          <w:trHeight w:val="216"/>
        </w:trPr>
        <w:tc>
          <w:tcPr>
            <w:tcW w:w="526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Royalty revenue</w:t>
            </w:r>
          </w:p>
        </w:tc>
        <w:tc>
          <w:tcPr>
            <w:tcW w:w="56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1,083</w:t>
            </w:r>
          </w:p>
        </w:tc>
        <w:tc>
          <w:tcPr>
            <w:tcW w:w="16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646</w:t>
            </w:r>
          </w:p>
        </w:tc>
        <w:tc>
          <w:tcPr>
            <w:tcW w:w="1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2,188</w:t>
            </w:r>
          </w:p>
        </w:tc>
        <w:tc>
          <w:tcPr>
            <w:tcW w:w="26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1,549</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9"/>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5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150,042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87,166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271,505</w:t>
            </w:r>
          </w:p>
        </w:tc>
        <w:tc>
          <w:tcPr>
            <w:tcW w:w="2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162,165</w:t>
            </w:r>
          </w:p>
        </w:tc>
        <w:tc>
          <w:tcPr>
            <w:tcW w:w="120" w:type="dxa"/>
            <w:vAlign w:val="bottom"/>
          </w:tcPr>
          <w:p>
            <w:pPr>
              <w:spacing w:after="0"/>
              <w:rPr>
                <w:sz w:val="18"/>
                <w:szCs w:val="18"/>
                <w:color w:val="auto"/>
              </w:rPr>
            </w:pPr>
          </w:p>
        </w:tc>
      </w:tr>
      <w:tr>
        <w:trPr>
          <w:trHeight w:val="209"/>
        </w:trPr>
        <w:tc>
          <w:tcPr>
            <w:tcW w:w="5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5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5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Cost of revenue (excluding amortization and depreciation)</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13,448</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8,055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23,237</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14,352</w:t>
            </w:r>
          </w:p>
        </w:tc>
        <w:tc>
          <w:tcPr>
            <w:tcW w:w="120" w:type="dxa"/>
            <w:vAlign w:val="bottom"/>
          </w:tcPr>
          <w:p>
            <w:pPr>
              <w:spacing w:after="0"/>
              <w:rPr>
                <w:sz w:val="18"/>
                <w:szCs w:val="18"/>
                <w:color w:val="auto"/>
              </w:rPr>
            </w:pPr>
          </w:p>
        </w:tc>
      </w:tr>
      <w:tr>
        <w:trPr>
          <w:trHeight w:val="216"/>
        </w:trPr>
        <w:tc>
          <w:tcPr>
            <w:tcW w:w="52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5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49,541</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49,853</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94,326</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86,683</w:t>
            </w:r>
          </w:p>
        </w:tc>
        <w:tc>
          <w:tcPr>
            <w:tcW w:w="120" w:type="dxa"/>
            <w:vAlign w:val="bottom"/>
            <w:shd w:val="clear" w:color="auto" w:fill="CFF0FC"/>
          </w:tcPr>
          <w:p>
            <w:pPr>
              <w:spacing w:after="0"/>
              <w:rPr>
                <w:sz w:val="18"/>
                <w:szCs w:val="18"/>
                <w:color w:val="auto"/>
              </w:rPr>
            </w:pPr>
          </w:p>
        </w:tc>
      </w:tr>
      <w:tr>
        <w:trPr>
          <w:trHeight w:val="216"/>
        </w:trPr>
        <w:tc>
          <w:tcPr>
            <w:tcW w:w="5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130,280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103,554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251,067</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202,524</w:t>
            </w:r>
          </w:p>
        </w:tc>
        <w:tc>
          <w:tcPr>
            <w:tcW w:w="120" w:type="dxa"/>
            <w:vAlign w:val="bottom"/>
          </w:tcPr>
          <w:p>
            <w:pPr>
              <w:spacing w:after="0"/>
              <w:rPr>
                <w:sz w:val="18"/>
                <w:szCs w:val="18"/>
                <w:color w:val="auto"/>
              </w:rPr>
            </w:pPr>
          </w:p>
        </w:tc>
      </w:tr>
      <w:tr>
        <w:trPr>
          <w:trHeight w:val="216"/>
        </w:trPr>
        <w:tc>
          <w:tcPr>
            <w:tcW w:w="52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Loss (Gain) in fair value of contingent consideration</w:t>
            </w:r>
          </w:p>
        </w:tc>
        <w:tc>
          <w:tcPr>
            <w:tcW w:w="5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(8,102)</w:t>
            </w: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2,160</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(6,590)</w:t>
            </w: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748</w:t>
            </w:r>
          </w:p>
        </w:tc>
        <w:tc>
          <w:tcPr>
            <w:tcW w:w="120" w:type="dxa"/>
            <w:vAlign w:val="bottom"/>
            <w:shd w:val="clear" w:color="auto" w:fill="CFF0FC"/>
          </w:tcPr>
          <w:p>
            <w:pPr>
              <w:spacing w:after="0"/>
              <w:rPr>
                <w:sz w:val="18"/>
                <w:szCs w:val="18"/>
                <w:color w:val="auto"/>
              </w:rPr>
            </w:pPr>
          </w:p>
        </w:tc>
      </w:tr>
      <w:tr>
        <w:trPr>
          <w:trHeight w:val="216"/>
        </w:trPr>
        <w:tc>
          <w:tcPr>
            <w:tcW w:w="5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Intangible asset amortization</w:t>
            </w:r>
          </w:p>
        </w:tc>
        <w:tc>
          <w:tcPr>
            <w:tcW w:w="5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1,589</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3,161</w:t>
            </w:r>
          </w:p>
        </w:tc>
        <w:tc>
          <w:tcPr>
            <w:tcW w:w="2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3,179</w:t>
            </w:r>
          </w:p>
        </w:tc>
        <w:tc>
          <w:tcPr>
            <w:tcW w:w="120" w:type="dxa"/>
            <w:vAlign w:val="bottom"/>
          </w:tcPr>
          <w:p>
            <w:pPr>
              <w:spacing w:after="0"/>
              <w:rPr>
                <w:sz w:val="18"/>
                <w:szCs w:val="18"/>
                <w:color w:val="auto"/>
              </w:rPr>
            </w:pPr>
          </w:p>
        </w:tc>
      </w:tr>
      <w:tr>
        <w:trPr>
          <w:trHeight w:val="210"/>
        </w:trPr>
        <w:tc>
          <w:tcPr>
            <w:tcW w:w="52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56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186,756</w:t>
            </w:r>
          </w:p>
        </w:tc>
        <w:tc>
          <w:tcPr>
            <w:tcW w:w="16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165,212</w:t>
            </w:r>
          </w:p>
        </w:tc>
        <w:tc>
          <w:tcPr>
            <w:tcW w:w="1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365,201</w:t>
            </w:r>
          </w:p>
        </w:tc>
        <w:tc>
          <w:tcPr>
            <w:tcW w:w="26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307,486</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9"/>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(36,714)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(78,046)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(93,696)</w:t>
            </w:r>
          </w:p>
        </w:tc>
        <w:tc>
          <w:tcPr>
            <w:tcW w:w="20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(145,321)</w:t>
            </w:r>
          </w:p>
        </w:tc>
      </w:tr>
      <w:tr>
        <w:trPr>
          <w:trHeight w:val="216"/>
        </w:trPr>
        <w:tc>
          <w:tcPr>
            <w:tcW w:w="52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Interest expense, net</w:t>
            </w:r>
          </w:p>
        </w:tc>
        <w:tc>
          <w:tcPr>
            <w:tcW w:w="5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(1,834)</w:t>
            </w: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(1,299)</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(4,265)</w:t>
            </w:r>
          </w:p>
        </w:tc>
        <w:tc>
          <w:tcPr>
            <w:tcW w:w="20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(2,381)</w:t>
            </w:r>
          </w:p>
        </w:tc>
      </w:tr>
      <w:tr>
        <w:trPr>
          <w:trHeight w:val="216"/>
        </w:trPr>
        <w:tc>
          <w:tcPr>
            <w:tcW w:w="5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Loss on debt extinguishment</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(10,385)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(10,385)</w:t>
            </w:r>
          </w:p>
        </w:tc>
        <w:tc>
          <w:tcPr>
            <w:tcW w:w="20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5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5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(48,933)</w:t>
            </w: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(79,345)</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(108,346)</w:t>
            </w:r>
          </w:p>
        </w:tc>
        <w:tc>
          <w:tcPr>
            <w:tcW w:w="20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(147,702)</w:t>
            </w:r>
          </w:p>
        </w:tc>
      </w:tr>
      <w:tr>
        <w:trPr>
          <w:trHeight w:val="216"/>
        </w:trPr>
        <w:tc>
          <w:tcPr>
            <w:tcW w:w="5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Income tax benefit</w:t>
            </w:r>
          </w:p>
        </w:tc>
        <w:tc>
          <w:tcPr>
            <w:tcW w:w="5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960</w:t>
            </w:r>
          </w:p>
        </w:tc>
        <w:tc>
          <w:tcPr>
            <w:tcW w:w="2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r>
      <w:tr>
        <w:trPr>
          <w:trHeight w:val="229"/>
        </w:trPr>
        <w:tc>
          <w:tcPr>
            <w:tcW w:w="5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56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(47,973)</w:t>
            </w:r>
          </w:p>
        </w:tc>
        <w:tc>
          <w:tcPr>
            <w:tcW w:w="2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(79,345)</w:t>
            </w:r>
          </w:p>
        </w:tc>
        <w:tc>
          <w:tcPr>
            <w:tcW w:w="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(107,386)</w:t>
            </w: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(147,702)</w:t>
            </w:r>
          </w:p>
        </w:tc>
      </w:tr>
      <w:tr>
        <w:trPr>
          <w:trHeight w:val="20"/>
        </w:trPr>
        <w:tc>
          <w:tcPr>
            <w:tcW w:w="5260" w:type="dxa"/>
            <w:vAlign w:val="bottom"/>
            <w:tcBorders>
              <w:top w:val="single" w:sz="8" w:color="CFF0FC"/>
            </w:tcBorders>
            <w:shd w:val="clear" w:color="auto" w:fill="CFF0FC"/>
          </w:tcPr>
          <w:p>
            <w:pPr>
              <w:spacing w:after="0" w:line="20" w:lineRule="exact"/>
              <w:rPr>
                <w:sz w:val="1"/>
                <w:szCs w:val="1"/>
                <w:color w:val="auto"/>
              </w:rPr>
            </w:pPr>
          </w:p>
        </w:tc>
        <w:tc>
          <w:tcPr>
            <w:tcW w:w="56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r>
      <w:tr>
        <w:trPr>
          <w:trHeight w:val="197"/>
        </w:trPr>
        <w:tc>
          <w:tcPr>
            <w:tcW w:w="52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Net loss per common share, basic and diluted</w:t>
            </w:r>
          </w:p>
        </w:tc>
        <w:tc>
          <w:tcPr>
            <w:tcW w:w="560" w:type="dxa"/>
            <w:vAlign w:val="bottom"/>
          </w:tcPr>
          <w:p>
            <w:pPr>
              <w:spacing w:after="0"/>
              <w:rPr>
                <w:sz w:val="17"/>
                <w:szCs w:val="17"/>
                <w:color w:val="auto"/>
              </w:rPr>
            </w:pPr>
          </w:p>
        </w:tc>
        <w:tc>
          <w:tcPr>
            <w:tcW w:w="200" w:type="dxa"/>
            <w:vAlign w:val="bottom"/>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(0.97)</w:t>
            </w:r>
          </w:p>
        </w:tc>
        <w:tc>
          <w:tcPr>
            <w:tcW w:w="280" w:type="dxa"/>
            <w:vAlign w:val="bottom"/>
            <w:gridSpan w:val="2"/>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80"/>
              <w:spacing w:after="0" w:line="196" w:lineRule="exact"/>
              <w:rPr>
                <w:sz w:val="20"/>
                <w:szCs w:val="20"/>
                <w:color w:val="auto"/>
              </w:rPr>
            </w:pPr>
            <w:r>
              <w:rPr>
                <w:rFonts w:ascii="Times New Roman" w:cs="Times New Roman" w:eastAsia="Times New Roman" w:hAnsi="Times New Roman"/>
                <w:sz w:val="18"/>
                <w:szCs w:val="18"/>
                <w:color w:val="auto"/>
              </w:rPr>
              <w:t>(1.67)</w:t>
            </w:r>
          </w:p>
        </w:tc>
        <w:tc>
          <w:tcPr>
            <w:tcW w:w="300" w:type="dxa"/>
            <w:vAlign w:val="bottom"/>
            <w:gridSpan w:val="2"/>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00"/>
              <w:spacing w:after="0" w:line="196" w:lineRule="exact"/>
              <w:rPr>
                <w:sz w:val="20"/>
                <w:szCs w:val="20"/>
                <w:color w:val="auto"/>
              </w:rPr>
            </w:pPr>
            <w:r>
              <w:rPr>
                <w:rFonts w:ascii="Times New Roman" w:cs="Times New Roman" w:eastAsia="Times New Roman" w:hAnsi="Times New Roman"/>
                <w:sz w:val="18"/>
                <w:szCs w:val="18"/>
                <w:color w:val="auto"/>
              </w:rPr>
              <w:t>(2.18)</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tcPr>
          <w:p>
            <w:pPr>
              <w:jc w:val="right"/>
              <w:ind w:right="60"/>
              <w:spacing w:after="0" w:line="196" w:lineRule="exact"/>
              <w:rPr>
                <w:sz w:val="20"/>
                <w:szCs w:val="20"/>
                <w:color w:val="auto"/>
              </w:rPr>
            </w:pPr>
            <w:r>
              <w:rPr>
                <w:rFonts w:ascii="Times New Roman" w:cs="Times New Roman" w:eastAsia="Times New Roman" w:hAnsi="Times New Roman"/>
                <w:sz w:val="18"/>
                <w:szCs w:val="18"/>
                <w:color w:val="auto"/>
              </w:rPr>
              <w:t>(3.11)</w:t>
            </w:r>
          </w:p>
        </w:tc>
      </w:tr>
      <w:tr>
        <w:trPr>
          <w:trHeight w:val="20"/>
        </w:trPr>
        <w:tc>
          <w:tcPr>
            <w:tcW w:w="5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7"/>
        </w:trPr>
        <w:tc>
          <w:tcPr>
            <w:tcW w:w="5260" w:type="dxa"/>
            <w:vAlign w:val="bottom"/>
            <w:tcBorders>
              <w:bottom w:val="single" w:sz="8" w:color="CFF0FC"/>
            </w:tcBorders>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Weighted average common shares outstanding, basic and diluted</w:t>
            </w:r>
          </w:p>
        </w:tc>
        <w:tc>
          <w:tcPr>
            <w:tcW w:w="56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94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49,442,001</w:t>
            </w:r>
          </w:p>
        </w:tc>
        <w:tc>
          <w:tcPr>
            <w:tcW w:w="16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94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47,573,229</w:t>
            </w:r>
          </w:p>
        </w:tc>
        <w:tc>
          <w:tcPr>
            <w:tcW w:w="14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94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49,158,159</w:t>
            </w:r>
          </w:p>
        </w:tc>
        <w:tc>
          <w:tcPr>
            <w:tcW w:w="26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94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47,482,602</w:t>
            </w:r>
          </w:p>
        </w:tc>
        <w:tc>
          <w:tcPr>
            <w:tcW w:w="12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-2322195</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-2322195</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-2322195</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-2322195</wp:posOffset>
            </wp:positionV>
            <wp:extent cx="7747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-1199515</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-1199515</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-1199515</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-1199515</wp:posOffset>
            </wp:positionV>
            <wp:extent cx="7747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-351155</wp:posOffset>
            </wp:positionV>
            <wp:extent cx="6858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-333375</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-351155</wp:posOffset>
            </wp:positionV>
            <wp:extent cx="6858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-333375</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-351155</wp:posOffset>
            </wp:positionV>
            <wp:extent cx="6858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-333375</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-351155</wp:posOffset>
            </wp:positionV>
            <wp:extent cx="7747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-333375</wp:posOffset>
            </wp:positionV>
            <wp:extent cx="7747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-24765</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-7620</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-24765</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-7620</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-24765</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-7620</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 consolidated financial statements.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Axsome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amounts)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20" w:type="dxa"/>
            <w:vAlign w:val="bottom"/>
          </w:tcPr>
          <w:p>
            <w:pPr>
              <w:spacing w:after="0"/>
              <w:rPr>
                <w:sz w:val="13"/>
                <w:szCs w:val="13"/>
                <w:color w:val="auto"/>
              </w:rPr>
            </w:pPr>
          </w:p>
        </w:tc>
        <w:tc>
          <w:tcPr>
            <w:tcW w:w="2120" w:type="dxa"/>
            <w:vAlign w:val="bottom"/>
            <w:gridSpan w:val="3"/>
            <w:vMerge w:val="restart"/>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22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80" w:type="dxa"/>
            <w:vAlign w:val="bottom"/>
          </w:tcPr>
          <w:p>
            <w:pPr>
              <w:spacing w:after="0"/>
              <w:rPr>
                <w:sz w:val="13"/>
                <w:szCs w:val="13"/>
                <w:color w:val="auto"/>
              </w:rPr>
            </w:pPr>
          </w:p>
        </w:tc>
        <w:tc>
          <w:tcPr>
            <w:tcW w:w="9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60"/>
        </w:trPr>
        <w:tc>
          <w:tcPr>
            <w:tcW w:w="5120" w:type="dxa"/>
            <w:vAlign w:val="bottom"/>
          </w:tcPr>
          <w:p>
            <w:pPr>
              <w:spacing w:after="0"/>
              <w:rPr>
                <w:sz w:val="13"/>
                <w:szCs w:val="13"/>
                <w:color w:val="auto"/>
              </w:rPr>
            </w:pPr>
          </w:p>
        </w:tc>
        <w:tc>
          <w:tcPr>
            <w:tcW w:w="2120" w:type="dxa"/>
            <w:vAlign w:val="bottom"/>
            <w:tcBorders>
              <w:bottom w:val="single" w:sz="8" w:color="auto"/>
            </w:tcBorders>
            <w:gridSpan w:val="3"/>
            <w:vMerge w:val="continue"/>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220" w:type="dxa"/>
            <w:vAlign w:val="bottom"/>
            <w:gridSpan w:val="2"/>
          </w:tcPr>
          <w:p>
            <w:pPr>
              <w:jc w:val="center"/>
              <w:ind w:right="220"/>
              <w:spacing w:after="0" w:line="160" w:lineRule="exact"/>
              <w:rPr>
                <w:sz w:val="20"/>
                <w:szCs w:val="20"/>
                <w:color w:val="auto"/>
              </w:rPr>
            </w:pPr>
            <w:r>
              <w:rPr>
                <w:rFonts w:ascii="Times New Roman" w:cs="Times New Roman" w:eastAsia="Times New Roman" w:hAnsi="Times New Roman"/>
                <w:sz w:val="14"/>
                <w:szCs w:val="14"/>
                <w:b w:val="1"/>
                <w:bCs w:val="1"/>
                <w:color w:val="auto"/>
              </w:rPr>
              <w:t>paid-in</w:t>
            </w:r>
          </w:p>
        </w:tc>
        <w:tc>
          <w:tcPr>
            <w:tcW w:w="1220" w:type="dxa"/>
            <w:vAlign w:val="bottom"/>
            <w:gridSpan w:val="2"/>
            <w:vMerge w:val="continue"/>
          </w:tcPr>
          <w:p>
            <w:pPr>
              <w:spacing w:after="0"/>
              <w:rPr>
                <w:sz w:val="13"/>
                <w:szCs w:val="13"/>
                <w:color w:val="auto"/>
              </w:rPr>
            </w:pPr>
          </w:p>
        </w:tc>
        <w:tc>
          <w:tcPr>
            <w:tcW w:w="1100" w:type="dxa"/>
            <w:vAlign w:val="bottom"/>
            <w:gridSpan w:val="3"/>
          </w:tcPr>
          <w:p>
            <w:pPr>
              <w:jc w:val="center"/>
              <w:ind w:right="120"/>
              <w:spacing w:after="0" w:line="160"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42"/>
        </w:trPr>
        <w:tc>
          <w:tcPr>
            <w:tcW w:w="5120" w:type="dxa"/>
            <w:vAlign w:val="bottom"/>
          </w:tcPr>
          <w:p>
            <w:pPr>
              <w:spacing w:after="0"/>
              <w:rPr>
                <w:sz w:val="12"/>
                <w:szCs w:val="12"/>
                <w:color w:val="auto"/>
              </w:rPr>
            </w:pPr>
          </w:p>
        </w:tc>
        <w:tc>
          <w:tcPr>
            <w:tcW w:w="1080" w:type="dxa"/>
            <w:vAlign w:val="bottom"/>
            <w:tcBorders>
              <w:bottom w:val="single" w:sz="8" w:color="auto"/>
            </w:tcBorders>
          </w:tcPr>
          <w:p>
            <w:pPr>
              <w:jc w:val="right"/>
              <w:ind w:right="251"/>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240" w:type="dxa"/>
            <w:vAlign w:val="bottom"/>
          </w:tcPr>
          <w:p>
            <w:pPr>
              <w:spacing w:after="0"/>
              <w:rPr>
                <w:sz w:val="12"/>
                <w:szCs w:val="12"/>
                <w:color w:val="auto"/>
              </w:rPr>
            </w:pPr>
          </w:p>
        </w:tc>
        <w:tc>
          <w:tcPr>
            <w:tcW w:w="8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220" w:type="dxa"/>
            <w:vAlign w:val="bottom"/>
          </w:tcPr>
          <w:p>
            <w:pPr>
              <w:spacing w:after="0"/>
              <w:rPr>
                <w:sz w:val="12"/>
                <w:szCs w:val="12"/>
                <w:color w:val="auto"/>
              </w:rPr>
            </w:pPr>
          </w:p>
        </w:tc>
        <w:tc>
          <w:tcPr>
            <w:tcW w:w="1000" w:type="dxa"/>
            <w:vAlign w:val="bottom"/>
            <w:tcBorders>
              <w:bottom w:val="single" w:sz="8" w:color="auto"/>
            </w:tcBorders>
          </w:tcPr>
          <w:p>
            <w:pPr>
              <w:jc w:val="right"/>
              <w:ind w:right="231"/>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2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center"/>
              <w:ind w:right="111"/>
              <w:spacing w:after="0" w:line="142" w:lineRule="exact"/>
              <w:rPr>
                <w:sz w:val="20"/>
                <w:szCs w:val="20"/>
                <w:color w:val="auto"/>
              </w:rPr>
            </w:pPr>
            <w:r>
              <w:rPr>
                <w:rFonts w:ascii="Times New Roman" w:cs="Times New Roman" w:eastAsia="Times New Roman" w:hAnsi="Times New Roman"/>
                <w:sz w:val="14"/>
                <w:szCs w:val="14"/>
                <w:b w:val="1"/>
                <w:bCs w:val="1"/>
                <w:color w:val="auto"/>
              </w:rPr>
              <w:t>equity</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47,351,363</w:t>
            </w: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1,026,543</w:t>
            </w:r>
          </w:p>
        </w:tc>
        <w:tc>
          <w:tcPr>
            <w:tcW w:w="22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(835,571)</w:t>
            </w: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190,977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Stock-based compensation</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20,533</w:t>
            </w:r>
          </w:p>
        </w:tc>
        <w:tc>
          <w:tcPr>
            <w:tcW w:w="22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20,533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Issuance of common stock upon exercise of options</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80,294</w:t>
            </w: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2,501</w:t>
            </w:r>
          </w:p>
        </w:tc>
        <w:tc>
          <w:tcPr>
            <w:tcW w:w="22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Issuance of common stock upon vesting of RSUs</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32,918</w:t>
            </w: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1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Shares tendered for withholding taxes</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(1,618)</w:t>
            </w:r>
          </w:p>
        </w:tc>
        <w:tc>
          <w:tcPr>
            <w:tcW w:w="12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(1,618)</w:t>
            </w:r>
          </w:p>
        </w:tc>
        <w:tc>
          <w:tcPr>
            <w:tcW w:w="0" w:type="dxa"/>
            <w:vAlign w:val="bottom"/>
          </w:tcPr>
          <w:p>
            <w:pPr>
              <w:spacing w:after="0"/>
              <w:rPr>
                <w:sz w:val="1"/>
                <w:szCs w:val="1"/>
                <w:color w:val="auto"/>
              </w:rPr>
            </w:pPr>
          </w:p>
        </w:tc>
      </w:tr>
      <w:tr>
        <w:trPr>
          <w:trHeight w:val="216"/>
        </w:trPr>
        <w:tc>
          <w:tcPr>
            <w:tcW w:w="5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Net loss</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(68,357)</w:t>
            </w:r>
          </w:p>
        </w:tc>
        <w:tc>
          <w:tcPr>
            <w:tcW w:w="18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(68,357)</w:t>
            </w: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March 31, 2024</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47,464,575</w:t>
            </w: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1,047,959</w:t>
            </w:r>
          </w:p>
        </w:tc>
        <w:tc>
          <w:tcPr>
            <w:tcW w:w="22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(903,928)</w:t>
            </w: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144,036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Stock-based compensation</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21,709</w:t>
            </w:r>
          </w:p>
        </w:tc>
        <w:tc>
          <w:tcPr>
            <w:tcW w:w="22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120" w:type="dxa"/>
            <w:vAlign w:val="bottom"/>
            <w:shd w:val="clear" w:color="auto" w:fill="CFF0FC"/>
          </w:tcPr>
          <w:p>
            <w:pPr>
              <w:ind w:left="100"/>
              <w:spacing w:after="0" w:line="198" w:lineRule="exact"/>
              <w:rPr>
                <w:sz w:val="20"/>
                <w:szCs w:val="20"/>
                <w:color w:val="auto"/>
              </w:rPr>
            </w:pPr>
            <w:r>
              <w:rPr>
                <w:rFonts w:ascii="Times New Roman" w:cs="Times New Roman" w:eastAsia="Times New Roman" w:hAnsi="Times New Roman"/>
                <w:sz w:val="18"/>
                <w:szCs w:val="18"/>
                <w:color w:val="auto"/>
              </w:rPr>
              <w:t>Issuance of common stock upon exercise of options and under</w:t>
            </w:r>
          </w:p>
        </w:tc>
        <w:tc>
          <w:tcPr>
            <w:tcW w:w="10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1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160,724</w:t>
            </w:r>
          </w:p>
        </w:tc>
        <w:tc>
          <w:tcPr>
            <w:tcW w:w="24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6,741</w:t>
            </w:r>
          </w:p>
        </w:tc>
        <w:tc>
          <w:tcPr>
            <w:tcW w:w="220" w:type="dxa"/>
            <w:vAlign w:val="bottom"/>
            <w:shd w:val="clear" w:color="auto" w:fill="CFF0FC"/>
          </w:tcPr>
          <w:p>
            <w:pPr>
              <w:spacing w:after="0"/>
              <w:rPr>
                <w:sz w:val="20"/>
                <w:szCs w:val="20"/>
                <w:color w:val="auto"/>
              </w:rPr>
            </w:pPr>
          </w:p>
        </w:tc>
        <w:tc>
          <w:tcPr>
            <w:tcW w:w="12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6,741</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Issuance of common stock upon vesting of RSUs</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27,404</w:t>
            </w: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1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Issuance of common stock upon financing</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148,875</w:t>
            </w: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11,039</w:t>
            </w:r>
          </w:p>
        </w:tc>
        <w:tc>
          <w:tcPr>
            <w:tcW w:w="22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11,039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Shares tendered for withholding taxes</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(1,328)</w:t>
            </w: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(1,328)</w:t>
            </w:r>
          </w:p>
        </w:tc>
        <w:tc>
          <w:tcPr>
            <w:tcW w:w="0" w:type="dxa"/>
            <w:vAlign w:val="bottom"/>
          </w:tcPr>
          <w:p>
            <w:pPr>
              <w:spacing w:after="0"/>
              <w:rPr>
                <w:sz w:val="1"/>
                <w:szCs w:val="1"/>
                <w:color w:val="auto"/>
              </w:rPr>
            </w:pPr>
          </w:p>
        </w:tc>
      </w:tr>
      <w:tr>
        <w:trPr>
          <w:trHeight w:val="216"/>
        </w:trPr>
        <w:tc>
          <w:tcPr>
            <w:tcW w:w="51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Net loss</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(79,345)</w:t>
            </w:r>
          </w:p>
        </w:tc>
        <w:tc>
          <w:tcPr>
            <w:tcW w:w="18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(79,345)</w:t>
            </w:r>
          </w:p>
        </w:tc>
        <w:tc>
          <w:tcPr>
            <w:tcW w:w="0" w:type="dxa"/>
            <w:vAlign w:val="bottom"/>
          </w:tcPr>
          <w:p>
            <w:pPr>
              <w:spacing w:after="0"/>
              <w:rPr>
                <w:sz w:val="1"/>
                <w:szCs w:val="1"/>
                <w:color w:val="auto"/>
              </w:rPr>
            </w:pPr>
          </w:p>
        </w:tc>
      </w:tr>
      <w:tr>
        <w:trPr>
          <w:trHeight w:val="20"/>
        </w:trPr>
        <w:tc>
          <w:tcPr>
            <w:tcW w:w="5120" w:type="dxa"/>
            <w:vAlign w:val="bottom"/>
            <w:shd w:val="clear" w:color="auto" w:fill="CFF0FC"/>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Balance at June 30, 2024</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47,801,578</w:t>
            </w: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1,086,120</w:t>
            </w:r>
          </w:p>
        </w:tc>
        <w:tc>
          <w:tcPr>
            <w:tcW w:w="22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(983,273)</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102,852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12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Balance at December 31, 2024</w:t>
            </w:r>
          </w:p>
        </w:tc>
        <w:tc>
          <w:tcPr>
            <w:tcW w:w="108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48,667,587</w:t>
            </w:r>
          </w:p>
        </w:tc>
        <w:tc>
          <w:tcPr>
            <w:tcW w:w="24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4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c>
          <w:tcPr>
            <w:tcW w:w="1220" w:type="dxa"/>
            <w:vAlign w:val="bottom"/>
            <w:gridSpan w:val="2"/>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1,179,797</w:t>
            </w:r>
          </w:p>
        </w:tc>
        <w:tc>
          <w:tcPr>
            <w:tcW w:w="22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ind w:right="160"/>
              <w:spacing w:after="0" w:line="196" w:lineRule="exact"/>
              <w:rPr>
                <w:sz w:val="20"/>
                <w:szCs w:val="20"/>
                <w:color w:val="auto"/>
              </w:rPr>
            </w:pPr>
            <w:r>
              <w:rPr>
                <w:rFonts w:ascii="Times New Roman" w:cs="Times New Roman" w:eastAsia="Times New Roman" w:hAnsi="Times New Roman"/>
                <w:sz w:val="18"/>
                <w:szCs w:val="18"/>
                <w:color w:val="auto"/>
              </w:rPr>
              <w:t>(1,122,787)</w:t>
            </w:r>
          </w:p>
        </w:tc>
        <w:tc>
          <w:tcPr>
            <w:tcW w:w="18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57,015</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Stock-based compensation</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23,647</w:t>
            </w:r>
          </w:p>
        </w:tc>
        <w:tc>
          <w:tcPr>
            <w:tcW w:w="22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Issuance of common stock upon exercise of options</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331,853</w:t>
            </w: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17,035</w:t>
            </w:r>
          </w:p>
        </w:tc>
        <w:tc>
          <w:tcPr>
            <w:tcW w:w="22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17,035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Issuance of common stock upon vesting of RSUs</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60,835</w:t>
            </w: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1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Issuance of common stock upon financing</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156,484</w:t>
            </w: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19,257</w:t>
            </w:r>
          </w:p>
        </w:tc>
        <w:tc>
          <w:tcPr>
            <w:tcW w:w="22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19,257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Shares tendered for withholding taxes</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(4,336)</w:t>
            </w: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(4,336)</w:t>
            </w:r>
          </w:p>
        </w:tc>
        <w:tc>
          <w:tcPr>
            <w:tcW w:w="0" w:type="dxa"/>
            <w:vAlign w:val="bottom"/>
          </w:tcPr>
          <w:p>
            <w:pPr>
              <w:spacing w:after="0"/>
              <w:rPr>
                <w:sz w:val="1"/>
                <w:szCs w:val="1"/>
                <w:color w:val="auto"/>
              </w:rPr>
            </w:pPr>
          </w:p>
        </w:tc>
      </w:tr>
      <w:tr>
        <w:trPr>
          <w:trHeight w:val="216"/>
        </w:trPr>
        <w:tc>
          <w:tcPr>
            <w:tcW w:w="51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Net loss</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(59,413)</w:t>
            </w:r>
          </w:p>
        </w:tc>
        <w:tc>
          <w:tcPr>
            <w:tcW w:w="18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(59,413)</w:t>
            </w:r>
          </w:p>
        </w:tc>
        <w:tc>
          <w:tcPr>
            <w:tcW w:w="0" w:type="dxa"/>
            <w:vAlign w:val="bottom"/>
          </w:tcPr>
          <w:p>
            <w:pPr>
              <w:spacing w:after="0"/>
              <w:rPr>
                <w:sz w:val="1"/>
                <w:szCs w:val="1"/>
                <w:color w:val="auto"/>
              </w:rPr>
            </w:pPr>
          </w:p>
        </w:tc>
      </w:tr>
      <w:tr>
        <w:trPr>
          <w:trHeight w:val="20"/>
        </w:trPr>
        <w:tc>
          <w:tcPr>
            <w:tcW w:w="5120" w:type="dxa"/>
            <w:vAlign w:val="bottom"/>
            <w:shd w:val="clear" w:color="auto" w:fill="CFF0FC"/>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Balance at March 31, 2025</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49,216,759</w:t>
            </w: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1,235,400</w:t>
            </w:r>
          </w:p>
        </w:tc>
        <w:tc>
          <w:tcPr>
            <w:tcW w:w="22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(1,182,200)</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Stock-based compensation</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24,954</w:t>
            </w:r>
          </w:p>
        </w:tc>
        <w:tc>
          <w:tcPr>
            <w:tcW w:w="22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24,954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Issuance of common stock upon exercise of options</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276,280</w:t>
            </w: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11,661</w:t>
            </w:r>
          </w:p>
        </w:tc>
        <w:tc>
          <w:tcPr>
            <w:tcW w:w="22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Issuance of common stock upon vesting of RSUs</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15,776</w:t>
            </w: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Issuance of common stock upon financing</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306,486</w:t>
            </w: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32,116</w:t>
            </w:r>
          </w:p>
        </w:tc>
        <w:tc>
          <w:tcPr>
            <w:tcW w:w="22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Shares tendered for withholding taxes</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(888)</w:t>
            </w:r>
          </w:p>
        </w:tc>
        <w:tc>
          <w:tcPr>
            <w:tcW w:w="12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(888)</w:t>
            </w:r>
          </w:p>
        </w:tc>
        <w:tc>
          <w:tcPr>
            <w:tcW w:w="0" w:type="dxa"/>
            <w:vAlign w:val="bottom"/>
          </w:tcPr>
          <w:p>
            <w:pPr>
              <w:spacing w:after="0"/>
              <w:rPr>
                <w:sz w:val="1"/>
                <w:szCs w:val="1"/>
                <w:color w:val="auto"/>
              </w:rPr>
            </w:pPr>
          </w:p>
        </w:tc>
      </w:tr>
      <w:tr>
        <w:trPr>
          <w:trHeight w:val="216"/>
        </w:trPr>
        <w:tc>
          <w:tcPr>
            <w:tcW w:w="5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Net loss</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(47,973)</w:t>
            </w:r>
          </w:p>
        </w:tc>
        <w:tc>
          <w:tcPr>
            <w:tcW w:w="18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(47,973)</w:t>
            </w: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June 30, 2025</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49,815,301</w:t>
            </w: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619"/>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1,303,243</w:t>
            </w:r>
          </w:p>
        </w:tc>
        <w:tc>
          <w:tcPr>
            <w:tcW w:w="22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 (1,230,173)</w:t>
            </w:r>
          </w:p>
        </w:tc>
        <w:tc>
          <w:tcPr>
            <w:tcW w:w="18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73,075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20" w:type="dxa"/>
            <w:vAlign w:val="bottom"/>
            <w:tcBorders>
              <w:top w:val="single" w:sz="8" w:color="CFF0FC"/>
            </w:tcBorders>
            <w:shd w:val="clear" w:color="auto" w:fill="CFF0FC"/>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-2270760</wp:posOffset>
            </wp:positionV>
            <wp:extent cx="7683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-2270760</wp:posOffset>
            </wp:positionV>
            <wp:extent cx="7747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-2270760</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-2270760</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-2270760</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-1139190</wp:posOffset>
            </wp:positionV>
            <wp:extent cx="7683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-1139190</wp:posOffset>
            </wp:positionV>
            <wp:extent cx="7747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-1139190</wp:posOffset>
            </wp:positionV>
            <wp:extent cx="6858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-1139190</wp:posOffset>
            </wp:positionV>
            <wp:extent cx="6858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-1139190</wp:posOffset>
            </wp:positionV>
            <wp:extent cx="6858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-24765</wp:posOffset>
            </wp:positionV>
            <wp:extent cx="7683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-7620</wp:posOffset>
            </wp:positionV>
            <wp:extent cx="7683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-24765</wp:posOffset>
            </wp:positionV>
            <wp:extent cx="7747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-7620</wp:posOffset>
            </wp:positionV>
            <wp:extent cx="7747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-24765</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-7620</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-24765</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-7620</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 consolidated financial statements.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Axsome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760" w:type="dxa"/>
            <w:vAlign w:val="bottom"/>
            <w:tcBorders>
              <w:bottom w:val="single" w:sz="8" w:color="auto"/>
            </w:tcBorders>
            <w:gridSpan w:val="5"/>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6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7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96"/>
        </w:trPr>
        <w:tc>
          <w:tcPr>
            <w:tcW w:w="756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b w:val="1"/>
                <w:bCs w:val="1"/>
                <w:color w:val="auto"/>
              </w:rPr>
              <w:t>Cash flows from operating activities</w:t>
            </w:r>
          </w:p>
        </w:tc>
        <w:tc>
          <w:tcPr>
            <w:tcW w:w="180" w:type="dxa"/>
            <w:vAlign w:val="bottom"/>
            <w:shd w:val="clear" w:color="auto" w:fill="CFF0FC"/>
          </w:tcPr>
          <w:p>
            <w:pPr>
              <w:spacing w:after="0"/>
              <w:rPr>
                <w:sz w:val="17"/>
                <w:szCs w:val="17"/>
                <w:color w:val="auto"/>
              </w:rPr>
            </w:pPr>
          </w:p>
        </w:tc>
        <w:tc>
          <w:tcPr>
            <w:tcW w:w="920" w:type="dxa"/>
            <w:vAlign w:val="bottom"/>
            <w:tcBorders>
              <w:top w:val="single" w:sz="8" w:color="auto"/>
            </w:tcBorders>
            <w:shd w:val="clear" w:color="auto" w:fill="CFF0FC"/>
          </w:tcPr>
          <w:p>
            <w:pPr>
              <w:spacing w:after="0"/>
              <w:rPr>
                <w:sz w:val="17"/>
                <w:szCs w:val="17"/>
                <w:color w:val="auto"/>
              </w:rPr>
            </w:pPr>
          </w:p>
        </w:tc>
        <w:tc>
          <w:tcPr>
            <w:tcW w:w="640" w:type="dxa"/>
            <w:vAlign w:val="bottom"/>
            <w:tcBorders>
              <w:top w:val="single" w:sz="8" w:color="auto"/>
            </w:tcBorders>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20" w:type="dxa"/>
            <w:vAlign w:val="bottom"/>
            <w:tcBorders>
              <w:top w:val="single" w:sz="8" w:color="auto"/>
            </w:tcBorders>
            <w:shd w:val="clear" w:color="auto" w:fill="CFF0FC"/>
          </w:tcPr>
          <w:p>
            <w:pPr>
              <w:spacing w:after="0"/>
              <w:rPr>
                <w:sz w:val="17"/>
                <w:szCs w:val="17"/>
                <w:color w:val="auto"/>
              </w:rPr>
            </w:pPr>
          </w:p>
        </w:tc>
        <w:tc>
          <w:tcPr>
            <w:tcW w:w="64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560" w:type="dxa"/>
            <w:vAlign w:val="bottom"/>
          </w:tcPr>
          <w:p>
            <w:pPr>
              <w:spacing w:after="0"/>
              <w:rPr>
                <w:sz w:val="20"/>
                <w:szCs w:val="20"/>
                <w:color w:val="auto"/>
              </w:rPr>
            </w:pPr>
            <w:r>
              <w:rPr>
                <w:rFonts w:ascii="Times New Roman" w:cs="Times New Roman" w:eastAsia="Times New Roman" w:hAnsi="Times New Roman"/>
                <w:sz w:val="17"/>
                <w:szCs w:val="17"/>
                <w:color w:val="auto"/>
              </w:rPr>
              <w:t>Net loss</w:t>
            </w:r>
          </w:p>
        </w:tc>
        <w:tc>
          <w:tcPr>
            <w:tcW w:w="1100" w:type="dxa"/>
            <w:vAlign w:val="bottom"/>
            <w:gridSpan w:val="2"/>
          </w:tcPr>
          <w:p>
            <w:pPr>
              <w:jc w:val="right"/>
              <w:ind w:right="768"/>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(107,386)</w:t>
            </w:r>
          </w:p>
        </w:tc>
        <w:tc>
          <w:tcPr>
            <w:tcW w:w="1040" w:type="dxa"/>
            <w:vAlign w:val="bottom"/>
            <w:gridSpan w:val="2"/>
          </w:tcPr>
          <w:p>
            <w:pPr>
              <w:jc w:val="right"/>
              <w:ind w:right="840"/>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w w:val="99"/>
              </w:rPr>
              <w:t>(147,702)</w:t>
            </w:r>
          </w:p>
        </w:tc>
      </w:tr>
      <w:tr>
        <w:trPr>
          <w:trHeight w:val="203"/>
        </w:trPr>
        <w:tc>
          <w:tcPr>
            <w:tcW w:w="756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Adjustments to reconcile net loss to net cash used in operating activities:</w:t>
            </w:r>
          </w:p>
        </w:tc>
        <w:tc>
          <w:tcPr>
            <w:tcW w:w="18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560" w:type="dxa"/>
            <w:vAlign w:val="bottom"/>
          </w:tcPr>
          <w:p>
            <w:pPr>
              <w:spacing w:after="0"/>
              <w:rPr>
                <w:sz w:val="20"/>
                <w:szCs w:val="20"/>
                <w:color w:val="auto"/>
              </w:rPr>
            </w:pPr>
            <w:r>
              <w:rPr>
                <w:rFonts w:ascii="Times New Roman" w:cs="Times New Roman" w:eastAsia="Times New Roman" w:hAnsi="Times New Roman"/>
                <w:sz w:val="17"/>
                <w:szCs w:val="17"/>
                <w:color w:val="auto"/>
              </w:rPr>
              <w:t>Stock-based compensation expense</w:t>
            </w: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47,919</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41,572</w:t>
            </w:r>
          </w:p>
        </w:tc>
        <w:tc>
          <w:tcPr>
            <w:tcW w:w="100" w:type="dxa"/>
            <w:vAlign w:val="bottom"/>
          </w:tcPr>
          <w:p>
            <w:pPr>
              <w:spacing w:after="0"/>
              <w:rPr>
                <w:sz w:val="17"/>
                <w:szCs w:val="17"/>
                <w:color w:val="auto"/>
              </w:rPr>
            </w:pPr>
          </w:p>
        </w:tc>
      </w:tr>
      <w:tr>
        <w:trPr>
          <w:trHeight w:val="203"/>
        </w:trPr>
        <w:tc>
          <w:tcPr>
            <w:tcW w:w="756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Amortization of intangible asset</w:t>
            </w:r>
          </w:p>
        </w:tc>
        <w:tc>
          <w:tcPr>
            <w:tcW w:w="18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3,161</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3,179</w:t>
            </w:r>
          </w:p>
        </w:tc>
        <w:tc>
          <w:tcPr>
            <w:tcW w:w="100" w:type="dxa"/>
            <w:vAlign w:val="bottom"/>
            <w:shd w:val="clear" w:color="auto" w:fill="CFF0FC"/>
          </w:tcPr>
          <w:p>
            <w:pPr>
              <w:spacing w:after="0"/>
              <w:rPr>
                <w:sz w:val="17"/>
                <w:szCs w:val="17"/>
                <w:color w:val="auto"/>
              </w:rPr>
            </w:pPr>
          </w:p>
        </w:tc>
      </w:tr>
      <w:tr>
        <w:trPr>
          <w:trHeight w:val="203"/>
        </w:trPr>
        <w:tc>
          <w:tcPr>
            <w:tcW w:w="7560" w:type="dxa"/>
            <w:vAlign w:val="bottom"/>
          </w:tcPr>
          <w:p>
            <w:pPr>
              <w:spacing w:after="0"/>
              <w:rPr>
                <w:sz w:val="20"/>
                <w:szCs w:val="20"/>
                <w:color w:val="auto"/>
              </w:rPr>
            </w:pPr>
            <w:r>
              <w:rPr>
                <w:rFonts w:ascii="Times New Roman" w:cs="Times New Roman" w:eastAsia="Times New Roman" w:hAnsi="Times New Roman"/>
                <w:sz w:val="17"/>
                <w:szCs w:val="17"/>
                <w:color w:val="auto"/>
              </w:rPr>
              <w:t>Amortization of debt discount</w:t>
            </w: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984</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1,260</w:t>
            </w:r>
          </w:p>
        </w:tc>
        <w:tc>
          <w:tcPr>
            <w:tcW w:w="100" w:type="dxa"/>
            <w:vAlign w:val="bottom"/>
          </w:tcPr>
          <w:p>
            <w:pPr>
              <w:spacing w:after="0"/>
              <w:rPr>
                <w:sz w:val="17"/>
                <w:szCs w:val="17"/>
                <w:color w:val="auto"/>
              </w:rPr>
            </w:pPr>
          </w:p>
        </w:tc>
      </w:tr>
      <w:tr>
        <w:trPr>
          <w:trHeight w:val="203"/>
        </w:trPr>
        <w:tc>
          <w:tcPr>
            <w:tcW w:w="756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Loss on debt extinguishment</w:t>
            </w:r>
          </w:p>
        </w:tc>
        <w:tc>
          <w:tcPr>
            <w:tcW w:w="18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10,385</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7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r>
      <w:tr>
        <w:trPr>
          <w:trHeight w:val="203"/>
        </w:trPr>
        <w:tc>
          <w:tcPr>
            <w:tcW w:w="7560" w:type="dxa"/>
            <w:vAlign w:val="bottom"/>
          </w:tcPr>
          <w:p>
            <w:pPr>
              <w:spacing w:after="0"/>
              <w:rPr>
                <w:sz w:val="20"/>
                <w:szCs w:val="20"/>
                <w:color w:val="auto"/>
              </w:rPr>
            </w:pPr>
            <w:r>
              <w:rPr>
                <w:rFonts w:ascii="Times New Roman" w:cs="Times New Roman" w:eastAsia="Times New Roman" w:hAnsi="Times New Roman"/>
                <w:sz w:val="17"/>
                <w:szCs w:val="17"/>
                <w:color w:val="auto"/>
              </w:rPr>
              <w:t>Depreciation</w:t>
            </w: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269</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272</w:t>
            </w:r>
          </w:p>
        </w:tc>
        <w:tc>
          <w:tcPr>
            <w:tcW w:w="100" w:type="dxa"/>
            <w:vAlign w:val="bottom"/>
          </w:tcPr>
          <w:p>
            <w:pPr>
              <w:spacing w:after="0"/>
              <w:rPr>
                <w:sz w:val="17"/>
                <w:szCs w:val="17"/>
                <w:color w:val="auto"/>
              </w:rPr>
            </w:pPr>
          </w:p>
        </w:tc>
      </w:tr>
      <w:tr>
        <w:trPr>
          <w:trHeight w:val="203"/>
        </w:trPr>
        <w:tc>
          <w:tcPr>
            <w:tcW w:w="756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Loss (Gain) in fair value of contingent consideration</w:t>
            </w:r>
          </w:p>
        </w:tc>
        <w:tc>
          <w:tcPr>
            <w:tcW w:w="18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8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7"/>
                <w:szCs w:val="17"/>
                <w:color w:val="auto"/>
              </w:rPr>
              <w:t>(6,590)</w:t>
            </w:r>
          </w:p>
        </w:tc>
        <w:tc>
          <w:tcPr>
            <w:tcW w:w="12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748</w:t>
            </w:r>
          </w:p>
        </w:tc>
        <w:tc>
          <w:tcPr>
            <w:tcW w:w="100" w:type="dxa"/>
            <w:vAlign w:val="bottom"/>
            <w:shd w:val="clear" w:color="auto" w:fill="CFF0FC"/>
          </w:tcPr>
          <w:p>
            <w:pPr>
              <w:spacing w:after="0"/>
              <w:rPr>
                <w:sz w:val="17"/>
                <w:szCs w:val="17"/>
                <w:color w:val="auto"/>
              </w:rPr>
            </w:pPr>
          </w:p>
        </w:tc>
      </w:tr>
      <w:tr>
        <w:trPr>
          <w:trHeight w:val="203"/>
        </w:trPr>
        <w:tc>
          <w:tcPr>
            <w:tcW w:w="7560" w:type="dxa"/>
            <w:vAlign w:val="bottom"/>
          </w:tcPr>
          <w:p>
            <w:pPr>
              <w:spacing w:after="0"/>
              <w:rPr>
                <w:sz w:val="20"/>
                <w:szCs w:val="20"/>
                <w:color w:val="auto"/>
              </w:rPr>
            </w:pPr>
            <w:r>
              <w:rPr>
                <w:rFonts w:ascii="Times New Roman" w:cs="Times New Roman" w:eastAsia="Times New Roman" w:hAnsi="Times New Roman"/>
                <w:sz w:val="17"/>
                <w:szCs w:val="17"/>
                <w:color w:val="auto"/>
              </w:rPr>
              <w:t>Gain from lease modification</w:t>
            </w: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(2,250)</w:t>
            </w: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r>
      <w:tr>
        <w:trPr>
          <w:trHeight w:val="203"/>
        </w:trPr>
        <w:tc>
          <w:tcPr>
            <w:tcW w:w="756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Non-cash lease expense</w:t>
            </w:r>
          </w:p>
        </w:tc>
        <w:tc>
          <w:tcPr>
            <w:tcW w:w="18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1,432</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701</w:t>
            </w:r>
          </w:p>
        </w:tc>
        <w:tc>
          <w:tcPr>
            <w:tcW w:w="100" w:type="dxa"/>
            <w:vAlign w:val="bottom"/>
            <w:shd w:val="clear" w:color="auto" w:fill="CFF0FC"/>
          </w:tcPr>
          <w:p>
            <w:pPr>
              <w:spacing w:after="0"/>
              <w:rPr>
                <w:sz w:val="17"/>
                <w:szCs w:val="17"/>
                <w:color w:val="auto"/>
              </w:rPr>
            </w:pPr>
          </w:p>
        </w:tc>
      </w:tr>
      <w:tr>
        <w:trPr>
          <w:trHeight w:val="203"/>
        </w:trPr>
        <w:tc>
          <w:tcPr>
            <w:tcW w:w="7560" w:type="dxa"/>
            <w:vAlign w:val="bottom"/>
          </w:tcPr>
          <w:p>
            <w:pPr>
              <w:spacing w:after="0"/>
              <w:rPr>
                <w:sz w:val="20"/>
                <w:szCs w:val="20"/>
                <w:color w:val="auto"/>
              </w:rPr>
            </w:pPr>
            <w:r>
              <w:rPr>
                <w:rFonts w:ascii="Times New Roman" w:cs="Times New Roman" w:eastAsia="Times New Roman" w:hAnsi="Times New Roman"/>
                <w:sz w:val="17"/>
                <w:szCs w:val="17"/>
                <w:color w:val="auto"/>
              </w:rPr>
              <w:t>Right-of-use asset amortization for finance lease</w:t>
            </w: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949</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373</w:t>
            </w:r>
          </w:p>
        </w:tc>
        <w:tc>
          <w:tcPr>
            <w:tcW w:w="100" w:type="dxa"/>
            <w:vAlign w:val="bottom"/>
          </w:tcPr>
          <w:p>
            <w:pPr>
              <w:spacing w:after="0"/>
              <w:rPr>
                <w:sz w:val="17"/>
                <w:szCs w:val="17"/>
                <w:color w:val="auto"/>
              </w:rPr>
            </w:pPr>
          </w:p>
        </w:tc>
      </w:tr>
      <w:tr>
        <w:trPr>
          <w:trHeight w:val="203"/>
        </w:trPr>
        <w:tc>
          <w:tcPr>
            <w:tcW w:w="756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Change in operating lease liability</w:t>
            </w:r>
          </w:p>
        </w:tc>
        <w:tc>
          <w:tcPr>
            <w:tcW w:w="18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8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7"/>
                <w:szCs w:val="17"/>
                <w:color w:val="auto"/>
              </w:rPr>
              <w:t>(191)</w:t>
            </w:r>
          </w:p>
        </w:tc>
        <w:tc>
          <w:tcPr>
            <w:tcW w:w="12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7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7"/>
                <w:szCs w:val="17"/>
                <w:color w:val="auto"/>
              </w:rPr>
              <w:t>(54)</w:t>
            </w:r>
          </w:p>
        </w:tc>
      </w:tr>
      <w:tr>
        <w:trPr>
          <w:trHeight w:val="203"/>
        </w:trPr>
        <w:tc>
          <w:tcPr>
            <w:tcW w:w="7560" w:type="dxa"/>
            <w:vAlign w:val="bottom"/>
          </w:tcPr>
          <w:p>
            <w:pPr>
              <w:spacing w:after="0"/>
              <w:rPr>
                <w:sz w:val="20"/>
                <w:szCs w:val="20"/>
                <w:color w:val="auto"/>
              </w:rPr>
            </w:pPr>
            <w:r>
              <w:rPr>
                <w:rFonts w:ascii="Times New Roman" w:cs="Times New Roman" w:eastAsia="Times New Roman" w:hAnsi="Times New Roman"/>
                <w:sz w:val="17"/>
                <w:szCs w:val="17"/>
                <w:color w:val="auto"/>
              </w:rPr>
              <w:t>Changes in operating assets and liabilities:</w:t>
            </w: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5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7"/>
                <w:szCs w:val="17"/>
                <w:color w:val="auto"/>
              </w:rPr>
              <w:t>Accounts receivable, net</w:t>
            </w:r>
          </w:p>
        </w:tc>
        <w:tc>
          <w:tcPr>
            <w:tcW w:w="18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8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7"/>
                <w:szCs w:val="17"/>
                <w:color w:val="auto"/>
              </w:rPr>
              <w:t>(56,824)</w:t>
            </w:r>
          </w:p>
        </w:tc>
        <w:tc>
          <w:tcPr>
            <w:tcW w:w="12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7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7"/>
                <w:szCs w:val="17"/>
                <w:color w:val="auto"/>
              </w:rPr>
              <w:t>(25,522)</w:t>
            </w:r>
          </w:p>
        </w:tc>
      </w:tr>
      <w:tr>
        <w:trPr>
          <w:trHeight w:val="203"/>
        </w:trPr>
        <w:tc>
          <w:tcPr>
            <w:tcW w:w="75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Inventories, net</w:t>
            </w: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(2,026)</w:t>
            </w: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585</w:t>
            </w:r>
          </w:p>
        </w:tc>
        <w:tc>
          <w:tcPr>
            <w:tcW w:w="100" w:type="dxa"/>
            <w:vAlign w:val="bottom"/>
          </w:tcPr>
          <w:p>
            <w:pPr>
              <w:spacing w:after="0"/>
              <w:rPr>
                <w:sz w:val="17"/>
                <w:szCs w:val="17"/>
                <w:color w:val="auto"/>
              </w:rPr>
            </w:pPr>
          </w:p>
        </w:tc>
      </w:tr>
      <w:tr>
        <w:trPr>
          <w:trHeight w:val="203"/>
        </w:trPr>
        <w:tc>
          <w:tcPr>
            <w:tcW w:w="75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7"/>
                <w:szCs w:val="17"/>
                <w:color w:val="auto"/>
              </w:rPr>
              <w:t>Prepaid expenses and other current assets</w:t>
            </w:r>
          </w:p>
        </w:tc>
        <w:tc>
          <w:tcPr>
            <w:tcW w:w="18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8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7"/>
                <w:szCs w:val="17"/>
                <w:color w:val="auto"/>
              </w:rPr>
              <w:t>(4,360)</w:t>
            </w:r>
          </w:p>
        </w:tc>
        <w:tc>
          <w:tcPr>
            <w:tcW w:w="12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7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7"/>
                <w:szCs w:val="17"/>
                <w:color w:val="auto"/>
              </w:rPr>
              <w:t>(3,693)</w:t>
            </w:r>
          </w:p>
        </w:tc>
      </w:tr>
      <w:tr>
        <w:trPr>
          <w:trHeight w:val="203"/>
        </w:trPr>
        <w:tc>
          <w:tcPr>
            <w:tcW w:w="75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Non-current inventory and other assets</w:t>
            </w: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(3,223)</w:t>
            </w: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(1,029)</w:t>
            </w:r>
          </w:p>
        </w:tc>
      </w:tr>
      <w:tr>
        <w:trPr>
          <w:trHeight w:val="203"/>
        </w:trPr>
        <w:tc>
          <w:tcPr>
            <w:tcW w:w="75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7"/>
                <w:szCs w:val="17"/>
                <w:color w:val="auto"/>
              </w:rPr>
              <w:t>Accounts payable</w:t>
            </w:r>
          </w:p>
        </w:tc>
        <w:tc>
          <w:tcPr>
            <w:tcW w:w="18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19,631</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20,661</w:t>
            </w:r>
          </w:p>
        </w:tc>
        <w:tc>
          <w:tcPr>
            <w:tcW w:w="100" w:type="dxa"/>
            <w:vAlign w:val="bottom"/>
            <w:shd w:val="clear" w:color="auto" w:fill="CFF0FC"/>
          </w:tcPr>
          <w:p>
            <w:pPr>
              <w:spacing w:after="0"/>
              <w:rPr>
                <w:sz w:val="17"/>
                <w:szCs w:val="17"/>
                <w:color w:val="auto"/>
              </w:rPr>
            </w:pPr>
          </w:p>
        </w:tc>
      </w:tr>
      <w:tr>
        <w:trPr>
          <w:trHeight w:val="203"/>
        </w:trPr>
        <w:tc>
          <w:tcPr>
            <w:tcW w:w="75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Accrued expenses and other current liabilities</w:t>
            </w:r>
          </w:p>
        </w:tc>
        <w:tc>
          <w:tcPr>
            <w:tcW w:w="180" w:type="dxa"/>
            <w:vAlign w:val="bottom"/>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22,322</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25,072</w:t>
            </w:r>
          </w:p>
        </w:tc>
        <w:tc>
          <w:tcPr>
            <w:tcW w:w="100" w:type="dxa"/>
            <w:vAlign w:val="bottom"/>
          </w:tcPr>
          <w:p>
            <w:pPr>
              <w:spacing w:after="0"/>
              <w:rPr>
                <w:sz w:val="17"/>
                <w:szCs w:val="17"/>
                <w:color w:val="auto"/>
              </w:rPr>
            </w:pPr>
          </w:p>
        </w:tc>
      </w:tr>
      <w:tr>
        <w:trPr>
          <w:trHeight w:val="196"/>
        </w:trPr>
        <w:tc>
          <w:tcPr>
            <w:tcW w:w="756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Net cash used in operating activities</w:t>
            </w:r>
          </w:p>
        </w:tc>
        <w:tc>
          <w:tcPr>
            <w:tcW w:w="18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8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7"/>
                <w:szCs w:val="17"/>
                <w:color w:val="auto"/>
              </w:rPr>
              <w:t>(75,798)</w:t>
            </w:r>
          </w:p>
        </w:tc>
        <w:tc>
          <w:tcPr>
            <w:tcW w:w="12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7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7"/>
                <w:szCs w:val="17"/>
                <w:color w:val="auto"/>
              </w:rPr>
              <w:t>(83,577)</w:t>
            </w:r>
          </w:p>
        </w:tc>
      </w:tr>
      <w:tr>
        <w:trPr>
          <w:trHeight w:val="196"/>
        </w:trPr>
        <w:tc>
          <w:tcPr>
            <w:tcW w:w="756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7"/>
                <w:szCs w:val="17"/>
                <w:b w:val="1"/>
                <w:bCs w:val="1"/>
                <w:color w:val="auto"/>
              </w:rPr>
              <w:t>Cash flows from investing activities</w:t>
            </w:r>
          </w:p>
        </w:tc>
        <w:tc>
          <w:tcPr>
            <w:tcW w:w="180" w:type="dxa"/>
            <w:vAlign w:val="bottom"/>
            <w:tcBorders>
              <w:top w:val="single" w:sz="8" w:color="CFF0FC"/>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160" w:type="dxa"/>
            <w:vAlign w:val="bottom"/>
            <w:tcBorders>
              <w:top w:val="single" w:sz="8" w:color="CFF0FC"/>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r>
      <w:tr>
        <w:trPr>
          <w:trHeight w:val="203"/>
        </w:trPr>
        <w:tc>
          <w:tcPr>
            <w:tcW w:w="756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Purchases of equipment</w:t>
            </w:r>
          </w:p>
        </w:tc>
        <w:tc>
          <w:tcPr>
            <w:tcW w:w="18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8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7"/>
                <w:szCs w:val="17"/>
                <w:color w:val="auto"/>
              </w:rPr>
              <w:t>(351)</w:t>
            </w:r>
          </w:p>
        </w:tc>
        <w:tc>
          <w:tcPr>
            <w:tcW w:w="12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7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7"/>
                <w:szCs w:val="17"/>
                <w:color w:val="auto"/>
              </w:rPr>
              <w:t>(150)</w:t>
            </w:r>
          </w:p>
        </w:tc>
      </w:tr>
      <w:tr>
        <w:trPr>
          <w:trHeight w:val="196"/>
        </w:trPr>
        <w:tc>
          <w:tcPr>
            <w:tcW w:w="7560" w:type="dxa"/>
            <w:vAlign w:val="bottom"/>
          </w:tcPr>
          <w:p>
            <w:pPr>
              <w:spacing w:after="0"/>
              <w:rPr>
                <w:sz w:val="20"/>
                <w:szCs w:val="20"/>
                <w:color w:val="auto"/>
              </w:rPr>
            </w:pPr>
            <w:r>
              <w:rPr>
                <w:rFonts w:ascii="Times New Roman" w:cs="Times New Roman" w:eastAsia="Times New Roman" w:hAnsi="Times New Roman"/>
                <w:sz w:val="17"/>
                <w:szCs w:val="17"/>
                <w:color w:val="auto"/>
              </w:rPr>
              <w:t>Net cash used in investing activities</w:t>
            </w:r>
          </w:p>
        </w:tc>
        <w:tc>
          <w:tcPr>
            <w:tcW w:w="180" w:type="dxa"/>
            <w:vAlign w:val="bottom"/>
          </w:tcPr>
          <w:p>
            <w:pPr>
              <w:spacing w:after="0"/>
              <w:rPr>
                <w:sz w:val="17"/>
                <w:szCs w:val="17"/>
                <w:color w:val="auto"/>
              </w:rPr>
            </w:pPr>
          </w:p>
        </w:tc>
        <w:tc>
          <w:tcPr>
            <w:tcW w:w="920" w:type="dxa"/>
            <w:vAlign w:val="bottom"/>
            <w:tcBorders>
              <w:top w:val="single" w:sz="8" w:color="auto"/>
              <w:bottom w:val="single" w:sz="8" w:color="auto"/>
            </w:tcBorders>
          </w:tcPr>
          <w:p>
            <w:pPr>
              <w:spacing w:after="0"/>
              <w:rPr>
                <w:sz w:val="17"/>
                <w:szCs w:val="17"/>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(351)</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Borders>
              <w:top w:val="single" w:sz="8" w:color="auto"/>
              <w:bottom w:val="single" w:sz="8" w:color="auto"/>
            </w:tcBorders>
          </w:tcPr>
          <w:p>
            <w:pPr>
              <w:spacing w:after="0"/>
              <w:rPr>
                <w:sz w:val="17"/>
                <w:szCs w:val="17"/>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(150)</w:t>
            </w:r>
          </w:p>
        </w:tc>
        <w:tc>
          <w:tcPr>
            <w:tcW w:w="100" w:type="dxa"/>
            <w:vAlign w:val="bottom"/>
          </w:tcPr>
          <w:p>
            <w:pPr>
              <w:spacing w:after="0"/>
              <w:rPr>
                <w:sz w:val="17"/>
                <w:szCs w:val="17"/>
                <w:color w:val="auto"/>
              </w:rPr>
            </w:pPr>
          </w:p>
        </w:tc>
      </w:tr>
      <w:tr>
        <w:trPr>
          <w:trHeight w:val="196"/>
        </w:trPr>
        <w:tc>
          <w:tcPr>
            <w:tcW w:w="756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b w:val="1"/>
                <w:bCs w:val="1"/>
                <w:color w:val="auto"/>
              </w:rPr>
              <w:t>Cash flows from financing activities</w:t>
            </w:r>
          </w:p>
        </w:tc>
        <w:tc>
          <w:tcPr>
            <w:tcW w:w="18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560" w:type="dxa"/>
            <w:vAlign w:val="bottom"/>
          </w:tcPr>
          <w:p>
            <w:pPr>
              <w:spacing w:after="0"/>
              <w:rPr>
                <w:sz w:val="20"/>
                <w:szCs w:val="20"/>
                <w:color w:val="auto"/>
              </w:rPr>
            </w:pPr>
            <w:r>
              <w:rPr>
                <w:rFonts w:ascii="Times New Roman" w:cs="Times New Roman" w:eastAsia="Times New Roman" w:hAnsi="Times New Roman"/>
                <w:sz w:val="17"/>
                <w:szCs w:val="17"/>
                <w:color w:val="auto"/>
              </w:rPr>
              <w:t>Proceeds from draw down of debt</w:t>
            </w: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190,000</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r>
      <w:tr>
        <w:trPr>
          <w:trHeight w:val="203"/>
        </w:trPr>
        <w:tc>
          <w:tcPr>
            <w:tcW w:w="756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Payment of debt issuance costs</w:t>
            </w:r>
          </w:p>
        </w:tc>
        <w:tc>
          <w:tcPr>
            <w:tcW w:w="18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8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7"/>
                <w:szCs w:val="17"/>
                <w:color w:val="auto"/>
              </w:rPr>
              <w:t>(3,638)</w:t>
            </w:r>
          </w:p>
        </w:tc>
        <w:tc>
          <w:tcPr>
            <w:tcW w:w="12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7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r>
      <w:tr>
        <w:trPr>
          <w:trHeight w:val="203"/>
        </w:trPr>
        <w:tc>
          <w:tcPr>
            <w:tcW w:w="7560" w:type="dxa"/>
            <w:vAlign w:val="bottom"/>
          </w:tcPr>
          <w:p>
            <w:pPr>
              <w:spacing w:after="0"/>
              <w:rPr>
                <w:sz w:val="20"/>
                <w:szCs w:val="20"/>
                <w:color w:val="auto"/>
              </w:rPr>
            </w:pPr>
            <w:r>
              <w:rPr>
                <w:rFonts w:ascii="Times New Roman" w:cs="Times New Roman" w:eastAsia="Times New Roman" w:hAnsi="Times New Roman"/>
                <w:sz w:val="17"/>
                <w:szCs w:val="17"/>
                <w:color w:val="auto"/>
              </w:rPr>
              <w:t>Repayment of debt</w:t>
            </w: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(191,988)</w:t>
            </w: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r>
      <w:tr>
        <w:trPr>
          <w:trHeight w:val="203"/>
        </w:trPr>
        <w:tc>
          <w:tcPr>
            <w:tcW w:w="756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Payments on principal portion of finance lease obligation</w:t>
            </w:r>
          </w:p>
        </w:tc>
        <w:tc>
          <w:tcPr>
            <w:tcW w:w="18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8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7"/>
                <w:szCs w:val="17"/>
                <w:color w:val="auto"/>
              </w:rPr>
              <w:t>(919)</w:t>
            </w:r>
          </w:p>
        </w:tc>
        <w:tc>
          <w:tcPr>
            <w:tcW w:w="12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7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7"/>
                <w:szCs w:val="17"/>
                <w:color w:val="auto"/>
              </w:rPr>
              <w:t>(349)</w:t>
            </w:r>
          </w:p>
        </w:tc>
      </w:tr>
      <w:tr>
        <w:trPr>
          <w:trHeight w:val="203"/>
        </w:trPr>
        <w:tc>
          <w:tcPr>
            <w:tcW w:w="7560" w:type="dxa"/>
            <w:vAlign w:val="bottom"/>
          </w:tcPr>
          <w:p>
            <w:pPr>
              <w:spacing w:after="0"/>
              <w:rPr>
                <w:sz w:val="20"/>
                <w:szCs w:val="20"/>
                <w:color w:val="auto"/>
              </w:rPr>
            </w:pPr>
            <w:r>
              <w:rPr>
                <w:rFonts w:ascii="Times New Roman" w:cs="Times New Roman" w:eastAsia="Times New Roman" w:hAnsi="Times New Roman"/>
                <w:sz w:val="17"/>
                <w:szCs w:val="17"/>
                <w:color w:val="auto"/>
              </w:rPr>
              <w:t>Proceeds from issuance of common stock upon financing</w:t>
            </w: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52,283</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11,264</w:t>
            </w:r>
          </w:p>
        </w:tc>
        <w:tc>
          <w:tcPr>
            <w:tcW w:w="100" w:type="dxa"/>
            <w:vAlign w:val="bottom"/>
          </w:tcPr>
          <w:p>
            <w:pPr>
              <w:spacing w:after="0"/>
              <w:rPr>
                <w:sz w:val="17"/>
                <w:szCs w:val="17"/>
                <w:color w:val="auto"/>
              </w:rPr>
            </w:pPr>
          </w:p>
        </w:tc>
      </w:tr>
      <w:tr>
        <w:trPr>
          <w:trHeight w:val="203"/>
        </w:trPr>
        <w:tc>
          <w:tcPr>
            <w:tcW w:w="756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Cash paid for common stock issuance costs</w:t>
            </w:r>
          </w:p>
        </w:tc>
        <w:tc>
          <w:tcPr>
            <w:tcW w:w="18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8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7"/>
                <w:szCs w:val="17"/>
                <w:color w:val="auto"/>
              </w:rPr>
              <w:t>(910)</w:t>
            </w:r>
          </w:p>
        </w:tc>
        <w:tc>
          <w:tcPr>
            <w:tcW w:w="12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7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7"/>
                <w:szCs w:val="17"/>
                <w:color w:val="auto"/>
              </w:rPr>
              <w:t>(225)</w:t>
            </w:r>
          </w:p>
        </w:tc>
      </w:tr>
      <w:tr>
        <w:trPr>
          <w:trHeight w:val="203"/>
        </w:trPr>
        <w:tc>
          <w:tcPr>
            <w:tcW w:w="7560" w:type="dxa"/>
            <w:vAlign w:val="bottom"/>
          </w:tcPr>
          <w:p>
            <w:pPr>
              <w:spacing w:after="0"/>
              <w:rPr>
                <w:sz w:val="20"/>
                <w:szCs w:val="20"/>
                <w:color w:val="auto"/>
              </w:rPr>
            </w:pPr>
            <w:r>
              <w:rPr>
                <w:rFonts w:ascii="Times New Roman" w:cs="Times New Roman" w:eastAsia="Times New Roman" w:hAnsi="Times New Roman"/>
                <w:sz w:val="17"/>
                <w:szCs w:val="17"/>
                <w:color w:val="auto"/>
              </w:rPr>
              <w:t>Proceeds from issuance of common stock upon exercise of options and under employee stock purchase plan</w:t>
            </w: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28,696</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9,242</w:t>
            </w:r>
          </w:p>
        </w:tc>
        <w:tc>
          <w:tcPr>
            <w:tcW w:w="100" w:type="dxa"/>
            <w:vAlign w:val="bottom"/>
          </w:tcPr>
          <w:p>
            <w:pPr>
              <w:spacing w:after="0"/>
              <w:rPr>
                <w:sz w:val="17"/>
                <w:szCs w:val="17"/>
                <w:color w:val="auto"/>
              </w:rPr>
            </w:pPr>
          </w:p>
        </w:tc>
      </w:tr>
      <w:tr>
        <w:trPr>
          <w:trHeight w:val="203"/>
        </w:trPr>
        <w:tc>
          <w:tcPr>
            <w:tcW w:w="756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Payment of contingent consideration</w:t>
            </w:r>
          </w:p>
        </w:tc>
        <w:tc>
          <w:tcPr>
            <w:tcW w:w="18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8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7"/>
                <w:szCs w:val="17"/>
                <w:color w:val="auto"/>
              </w:rPr>
              <w:t>(4,488)</w:t>
            </w:r>
          </w:p>
        </w:tc>
        <w:tc>
          <w:tcPr>
            <w:tcW w:w="12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7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7"/>
                <w:szCs w:val="17"/>
                <w:color w:val="auto"/>
              </w:rPr>
              <w:t>(3,795)</w:t>
            </w:r>
          </w:p>
        </w:tc>
      </w:tr>
      <w:tr>
        <w:trPr>
          <w:trHeight w:val="203"/>
        </w:trPr>
        <w:tc>
          <w:tcPr>
            <w:tcW w:w="7560" w:type="dxa"/>
            <w:vAlign w:val="bottom"/>
          </w:tcPr>
          <w:p>
            <w:pPr>
              <w:spacing w:after="0"/>
              <w:rPr>
                <w:sz w:val="20"/>
                <w:szCs w:val="20"/>
                <w:color w:val="auto"/>
              </w:rPr>
            </w:pPr>
            <w:r>
              <w:rPr>
                <w:rFonts w:ascii="Times New Roman" w:cs="Times New Roman" w:eastAsia="Times New Roman" w:hAnsi="Times New Roman"/>
                <w:sz w:val="17"/>
                <w:szCs w:val="17"/>
                <w:color w:val="auto"/>
              </w:rPr>
              <w:t>Payments of tax withholdings on stock awards</w:t>
            </w: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(5,224)</w:t>
            </w: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(2,946)</w:t>
            </w:r>
          </w:p>
        </w:tc>
      </w:tr>
      <w:tr>
        <w:trPr>
          <w:trHeight w:val="196"/>
        </w:trPr>
        <w:tc>
          <w:tcPr>
            <w:tcW w:w="75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7"/>
                <w:szCs w:val="17"/>
                <w:color w:val="auto"/>
              </w:rPr>
              <w:t>Net cash provided by financing activities</w:t>
            </w:r>
          </w:p>
        </w:tc>
        <w:tc>
          <w:tcPr>
            <w:tcW w:w="180" w:type="dxa"/>
            <w:vAlign w:val="bottom"/>
            <w:tcBorders>
              <w:bottom w:val="single" w:sz="8" w:color="CFF0FC"/>
            </w:tcBorders>
            <w:shd w:val="clear" w:color="auto" w:fill="CFF0FC"/>
          </w:tcPr>
          <w:p>
            <w:pPr>
              <w:spacing w:after="0"/>
              <w:rPr>
                <w:sz w:val="17"/>
                <w:szCs w:val="17"/>
                <w:color w:val="auto"/>
              </w:rPr>
            </w:pPr>
          </w:p>
        </w:tc>
        <w:tc>
          <w:tcPr>
            <w:tcW w:w="920" w:type="dxa"/>
            <w:vAlign w:val="bottom"/>
            <w:tcBorders>
              <w:top w:val="single" w:sz="8" w:color="auto"/>
              <w:bottom w:val="single" w:sz="8" w:color="auto"/>
            </w:tcBorders>
            <w:shd w:val="clear" w:color="auto" w:fill="CFF0FC"/>
          </w:tcPr>
          <w:p>
            <w:pPr>
              <w:spacing w:after="0"/>
              <w:rPr>
                <w:sz w:val="17"/>
                <w:szCs w:val="17"/>
                <w:color w:val="auto"/>
              </w:rPr>
            </w:pP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63,812</w:t>
            </w:r>
          </w:p>
        </w:tc>
        <w:tc>
          <w:tcPr>
            <w:tcW w:w="16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920" w:type="dxa"/>
            <w:vAlign w:val="bottom"/>
            <w:tcBorders>
              <w:top w:val="single" w:sz="8" w:color="auto"/>
              <w:bottom w:val="single" w:sz="8" w:color="auto"/>
            </w:tcBorders>
            <w:shd w:val="clear" w:color="auto" w:fill="CFF0FC"/>
          </w:tcPr>
          <w:p>
            <w:pPr>
              <w:spacing w:after="0"/>
              <w:rPr>
                <w:sz w:val="17"/>
                <w:szCs w:val="17"/>
                <w:color w:val="auto"/>
              </w:rPr>
            </w:pP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13,191</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560" w:type="dxa"/>
            <w:vAlign w:val="bottom"/>
          </w:tcPr>
          <w:p>
            <w:pPr>
              <w:spacing w:after="0"/>
              <w:rPr>
                <w:sz w:val="20"/>
                <w:szCs w:val="20"/>
                <w:color w:val="auto"/>
              </w:rPr>
            </w:pPr>
            <w:r>
              <w:rPr>
                <w:rFonts w:ascii="Times New Roman" w:cs="Times New Roman" w:eastAsia="Times New Roman" w:hAnsi="Times New Roman"/>
                <w:sz w:val="17"/>
                <w:szCs w:val="17"/>
                <w:color w:val="auto"/>
              </w:rPr>
              <w:t>Net decrease in cash</w:t>
            </w: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(12,337)</w:t>
            </w: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(70,536)</w:t>
            </w:r>
          </w:p>
        </w:tc>
      </w:tr>
      <w:tr>
        <w:trPr>
          <w:trHeight w:val="202"/>
        </w:trPr>
        <w:tc>
          <w:tcPr>
            <w:tcW w:w="75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7"/>
                <w:szCs w:val="17"/>
                <w:color w:val="auto"/>
              </w:rPr>
              <w:t>Cash at beginning of period</w:t>
            </w:r>
          </w:p>
        </w:tc>
        <w:tc>
          <w:tcPr>
            <w:tcW w:w="180" w:type="dxa"/>
            <w:vAlign w:val="bottom"/>
            <w:tcBorders>
              <w:bottom w:val="single" w:sz="8" w:color="CFF0FC"/>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spacing w:after="0"/>
              <w:rPr>
                <w:sz w:val="17"/>
                <w:szCs w:val="17"/>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315,353</w:t>
            </w:r>
          </w:p>
        </w:tc>
        <w:tc>
          <w:tcPr>
            <w:tcW w:w="16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spacing w:after="0"/>
              <w:rPr>
                <w:sz w:val="17"/>
                <w:szCs w:val="17"/>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386,193</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560" w:type="dxa"/>
            <w:vAlign w:val="bottom"/>
          </w:tcPr>
          <w:p>
            <w:pPr>
              <w:spacing w:after="0"/>
              <w:rPr>
                <w:sz w:val="20"/>
                <w:szCs w:val="20"/>
                <w:color w:val="auto"/>
              </w:rPr>
            </w:pPr>
            <w:r>
              <w:rPr>
                <w:rFonts w:ascii="Times New Roman" w:cs="Times New Roman" w:eastAsia="Times New Roman" w:hAnsi="Times New Roman"/>
                <w:sz w:val="17"/>
                <w:szCs w:val="17"/>
                <w:color w:val="auto"/>
              </w:rPr>
              <w:t>Cash at end of period</w:t>
            </w:r>
          </w:p>
        </w:tc>
        <w:tc>
          <w:tcPr>
            <w:tcW w:w="1100" w:type="dxa"/>
            <w:vAlign w:val="bottom"/>
            <w:gridSpan w:val="2"/>
          </w:tcPr>
          <w:p>
            <w:pPr>
              <w:jc w:val="right"/>
              <w:ind w:right="768"/>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303,016</w:t>
            </w:r>
          </w:p>
        </w:tc>
        <w:tc>
          <w:tcPr>
            <w:tcW w:w="160" w:type="dxa"/>
            <w:vAlign w:val="bottom"/>
          </w:tcPr>
          <w:p>
            <w:pPr>
              <w:spacing w:after="0"/>
              <w:rPr>
                <w:sz w:val="17"/>
                <w:szCs w:val="17"/>
                <w:color w:val="auto"/>
              </w:rPr>
            </w:pPr>
          </w:p>
        </w:tc>
        <w:tc>
          <w:tcPr>
            <w:tcW w:w="1040" w:type="dxa"/>
            <w:vAlign w:val="bottom"/>
            <w:gridSpan w:val="2"/>
          </w:tcPr>
          <w:p>
            <w:pPr>
              <w:jc w:val="right"/>
              <w:ind w:right="840"/>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315,657</w:t>
            </w:r>
          </w:p>
        </w:tc>
        <w:tc>
          <w:tcPr>
            <w:tcW w:w="100" w:type="dxa"/>
            <w:vAlign w:val="bottom"/>
          </w:tcPr>
          <w:p>
            <w:pPr>
              <w:spacing w:after="0"/>
              <w:rPr>
                <w:sz w:val="17"/>
                <w:szCs w:val="17"/>
                <w:color w:val="auto"/>
              </w:rPr>
            </w:pPr>
          </w:p>
        </w:tc>
      </w:tr>
      <w:tr>
        <w:trPr>
          <w:trHeight w:val="20"/>
        </w:trPr>
        <w:tc>
          <w:tcPr>
            <w:tcW w:w="7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7560" w:type="dxa"/>
            <w:vAlign w:val="bottom"/>
            <w:shd w:val="clear" w:color="auto" w:fill="CFF0FC"/>
          </w:tcPr>
          <w:p>
            <w:pPr>
              <w:spacing w:after="0" w:line="183" w:lineRule="exact"/>
              <w:rPr>
                <w:sz w:val="20"/>
                <w:szCs w:val="20"/>
                <w:color w:val="auto"/>
              </w:rPr>
            </w:pPr>
            <w:r>
              <w:rPr>
                <w:rFonts w:ascii="Times New Roman" w:cs="Times New Roman" w:eastAsia="Times New Roman" w:hAnsi="Times New Roman"/>
                <w:sz w:val="17"/>
                <w:szCs w:val="17"/>
                <w:b w:val="1"/>
                <w:bCs w:val="1"/>
                <w:color w:val="auto"/>
              </w:rPr>
              <w:t>Supplemental disclosures of cash flow information:</w:t>
            </w:r>
          </w:p>
        </w:tc>
        <w:tc>
          <w:tcPr>
            <w:tcW w:w="18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03"/>
        </w:trPr>
        <w:tc>
          <w:tcPr>
            <w:tcW w:w="7560" w:type="dxa"/>
            <w:vAlign w:val="bottom"/>
          </w:tcPr>
          <w:p>
            <w:pPr>
              <w:spacing w:after="0"/>
              <w:rPr>
                <w:sz w:val="20"/>
                <w:szCs w:val="20"/>
                <w:color w:val="auto"/>
              </w:rPr>
            </w:pPr>
            <w:r>
              <w:rPr>
                <w:rFonts w:ascii="Times New Roman" w:cs="Times New Roman" w:eastAsia="Times New Roman" w:hAnsi="Times New Roman"/>
                <w:sz w:val="17"/>
                <w:szCs w:val="17"/>
                <w:color w:val="auto"/>
              </w:rPr>
              <w:t>Interest paid</w:t>
            </w:r>
          </w:p>
        </w:tc>
        <w:tc>
          <w:tcPr>
            <w:tcW w:w="1100" w:type="dxa"/>
            <w:vAlign w:val="bottom"/>
            <w:gridSpan w:val="2"/>
          </w:tcPr>
          <w:p>
            <w:pPr>
              <w:jc w:val="right"/>
              <w:ind w:right="768"/>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8,359</w:t>
            </w:r>
          </w:p>
        </w:tc>
        <w:tc>
          <w:tcPr>
            <w:tcW w:w="160" w:type="dxa"/>
            <w:vAlign w:val="bottom"/>
          </w:tcPr>
          <w:p>
            <w:pPr>
              <w:spacing w:after="0"/>
              <w:rPr>
                <w:sz w:val="17"/>
                <w:szCs w:val="17"/>
                <w:color w:val="auto"/>
              </w:rPr>
            </w:pPr>
          </w:p>
        </w:tc>
        <w:tc>
          <w:tcPr>
            <w:tcW w:w="1040" w:type="dxa"/>
            <w:vAlign w:val="bottom"/>
            <w:gridSpan w:val="2"/>
          </w:tcPr>
          <w:p>
            <w:pPr>
              <w:jc w:val="right"/>
              <w:ind w:right="840"/>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9,911</w:t>
            </w:r>
          </w:p>
        </w:tc>
        <w:tc>
          <w:tcPr>
            <w:tcW w:w="100" w:type="dxa"/>
            <w:vAlign w:val="bottom"/>
          </w:tcPr>
          <w:p>
            <w:pPr>
              <w:spacing w:after="0"/>
              <w:rPr>
                <w:sz w:val="17"/>
                <w:szCs w:val="17"/>
                <w:color w:val="auto"/>
              </w:rPr>
            </w:pPr>
          </w:p>
        </w:tc>
      </w:tr>
      <w:tr>
        <w:trPr>
          <w:trHeight w:val="203"/>
        </w:trPr>
        <w:tc>
          <w:tcPr>
            <w:tcW w:w="756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Operating lease right-of-use asset obtained in exchange for operating lease liability</w:t>
            </w:r>
          </w:p>
        </w:tc>
        <w:tc>
          <w:tcPr>
            <w:tcW w:w="18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23,869</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7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r>
      <w:tr>
        <w:trPr>
          <w:trHeight w:val="203"/>
        </w:trPr>
        <w:tc>
          <w:tcPr>
            <w:tcW w:w="7560" w:type="dxa"/>
            <w:vAlign w:val="bottom"/>
          </w:tcPr>
          <w:p>
            <w:pPr>
              <w:spacing w:after="0"/>
              <w:rPr>
                <w:sz w:val="20"/>
                <w:szCs w:val="20"/>
                <w:color w:val="auto"/>
              </w:rPr>
            </w:pPr>
            <w:r>
              <w:rPr>
                <w:rFonts w:ascii="Times New Roman" w:cs="Times New Roman" w:eastAsia="Times New Roman" w:hAnsi="Times New Roman"/>
                <w:sz w:val="17"/>
                <w:szCs w:val="17"/>
                <w:color w:val="auto"/>
              </w:rPr>
              <w:t>Finance lease right-of-use asset obtained in exchange for finance lease liability</w:t>
            </w: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2,360</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4,572</w:t>
            </w:r>
          </w:p>
        </w:tc>
        <w:tc>
          <w:tcPr>
            <w:tcW w:w="100" w:type="dxa"/>
            <w:vAlign w:val="bottom"/>
          </w:tcPr>
          <w:p>
            <w:pPr>
              <w:spacing w:after="0"/>
              <w:rPr>
                <w:sz w:val="17"/>
                <w:szCs w:val="17"/>
                <w:color w:val="auto"/>
              </w:rPr>
            </w:pPr>
          </w:p>
        </w:tc>
      </w:tr>
      <w:tr>
        <w:trPr>
          <w:trHeight w:val="203"/>
        </w:trPr>
        <w:tc>
          <w:tcPr>
            <w:tcW w:w="756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Decrease in operating lease right-of-use asset due to lease modification</w:t>
            </w:r>
          </w:p>
        </w:tc>
        <w:tc>
          <w:tcPr>
            <w:tcW w:w="18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5,349</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7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r>
      <w:tr>
        <w:trPr>
          <w:trHeight w:val="222"/>
        </w:trPr>
        <w:tc>
          <w:tcPr>
            <w:tcW w:w="7560" w:type="dxa"/>
            <w:vAlign w:val="bottom"/>
          </w:tcPr>
          <w:p>
            <w:pPr>
              <w:spacing w:after="0"/>
              <w:rPr>
                <w:sz w:val="20"/>
                <w:szCs w:val="20"/>
                <w:color w:val="auto"/>
              </w:rPr>
            </w:pPr>
            <w:r>
              <w:rPr>
                <w:rFonts w:ascii="Times New Roman" w:cs="Times New Roman" w:eastAsia="Times New Roman" w:hAnsi="Times New Roman"/>
                <w:sz w:val="17"/>
                <w:szCs w:val="17"/>
                <w:color w:val="auto"/>
              </w:rPr>
              <w:t>Decrease in operating lease liability due to lease modification</w:t>
            </w: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7,599</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-3046730</wp:posOffset>
            </wp:positionV>
            <wp:extent cx="6858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-3046730</wp:posOffset>
            </wp:positionV>
            <wp:extent cx="6858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5890260</wp:posOffset>
            </wp:positionH>
            <wp:positionV relativeFrom="paragraph">
              <wp:posOffset>-2793365</wp:posOffset>
            </wp:positionV>
            <wp:extent cx="93980" cy="1714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93980" cy="171450"/>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-2793365</wp:posOffset>
            </wp:positionV>
            <wp:extent cx="93980" cy="1714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93980" cy="17145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-1212215</wp:posOffset>
            </wp:positionV>
            <wp:extent cx="6858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-1212215</wp:posOffset>
            </wp:positionV>
            <wp:extent cx="6858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-946150</wp:posOffset>
            </wp:positionV>
            <wp:extent cx="6858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-946150</wp:posOffset>
            </wp:positionV>
            <wp:extent cx="6858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 consolidated financial statements.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Axsome Therapeutics,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(In thousands, except share and per share amounts)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Nature of Business and Basis of Presentation</w:t>
      </w:r>
    </w:p>
    <w:p>
      <w:pPr>
        <w:spacing w:after="0" w:line="229" w:lineRule="exact"/>
        <w:rPr>
          <w:sz w:val="20"/>
          <w:szCs w:val="20"/>
          <w:color w:val="auto"/>
        </w:rPr>
      </w:pPr>
    </w:p>
    <w:p>
      <w:pPr>
        <w:ind w:right="80" w:firstLine="749"/>
        <w:spacing w:after="0" w:line="258" w:lineRule="auto"/>
        <w:rPr>
          <w:sz w:val="20"/>
          <w:szCs w:val="20"/>
          <w:color w:val="auto"/>
        </w:rPr>
      </w:pPr>
      <w:r>
        <w:rPr>
          <w:rFonts w:ascii="Times New Roman" w:cs="Times New Roman" w:eastAsia="Times New Roman" w:hAnsi="Times New Roman"/>
          <w:sz w:val="18"/>
          <w:szCs w:val="18"/>
          <w:color w:val="auto"/>
        </w:rPr>
        <w:t>Axsome Therapeutics, Inc. (“Axsome” or the “Company”), based in New York, New York, is a biopharmaceutical company dedicated to the development and commercialization of innovative medicines for people living with central nervous system (“CNS”) conditions. Axsome has a diverse portfolio of U.S. Food and Drug Administration (FDA) approved treatments for major depressive disorder, excessive daytime sleepiness associated with narcolepsy or obstructive sleep apnea, and migraine, and an expansive pipeline comprised of multiple late-stage development programs addressing a broad range of serious neurological and psychiatric conditions that impact over 150 million people in the United States.</w:t>
      </w:r>
    </w:p>
    <w:p>
      <w:pPr>
        <w:spacing w:after="0" w:line="190" w:lineRule="exact"/>
        <w:rPr>
          <w:sz w:val="20"/>
          <w:szCs w:val="20"/>
          <w:color w:val="auto"/>
        </w:rPr>
      </w:pPr>
    </w:p>
    <w:p>
      <w:pPr>
        <w:ind w:firstLine="749"/>
        <w:spacing w:after="0"/>
        <w:rPr>
          <w:sz w:val="20"/>
          <w:szCs w:val="20"/>
          <w:color w:val="auto"/>
        </w:rPr>
      </w:pPr>
      <w:r>
        <w:rPr>
          <w:rFonts w:ascii="Times New Roman" w:cs="Times New Roman" w:eastAsia="Times New Roman" w:hAnsi="Times New Roman"/>
          <w:sz w:val="18"/>
          <w:szCs w:val="18"/>
          <w:color w:val="auto"/>
        </w:rPr>
        <w:t>In August 2022, the Company acquired the U.S. rights to Sunosi</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(solriamfetol) from Jazz Pharmaceuticals plc (“Jazz”), and in November 2022, the Company acquired worldwide ex-U.S. rights (excluding certain Asian markets) from Jazz (collectively, the “Acquisition”). Sunosi was approved for the treatment of excessive daytime sleepiness (EDS) in adult patients with narcolepsy or obstructive sleep apnea by the FDA in March 2019 and by the European Commission in January 2020. In February 2023, the Company announced a licensing transaction with Atnahs Pharma UK Limited (“Pharmanovia”) to market Sunosi in Europe and certain countries in the Middle East / North Africa.</w:t>
      </w:r>
    </w:p>
    <w:p>
      <w:pPr>
        <w:spacing w:after="0" w:line="17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In August 2022, Auvelity</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(dextromethorphan-bupropion) was approved by the FDA for the treatment of major depressive disorder in adults.</w:t>
      </w:r>
    </w:p>
    <w:p>
      <w:pPr>
        <w:spacing w:after="0"/>
        <w:rPr>
          <w:sz w:val="20"/>
          <w:szCs w:val="20"/>
          <w:color w:val="auto"/>
        </w:rPr>
      </w:pPr>
      <w:r>
        <w:rPr>
          <w:rFonts w:ascii="Times New Roman" w:cs="Times New Roman" w:eastAsia="Times New Roman" w:hAnsi="Times New Roman"/>
          <w:sz w:val="18"/>
          <w:szCs w:val="18"/>
          <w:color w:val="auto"/>
        </w:rPr>
        <w:t>The Company announced the commercial availability of Auvelity in the U.S. in October 2022.</w:t>
      </w:r>
    </w:p>
    <w:p>
      <w:pPr>
        <w:spacing w:after="0" w:line="212" w:lineRule="exact"/>
        <w:rPr>
          <w:sz w:val="20"/>
          <w:szCs w:val="20"/>
          <w:color w:val="auto"/>
        </w:rPr>
      </w:pPr>
    </w:p>
    <w:p>
      <w:pPr>
        <w:ind w:right="140" w:firstLine="749"/>
        <w:spacing w:after="0" w:line="227" w:lineRule="auto"/>
        <w:rPr>
          <w:sz w:val="20"/>
          <w:szCs w:val="20"/>
          <w:color w:val="auto"/>
        </w:rPr>
      </w:pPr>
      <w:r>
        <w:rPr>
          <w:rFonts w:ascii="Times New Roman" w:cs="Times New Roman" w:eastAsia="Times New Roman" w:hAnsi="Times New Roman"/>
          <w:sz w:val="18"/>
          <w:szCs w:val="18"/>
          <w:color w:val="auto"/>
        </w:rPr>
        <w:t>In January 2025, Symbravo</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(MoSEIC</w:t>
      </w:r>
      <w:r>
        <w:rPr>
          <w:rFonts w:ascii="Times New Roman" w:cs="Times New Roman" w:eastAsia="Times New Roman" w:hAnsi="Times New Roman"/>
          <w:sz w:val="24"/>
          <w:szCs w:val="24"/>
          <w:color w:val="auto"/>
          <w:vertAlign w:val="superscript"/>
        </w:rPr>
        <w:t>TM</w:t>
      </w:r>
      <w:r>
        <w:rPr>
          <w:rFonts w:ascii="Times New Roman" w:cs="Times New Roman" w:eastAsia="Times New Roman" w:hAnsi="Times New Roman"/>
          <w:sz w:val="18"/>
          <w:szCs w:val="18"/>
          <w:color w:val="auto"/>
        </w:rPr>
        <w:t xml:space="preserve"> meloxicam-rizatriptan) was approved by the FDA for the acute treatment of migraine with or without aura in adults. The Company announced the commercial availability of Symbravo in the U.S. in June 2025.</w:t>
      </w:r>
    </w:p>
    <w:p>
      <w:pPr>
        <w:spacing w:after="0" w:line="198" w:lineRule="exact"/>
        <w:rPr>
          <w:sz w:val="20"/>
          <w:szCs w:val="20"/>
          <w:color w:val="auto"/>
        </w:rPr>
      </w:pPr>
    </w:p>
    <w:p>
      <w:pPr>
        <w:ind w:right="280" w:firstLine="749"/>
        <w:spacing w:after="0" w:line="282" w:lineRule="auto"/>
        <w:rPr>
          <w:sz w:val="20"/>
          <w:szCs w:val="20"/>
          <w:color w:val="auto"/>
        </w:rPr>
      </w:pPr>
      <w:r>
        <w:rPr>
          <w:rFonts w:ascii="Times New Roman" w:cs="Times New Roman" w:eastAsia="Times New Roman" w:hAnsi="Times New Roman"/>
          <w:sz w:val="18"/>
          <w:szCs w:val="18"/>
          <w:color w:val="auto"/>
        </w:rPr>
        <w:t>The Company refers herein to Auvelity, Sunosi, Symbravo, AXS-12, AXS-14, and its programs to develop additional indications for AXS-05 and solriamfetol as the Company’s products.</w:t>
      </w:r>
    </w:p>
    <w:p>
      <w:pPr>
        <w:spacing w:after="0" w:line="162" w:lineRule="exact"/>
        <w:rPr>
          <w:sz w:val="20"/>
          <w:szCs w:val="20"/>
          <w:color w:val="auto"/>
        </w:rPr>
      </w:pPr>
    </w:p>
    <w:p>
      <w:pPr>
        <w:ind w:right="140" w:firstLine="749"/>
        <w:spacing w:after="0" w:line="256" w:lineRule="auto"/>
        <w:rPr>
          <w:sz w:val="20"/>
          <w:szCs w:val="20"/>
          <w:color w:val="auto"/>
        </w:rPr>
      </w:pPr>
      <w:r>
        <w:rPr>
          <w:rFonts w:ascii="Times New Roman" w:cs="Times New Roman" w:eastAsia="Times New Roman" w:hAnsi="Times New Roman"/>
          <w:sz w:val="18"/>
          <w:szCs w:val="18"/>
          <w:color w:val="auto"/>
        </w:rPr>
        <w:t>The accompanying unaudited interim consolidated financial statements have been prepared by the Company in accordance with accounting principles generally accepted in the United States (“GAAP”) for interim information and pursuant to the rules and regulations of the Securities and Exchange Commission (the “SEC”) for reporting on Form 10-Q. Accordingly, certain information and footnote disclosures normally included in financial statements prepared in accordance with GAAP have been condensed or omitted pursuant to such rules and regulations. These unaudited interim consolidated financial statements should be read in conjunction with the audited financial statements and related notes included in the Company’s Annual Report on Form 10-K for the year ended December 31, 2024 filed with the SEC on February 18, 2025.</w:t>
      </w:r>
    </w:p>
    <w:p>
      <w:pPr>
        <w:spacing w:after="0" w:line="187" w:lineRule="exact"/>
        <w:rPr>
          <w:sz w:val="20"/>
          <w:szCs w:val="20"/>
          <w:color w:val="auto"/>
        </w:rPr>
      </w:pPr>
    </w:p>
    <w:p>
      <w:pPr>
        <w:ind w:right="220" w:firstLine="749"/>
        <w:spacing w:after="0" w:line="266" w:lineRule="auto"/>
        <w:rPr>
          <w:sz w:val="20"/>
          <w:szCs w:val="20"/>
          <w:color w:val="auto"/>
        </w:rPr>
      </w:pPr>
      <w:r>
        <w:rPr>
          <w:rFonts w:ascii="Times New Roman" w:cs="Times New Roman" w:eastAsia="Times New Roman" w:hAnsi="Times New Roman"/>
          <w:sz w:val="18"/>
          <w:szCs w:val="18"/>
          <w:color w:val="auto"/>
        </w:rPr>
        <w:t>In the opinion of management, the unaudited interim consolidated financial statements reflect all adjustments, which are normal recurring adjustments, necessary for the fair presentation of the financial information for the interim periods. The results of operations for the three and six months ended June 30, 2025 are not necessarily indicative of the operating results for the full fiscal year or any future period.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ind w:right="740" w:firstLine="749"/>
        <w:spacing w:after="0" w:line="282" w:lineRule="auto"/>
        <w:rPr>
          <w:sz w:val="20"/>
          <w:szCs w:val="20"/>
          <w:color w:val="auto"/>
        </w:rPr>
      </w:pPr>
      <w:r>
        <w:rPr>
          <w:rFonts w:ascii="Times New Roman" w:cs="Times New Roman" w:eastAsia="Times New Roman" w:hAnsi="Times New Roman"/>
          <w:sz w:val="18"/>
          <w:szCs w:val="18"/>
          <w:color w:val="auto"/>
        </w:rPr>
        <w:t>The Company has incurred operating losses since its inception and expects to continue to incur operating losses and may never become profitable. As of June 30, 2025, the Company had an accumulated deficit of $1,230.2 million.</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60" w:firstLine="749"/>
        <w:spacing w:after="0" w:line="258" w:lineRule="auto"/>
        <w:rPr>
          <w:sz w:val="20"/>
          <w:szCs w:val="20"/>
          <w:color w:val="auto"/>
        </w:rPr>
      </w:pPr>
      <w:r>
        <w:rPr>
          <w:rFonts w:ascii="Times New Roman" w:cs="Times New Roman" w:eastAsia="Times New Roman" w:hAnsi="Times New Roman"/>
          <w:sz w:val="18"/>
          <w:szCs w:val="18"/>
          <w:color w:val="auto"/>
        </w:rPr>
        <w:t>The Company’s primary sources of cash have been proceeds from the sales of Auvelity, Sunosi, Symbravo, the issuance and sale of its common stock in public offerings, and the issuance of debt. The Company’s ability to achieve profitability depends on a number of factors, including its ability to obtain regulatory approval for its product candidates, successfully complete any post-approval regulatory obligations and successfully commercialize its product candidates alone or in partnership with third parties. The Company may continue to incur substantial operating losses even as it continues to generate revenues from its products.</w:t>
      </w:r>
    </w:p>
    <w:p>
      <w:pPr>
        <w:spacing w:after="0" w:line="183"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The Company believes its existing cash will be sufficient to fund its anticipated operating cash requirements for at least twelve months following the date of this filing. During that time, the Company expects that its expenses will increase primarily due to the commercialization of Auvelity, Sunosi, and Symbravo while continuing to further develop the Company’s pipeline assets. The Company may use a combination of public and private equity offerings, debt financings, other third-party funding, strategic alliances, licensing arrangements or marketing and distribution arrangements if market conditions are favorable or as a result of other strategic considerations to finance its future cash needs.</w:t>
      </w:r>
    </w:p>
    <w:p>
      <w:pPr>
        <w:spacing w:after="0" w:line="18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Company’s common stock is listed on The Nasdaq Global Market and trades under the symbol “AXSM.”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Significant Risks and Uncertainties</w:t>
      </w:r>
    </w:p>
    <w:p>
      <w:pPr>
        <w:spacing w:after="0" w:line="229" w:lineRule="exact"/>
        <w:rPr>
          <w:sz w:val="20"/>
          <w:szCs w:val="20"/>
          <w:color w:val="auto"/>
        </w:rPr>
      </w:pPr>
    </w:p>
    <w:p>
      <w:pPr>
        <w:ind w:right="20" w:firstLine="749"/>
        <w:spacing w:after="0" w:line="256" w:lineRule="auto"/>
        <w:rPr>
          <w:sz w:val="20"/>
          <w:szCs w:val="20"/>
          <w:color w:val="auto"/>
        </w:rPr>
      </w:pPr>
      <w:r>
        <w:rPr>
          <w:rFonts w:ascii="Times New Roman" w:cs="Times New Roman" w:eastAsia="Times New Roman" w:hAnsi="Times New Roman"/>
          <w:sz w:val="18"/>
          <w:szCs w:val="18"/>
          <w:color w:val="auto"/>
        </w:rPr>
        <w:t>The Company’s operations are subject to a number of factors that can affect its operating results and financial condition. Such factors include, but are not limited to: the results of clinical testing and trial activities of the Company’s product candidates; the Company’s ability to obtain regulatory approval to market its products; competition from products manufactured and sold or being developed by other companies; the price of, and demand for, the Company’s products; the Company’s ability to negotiate favorable licensing or other manufacturing and marketing agreements for its products; and the Company’s ability to raise additional capital. If the Company’s commercialization of its products is not financially successful, it will be unable to generate sufficient recurring product revenue to achieve and maintain profitability.</w:t>
      </w:r>
    </w:p>
    <w:p>
      <w:pPr>
        <w:spacing w:after="0" w:line="187" w:lineRule="exact"/>
        <w:rPr>
          <w:sz w:val="20"/>
          <w:szCs w:val="20"/>
          <w:color w:val="auto"/>
        </w:rPr>
      </w:pPr>
    </w:p>
    <w:p>
      <w:pPr>
        <w:ind w:right="160" w:firstLine="749"/>
        <w:spacing w:after="0" w:line="258" w:lineRule="auto"/>
        <w:rPr>
          <w:sz w:val="20"/>
          <w:szCs w:val="20"/>
          <w:color w:val="auto"/>
        </w:rPr>
      </w:pPr>
      <w:r>
        <w:rPr>
          <w:rFonts w:ascii="Times New Roman" w:cs="Times New Roman" w:eastAsia="Times New Roman" w:hAnsi="Times New Roman"/>
          <w:sz w:val="18"/>
          <w:szCs w:val="18"/>
          <w:color w:val="auto"/>
        </w:rPr>
        <w:t>The Company currently has three commercial products, Auvelity, Sunosi, and Symbravo. There can be no assurance that the Company’s research and development efforts will result in additional successfully commercialized products. Developing and commercializing a product requires significant time and capital and is subject to regulatory review and approval as well as competition from other biotechnology and pharmaceutical companies. The Company operates in an environment of rapid change and is dependent upon the continued services of its employees and consultants and obtaining and protecting intellectual property.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229" w:lineRule="exact"/>
        <w:rPr>
          <w:sz w:val="20"/>
          <w:szCs w:val="20"/>
          <w:color w:val="auto"/>
        </w:rPr>
      </w:pPr>
    </w:p>
    <w:p>
      <w:pPr>
        <w:ind w:right="140" w:firstLine="749"/>
        <w:spacing w:after="0" w:line="253" w:lineRule="auto"/>
        <w:rPr>
          <w:sz w:val="20"/>
          <w:szCs w:val="20"/>
          <w:color w:val="auto"/>
        </w:rPr>
      </w:pPr>
      <w:r>
        <w:rPr>
          <w:rFonts w:ascii="Times New Roman" w:cs="Times New Roman" w:eastAsia="Times New Roman" w:hAnsi="Times New Roman"/>
          <w:sz w:val="18"/>
          <w:szCs w:val="18"/>
          <w:color w:val="auto"/>
        </w:rPr>
        <w:t>Management considers many factors in developing the estimates and assumptions that are used in the preparation of these financial statements. Management must apply significant judgment in this process. In addition, other factors may affect estimates, including expected business and operational changes, sensitivity and volatility associated with the assumptions used in developing estimates, and whether historical trends are expected to be representative of future trends. The estimation process often may yield a range of potentially reasonable estimates of ultimate future outcomes, and management must select an amount that falls within that range of reasonable estimates. This process may result in actual results differing materially from those estimated amounts used in the preparation of the financial statements if these results differ from historical experience, or other assumptions do not turn out to be substantially accurate, even if such assumptions are reasonable when made. In preparing these financial statements, management used significant estimates in the following areas, among others: stock-based compensation expense; determination of fair value of warrants; accounting for research and development costs; accounting for acquisitions; impairments of goodwill and the intangible asset; determination of fair value of contingent consideration; chargebacks, cash discounts, sales rebates, returns and other adjustments; and the recoverability of the Company’s net deferred tax assets and related valuation allowance.</w:t>
      </w: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4" w:right="37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229"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In accordance with Accounting Standards Codification (“ASC”) Topic 606, Revenue from Contracts with Customers (“ASC 606”) the Company recognizes revenue when the customer obtains control of a promised good or service, in an amount that reflects the consideration that the Company expects to receive in exchange for the good or service. Transfer of control is based on contractual performance obligations, which occurs upon transfer of the title along with the physical transfer of the Company’s goods to the customer, as that is when the customer has obtained control of significantly all of the economic benefits and the Company obtains a right of payment.</w:t>
      </w:r>
    </w:p>
    <w:p>
      <w:pPr>
        <w:spacing w:after="0" w:line="183" w:lineRule="exact"/>
        <w:rPr>
          <w:sz w:val="20"/>
          <w:szCs w:val="20"/>
          <w:color w:val="auto"/>
        </w:rPr>
      </w:pPr>
    </w:p>
    <w:p>
      <w:pPr>
        <w:ind w:right="20" w:firstLine="749"/>
        <w:spacing w:after="0" w:line="254" w:lineRule="auto"/>
        <w:rPr>
          <w:sz w:val="20"/>
          <w:szCs w:val="20"/>
          <w:color w:val="auto"/>
        </w:rPr>
      </w:pPr>
      <w:r>
        <w:rPr>
          <w:rFonts w:ascii="Times New Roman" w:cs="Times New Roman" w:eastAsia="Times New Roman" w:hAnsi="Times New Roman"/>
          <w:sz w:val="18"/>
          <w:szCs w:val="18"/>
          <w:color w:val="auto"/>
        </w:rPr>
        <w:t>To determine revenue recognition for arrangements that the Company determines are within the scope of ASC 606, the Company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entity satisfies a performance obligation. The Company only applies the five-step model to arrangements that meet the definition of a contract under ASC 606, including when it is probable that the Company will collect the consideration it is entitled to in exchange for the goods or services it transfers to the customer. At contract inception, once the contract is determined to be within the scope of ASC 606, the Company assesses the goods or services promised within each contract and determines those that are performance obligations and assesses whether each promised good or service is distinct. The Company then recognizes as revenue the amount of the transaction price that is allocated to the respective performance obligation when (or as) the performance obligation is satisfied. For a complete discussion of accounting for product sales, see Product Sales, net and Note 13. Revenues.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License Agreements</w:t>
      </w:r>
    </w:p>
    <w:p>
      <w:pPr>
        <w:spacing w:after="0" w:line="227" w:lineRule="exact"/>
        <w:rPr>
          <w:sz w:val="20"/>
          <w:szCs w:val="20"/>
          <w:color w:val="auto"/>
        </w:rPr>
      </w:pPr>
    </w:p>
    <w:p>
      <w:pPr>
        <w:ind w:right="60" w:firstLine="749"/>
        <w:spacing w:after="0" w:line="266" w:lineRule="auto"/>
        <w:rPr>
          <w:sz w:val="20"/>
          <w:szCs w:val="20"/>
          <w:color w:val="auto"/>
        </w:rPr>
      </w:pPr>
      <w:r>
        <w:rPr>
          <w:rFonts w:ascii="Times New Roman" w:cs="Times New Roman" w:eastAsia="Times New Roman" w:hAnsi="Times New Roman"/>
          <w:sz w:val="18"/>
          <w:szCs w:val="18"/>
          <w:color w:val="auto"/>
        </w:rPr>
        <w:t>The Company generates revenue from license or similar agreements with pharmaceutical companies for the development and commercialization of certain products. Such agreements may include the transfer of intellectual property rights in the form of licenses. Payments made by the customer may include non-refundable upfront fees, payments based upon the achievement of defined milestones and royalties on sales of products.</w:t>
      </w:r>
    </w:p>
    <w:p>
      <w:pPr>
        <w:spacing w:after="0" w:line="176" w:lineRule="exact"/>
        <w:rPr>
          <w:sz w:val="20"/>
          <w:szCs w:val="20"/>
          <w:color w:val="auto"/>
        </w:rPr>
      </w:pPr>
    </w:p>
    <w:p>
      <w:pPr>
        <w:ind w:right="120" w:firstLine="749"/>
        <w:spacing w:after="0" w:line="255" w:lineRule="auto"/>
        <w:rPr>
          <w:sz w:val="20"/>
          <w:szCs w:val="20"/>
          <w:color w:val="auto"/>
        </w:rPr>
      </w:pPr>
      <w:r>
        <w:rPr>
          <w:rFonts w:ascii="Times New Roman" w:cs="Times New Roman" w:eastAsia="Times New Roman" w:hAnsi="Times New Roman"/>
          <w:sz w:val="18"/>
          <w:szCs w:val="18"/>
          <w:color w:val="auto"/>
        </w:rPr>
        <w:t>If a license to the Company’s intellectual property is determined to be distinct from the other performance obligations identified in the arrangement, the Company recognizes the transaction price allocated to the license as revenue upon transfer of control of the license. All other promised goods or services in the agreement are evaluated to determine if they are distinct. If they are not distinct, they are combined with other promised goods or services to create a bundle of promised goods or services that is distinct. Optional future services where any additional consideration paid to the Company reflects their standalone selling prices do not provide the customer with a material right, and, therefore, are not considered performance obligations. If optional future services are priced in a manner which provides the customer with a significant or incremental discount, they are material rights and are accounted for as separate performance obligations.</w:t>
      </w:r>
    </w:p>
    <w:p>
      <w:pPr>
        <w:spacing w:after="0" w:line="189" w:lineRule="exact"/>
        <w:rPr>
          <w:sz w:val="20"/>
          <w:szCs w:val="20"/>
          <w:color w:val="auto"/>
        </w:rPr>
      </w:pPr>
    </w:p>
    <w:p>
      <w:pPr>
        <w:ind w:right="100" w:firstLine="749"/>
        <w:spacing w:after="0" w:line="254" w:lineRule="auto"/>
        <w:rPr>
          <w:sz w:val="20"/>
          <w:szCs w:val="20"/>
          <w:color w:val="auto"/>
        </w:rPr>
      </w:pPr>
      <w:r>
        <w:rPr>
          <w:rFonts w:ascii="Times New Roman" w:cs="Times New Roman" w:eastAsia="Times New Roman" w:hAnsi="Times New Roman"/>
          <w:sz w:val="18"/>
          <w:szCs w:val="18"/>
          <w:color w:val="auto"/>
        </w:rPr>
        <w:t>Contingent milestones at contract inception are estimated to the extent that it is probable that a significant revenue reversal would not occur and are included in the transaction price using the most likely amount method. Milestone payments that are not within the Company’s control, such as regulatory approvals, are not considered probable of being achieved until those approvals are received, and, therefore, the variable consideration is constrained. The transaction price is then allocated to each performance obligation on a relative stand-alone selling price basis, for which the Company recognizes revenue as or when the performance obligations under the contract are satisfied. At the end of each reporting period, the Company re-evaluates the probability of achieving development or sales-based milestone payments that a significant revenue reversal would not occur and, if necessary, adjusts the estimate of the overall transaction price. Any such adjustments are recorded on a cumulative catch-up basis, which would affect license and other revenue, as well as earnings, in the period of adjustment.</w:t>
      </w:r>
    </w:p>
    <w:p>
      <w:pPr>
        <w:spacing w:after="0" w:line="192" w:lineRule="exact"/>
        <w:rPr>
          <w:sz w:val="20"/>
          <w:szCs w:val="20"/>
          <w:color w:val="auto"/>
        </w:rPr>
      </w:pPr>
    </w:p>
    <w:p>
      <w:pPr>
        <w:jc w:val="both"/>
        <w:ind w:right="480" w:firstLine="749"/>
        <w:spacing w:after="0" w:line="266" w:lineRule="auto"/>
        <w:rPr>
          <w:sz w:val="20"/>
          <w:szCs w:val="20"/>
          <w:color w:val="auto"/>
        </w:rPr>
      </w:pPr>
      <w:r>
        <w:rPr>
          <w:rFonts w:ascii="Times New Roman" w:cs="Times New Roman" w:eastAsia="Times New Roman" w:hAnsi="Times New Roman"/>
          <w:sz w:val="18"/>
          <w:szCs w:val="18"/>
          <w:color w:val="auto"/>
        </w:rPr>
        <w:t>For arrangements that include sales-based royalties, including sales-based milestone payments, and a license of intellectual property that is deemed to be the predominant item to which the royalties relate, revenue is recognized at the later of (i) when the related sales occur, or (ii) when the performance obligation to which some or all of the royalties have been allocated has been satisfied (or partially satisfied).</w:t>
      </w: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Sales, net</w:t>
      </w:r>
    </w:p>
    <w:p>
      <w:pPr>
        <w:spacing w:after="0" w:line="227" w:lineRule="exact"/>
        <w:rPr>
          <w:sz w:val="20"/>
          <w:szCs w:val="20"/>
          <w:color w:val="auto"/>
        </w:rPr>
      </w:pPr>
    </w:p>
    <w:p>
      <w:pPr>
        <w:ind w:firstLine="749"/>
        <w:spacing w:after="0" w:line="255" w:lineRule="auto"/>
        <w:rPr>
          <w:sz w:val="20"/>
          <w:szCs w:val="20"/>
          <w:color w:val="auto"/>
        </w:rPr>
      </w:pPr>
      <w:r>
        <w:rPr>
          <w:rFonts w:ascii="Times New Roman" w:cs="Times New Roman" w:eastAsia="Times New Roman" w:hAnsi="Times New Roman"/>
          <w:sz w:val="18"/>
          <w:szCs w:val="18"/>
          <w:color w:val="auto"/>
        </w:rPr>
        <w:t>Revenues from product sales are recorded net of reserves for variable consideration. These reserves reflect the Company’s best estimate of the amount of consideration to which the Company is entitled based on the terms of the contracts. The Company sells Auvelity, Sunosi, and Symbravo in the United States to wholesale distributors with whom the Company has entered into formal agreements (collectively, the “Distributors”). These Distributors subsequently resell the Company’s products to retail pharmacies. The Company also sells Sunosi to Distributors in Canada and on a product supply basis to Pharmanovia. Sunosi is subsequently sold by Pharmanovia in certain ex-U.S. markets. The Company does not sell products under consignment arrangements, and the collection of proceeds from product sales is not contingent upon customers’ sale of the goods to third parties. The Company received FDA approval for Symbravo in January 2025. See Note 13. Revenues for a further breakout of product sales, net.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Reserves for Variable Consideration</w:t>
      </w:r>
    </w:p>
    <w:p>
      <w:pPr>
        <w:spacing w:after="0" w:line="227" w:lineRule="exact"/>
        <w:rPr>
          <w:sz w:val="20"/>
          <w:szCs w:val="20"/>
          <w:color w:val="auto"/>
        </w:rPr>
      </w:pPr>
    </w:p>
    <w:p>
      <w:pPr>
        <w:ind w:right="20" w:firstLine="749"/>
        <w:spacing w:after="0" w:line="254" w:lineRule="auto"/>
        <w:rPr>
          <w:sz w:val="20"/>
          <w:szCs w:val="20"/>
          <w:color w:val="auto"/>
        </w:rPr>
      </w:pPr>
      <w:r>
        <w:rPr>
          <w:rFonts w:ascii="Times New Roman" w:cs="Times New Roman" w:eastAsia="Times New Roman" w:hAnsi="Times New Roman"/>
          <w:sz w:val="18"/>
          <w:szCs w:val="18"/>
          <w:color w:val="auto"/>
        </w:rPr>
        <w:t>The Company’s estimates of variable consideration and determination of whether to include estimated amounts in the transaction price are based largely on an assessment of its anticipated performance and all information (historical, current and forecasted) that is reasonably available. These reserves reflect the Company’s best estimate of the amount of consideration to which the Company is entitled based on the terms of the contracts and are classified as reductions to accounts receivable, net if payable to a customer or accrued expenses and other current liabilities if payable to a third-party. The amount of variable consideration that is included in the transaction price may be constrained and is included in the net sales price only to the extent that is considered probable that a significant reversal in the amount of the cumulative revenue recognized will not occur in a future period. Actual amounts of consideration ultimately received may differ from the estimates. If actual results in the future vary from our estimates, the Company will adjust these estimates, which would affect net product revenue and earnings in the period such variances become known.</w:t>
      </w:r>
    </w:p>
    <w:p>
      <w:pPr>
        <w:spacing w:after="0" w:line="192" w:lineRule="exact"/>
        <w:rPr>
          <w:sz w:val="20"/>
          <w:szCs w:val="20"/>
          <w:color w:val="auto"/>
        </w:rPr>
      </w:pPr>
    </w:p>
    <w:p>
      <w:pPr>
        <w:ind w:right="160" w:firstLine="749"/>
        <w:spacing w:after="0" w:line="256" w:lineRule="auto"/>
        <w:rPr>
          <w:sz w:val="20"/>
          <w:szCs w:val="20"/>
          <w:color w:val="auto"/>
        </w:rPr>
      </w:pPr>
      <w:r>
        <w:rPr>
          <w:rFonts w:ascii="Times New Roman" w:cs="Times New Roman" w:eastAsia="Times New Roman" w:hAnsi="Times New Roman"/>
          <w:sz w:val="18"/>
          <w:szCs w:val="18"/>
          <w:color w:val="auto"/>
        </w:rPr>
        <w:t>The provision for rebates, discounts, and other incentives is based on expected patient usage, as well as inventory levels in the distribution channel to determine the contractual obligation to the benefit providers. Additionally, sales are generally made with a limited right of return under certain conditions. Revenues are recorded net of provisions for rebates, discounts, and other incentives and returns, which are established at the time of sale. The Company uses customer segment utilization mix data, changes to product price, government pricing calculations and prior payment history in order to estimate the variable consideration. Amounts accrued for rebates, discounts, and other incentives are adjusted when trends indicate that adjustment is appropriate and to reflect actual experience.</w:t>
      </w:r>
    </w:p>
    <w:p>
      <w:pPr>
        <w:spacing w:after="0" w:line="185" w:lineRule="exact"/>
        <w:rPr>
          <w:sz w:val="20"/>
          <w:szCs w:val="20"/>
          <w:color w:val="auto"/>
        </w:rPr>
      </w:pPr>
    </w:p>
    <w:p>
      <w:pPr>
        <w:ind w:right="60" w:firstLine="74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Trade Discounts and Allowances - </w:t>
      </w:r>
      <w:r>
        <w:rPr>
          <w:rFonts w:ascii="Times New Roman" w:cs="Times New Roman" w:eastAsia="Times New Roman" w:hAnsi="Times New Roman"/>
          <w:sz w:val="18"/>
          <w:szCs w:val="18"/>
          <w:color w:val="auto"/>
        </w:rPr>
        <w:t>The Company generally provides discounts which include incentive fees that are explicitly stated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Company’s contracts and are recorded as a reduction of revenue in the period the related product revenue is recognized. In addition, the Company compensates (through trade discounts and allowances) its distributors for distribution services and data. These payments have been recorded as a reduction to product sales as well as a reduction to accounts receivable, net on the consolidated balance sheets.</w:t>
      </w:r>
    </w:p>
    <w:p>
      <w:pPr>
        <w:spacing w:after="0" w:line="180" w:lineRule="exact"/>
        <w:rPr>
          <w:sz w:val="20"/>
          <w:szCs w:val="20"/>
          <w:color w:val="auto"/>
        </w:rPr>
      </w:pPr>
    </w:p>
    <w:p>
      <w:pPr>
        <w:ind w:right="120" w:firstLine="74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Product Returns - </w:t>
      </w:r>
      <w:r>
        <w:rPr>
          <w:rFonts w:ascii="Times New Roman" w:cs="Times New Roman" w:eastAsia="Times New Roman" w:hAnsi="Times New Roman"/>
          <w:sz w:val="18"/>
          <w:szCs w:val="18"/>
          <w:color w:val="auto"/>
        </w:rPr>
        <w:t>The Company generally offers a limited right of return for product that has been purchased from the Company based on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product’s expiration date. The Company estimates the amount of its product sales that may be returned and records this estimate as a reduction of revenue in the period the related product sale is recognized, as well as a component of accrued expense and other current liabilities. The Company currently estimates product return liabilities using available industry data, historical product sales information, and actual returns experience.</w:t>
      </w:r>
    </w:p>
    <w:p>
      <w:pPr>
        <w:spacing w:after="0" w:line="180" w:lineRule="exact"/>
        <w:rPr>
          <w:sz w:val="20"/>
          <w:szCs w:val="20"/>
          <w:color w:val="auto"/>
        </w:rPr>
      </w:pPr>
    </w:p>
    <w:p>
      <w:pPr>
        <w:ind w:right="140" w:firstLine="74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Chargebacks and Discounts - </w:t>
      </w:r>
      <w:r>
        <w:rPr>
          <w:rFonts w:ascii="Times New Roman" w:cs="Times New Roman" w:eastAsia="Times New Roman" w:hAnsi="Times New Roman"/>
          <w:sz w:val="18"/>
          <w:szCs w:val="18"/>
          <w:color w:val="auto"/>
        </w:rPr>
        <w:t>Chargebacks for fees and discounts to providers represent the estimated obligations resulting from contractual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commitments to sell products at prices lower than the list prices charged to distributors. Distributors charge the Company for the difference between what they pay for the product and the ultimate selling price. These reserves are established in the same period that the related product sales are recognized, resulting in a reduction to product sales and accounts receivable, net.</w:t>
      </w: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firstLine="749"/>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Rebates - </w:t>
      </w:r>
      <w:r>
        <w:rPr>
          <w:rFonts w:ascii="Times New Roman" w:cs="Times New Roman" w:eastAsia="Times New Roman" w:hAnsi="Times New Roman"/>
          <w:sz w:val="18"/>
          <w:szCs w:val="18"/>
          <w:color w:val="auto"/>
        </w:rPr>
        <w:t>Rebates apply to: Medicaid, managed care, and supplemental rebates to all applicable states as defined by the statutory government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pricing calculation requirements under the Medicaid Drug Rebate Program. Tricare rebates to the TRICARE third-party administrator are based on the statutory calculation defined in the agreement with the Defense Health Agency. Part D and Commercial Managed Care rebates are paid based on the contracts with Pharmacy Benefit Managers (“PBMs”) and Managed Care Organizations. Rebates are paid to these entities upon receipt of an invoice from the contracted entity which is based on the utilization of the product by the members of the contracted entity. Allowances for rebates also include amounts due for Medicare Inflation Based Rebates resulting from the Inflation Reduction Act of 2022 which includes measures requiring manufacturers to pay rebates where price increases exceed the rate of inflation. The Company estimates these rebates and records such estimates in the same period the related product sales are recognized, resulting in a reduction to product sales as well as a component of accrued expenses and other current liabilities.</w:t>
      </w:r>
    </w:p>
    <w:p>
      <w:pPr>
        <w:spacing w:after="0" w:line="185"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Coverage Gap - </w:t>
      </w:r>
      <w:r>
        <w:rPr>
          <w:rFonts w:ascii="Times New Roman" w:cs="Times New Roman" w:eastAsia="Times New Roman" w:hAnsi="Times New Roman"/>
          <w:sz w:val="18"/>
          <w:szCs w:val="18"/>
          <w:color w:val="auto"/>
        </w:rPr>
        <w:t>The Medicare Part D coverage gap is a period of consumer payment for prescription medication costs which lies between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initial coverage limit and the catastrophic-coverage threshold, when the patient is a member of a Medicare Part D prescription-drug program administered by the Centers for Medicare &amp; Medicaid Services. The Company estimates the percentage of goods sold to patients in the Coverage Gap and adjusts the transaction price for such discount at the time of sale resulting in a reduction to product sales as well as a component of accrued expenses and other current liabilities.</w:t>
      </w:r>
    </w:p>
    <w:p>
      <w:pPr>
        <w:spacing w:after="0" w:line="183" w:lineRule="exact"/>
        <w:rPr>
          <w:sz w:val="20"/>
          <w:szCs w:val="20"/>
          <w:color w:val="auto"/>
        </w:rPr>
      </w:pPr>
    </w:p>
    <w:p>
      <w:pPr>
        <w:ind w:right="80" w:firstLine="749"/>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Medicare Part D Program Redesign </w:t>
      </w:r>
      <w:r>
        <w:rPr>
          <w:rFonts w:ascii="Times New Roman" w:cs="Times New Roman" w:eastAsia="Times New Roman" w:hAnsi="Times New Roman"/>
          <w:sz w:val="18"/>
          <w:szCs w:val="18"/>
          <w:color w:val="auto"/>
        </w:rPr>
        <w:t>- Effective January 1, 2025, the Medicare Part D coverage gap program was replaced with a redesigned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program under the Inflation Reduction Act of 2022. The standard Part D benefit now comprises three phases: the deductible phase, the initial coverage phase and the catastrophic coverage phase. Applicable dispensed drugs will be subject to manufacturer discounts of 10% during the initial coverage phase and 20% during the catastrophic coverage phase. The Company estimates the percentage of goods sold to patients in the initial coverage and catastrophic coverage phases and adjusts the transaction price for such discount at the time of sale resulting in a reduction to product sales as well as a component of accrued expenses and other current liabilities.</w:t>
      </w:r>
    </w:p>
    <w:p>
      <w:pPr>
        <w:spacing w:after="0" w:line="182" w:lineRule="exact"/>
        <w:rPr>
          <w:sz w:val="20"/>
          <w:szCs w:val="20"/>
          <w:color w:val="auto"/>
        </w:rPr>
      </w:pPr>
    </w:p>
    <w:p>
      <w:pPr>
        <w:ind w:right="100" w:firstLine="749"/>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Other Incentives - </w:t>
      </w:r>
      <w:r>
        <w:rPr>
          <w:rFonts w:ascii="Times New Roman" w:cs="Times New Roman" w:eastAsia="Times New Roman" w:hAnsi="Times New Roman"/>
          <w:sz w:val="18"/>
          <w:szCs w:val="18"/>
          <w:color w:val="auto"/>
        </w:rPr>
        <w:t>Other incentives which the Company offers include voluntary patient assistance programs, such as the co-pay assistance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program, which are intended to provide financial assistance to qualified commercially-insured patients with prescription drug co-payments required by payers. The calculation of the accrual for co-pay assistance is based on an estimate of claims and the cost per claim that the Company expects to receive associated with product that has been recognized as revenue. The reserves are recorded in the same period the related revenue is recognized, resulting in a reduction of product sales as well as a component of accrued expenses and other current liabilities.</w:t>
      </w:r>
    </w:p>
    <w:p>
      <w:pPr>
        <w:spacing w:after="0" w:line="185" w:lineRule="exact"/>
        <w:rPr>
          <w:sz w:val="20"/>
          <w:szCs w:val="20"/>
          <w:color w:val="auto"/>
        </w:rPr>
      </w:pPr>
    </w:p>
    <w:p>
      <w:pPr>
        <w:ind w:right="340" w:firstLine="749"/>
        <w:spacing w:after="0" w:line="261" w:lineRule="auto"/>
        <w:rPr>
          <w:sz w:val="20"/>
          <w:szCs w:val="20"/>
          <w:color w:val="auto"/>
        </w:rPr>
      </w:pPr>
      <w:r>
        <w:rPr>
          <w:rFonts w:ascii="Times New Roman" w:cs="Times New Roman" w:eastAsia="Times New Roman" w:hAnsi="Times New Roman"/>
          <w:sz w:val="18"/>
          <w:szCs w:val="18"/>
          <w:color w:val="auto"/>
        </w:rPr>
        <w:t>The Company makes significant estimates and judgments that materially affect its recognition of net product revenue. Claims by third-party payors for rebates, chargebacks and discounts frequently are submitted to the Company significantly after the related sales, potentially resulting in adjustments in the period in which the new information becomes known. The Company will adjust its estimates based on new information, including information regarding actual rebates, chargebacks and discounts for its products, as it becomes available.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Cost of Revenue</w:t>
      </w:r>
    </w:p>
    <w:p>
      <w:pPr>
        <w:spacing w:after="0" w:line="229" w:lineRule="exact"/>
        <w:rPr>
          <w:sz w:val="20"/>
          <w:szCs w:val="20"/>
          <w:color w:val="auto"/>
        </w:rPr>
      </w:pPr>
    </w:p>
    <w:p>
      <w:pPr>
        <w:ind w:right="420" w:firstLine="749"/>
        <w:spacing w:after="0" w:line="312" w:lineRule="auto"/>
        <w:rPr>
          <w:sz w:val="20"/>
          <w:szCs w:val="20"/>
          <w:color w:val="auto"/>
        </w:rPr>
      </w:pPr>
      <w:r>
        <w:rPr>
          <w:rFonts w:ascii="Times New Roman" w:cs="Times New Roman" w:eastAsia="Times New Roman" w:hAnsi="Times New Roman"/>
          <w:sz w:val="17"/>
          <w:szCs w:val="17"/>
          <w:color w:val="auto"/>
        </w:rPr>
        <w:t>The Company’s cost of revenue consists of cost of product sales. Cost of product sales primarily include direct costs (inclusive of material, shipping, handling, and manufacturing costs), overhead and product royalties. Cost of product sales excludes depreciation and amortization.</w:t>
      </w:r>
    </w:p>
    <w:p>
      <w:pPr>
        <w:spacing w:after="0" w:line="140" w:lineRule="exact"/>
        <w:rPr>
          <w:sz w:val="20"/>
          <w:szCs w:val="20"/>
          <w:color w:val="auto"/>
        </w:rPr>
      </w:pPr>
    </w:p>
    <w:p>
      <w:pPr>
        <w:ind w:right="180" w:firstLine="749"/>
        <w:spacing w:after="0" w:line="255" w:lineRule="auto"/>
        <w:rPr>
          <w:sz w:val="20"/>
          <w:szCs w:val="20"/>
          <w:color w:val="auto"/>
        </w:rPr>
      </w:pPr>
      <w:r>
        <w:rPr>
          <w:rFonts w:ascii="Times New Roman" w:cs="Times New Roman" w:eastAsia="Times New Roman" w:hAnsi="Times New Roman"/>
          <w:sz w:val="18"/>
          <w:szCs w:val="18"/>
          <w:color w:val="auto"/>
        </w:rPr>
        <w:t>The Company assumed royalty and sales-based milestone commitments of Jazz to SK Biopharmaceuticals Co. Ltd. (“SK”) and Aerial Biopharma, LLC (“Aerial”). SK is the originator of Sunosi and retains rights in 12 Asian markets, including China, Korea and Japan. In 2014, Jazz acquired from Aerial worldwide rights to Sunosi excluding those Asian markets stated previously. The assumed commitments to SK and Aerial include single-digit tiered royalties based on the Company’s sales of Sunosi, and the Company is committed to pay up to $165.0 million based on revenue milestones and $1.0 million based on development milestones. Additionally, the Company pays a royalty to Antecip Bioventures II LLC (“Antecip”), an entity owned by Axsome’s Chief Executive Officer and Chairman of the Board of Directors (the “Board”), Herriot Tabuteau, M.D., equal to 3.0% of Auvelity net sales.</w:t>
      </w:r>
    </w:p>
    <w:p>
      <w:pPr>
        <w:spacing w:after="0" w:line="200" w:lineRule="exact"/>
        <w:rPr>
          <w:sz w:val="20"/>
          <w:szCs w:val="20"/>
          <w:color w:val="auto"/>
        </w:rPr>
      </w:pPr>
    </w:p>
    <w:p>
      <w:pPr>
        <w:spacing w:after="0" w:line="20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4" w:right="39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Translation</w:t>
      </w:r>
    </w:p>
    <w:p>
      <w:pPr>
        <w:spacing w:after="0" w:line="229"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Revenues and expenses denominated in foreign currency are translated into U.S. dollars at the exchange rate on the date they are incurred. Assets and liabilities of foreign operations are translated at period-end exchange rates. The effect of exchange rate fluctuations on translating foreign currency into U.S. dollars is included in the statements of operations and is not material to the Company’s consolidated financial statements.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Information</w:t>
      </w:r>
    </w:p>
    <w:p>
      <w:pPr>
        <w:spacing w:after="0" w:line="229" w:lineRule="exact"/>
        <w:rPr>
          <w:sz w:val="20"/>
          <w:szCs w:val="20"/>
          <w:color w:val="auto"/>
        </w:rPr>
      </w:pPr>
    </w:p>
    <w:p>
      <w:pPr>
        <w:ind w:right="20" w:firstLine="749"/>
        <w:spacing w:after="0" w:line="261" w:lineRule="auto"/>
        <w:rPr>
          <w:sz w:val="20"/>
          <w:szCs w:val="20"/>
          <w:color w:val="auto"/>
        </w:rPr>
      </w:pPr>
      <w:r>
        <w:rPr>
          <w:rFonts w:ascii="Times New Roman" w:cs="Times New Roman" w:eastAsia="Times New Roman" w:hAnsi="Times New Roman"/>
          <w:sz w:val="18"/>
          <w:szCs w:val="18"/>
          <w:color w:val="auto"/>
        </w:rPr>
        <w:t>Operating segments are defined as components of an enterprise for which separate discrete information is available for evaluation by the chief operating decision maker or decision-making group in deciding how to allocate resources and in assessing performance. The Company views its operations and manages its business as one operating and reporting segment, which is the business of developing and delivering novel therapies for the management of CNS disorders. See Note 18. Segment Information below for further information.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and Cash Equivalents</w:t>
      </w:r>
    </w:p>
    <w:p>
      <w:pPr>
        <w:spacing w:after="0" w:line="229" w:lineRule="exact"/>
        <w:rPr>
          <w:sz w:val="20"/>
          <w:szCs w:val="20"/>
          <w:color w:val="auto"/>
        </w:rPr>
      </w:pPr>
    </w:p>
    <w:p>
      <w:pPr>
        <w:jc w:val="both"/>
        <w:ind w:right="240" w:firstLine="749"/>
        <w:spacing w:after="0" w:line="258" w:lineRule="auto"/>
        <w:rPr>
          <w:sz w:val="20"/>
          <w:szCs w:val="20"/>
          <w:color w:val="auto"/>
        </w:rPr>
      </w:pPr>
      <w:r>
        <w:rPr>
          <w:rFonts w:ascii="Times New Roman" w:cs="Times New Roman" w:eastAsia="Times New Roman" w:hAnsi="Times New Roman"/>
          <w:sz w:val="18"/>
          <w:szCs w:val="18"/>
          <w:color w:val="auto"/>
        </w:rPr>
        <w:t>The Company considers all highly liquid investments that have maturities of three months or less when acquired to be cash equivalents. The Company’s cash and cash equivalents includes holdings in checking and overnight sweep accounts. The Company’s cash equivalents, which are money market funds held in a sweep account, are measured at fair value on a recurring basis. As of June 30, 2025, the balance of cash and cash equivalents was $303.0 million, which approximates fair value and was determined based upon Level 1 inputs. The sweep account is valued using quoted market prices with no valuation adjustments applied. Accordingly, these securities are categorized as Level 1 on the fair value hierarchy.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Concentration of Risk</w:t>
      </w:r>
    </w:p>
    <w:p>
      <w:pPr>
        <w:spacing w:after="0" w:line="227" w:lineRule="exact"/>
        <w:rPr>
          <w:sz w:val="20"/>
          <w:szCs w:val="20"/>
          <w:color w:val="auto"/>
        </w:rPr>
      </w:pPr>
    </w:p>
    <w:p>
      <w:pPr>
        <w:ind w:right="160" w:firstLine="749"/>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Concentration of Credit Risk </w:t>
      </w:r>
      <w:r>
        <w:rPr>
          <w:rFonts w:ascii="Times New Roman" w:cs="Times New Roman" w:eastAsia="Times New Roman" w:hAnsi="Times New Roman"/>
          <w:sz w:val="18"/>
          <w:szCs w:val="18"/>
          <w:color w:val="auto"/>
        </w:rPr>
        <w:t>- Financial instruments that potentially subject the Company to a concentration of credit risk consist of cash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cash equivalents. The Company maintains its cash deposits at financial institutions, which cash deposits exceed insured limits. At June 30, 2025, the majority of the Company’s cash was held by two financial institutions, and amounts on deposit were in excess of government-provided insurance limits. The Company places its cash and cash equivalents in what it believes to be high credit quality banks and money market funds and has not recognized any losses from credit risks on such accounts since inception. See Accounts Receivable, net below for further information.</w:t>
      </w:r>
    </w:p>
    <w:p>
      <w:pPr>
        <w:spacing w:after="0" w:line="183" w:lineRule="exact"/>
        <w:rPr>
          <w:sz w:val="20"/>
          <w:szCs w:val="20"/>
          <w:color w:val="auto"/>
        </w:rPr>
      </w:pPr>
    </w:p>
    <w:p>
      <w:pPr>
        <w:ind w:right="120" w:firstLine="74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Concentration of Risk, Other </w:t>
      </w:r>
      <w:r>
        <w:rPr>
          <w:rFonts w:ascii="Times New Roman" w:cs="Times New Roman" w:eastAsia="Times New Roman" w:hAnsi="Times New Roman"/>
          <w:sz w:val="18"/>
          <w:szCs w:val="18"/>
          <w:color w:val="auto"/>
        </w:rPr>
        <w:t>- The Company has a limited number of contract manufacturers for its products. At times, the Company may have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only one manufacturer or supplier for its products.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Combination</w:t>
      </w:r>
    </w:p>
    <w:p>
      <w:pPr>
        <w:spacing w:after="0" w:line="229" w:lineRule="exact"/>
        <w:rPr>
          <w:sz w:val="20"/>
          <w:szCs w:val="20"/>
          <w:color w:val="auto"/>
        </w:rPr>
      </w:pPr>
    </w:p>
    <w:p>
      <w:pPr>
        <w:ind w:right="200" w:firstLine="749"/>
        <w:spacing w:after="0" w:line="256" w:lineRule="auto"/>
        <w:rPr>
          <w:sz w:val="20"/>
          <w:szCs w:val="20"/>
          <w:color w:val="auto"/>
        </w:rPr>
      </w:pPr>
      <w:r>
        <w:rPr>
          <w:rFonts w:ascii="Times New Roman" w:cs="Times New Roman" w:eastAsia="Times New Roman" w:hAnsi="Times New Roman"/>
          <w:sz w:val="18"/>
          <w:szCs w:val="18"/>
          <w:color w:val="auto"/>
        </w:rPr>
        <w:t>The Company accounted for the Acquisition as a business combination using the acquisition method of accounting, which requires that all identifiable assets acquired, and liabilities assumed be recorded at their estimated fair values. The excess of the fair value of purchase consideration over the fair values of identifiable assets and liabilities is recorded as goodwill. When determining the fair values of assets acquired and liabilities assumed, management makes significant estimates and assumptions. Critical estimates in valuing the intangible asset include but are not limited to future expected cash flows from acquired patented technology. Management’s estimates of fair value are based upon assumptions believed to be reasonable, but are inherently uncertain and unpredictable and, as a result, actual results may differ from estimates.</w:t>
      </w:r>
    </w:p>
    <w:p>
      <w:pPr>
        <w:spacing w:after="0" w:line="18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As a result of the Acquisition, the Company recorded goodwill and an intangible asset.</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w:t>
      </w:r>
    </w:p>
    <w:p>
      <w:pPr>
        <w:spacing w:after="0" w:line="227" w:lineRule="exact"/>
        <w:rPr>
          <w:sz w:val="20"/>
          <w:szCs w:val="20"/>
          <w:color w:val="auto"/>
        </w:rPr>
      </w:pPr>
    </w:p>
    <w:p>
      <w:pPr>
        <w:ind w:right="40" w:firstLine="749"/>
        <w:spacing w:after="0" w:line="253" w:lineRule="auto"/>
        <w:rPr>
          <w:sz w:val="20"/>
          <w:szCs w:val="20"/>
          <w:color w:val="auto"/>
        </w:rPr>
      </w:pPr>
      <w:r>
        <w:rPr>
          <w:rFonts w:ascii="Times New Roman" w:cs="Times New Roman" w:eastAsia="Times New Roman" w:hAnsi="Times New Roman"/>
          <w:sz w:val="18"/>
          <w:szCs w:val="18"/>
          <w:color w:val="auto"/>
        </w:rPr>
        <w:t>Goodwill is deemed to have an indefinite life and therefore not amortized. The Company tests the carrying amounts of goodwill for recoverability on an annual basis or more frequently if events or changes in circumstances indicate that the asset might be impaired. When reviewing goodwill for impairment, the Company first evaluates the qualitative factors to determine whether it is more likely than not that the fair value of a reporting unit is less than its carrying amount. If the qualitative factors determine it is necessary to complete a goodwill impairment test, the fair value of the relevant reporting unit is determined and compared to its carrying value. If the fair value is greater than the carrying value, then the carrying value is deemed to be recoverable, and no further action is required. If the fair value estimate is less than the carrying value, goodwill is considered impaired for the amount by which the carrying amount exceeds the reporting unit’s fair value, and a charge is reported in impairment of goodwill in the Company’s consolidated statements of operations. The Company completes its annual goodwill assessment as of December 31. As of June 30, 2025, the Company has determined that it has one reporting unit. The Company has not identified any events or changes in circumstances that indicate the existence of potential impairment of goodwill during the six months ended June 30, 2025. The balance of goodwill was $12.0 million at both June 30, 2025 and December 31, 2024.</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Intangible Asset</w:t>
      </w:r>
    </w:p>
    <w:p>
      <w:pPr>
        <w:spacing w:after="0" w:line="227" w:lineRule="exact"/>
        <w:rPr>
          <w:sz w:val="20"/>
          <w:szCs w:val="20"/>
          <w:color w:val="auto"/>
        </w:rPr>
      </w:pPr>
    </w:p>
    <w:p>
      <w:pPr>
        <w:ind w:right="100" w:firstLine="749"/>
        <w:spacing w:after="0" w:line="261" w:lineRule="auto"/>
        <w:rPr>
          <w:sz w:val="20"/>
          <w:szCs w:val="20"/>
          <w:color w:val="auto"/>
        </w:rPr>
      </w:pPr>
      <w:r>
        <w:rPr>
          <w:rFonts w:ascii="Times New Roman" w:cs="Times New Roman" w:eastAsia="Times New Roman" w:hAnsi="Times New Roman"/>
          <w:sz w:val="18"/>
          <w:szCs w:val="18"/>
          <w:color w:val="auto"/>
        </w:rPr>
        <w:t>The Company’s intangible asset is amortized using the straight-line method over its estimated period of benefit of ten years. The Company evaluates recoverability of the intangible asset periodically by considering events or changes in circumstances that may warrant revised estimates of useful lives or that indicate the asset may be impaired. The Company has not identified any events or changes in circumstances that indicate the existence of potential impairment of the intangible asset during the six months ended June 30, 2025.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Contingent Consideration</w:t>
      </w:r>
    </w:p>
    <w:p>
      <w:pPr>
        <w:spacing w:after="0" w:line="229"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Consideration paid in a business combination may include potential future payments that are contingent upon the acquired business achieving certain milestones in the future (“contingent consideration”). The royalty payments due to Jazz are a high single-digit royalty on the Company’s U.S. net sales of Sunosi in the current indication and a mid-single-digit royalty on the Company’s U.S. net sales of Sunosi for future indications. Contingent consideration liabilities are measured at their estimated fair value as of the date of acquisition, with subsequent changes in fair value recorded in the consolidated statements of operations during such period a change is recognized. The Company estimates the fair value of the contingent consideration as of the Acquisition date and reporting periods thereafter using the probability weighted income approach and makes significant assumptions, including estimated future sales of Sunosi in current and future indications, timing of regulatory and commercial milestone achievements, probability of technical and regulatory success rates, and discount rates. Contingent consideration liabilities expected to be settled within 12 months after the balance sheet date are presented in current liabilities, with the non-current portion recorded within total liabilities in the consolidated balance sheets.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Measurements</w:t>
      </w:r>
    </w:p>
    <w:p>
      <w:pPr>
        <w:spacing w:after="0" w:line="229" w:lineRule="exact"/>
        <w:rPr>
          <w:sz w:val="20"/>
          <w:szCs w:val="20"/>
          <w:color w:val="auto"/>
        </w:rPr>
      </w:pPr>
    </w:p>
    <w:p>
      <w:pPr>
        <w:ind w:right="40" w:firstLine="749"/>
        <w:spacing w:after="0" w:line="220" w:lineRule="exact"/>
        <w:rPr>
          <w:sz w:val="20"/>
          <w:szCs w:val="20"/>
          <w:color w:val="auto"/>
        </w:rPr>
      </w:pPr>
      <w:r>
        <w:rPr>
          <w:rFonts w:ascii="Times New Roman" w:cs="Times New Roman" w:eastAsia="Times New Roman" w:hAnsi="Times New Roman"/>
          <w:sz w:val="18"/>
          <w:szCs w:val="18"/>
          <w:color w:val="auto"/>
        </w:rPr>
        <w:t>Fair value is defined as the exchange price that would be received for an asset or paid to transfer a liability (an exit price) in the principal or most advantageous market for the asset or liability in an orderly transaction between market participants at the measurement date. Assets and liabilities that are measured at fair value are reported using a three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level fair value hierarchy that prioritizes the inputs used to measure fair value. This hierarchy maximizes the use of observable inputs and minimizes the use of unobservable inputs. The three levels of inputs used to measure fair value are as follows:</w:t>
      </w:r>
    </w:p>
    <w:p>
      <w:pPr>
        <w:spacing w:after="0" w:line="20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Level 1—Quoted prices in active markets for identical assets or liabilities that the Company has the ability to access at the measurement date.</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Level 2—Inputs other than quoted prices in active markets that are observable for the asset or liability, either directly or indirectly.</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Level 3—Unobservable inputs for which there is little or no market data, which require the reporting entity to develop its own assumptions.</w:t>
      </w:r>
    </w:p>
    <w:p>
      <w:pPr>
        <w:spacing w:after="0" w:line="225"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To the extent that valuation is based on models or inputs that are less observable or unobservable in the market, the determination of fair value requires more judgment. Accordingly, the degree of judgment exercised by the Company in determining fair value is greatest for instruments categorized in Level 3. An asset’s or liability’s level within the fair value hierarchy is based on the lowest level of any input that is significant to the fair value measurement.</w:t>
      </w:r>
    </w:p>
    <w:p>
      <w:pPr>
        <w:spacing w:after="0" w:line="180" w:lineRule="exact"/>
        <w:rPr>
          <w:sz w:val="20"/>
          <w:szCs w:val="20"/>
          <w:color w:val="auto"/>
        </w:rPr>
      </w:pPr>
    </w:p>
    <w:p>
      <w:pPr>
        <w:ind w:right="140" w:firstLine="749"/>
        <w:spacing w:after="0" w:line="255" w:lineRule="auto"/>
        <w:rPr>
          <w:sz w:val="20"/>
          <w:szCs w:val="20"/>
          <w:color w:val="auto"/>
        </w:rPr>
      </w:pPr>
      <w:r>
        <w:rPr>
          <w:rFonts w:ascii="Times New Roman" w:cs="Times New Roman" w:eastAsia="Times New Roman" w:hAnsi="Times New Roman"/>
          <w:sz w:val="18"/>
          <w:szCs w:val="18"/>
          <w:color w:val="auto"/>
        </w:rPr>
        <w:t>The Company’s financial instruments are cash and cash equivalents, accounts receivable, accounts payable, accrued expenses and other liabilities, contingent warrant liability, short-term and long-term debt, and current and non-current contingent consideration. The Company’s Level 1 financial instruments include cash and cash equivalents, accounts receivable, accounts payable, and accrued expenses and other liabilities. They are considered Level 1 as the carrying values reported in the accompanying consolidated financial statements approximate their respective fair values due to their short-term maturities. The carrying value of debt on the Company’s balance sheet is estimated to approximate its fair value. The Company’s Level 3 financial instruments include contingent warrant liability and current and non-current contingent consideration due to the significant unobservable inputs required in determining their respective fair values.</w:t>
      </w:r>
    </w:p>
    <w:p>
      <w:pPr>
        <w:spacing w:after="0" w:line="189" w:lineRule="exact"/>
        <w:rPr>
          <w:sz w:val="20"/>
          <w:szCs w:val="20"/>
          <w:color w:val="auto"/>
        </w:rPr>
      </w:pPr>
    </w:p>
    <w:p>
      <w:pPr>
        <w:ind w:right="60" w:firstLine="749"/>
        <w:spacing w:after="0" w:line="256" w:lineRule="auto"/>
        <w:rPr>
          <w:sz w:val="20"/>
          <w:szCs w:val="20"/>
          <w:color w:val="auto"/>
        </w:rPr>
      </w:pPr>
      <w:r>
        <w:rPr>
          <w:rFonts w:ascii="Times New Roman" w:cs="Times New Roman" w:eastAsia="Times New Roman" w:hAnsi="Times New Roman"/>
          <w:sz w:val="18"/>
          <w:szCs w:val="18"/>
          <w:color w:val="auto"/>
        </w:rPr>
        <w:t>The Company categorized the fair value of contingent consideration liabilities as Level 3 within the fair value hierarchy as the estimate is based on significant unobservable inputs requiring management judgment. The fair value of contingent consideration liabilities is estimated by using the probability weighted income approach using significant assumptions, including estimated future sales of Sunosi in current and future indications, timing of regulatory and commercial milestone achievements, probability of technical and regulatory success and discount rates. Contingent consideration liabilities are subject to remeasurement at each prospective balance sheet date, with any changes in the fair value recorded in the consolidated statements of operations. See Note 6. Fair Value of Financial Instruments for further detail.</w:t>
      </w:r>
    </w:p>
    <w:p>
      <w:pPr>
        <w:spacing w:after="0" w:line="187" w:lineRule="exact"/>
        <w:rPr>
          <w:sz w:val="20"/>
          <w:szCs w:val="20"/>
          <w:color w:val="auto"/>
        </w:rPr>
      </w:pPr>
    </w:p>
    <w:p>
      <w:pPr>
        <w:ind w:right="120" w:firstLine="749"/>
        <w:spacing w:after="0" w:line="256" w:lineRule="auto"/>
        <w:rPr>
          <w:sz w:val="20"/>
          <w:szCs w:val="20"/>
          <w:color w:val="auto"/>
        </w:rPr>
      </w:pPr>
      <w:r>
        <w:rPr>
          <w:rFonts w:ascii="Times New Roman" w:cs="Times New Roman" w:eastAsia="Times New Roman" w:hAnsi="Times New Roman"/>
          <w:sz w:val="18"/>
          <w:szCs w:val="18"/>
          <w:color w:val="auto"/>
        </w:rPr>
        <w:t>The Company estimated the fair value of contingent warrant liability using the Black-Scholes model based on key assumption and inputs. The Company utilized a probability assessment to estimate the likelihood of vesting for the remaining Loan Agreement (as defined below) warrants and allocated the probability of occurrence percentage to the fair values calculated, and, therefore, was considered Level 3 within the fair value hierarchy. The Company accounted for warrants anticipated to be issued in the future under the Loan Agreement as liabilities and measured them at fair value using the Black-Scholes valuation model. In the second quarter of 2025, the Company derecognized the fair value of contingent warrant liability upon extinguishment of the Hercules Loan Agreement.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Accounts Receivable, net</w:t>
      </w:r>
    </w:p>
    <w:p>
      <w:pPr>
        <w:spacing w:after="0" w:line="229" w:lineRule="exact"/>
        <w:rPr>
          <w:sz w:val="20"/>
          <w:szCs w:val="20"/>
          <w:color w:val="auto"/>
        </w:rPr>
      </w:pPr>
    </w:p>
    <w:p>
      <w:pPr>
        <w:ind w:right="80" w:firstLine="749"/>
        <w:spacing w:after="0" w:line="266" w:lineRule="auto"/>
        <w:rPr>
          <w:sz w:val="20"/>
          <w:szCs w:val="20"/>
          <w:color w:val="auto"/>
        </w:rPr>
      </w:pPr>
      <w:r>
        <w:rPr>
          <w:rFonts w:ascii="Times New Roman" w:cs="Times New Roman" w:eastAsia="Times New Roman" w:hAnsi="Times New Roman"/>
          <w:sz w:val="18"/>
          <w:szCs w:val="18"/>
          <w:color w:val="auto"/>
        </w:rPr>
        <w:t>The Company’s accounts receivable, net arise from product sales and represent amounts due from its customers. They are generally stated at the gross sales amount, less reserves resulting from trade discounts and allowances and chargebacks. Accounts receivable typically has a standard payment term of 60 days or less and does not bear interest.</w:t>
      </w:r>
    </w:p>
    <w:p>
      <w:pPr>
        <w:spacing w:after="0" w:line="176" w:lineRule="exact"/>
        <w:rPr>
          <w:sz w:val="20"/>
          <w:szCs w:val="20"/>
          <w:color w:val="auto"/>
        </w:rPr>
      </w:pPr>
    </w:p>
    <w:p>
      <w:pPr>
        <w:ind w:right="120" w:firstLine="749"/>
        <w:spacing w:after="0" w:line="255" w:lineRule="auto"/>
        <w:rPr>
          <w:sz w:val="20"/>
          <w:szCs w:val="20"/>
          <w:color w:val="auto"/>
        </w:rPr>
      </w:pPr>
      <w:r>
        <w:rPr>
          <w:rFonts w:ascii="Times New Roman" w:cs="Times New Roman" w:eastAsia="Times New Roman" w:hAnsi="Times New Roman"/>
          <w:sz w:val="18"/>
          <w:szCs w:val="18"/>
          <w:color w:val="auto"/>
        </w:rPr>
        <w:t>The Company monitors the financial performance and creditworthiness of its customers so that it can properly assess and respond to changes in the customers’ credit profiles. During the first quarter of 2023, the Company began distributing products through wholesale customers. The Company estimates expected credit losses of its accounts receivable by assessing the risk of loss and available relevant information about collectability, including historical credit losses, existing contractual payment terms, actual payment patterns of its customers, individual customer circumstances, and reasonable and supportable forecast of economic conditions expected to exist throughout the contractual life of the receivable. The Company has not historically experienced significant credit losses. Based on its assessment, as of June 30, 2025, the Company has not recorded any allowances for doubtful accounts receivable. For further information about accounts receivable, see Note 3. Accounts Receivable, net.</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Debt Issuance Costs</w:t>
      </w:r>
    </w:p>
    <w:p>
      <w:pPr>
        <w:spacing w:after="0" w:line="229" w:lineRule="exact"/>
        <w:rPr>
          <w:sz w:val="20"/>
          <w:szCs w:val="20"/>
          <w:color w:val="auto"/>
        </w:rPr>
      </w:pPr>
    </w:p>
    <w:p>
      <w:pPr>
        <w:ind w:right="20" w:firstLine="749"/>
        <w:spacing w:after="0" w:line="261" w:lineRule="auto"/>
        <w:rPr>
          <w:sz w:val="20"/>
          <w:szCs w:val="20"/>
          <w:color w:val="auto"/>
        </w:rPr>
      </w:pPr>
      <w:r>
        <w:rPr>
          <w:rFonts w:ascii="Times New Roman" w:cs="Times New Roman" w:eastAsia="Times New Roman" w:hAnsi="Times New Roman"/>
          <w:sz w:val="18"/>
          <w:szCs w:val="18"/>
          <w:color w:val="auto"/>
        </w:rPr>
        <w:t>Debt issuance costs consist of costs incurred in obtaining long-term financing. These costs are classified on the consolidated balance sheet as a direct deduction from the carrying amount of the related debt liability and subsequently amortized as interest expense in the consolidated statement of operations using the effective interest rate method. Costs that are directly attributable to the issuance of revolving credit facilities are capitalized and ratably amortized over the term of the revolving credit facility.</w:t>
      </w:r>
    </w:p>
    <w:p>
      <w:pPr>
        <w:spacing w:after="0" w:line="178" w:lineRule="exact"/>
        <w:rPr>
          <w:sz w:val="20"/>
          <w:szCs w:val="20"/>
          <w:color w:val="auto"/>
        </w:rPr>
      </w:pPr>
    </w:p>
    <w:p>
      <w:pPr>
        <w:ind w:right="100" w:firstLine="749"/>
        <w:spacing w:after="0" w:line="257" w:lineRule="auto"/>
        <w:rPr>
          <w:sz w:val="20"/>
          <w:szCs w:val="20"/>
          <w:color w:val="auto"/>
        </w:rPr>
      </w:pPr>
      <w:r>
        <w:rPr>
          <w:rFonts w:ascii="Times New Roman" w:cs="Times New Roman" w:eastAsia="Times New Roman" w:hAnsi="Times New Roman"/>
          <w:sz w:val="18"/>
          <w:szCs w:val="18"/>
          <w:color w:val="auto"/>
        </w:rPr>
        <w:t xml:space="preserve">The Company evaluates amendments to its debt instruments in accordance with ASC 470-50, </w:t>
      </w:r>
      <w:r>
        <w:rPr>
          <w:rFonts w:ascii="Times New Roman" w:cs="Times New Roman" w:eastAsia="Times New Roman" w:hAnsi="Times New Roman"/>
          <w:sz w:val="18"/>
          <w:szCs w:val="18"/>
          <w:i w:val="1"/>
          <w:iCs w:val="1"/>
          <w:color w:val="auto"/>
        </w:rPr>
        <w:t>Debt – Modifications and Extinguishments</w:t>
      </w:r>
      <w:r>
        <w:rPr>
          <w:rFonts w:ascii="Times New Roman" w:cs="Times New Roman" w:eastAsia="Times New Roman" w:hAnsi="Times New Roman"/>
          <w:sz w:val="18"/>
          <w:szCs w:val="18"/>
          <w:color w:val="auto"/>
        </w:rPr>
        <w:t xml:space="preserve"> (“ASC 470”) to determine whether the amendment should be accounted for as a modification or an extinguishment. An amendment may be considered modified when the terms of the new debt and original instrument are not “substantially different” (as defined in the debt modification guidance in ASC 470). Amendments that are considered modifications are accounted for prospectively as yield adjustments, based on the revised terms, and lender fees and costs directly incurred with third parties, to the extent material, are recorded as debt discount and amortized to interest expense using the effective interest rate method.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Inventory</w:t>
      </w:r>
    </w:p>
    <w:p>
      <w:pPr>
        <w:spacing w:after="0" w:line="229" w:lineRule="exact"/>
        <w:rPr>
          <w:sz w:val="20"/>
          <w:szCs w:val="20"/>
          <w:color w:val="auto"/>
        </w:rPr>
      </w:pPr>
    </w:p>
    <w:p>
      <w:pPr>
        <w:ind w:right="160" w:firstLine="749"/>
        <w:spacing w:after="0" w:line="261" w:lineRule="auto"/>
        <w:rPr>
          <w:sz w:val="20"/>
          <w:szCs w:val="20"/>
          <w:color w:val="auto"/>
        </w:rPr>
      </w:pPr>
      <w:r>
        <w:rPr>
          <w:rFonts w:ascii="Times New Roman" w:cs="Times New Roman" w:eastAsia="Times New Roman" w:hAnsi="Times New Roman"/>
          <w:sz w:val="18"/>
          <w:szCs w:val="18"/>
          <w:color w:val="auto"/>
        </w:rPr>
        <w:t>The Company values its inventories at the lower of cost or estimated net realizable value. The remaining inventory associated with the Acquisition is stated at fair value due to purchase accounting. The Company performs an assessment of the recoverability of capitalized inventory during each reporting period, and it writes down any excess and obsolete inventories to their estimated net realizable value in the period in which the impairment is first identified. Such impairment charges, if they occur, are recorded within the cost of revenue.</w:t>
      </w:r>
    </w:p>
    <w:p>
      <w:pPr>
        <w:spacing w:after="0" w:line="180" w:lineRule="exact"/>
        <w:rPr>
          <w:sz w:val="20"/>
          <w:szCs w:val="20"/>
          <w:color w:val="auto"/>
        </w:rPr>
      </w:pPr>
    </w:p>
    <w:p>
      <w:pPr>
        <w:ind w:right="100" w:firstLine="749"/>
        <w:spacing w:after="0" w:line="258" w:lineRule="auto"/>
        <w:rPr>
          <w:sz w:val="20"/>
          <w:szCs w:val="20"/>
          <w:color w:val="auto"/>
        </w:rPr>
      </w:pPr>
      <w:r>
        <w:rPr>
          <w:rFonts w:ascii="Times New Roman" w:cs="Times New Roman" w:eastAsia="Times New Roman" w:hAnsi="Times New Roman"/>
          <w:sz w:val="18"/>
          <w:szCs w:val="18"/>
          <w:color w:val="auto"/>
        </w:rPr>
        <w:t>The Company capitalizes inventory costs associated with the Company’s products after regulatory approval when, based on management’s judgment, future commercialization is considered probable and the future economic benefit is expected to be realized. Inventory acquired and manufactured prior to receipt of regulatory approval of a product candidate is expensed as research and development expense as incurred. Inventory that can be used in either the production of clinical or commercial product is expensed as research and development expense when selected for use in a clinical manufacturing campaign.</w:t>
      </w:r>
    </w:p>
    <w:p>
      <w:pPr>
        <w:spacing w:after="0" w:line="183" w:lineRule="exact"/>
        <w:rPr>
          <w:sz w:val="20"/>
          <w:szCs w:val="20"/>
          <w:color w:val="auto"/>
        </w:rPr>
      </w:pPr>
    </w:p>
    <w:p>
      <w:pPr>
        <w:ind w:right="80" w:firstLine="749"/>
        <w:spacing w:after="0" w:line="282" w:lineRule="auto"/>
        <w:rPr>
          <w:sz w:val="20"/>
          <w:szCs w:val="20"/>
          <w:color w:val="auto"/>
        </w:rPr>
      </w:pPr>
      <w:r>
        <w:rPr>
          <w:rFonts w:ascii="Times New Roman" w:cs="Times New Roman" w:eastAsia="Times New Roman" w:hAnsi="Times New Roman"/>
          <w:sz w:val="18"/>
          <w:szCs w:val="18"/>
          <w:color w:val="auto"/>
        </w:rPr>
        <w:t>Inventory levels are evaluated for amounts that would be sold within one year. If the level of inventory exceeds the estimated amount that would be sold after the next 12 months, the Company classifies the estimate of such inventory as non-current.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Equipment, net</w:t>
      </w:r>
    </w:p>
    <w:p>
      <w:pPr>
        <w:spacing w:after="0" w:line="188" w:lineRule="exact"/>
        <w:rPr>
          <w:sz w:val="20"/>
          <w:szCs w:val="20"/>
          <w:color w:val="auto"/>
        </w:rPr>
      </w:pPr>
    </w:p>
    <w:p>
      <w:pPr>
        <w:jc w:val="both"/>
        <w:ind w:firstLine="749"/>
        <w:spacing w:after="0" w:line="236" w:lineRule="exact"/>
        <w:rPr>
          <w:sz w:val="20"/>
          <w:szCs w:val="20"/>
          <w:color w:val="auto"/>
        </w:rPr>
      </w:pPr>
      <w:r>
        <w:rPr>
          <w:rFonts w:ascii="Times New Roman" w:cs="Times New Roman" w:eastAsia="Times New Roman" w:hAnsi="Times New Roman"/>
          <w:sz w:val="18"/>
          <w:szCs w:val="18"/>
          <w:color w:val="auto"/>
        </w:rPr>
        <w:t>Equipment consists primarily of computer equipment and is recorded at cost. Equipment is depreciated on a straight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line basis over its estimated useful life, which the Company estimates to be three years. When equipment is sold or otherwise disposed of, the cost and related accumulated depreciation are removed from the accounts and the resulting gain or loss is included in operating expenses.</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 Costs</w:t>
      </w:r>
    </w:p>
    <w:p>
      <w:pPr>
        <w:spacing w:after="0" w:line="229" w:lineRule="exact"/>
        <w:rPr>
          <w:sz w:val="20"/>
          <w:szCs w:val="20"/>
          <w:color w:val="auto"/>
        </w:rPr>
      </w:pPr>
    </w:p>
    <w:p>
      <w:pPr>
        <w:ind w:right="60" w:firstLine="749"/>
        <w:spacing w:after="0" w:line="254" w:lineRule="auto"/>
        <w:rPr>
          <w:sz w:val="20"/>
          <w:szCs w:val="20"/>
          <w:color w:val="auto"/>
        </w:rPr>
      </w:pPr>
      <w:r>
        <w:rPr>
          <w:rFonts w:ascii="Times New Roman" w:cs="Times New Roman" w:eastAsia="Times New Roman" w:hAnsi="Times New Roman"/>
          <w:sz w:val="18"/>
          <w:szCs w:val="18"/>
          <w:color w:val="auto"/>
        </w:rPr>
        <w:t>Research and development costs are expensed as incurred. Research and development expenses consist primarily of employee-related expenses, including salaries, benefits, travel and stock-based compensation expense, contract services, costs incurred to third-party service providers for conducting research, preclinical and clinical studies, laboratory supplies, product license fees, consulting and other related expenses. Research, preclinical and clinical study expenses are estimated based on services performed, pursuant to contracts with third-party research and development organizations that conduct and manage research, preclinical and clinical activities on the Company’s behalf, including discussions with internal management personnel and external service providers as to the progress or stage of completion of services and the contracted fees to be paid for such services. If the actual timing of the performance of services or the level of effort varies from the original estimates, accruals are adjusted accordingly. Payments associated with licensing agreements to acquire licenses to develop, use, manufacture and commercialize products that have not reached technological feasibility and do not have alternative future use are expensed as incurred.</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Advertising Costs</w:t>
      </w:r>
    </w:p>
    <w:p>
      <w:pPr>
        <w:spacing w:after="0" w:line="229"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Advertising costs are included in selling, general and administrative expenses, and are expensed as incurred. The Company considers advertising costs as expenses related to the promotion of the Company’s commercial products. For the three and six months ended June 30, 2025, advertising costs were $36.0 million and $63.7 million, respectively. For the three and six months ended June 30, 2024, advertising costs were $30.3 million and $54.3 million,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229" w:lineRule="exact"/>
        <w:rPr>
          <w:sz w:val="20"/>
          <w:szCs w:val="20"/>
          <w:color w:val="auto"/>
        </w:rPr>
      </w:pPr>
    </w:p>
    <w:p>
      <w:pPr>
        <w:ind w:right="100" w:firstLine="749"/>
        <w:spacing w:after="0" w:line="256" w:lineRule="auto"/>
        <w:rPr>
          <w:sz w:val="20"/>
          <w:szCs w:val="20"/>
          <w:color w:val="auto"/>
        </w:rPr>
      </w:pPr>
      <w:r>
        <w:rPr>
          <w:rFonts w:ascii="Times New Roman" w:cs="Times New Roman" w:eastAsia="Times New Roman" w:hAnsi="Times New Roman"/>
          <w:sz w:val="18"/>
          <w:szCs w:val="18"/>
          <w:color w:val="auto"/>
        </w:rPr>
        <w:t>Income taxes are accounted for under the asset and liability method. Under this method, deferred tax assets and liabilities are recognized for the future tax consequences attributable to the differences between the financial statement carrying amounts of existing assets and liabilities and their respective tax bases, operating losses, and tax credit carryforwards. Deferred tax assets and liabilities are measured using enacted tax rates expected to apply to taxable income in the years in which those temporary differences are expected to be recovered or settled. The effect of a change in tax rates on deferred tax assets and liabilities is recognized in income in the period that includes the enactment date. Valuation allowances are provided if, based upon the weight of available evidence, it is more likely than not that some or all of the deferred tax assets will not be realized.</w:t>
      </w:r>
    </w:p>
    <w:p>
      <w:pPr>
        <w:spacing w:after="0" w:line="187"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The Company estimates an annual effective tax rate of 0% for the year ending December 31, 2025 since it is projecting losses and has incurred year to date losses in all significant jurisdictions from which the Company does not benefit due to the full valuation allowance position against the Company’s deferred tax assets. The Company has recorded a discrete income tax benefit for the three and six months ended June 30, 2025 due to favorable return to provision adjustments attributable to certain foreign tax returns filed during July 2025.</w:t>
      </w:r>
    </w:p>
    <w:p>
      <w:pPr>
        <w:spacing w:after="0" w:line="180" w:lineRule="exact"/>
        <w:rPr>
          <w:sz w:val="20"/>
          <w:szCs w:val="20"/>
          <w:color w:val="auto"/>
        </w:rPr>
      </w:pPr>
    </w:p>
    <w:p>
      <w:pPr>
        <w:ind w:right="80" w:firstLine="749"/>
        <w:spacing w:after="0" w:line="258" w:lineRule="auto"/>
        <w:rPr>
          <w:sz w:val="20"/>
          <w:szCs w:val="20"/>
          <w:color w:val="auto"/>
        </w:rPr>
      </w:pPr>
      <w:r>
        <w:rPr>
          <w:rFonts w:ascii="Times New Roman" w:cs="Times New Roman" w:eastAsia="Times New Roman" w:hAnsi="Times New Roman"/>
          <w:sz w:val="18"/>
          <w:szCs w:val="18"/>
          <w:color w:val="auto"/>
        </w:rPr>
        <w:t>The Company recognizes the tax benefit from an uncertain tax position only if it is more likely than not to be sustained upon examination based on the technical merits of the position as well as consideration of the available facts and circumstances. When uncertain tax positions exist, the Company recognizes the tax benefit of tax positions to the extent that the benefit will more likely than not be realized. As of June 30, 2025, the Company does not believe any material uncertain tax positions are present. In the event the Company determines that accrual of interest or penalties are necessary in the future, the amount will be presented as a component of income tax expense.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Compensation</w:t>
      </w:r>
    </w:p>
    <w:p>
      <w:pPr>
        <w:spacing w:after="0" w:line="188" w:lineRule="exact"/>
        <w:rPr>
          <w:sz w:val="20"/>
          <w:szCs w:val="20"/>
          <w:color w:val="auto"/>
        </w:rPr>
      </w:pPr>
    </w:p>
    <w:p>
      <w:pPr>
        <w:ind w:right="40" w:firstLine="749"/>
        <w:spacing w:after="0" w:line="231" w:lineRule="exact"/>
        <w:rPr>
          <w:sz w:val="20"/>
          <w:szCs w:val="20"/>
          <w:color w:val="auto"/>
        </w:rPr>
      </w:pPr>
      <w:r>
        <w:rPr>
          <w:rFonts w:ascii="Times New Roman" w:cs="Times New Roman" w:eastAsia="Times New Roman" w:hAnsi="Times New Roman"/>
          <w:sz w:val="18"/>
          <w:szCs w:val="18"/>
          <w:color w:val="auto"/>
        </w:rPr>
        <w:t>For stock options issued, the Company estimates the grant date fair value of each option using the Black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Scholes option pricing model. The Black-Scholes model takes into account the expected volatility of the Company’s common stock, the risk-free interest rate, the estimated life of the option, the closing market price of the Company’s common stock and the exercise price. The estimates utilized in the Black-Scholes calculation involve inherent uncertainties and the application of management’s judgment.</w:t>
      </w:r>
    </w:p>
    <w:p>
      <w:pPr>
        <w:spacing w:after="0" w:line="200" w:lineRule="exact"/>
        <w:rPr>
          <w:sz w:val="20"/>
          <w:szCs w:val="20"/>
          <w:color w:val="auto"/>
        </w:rPr>
      </w:pPr>
    </w:p>
    <w:p>
      <w:pPr>
        <w:spacing w:after="0" w:line="21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4" w:right="37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280" w:firstLine="749"/>
        <w:spacing w:after="0" w:line="266" w:lineRule="auto"/>
        <w:rPr>
          <w:sz w:val="20"/>
          <w:szCs w:val="20"/>
          <w:color w:val="auto"/>
        </w:rPr>
      </w:pPr>
      <w:r>
        <w:rPr>
          <w:rFonts w:ascii="Times New Roman" w:cs="Times New Roman" w:eastAsia="Times New Roman" w:hAnsi="Times New Roman"/>
          <w:sz w:val="18"/>
          <w:szCs w:val="18"/>
          <w:color w:val="auto"/>
        </w:rPr>
        <w:t>For restricted stock units (“RSUs”) and performance stock units (“PSUs”), the Company issues them in the form of Company common stock. The fair market value of these awards is based on the market closing price per share on the grant date and for certain awards that are subject to a post-vesting holding period, an illiquidity discount is also applied.</w:t>
      </w:r>
    </w:p>
    <w:p>
      <w:pPr>
        <w:spacing w:after="0" w:line="176" w:lineRule="exact"/>
        <w:rPr>
          <w:sz w:val="20"/>
          <w:szCs w:val="20"/>
          <w:color w:val="auto"/>
        </w:rPr>
      </w:pPr>
    </w:p>
    <w:p>
      <w:pPr>
        <w:jc w:val="both"/>
        <w:ind w:right="80" w:firstLine="749"/>
        <w:spacing w:after="0" w:line="272" w:lineRule="auto"/>
        <w:rPr>
          <w:sz w:val="20"/>
          <w:szCs w:val="20"/>
          <w:color w:val="auto"/>
        </w:rPr>
      </w:pPr>
      <w:r>
        <w:rPr>
          <w:rFonts w:ascii="Times New Roman" w:cs="Times New Roman" w:eastAsia="Times New Roman" w:hAnsi="Times New Roman"/>
          <w:sz w:val="17"/>
          <w:szCs w:val="17"/>
          <w:color w:val="auto"/>
        </w:rPr>
        <w:t>The Company recognizes the grant date fair value of the stock options and RSUs over the requisite service period, which is generally the vesting term. For awards only subject to service-based vesting conditions, the Company elected to recognize stock-based compensation expense on a straight-line basis. For PSUs, the Company recognizes stock-based compensation expense when the achievement of the performance condition becomes probable.</w:t>
      </w:r>
    </w:p>
    <w:p>
      <w:pPr>
        <w:spacing w:after="0" w:line="2" w:lineRule="exact"/>
        <w:rPr>
          <w:sz w:val="20"/>
          <w:szCs w:val="20"/>
          <w:color w:val="auto"/>
        </w:rPr>
      </w:pPr>
    </w:p>
    <w:p>
      <w:pPr>
        <w:ind w:right="660"/>
        <w:spacing w:after="0" w:line="260" w:lineRule="auto"/>
        <w:rPr>
          <w:sz w:val="20"/>
          <w:szCs w:val="20"/>
          <w:color w:val="auto"/>
        </w:rPr>
      </w:pPr>
      <w:r>
        <w:rPr>
          <w:rFonts w:ascii="Times New Roman" w:cs="Times New Roman" w:eastAsia="Times New Roman" w:hAnsi="Times New Roman"/>
          <w:sz w:val="18"/>
          <w:szCs w:val="18"/>
          <w:color w:val="auto"/>
        </w:rPr>
        <w:t>Stock-based compensation expense for PSUs with cliff-vesting terms is recognized on a straight-line basis. At the end of each reporting period, the Company reassesses the probability of achieving the performance condition and adjusts the stock-based compensation expense accordingly.</w:t>
      </w:r>
    </w:p>
    <w:p>
      <w:pPr>
        <w:spacing w:after="0" w:line="181" w:lineRule="exact"/>
        <w:rPr>
          <w:sz w:val="20"/>
          <w:szCs w:val="20"/>
          <w:color w:val="auto"/>
        </w:rPr>
      </w:pPr>
    </w:p>
    <w:p>
      <w:pPr>
        <w:ind w:right="80" w:firstLine="749"/>
        <w:spacing w:after="0" w:line="261" w:lineRule="auto"/>
        <w:rPr>
          <w:sz w:val="20"/>
          <w:szCs w:val="20"/>
          <w:color w:val="auto"/>
        </w:rPr>
      </w:pPr>
      <w:r>
        <w:rPr>
          <w:rFonts w:ascii="Times New Roman" w:cs="Times New Roman" w:eastAsia="Times New Roman" w:hAnsi="Times New Roman"/>
          <w:sz w:val="18"/>
          <w:szCs w:val="18"/>
          <w:color w:val="auto"/>
        </w:rPr>
        <w:t>The expense related to the stock-based compensation is recorded within the same financial statement line item as the grantee’s cash compensation. The Company’s policy upon exercise of stock options, vesting of RSUs and PSUs is that shares will be issued as new shares drawing on the Company’s 2025 Long-Term Incentive Plan share pool that was adopted by the Board in April 2025 and approved by the stockholders in June 2025. In addition, the Company accounts for equity award forfeitures as they occur.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Basic and Diluted Net Loss per Common Share</w:t>
      </w:r>
    </w:p>
    <w:p>
      <w:pPr>
        <w:spacing w:after="0" w:line="229" w:lineRule="exact"/>
        <w:rPr>
          <w:sz w:val="20"/>
          <w:szCs w:val="20"/>
          <w:color w:val="auto"/>
        </w:rPr>
      </w:pPr>
    </w:p>
    <w:p>
      <w:pPr>
        <w:ind w:right="20" w:firstLine="749"/>
        <w:spacing w:after="0" w:line="258" w:lineRule="auto"/>
        <w:rPr>
          <w:sz w:val="20"/>
          <w:szCs w:val="20"/>
          <w:color w:val="auto"/>
        </w:rPr>
      </w:pPr>
      <w:r>
        <w:rPr>
          <w:rFonts w:ascii="Times New Roman" w:cs="Times New Roman" w:eastAsia="Times New Roman" w:hAnsi="Times New Roman"/>
          <w:sz w:val="18"/>
          <w:szCs w:val="18"/>
          <w:color w:val="auto"/>
        </w:rPr>
        <w:t>Basic net loss per share of common stock is computed by dividing net loss by the weighted average number of shares of common stock outstanding during the period. Diluted net loss per share of common stock includes the effect, if any, from the potential exercise or conversion of securities, such as warrants, stock options, RSUs, PSUs, and/or common stock pursuant to the 2023 Employee Stock Purchase Plan (the “ESPP”), which would result in the issuance of incremental shares of common stock. As the impact of these items is anti-dilutive during periods of net loss, there was no difference between basic and diluted net loss per share of common stock for the three and six months ended June 30, 2025 and 2024.</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Leases</w:t>
      </w:r>
    </w:p>
    <w:p>
      <w:pPr>
        <w:spacing w:after="0" w:line="229" w:lineRule="exact"/>
        <w:rPr>
          <w:sz w:val="20"/>
          <w:szCs w:val="20"/>
          <w:color w:val="auto"/>
        </w:rPr>
      </w:pPr>
    </w:p>
    <w:p>
      <w:pPr>
        <w:ind w:right="40" w:firstLine="749"/>
        <w:spacing w:after="0" w:line="258" w:lineRule="auto"/>
        <w:rPr>
          <w:sz w:val="20"/>
          <w:szCs w:val="20"/>
          <w:color w:val="auto"/>
        </w:rPr>
      </w:pPr>
      <w:r>
        <w:rPr>
          <w:rFonts w:ascii="Times New Roman" w:cs="Times New Roman" w:eastAsia="Times New Roman" w:hAnsi="Times New Roman"/>
          <w:sz w:val="18"/>
          <w:szCs w:val="18"/>
          <w:color w:val="auto"/>
        </w:rPr>
        <w:t>The Company determines if an arrangement is a lease at contract inception. Right-of-use assets represent the Company’s right to use an underlying asset for the lease term and lease liabilities represent the Company’s obligation to make lease payments arising from the lease. When evaluating whether a contract contains a lease, the Company considers whether (1) the contract explicitly or implicitly identifies assets that are contractually defined and (2) the Company obtains substantially all of the economic benefits from the use of that underlying asset and directs how and for what purpose the asset is used during the term of the contract.</w:t>
      </w:r>
    </w:p>
    <w:p>
      <w:pPr>
        <w:spacing w:after="0" w:line="183" w:lineRule="exact"/>
        <w:rPr>
          <w:sz w:val="20"/>
          <w:szCs w:val="20"/>
          <w:color w:val="auto"/>
        </w:rPr>
      </w:pPr>
    </w:p>
    <w:p>
      <w:pPr>
        <w:jc w:val="both"/>
        <w:ind w:right="160" w:firstLine="749"/>
        <w:spacing w:after="0" w:line="261" w:lineRule="auto"/>
        <w:rPr>
          <w:sz w:val="20"/>
          <w:szCs w:val="20"/>
          <w:color w:val="auto"/>
        </w:rPr>
      </w:pPr>
      <w:r>
        <w:rPr>
          <w:rFonts w:ascii="Times New Roman" w:cs="Times New Roman" w:eastAsia="Times New Roman" w:hAnsi="Times New Roman"/>
          <w:sz w:val="18"/>
          <w:szCs w:val="18"/>
          <w:color w:val="auto"/>
        </w:rPr>
        <w:t>The Company’s lease agreements contain lease and non-lease components. Non-lease components primarily include payments for maintenance and utilities. The Company has applied the practical expedient to combine fixed payments for non-lease components with lease payments and account for them together as a single lease component, which increases the amount of lease assets and corresponding liabilities. Payments under the Company’s lease arrangements are primarily fixed, however, variable payments are expensed as incurred and not included in the operating lease asset and liability.</w:t>
      </w:r>
    </w:p>
    <w:p>
      <w:pPr>
        <w:spacing w:after="0" w:line="180"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Lease assets and liabilities are recognized at the commencement date of the lease based upon the present value of lease payments over the lease term. When determining the lease term, the Company includes options to extend or terminate the lease when it is reasonably certain that the Company will exercise that option. The Company uses the interest rate implicit in the contract when such rate is readily determinable and uses the Company’s incremental borrowing rate when the rate implicit in the contract is not readily determinable based upon the information available at the commencement date in determining the present value of the lease payments.</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40" w:firstLine="749"/>
        <w:spacing w:after="0" w:line="256" w:lineRule="auto"/>
        <w:rPr>
          <w:sz w:val="20"/>
          <w:szCs w:val="20"/>
          <w:color w:val="auto"/>
        </w:rPr>
      </w:pPr>
      <w:r>
        <w:rPr>
          <w:rFonts w:ascii="Times New Roman" w:cs="Times New Roman" w:eastAsia="Times New Roman" w:hAnsi="Times New Roman"/>
          <w:sz w:val="18"/>
          <w:szCs w:val="18"/>
          <w:color w:val="auto"/>
        </w:rPr>
        <w:t xml:space="preserve">Leases are accounted for under </w:t>
      </w:r>
      <w:r>
        <w:rPr>
          <w:rFonts w:ascii="Times New Roman" w:cs="Times New Roman" w:eastAsia="Times New Roman" w:hAnsi="Times New Roman"/>
          <w:sz w:val="18"/>
          <w:szCs w:val="18"/>
          <w:i w:val="1"/>
          <w:iCs w:val="1"/>
          <w:color w:val="auto"/>
        </w:rPr>
        <w:t>ASC 842, Leases</w:t>
      </w:r>
      <w:r>
        <w:rPr>
          <w:rFonts w:ascii="Times New Roman" w:cs="Times New Roman" w:eastAsia="Times New Roman" w:hAnsi="Times New Roman"/>
          <w:sz w:val="18"/>
          <w:szCs w:val="18"/>
          <w:color w:val="auto"/>
        </w:rPr>
        <w:t xml:space="preserve"> (“ASC 842”). The Company made an accounting policy election not to apply the recognition requirements to short-term leases. The Company recognizes the lease payments for short-term leases in the consolidated statements of operations on a straight-line basis over the lease term, and variable lease payments in the period in which the obligation for those payments is incurred. Therefore, the Company is not recognizing a lease liability or right-of-use asset for any lease that, at the commencement date, has a lease term of 12 months or less and does not include an option to extend the term or purchase the underlying asset that the Company is reasonably certain to exercise. The Company’s lease terms may include options to extend or terminate the lease when it is reasonably certain that the Company will exercise that option. The Company evaluates amendments to its lease arrangements in accordance with ASC 842.</w:t>
      </w:r>
    </w:p>
    <w:p>
      <w:pPr>
        <w:spacing w:after="0" w:line="185" w:lineRule="exact"/>
        <w:rPr>
          <w:sz w:val="20"/>
          <w:szCs w:val="20"/>
          <w:color w:val="auto"/>
        </w:rPr>
      </w:pPr>
    </w:p>
    <w:p>
      <w:pPr>
        <w:ind w:right="40" w:firstLine="749"/>
        <w:spacing w:after="0" w:line="255" w:lineRule="auto"/>
        <w:rPr>
          <w:sz w:val="20"/>
          <w:szCs w:val="20"/>
          <w:color w:val="auto"/>
        </w:rPr>
      </w:pPr>
      <w:r>
        <w:rPr>
          <w:rFonts w:ascii="Times New Roman" w:cs="Times New Roman" w:eastAsia="Times New Roman" w:hAnsi="Times New Roman"/>
          <w:sz w:val="18"/>
          <w:szCs w:val="18"/>
          <w:color w:val="auto"/>
        </w:rPr>
        <w:t>The Company’s operating leases are reflected in the right-of-use operating asset; operating lease liability, current portion; and operating lease liability, long-term portion in the Company’s consolidated balance sheets. Operating lease expense is recognized on a straight-line basis over the lease term and included in selling, general and administrative expenses. Finance leases are included in the non-current inventory and other assets; accrued expenses and other current liabilities; and finance lease liability, long-term in the Company’s consolidated balance sheets. Assets under the finance leases are amortized on a straight-line basis over the lease term and included in selling, general and administrative expenses. Short-term leases, defined as leases that have a lease term of 12 months or less at the commencement date, and do not include an option to extend the term or purchase the underlying asset that the Company is reasonably certain to exercise, are excluded from this treatment and are recognized on a straight-line basis over the term of the lease.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9" w:lineRule="exact"/>
        <w:rPr>
          <w:sz w:val="20"/>
          <w:szCs w:val="20"/>
          <w:color w:val="auto"/>
        </w:rPr>
      </w:pPr>
    </w:p>
    <w:p>
      <w:pPr>
        <w:ind w:right="80" w:firstLine="749"/>
        <w:spacing w:after="0" w:line="261" w:lineRule="auto"/>
        <w:rPr>
          <w:sz w:val="20"/>
          <w:szCs w:val="20"/>
          <w:color w:val="auto"/>
        </w:rPr>
      </w:pPr>
      <w:r>
        <w:rPr>
          <w:rFonts w:ascii="Times New Roman" w:cs="Times New Roman" w:eastAsia="Times New Roman" w:hAnsi="Times New Roman"/>
          <w:sz w:val="18"/>
          <w:szCs w:val="18"/>
          <w:color w:val="auto"/>
        </w:rPr>
        <w:t>In December 2023, the FASB issued ASU 2023-09, Improvements to Income Tax Disclosures, which requires disclosure of disaggregated income taxes paid by jurisdiction, enhances disclosures in the effective tax rate reconciliation, and modifies other income tax-related disclosures. The amendments are effective for annual periods beginning after December 15, 2024. The Company is currently evaluating the effect of adopting this guidance on its consolidated financial statements.</w:t>
      </w:r>
    </w:p>
    <w:p>
      <w:pPr>
        <w:spacing w:after="0" w:line="180" w:lineRule="exact"/>
        <w:rPr>
          <w:sz w:val="20"/>
          <w:szCs w:val="20"/>
          <w:color w:val="auto"/>
        </w:rPr>
      </w:pPr>
    </w:p>
    <w:p>
      <w:pPr>
        <w:ind w:right="420" w:firstLine="749"/>
        <w:spacing w:after="0" w:line="258" w:lineRule="auto"/>
        <w:rPr>
          <w:sz w:val="20"/>
          <w:szCs w:val="20"/>
          <w:color w:val="auto"/>
        </w:rPr>
      </w:pPr>
      <w:r>
        <w:rPr>
          <w:rFonts w:ascii="Times New Roman" w:cs="Times New Roman" w:eastAsia="Times New Roman" w:hAnsi="Times New Roman"/>
          <w:sz w:val="18"/>
          <w:szCs w:val="18"/>
          <w:color w:val="auto"/>
        </w:rPr>
        <w:t>In November 2024, the FASB issued ASU 2024-03, Income Statement - Reporting Comprehensive Income - Expense Disaggregation Disclosures (Subtopic 220-40): Disaggregation of Income Statement Expenses. This ASU requires additional disaggregated disclosures in the notes to financial statements for certain categories of expenses that are included on the face of the income statement. The guidance is effective for fiscal years beginning after December 15, 2026 and for interim periods within fiscal years beginning after December 15, 2027, with early adoption permitted. The Company is currently evaluating the effect of adopting this guidance on its consolidated financial statements.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Accounts Receivable, net</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Accounts receivable, net consisted of the following:</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20" w:type="dxa"/>
            <w:vAlign w:val="bottom"/>
          </w:tcPr>
          <w:p>
            <w:pPr>
              <w:spacing w:after="0"/>
              <w:rPr>
                <w:sz w:val="13"/>
                <w:szCs w:val="13"/>
                <w:color w:val="auto"/>
              </w:rPr>
            </w:pPr>
          </w:p>
        </w:tc>
        <w:tc>
          <w:tcPr>
            <w:tcW w:w="34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20" w:type="dxa"/>
            <w:vAlign w:val="bottom"/>
            <w:gridSpan w:val="2"/>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4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4320" w:type="dxa"/>
            <w:vAlign w:val="bottom"/>
          </w:tcPr>
          <w:p>
            <w:pPr>
              <w:spacing w:after="0"/>
              <w:rPr>
                <w:sz w:val="15"/>
                <w:szCs w:val="15"/>
                <w:color w:val="auto"/>
              </w:rPr>
            </w:pPr>
          </w:p>
        </w:tc>
        <w:tc>
          <w:tcPr>
            <w:tcW w:w="34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r>
      <w:tr>
        <w:trPr>
          <w:trHeight w:val="210"/>
        </w:trPr>
        <w:tc>
          <w:tcPr>
            <w:tcW w:w="4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Trade receivables</w:t>
            </w:r>
          </w:p>
        </w:tc>
        <w:tc>
          <w:tcPr>
            <w:tcW w:w="372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218,637</w:t>
            </w:r>
          </w:p>
        </w:tc>
        <w:tc>
          <w:tcPr>
            <w:tcW w:w="160" w:type="dxa"/>
            <w:vAlign w:val="bottom"/>
            <w:shd w:val="clear" w:color="auto" w:fill="CFF0FC"/>
          </w:tcPr>
          <w:p>
            <w:pPr>
              <w:spacing w:after="0"/>
              <w:rPr>
                <w:sz w:val="18"/>
                <w:szCs w:val="18"/>
                <w:color w:val="auto"/>
              </w:rPr>
            </w:pPr>
          </w:p>
        </w:tc>
        <w:tc>
          <w:tcPr>
            <w:tcW w:w="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155,505</w:t>
            </w:r>
          </w:p>
        </w:tc>
        <w:tc>
          <w:tcPr>
            <w:tcW w:w="100" w:type="dxa"/>
            <w:vAlign w:val="bottom"/>
            <w:shd w:val="clear" w:color="auto" w:fill="CFF0FC"/>
          </w:tcPr>
          <w:p>
            <w:pPr>
              <w:spacing w:after="0"/>
              <w:rPr>
                <w:sz w:val="18"/>
                <w:szCs w:val="18"/>
                <w:color w:val="auto"/>
              </w:rPr>
            </w:pPr>
          </w:p>
        </w:tc>
      </w:tr>
      <w:tr>
        <w:trPr>
          <w:trHeight w:val="216"/>
        </w:trPr>
        <w:tc>
          <w:tcPr>
            <w:tcW w:w="4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Less: Reserves for variable consideration</w:t>
            </w:r>
          </w:p>
        </w:tc>
        <w:tc>
          <w:tcPr>
            <w:tcW w:w="3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(19,812)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(13,504)</w:t>
            </w:r>
          </w:p>
        </w:tc>
      </w:tr>
      <w:tr>
        <w:trPr>
          <w:trHeight w:val="20"/>
        </w:trPr>
        <w:tc>
          <w:tcPr>
            <w:tcW w:w="43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4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3420" w:type="dxa"/>
            <w:vAlign w:val="bottom"/>
            <w:shd w:val="clear" w:color="auto" w:fill="CFF0FC"/>
          </w:tcPr>
          <w:p>
            <w:pPr>
              <w:spacing w:after="0"/>
              <w:rPr>
                <w:sz w:val="21"/>
                <w:szCs w:val="21"/>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198,825</w:t>
            </w:r>
          </w:p>
        </w:tc>
        <w:tc>
          <w:tcPr>
            <w:tcW w:w="160" w:type="dxa"/>
            <w:vAlign w:val="bottom"/>
            <w:shd w:val="clear" w:color="auto" w:fill="CFF0FC"/>
          </w:tcPr>
          <w:p>
            <w:pPr>
              <w:spacing w:after="0"/>
              <w:rPr>
                <w:sz w:val="21"/>
                <w:szCs w:val="21"/>
                <w:color w:val="auto"/>
              </w:rPr>
            </w:pPr>
          </w:p>
        </w:tc>
        <w:tc>
          <w:tcPr>
            <w:tcW w:w="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142,001</w:t>
            </w:r>
          </w:p>
        </w:tc>
        <w:tc>
          <w:tcPr>
            <w:tcW w:w="100" w:type="dxa"/>
            <w:vAlign w:val="bottom"/>
            <w:shd w:val="clear" w:color="auto" w:fill="CFF0FC"/>
          </w:tcPr>
          <w:p>
            <w:pPr>
              <w:spacing w:after="0"/>
              <w:rPr>
                <w:sz w:val="21"/>
                <w:szCs w:val="21"/>
                <w:color w:val="auto"/>
              </w:rPr>
            </w:pPr>
          </w:p>
        </w:tc>
      </w:tr>
      <w:tr>
        <w:trPr>
          <w:trHeight w:val="845"/>
        </w:trPr>
        <w:tc>
          <w:tcPr>
            <w:tcW w:w="4320" w:type="dxa"/>
            <w:vAlign w:val="bottom"/>
            <w:tcBorders>
              <w:top w:val="single" w:sz="8" w:color="CFF0FC"/>
            </w:tcBorders>
          </w:tcPr>
          <w:p>
            <w:pPr>
              <w:spacing w:after="0"/>
              <w:rPr>
                <w:sz w:val="24"/>
                <w:szCs w:val="24"/>
                <w:color w:val="auto"/>
              </w:rPr>
            </w:pPr>
          </w:p>
        </w:tc>
        <w:tc>
          <w:tcPr>
            <w:tcW w:w="3420" w:type="dxa"/>
            <w:vAlign w:val="bottom"/>
            <w:tcBorders>
              <w:top w:val="single" w:sz="8" w:color="CFF0FC"/>
            </w:tcBorders>
          </w:tcPr>
          <w:p>
            <w:pPr>
              <w:jc w:val="right"/>
              <w:ind w:right="1930"/>
              <w:spacing w:after="0"/>
              <w:rPr>
                <w:sz w:val="20"/>
                <w:szCs w:val="20"/>
                <w:color w:val="auto"/>
              </w:rPr>
            </w:pPr>
            <w:r>
              <w:rPr>
                <w:rFonts w:ascii="Times New Roman" w:cs="Times New Roman" w:eastAsia="Times New Roman" w:hAnsi="Times New Roman"/>
                <w:sz w:val="18"/>
                <w:szCs w:val="18"/>
                <w:color w:val="auto"/>
              </w:rPr>
              <w:t>19</w:t>
            </w:r>
          </w:p>
        </w:tc>
        <w:tc>
          <w:tcPr>
            <w:tcW w:w="30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160" w:type="dxa"/>
            <w:vAlign w:val="bottom"/>
            <w:tcBorders>
              <w:top w:val="single" w:sz="8" w:color="CFF0FC"/>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763"/>
        </w:trPr>
        <w:tc>
          <w:tcPr>
            <w:tcW w:w="4320" w:type="dxa"/>
            <w:vAlign w:val="bottom"/>
            <w:tcBorders>
              <w:bottom w:val="single" w:sz="8" w:color="9A9A9A"/>
            </w:tcBorders>
          </w:tcPr>
          <w:p>
            <w:pPr>
              <w:spacing w:after="0"/>
              <w:rPr>
                <w:sz w:val="24"/>
                <w:szCs w:val="24"/>
                <w:color w:val="auto"/>
              </w:rPr>
            </w:pPr>
          </w:p>
        </w:tc>
        <w:tc>
          <w:tcPr>
            <w:tcW w:w="34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-1070610</wp:posOffset>
            </wp:positionV>
            <wp:extent cx="685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-1053465</wp:posOffset>
            </wp:positionV>
            <wp:extent cx="6858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-1070610</wp:posOffset>
            </wp:positionV>
            <wp:extent cx="685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-1053465</wp:posOffset>
            </wp:positionV>
            <wp:extent cx="6858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Inventory</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Inventory consisted of the following:</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4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7740" w:type="dxa"/>
            <w:vAlign w:val="bottom"/>
          </w:tcPr>
          <w:p>
            <w:pPr>
              <w:spacing w:after="0"/>
              <w:rPr>
                <w:sz w:val="15"/>
                <w:szCs w:val="15"/>
                <w:color w:val="auto"/>
              </w:rPr>
            </w:pPr>
          </w:p>
        </w:tc>
        <w:tc>
          <w:tcPr>
            <w:tcW w:w="10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2025</w:t>
            </w:r>
          </w:p>
        </w:tc>
        <w:tc>
          <w:tcPr>
            <w:tcW w:w="52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r>
      <w:tr>
        <w:trPr>
          <w:trHeight w:val="210"/>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1040" w:type="dxa"/>
            <w:vAlign w:val="bottom"/>
            <w:shd w:val="clear" w:color="auto" w:fill="CFF0FC"/>
          </w:tcPr>
          <w:p>
            <w:pPr>
              <w:jc w:val="right"/>
              <w:ind w:right="859"/>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11,724</w:t>
            </w:r>
          </w:p>
        </w:tc>
        <w:tc>
          <w:tcPr>
            <w:tcW w:w="5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9,541</w:t>
            </w: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Work in process</w:t>
            </w:r>
          </w:p>
        </w:tc>
        <w:tc>
          <w:tcPr>
            <w:tcW w:w="10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7,455</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7,723</w:t>
            </w:r>
          </w:p>
        </w:tc>
        <w:tc>
          <w:tcPr>
            <w:tcW w:w="100" w:type="dxa"/>
            <w:vAlign w:val="bottom"/>
          </w:tcPr>
          <w:p>
            <w:pPr>
              <w:spacing w:after="0"/>
              <w:rPr>
                <w:sz w:val="18"/>
                <w:szCs w:val="18"/>
                <w:color w:val="auto"/>
              </w:rPr>
            </w:pPr>
          </w:p>
        </w:tc>
      </w:tr>
      <w:tr>
        <w:trPr>
          <w:trHeight w:val="216"/>
        </w:trPr>
        <w:tc>
          <w:tcPr>
            <w:tcW w:w="77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1040" w:type="dxa"/>
            <w:vAlign w:val="bottom"/>
            <w:tcBorders>
              <w:bottom w:val="single" w:sz="8" w:color="auto"/>
            </w:tcBorders>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9,503</w:t>
            </w:r>
          </w:p>
        </w:tc>
        <w:tc>
          <w:tcPr>
            <w:tcW w:w="2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8,986</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040" w:type="dxa"/>
            <w:vAlign w:val="bottom"/>
          </w:tcPr>
          <w:p>
            <w:pPr>
              <w:jc w:val="right"/>
              <w:ind w:right="859"/>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28,682</w:t>
            </w: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26,250</w:t>
            </w:r>
          </w:p>
        </w:tc>
        <w:tc>
          <w:tcPr>
            <w:tcW w:w="100" w:type="dxa"/>
            <w:vAlign w:val="bottom"/>
          </w:tcPr>
          <w:p>
            <w:pPr>
              <w:spacing w:after="0"/>
              <w:rPr>
                <w:sz w:val="18"/>
                <w:szCs w:val="18"/>
                <w:color w:val="auto"/>
              </w:rPr>
            </w:pPr>
          </w:p>
        </w:tc>
      </w:tr>
      <w:tr>
        <w:trPr>
          <w:trHeight w:val="20"/>
        </w:trPr>
        <w:tc>
          <w:tcPr>
            <w:tcW w:w="774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-170815</wp:posOffset>
            </wp:positionV>
            <wp:extent cx="685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right="260" w:firstLine="749"/>
        <w:spacing w:after="0" w:line="266" w:lineRule="auto"/>
        <w:rPr>
          <w:sz w:val="20"/>
          <w:szCs w:val="20"/>
          <w:color w:val="auto"/>
        </w:rPr>
      </w:pPr>
      <w:r>
        <w:rPr>
          <w:rFonts w:ascii="Times New Roman" w:cs="Times New Roman" w:eastAsia="Times New Roman" w:hAnsi="Times New Roman"/>
          <w:sz w:val="18"/>
          <w:szCs w:val="18"/>
          <w:color w:val="auto"/>
        </w:rPr>
        <w:t>There were no material inventory reserves or write downs of any excess and obsolete inventory as of June 30, 2025. Non-current inventory, which consists of raw materials and work in progress inventory, is included in non-current inventory and other assets on the accompanying consolidated balance sheets. Non-current inventory is estimated to be consumed beyond the next 12 months.</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table summarizes the balance sheet classification of the Company’s inventory for each of the periods indicated:</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4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7740" w:type="dxa"/>
            <w:vAlign w:val="bottom"/>
          </w:tcPr>
          <w:p>
            <w:pPr>
              <w:spacing w:after="0"/>
              <w:rPr>
                <w:sz w:val="15"/>
                <w:szCs w:val="15"/>
                <w:color w:val="auto"/>
              </w:rPr>
            </w:pPr>
          </w:p>
        </w:tc>
        <w:tc>
          <w:tcPr>
            <w:tcW w:w="10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2025</w:t>
            </w:r>
          </w:p>
        </w:tc>
        <w:tc>
          <w:tcPr>
            <w:tcW w:w="52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r>
      <w:tr>
        <w:trPr>
          <w:trHeight w:val="209"/>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sheet classification</w:t>
            </w:r>
          </w:p>
        </w:tc>
        <w:tc>
          <w:tcPr>
            <w:tcW w:w="104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Inventories, net</w:t>
            </w:r>
          </w:p>
        </w:tc>
        <w:tc>
          <w:tcPr>
            <w:tcW w:w="1040" w:type="dxa"/>
            <w:vAlign w:val="bottom"/>
          </w:tcPr>
          <w:p>
            <w:pPr>
              <w:jc w:val="right"/>
              <w:ind w:right="859"/>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18,441</w:t>
            </w: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15,732</w:t>
            </w:r>
          </w:p>
        </w:tc>
        <w:tc>
          <w:tcPr>
            <w:tcW w:w="100" w:type="dxa"/>
            <w:vAlign w:val="bottom"/>
          </w:tcPr>
          <w:p>
            <w:pPr>
              <w:spacing w:after="0"/>
              <w:rPr>
                <w:sz w:val="18"/>
                <w:szCs w:val="18"/>
                <w:color w:val="auto"/>
              </w:rPr>
            </w:pPr>
          </w:p>
        </w:tc>
      </w:tr>
      <w:tr>
        <w:trPr>
          <w:trHeight w:val="216"/>
        </w:trPr>
        <w:tc>
          <w:tcPr>
            <w:tcW w:w="774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Non-current inventory and other assets</w:t>
            </w:r>
          </w:p>
        </w:tc>
        <w:tc>
          <w:tcPr>
            <w:tcW w:w="1040" w:type="dxa"/>
            <w:vAlign w:val="bottom"/>
            <w:tcBorders>
              <w:bottom w:val="single" w:sz="8" w:color="auto"/>
            </w:tcBorders>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10,241</w:t>
            </w:r>
          </w:p>
        </w:tc>
        <w:tc>
          <w:tcPr>
            <w:tcW w:w="2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10,518</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040" w:type="dxa"/>
            <w:vAlign w:val="bottom"/>
          </w:tcPr>
          <w:p>
            <w:pPr>
              <w:jc w:val="right"/>
              <w:ind w:right="859"/>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28,682</w:t>
            </w: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26,250</w:t>
            </w:r>
          </w:p>
        </w:tc>
        <w:tc>
          <w:tcPr>
            <w:tcW w:w="100" w:type="dxa"/>
            <w:vAlign w:val="bottom"/>
          </w:tcPr>
          <w:p>
            <w:pPr>
              <w:spacing w:after="0"/>
              <w:rPr>
                <w:sz w:val="18"/>
                <w:szCs w:val="18"/>
                <w:color w:val="auto"/>
              </w:rPr>
            </w:pPr>
          </w:p>
        </w:tc>
      </w:tr>
      <w:tr>
        <w:trPr>
          <w:trHeight w:val="20"/>
        </w:trPr>
        <w:tc>
          <w:tcPr>
            <w:tcW w:w="774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-170815</wp:posOffset>
            </wp:positionV>
            <wp:extent cx="68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Intangible Asset</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table provides the Company’s carrying amount of the intangible asset for each of the periods indicated.</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40" w:type="dxa"/>
            <w:vAlign w:val="bottom"/>
          </w:tcPr>
          <w:p>
            <w:pPr>
              <w:spacing w:after="0"/>
              <w:rPr>
                <w:sz w:val="13"/>
                <w:szCs w:val="13"/>
                <w:color w:val="auto"/>
              </w:rPr>
            </w:pPr>
          </w:p>
        </w:tc>
        <w:tc>
          <w:tcPr>
            <w:tcW w:w="1140" w:type="dxa"/>
            <w:vAlign w:val="bottom"/>
            <w:gridSpan w:val="2"/>
            <w:vMerge w:val="restart"/>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Gross carrying</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vMerge w:val="restart"/>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vMerge w:val="restart"/>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Net carrying</w:t>
            </w:r>
          </w:p>
        </w:tc>
        <w:tc>
          <w:tcPr>
            <w:tcW w:w="260" w:type="dxa"/>
            <w:vAlign w:val="bottom"/>
          </w:tcPr>
          <w:p>
            <w:pPr>
              <w:spacing w:after="0"/>
              <w:rPr>
                <w:sz w:val="13"/>
                <w:szCs w:val="13"/>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Remaining</w:t>
            </w:r>
          </w:p>
        </w:tc>
        <w:tc>
          <w:tcPr>
            <w:tcW w:w="0" w:type="dxa"/>
            <w:vAlign w:val="bottom"/>
          </w:tcPr>
          <w:p>
            <w:pPr>
              <w:spacing w:after="0"/>
              <w:rPr>
                <w:sz w:val="1"/>
                <w:szCs w:val="1"/>
                <w:color w:val="auto"/>
              </w:rPr>
            </w:pPr>
          </w:p>
        </w:tc>
      </w:tr>
      <w:tr>
        <w:trPr>
          <w:trHeight w:val="149"/>
        </w:trPr>
        <w:tc>
          <w:tcPr>
            <w:tcW w:w="584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weighted-average</w:t>
            </w:r>
          </w:p>
        </w:tc>
        <w:tc>
          <w:tcPr>
            <w:tcW w:w="0" w:type="dxa"/>
            <w:vAlign w:val="bottom"/>
          </w:tcPr>
          <w:p>
            <w:pPr>
              <w:spacing w:after="0"/>
              <w:rPr>
                <w:sz w:val="1"/>
                <w:szCs w:val="1"/>
                <w:color w:val="auto"/>
              </w:rPr>
            </w:pPr>
          </w:p>
        </w:tc>
      </w:tr>
      <w:tr>
        <w:trPr>
          <w:trHeight w:val="173"/>
        </w:trPr>
        <w:tc>
          <w:tcPr>
            <w:tcW w:w="58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60" w:type="dxa"/>
            <w:vAlign w:val="bottom"/>
          </w:tcPr>
          <w:p>
            <w:pPr>
              <w:spacing w:after="0"/>
              <w:rPr>
                <w:sz w:val="15"/>
                <w:szCs w:val="15"/>
                <w:color w:val="auto"/>
              </w:rPr>
            </w:pP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useful life</w:t>
            </w:r>
          </w:p>
        </w:tc>
        <w:tc>
          <w:tcPr>
            <w:tcW w:w="0" w:type="dxa"/>
            <w:vAlign w:val="bottom"/>
          </w:tcPr>
          <w:p>
            <w:pPr>
              <w:spacing w:after="0"/>
              <w:rPr>
                <w:sz w:val="1"/>
                <w:szCs w:val="1"/>
                <w:color w:val="auto"/>
              </w:rPr>
            </w:pPr>
          </w:p>
        </w:tc>
      </w:tr>
      <w:tr>
        <w:trPr>
          <w:trHeight w:val="210"/>
        </w:trPr>
        <w:tc>
          <w:tcPr>
            <w:tcW w:w="5840" w:type="dxa"/>
            <w:vAlign w:val="bottom"/>
            <w:shd w:val="clear" w:color="auto" w:fill="CFF0FC"/>
          </w:tcPr>
          <w:p>
            <w:pPr>
              <w:jc w:val="center"/>
              <w:ind w:right="3530"/>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tcPr>
          <w:p>
            <w:pPr>
              <w:jc w:val="center"/>
              <w:ind w:right="3510"/>
              <w:spacing w:after="0"/>
              <w:rPr>
                <w:sz w:val="20"/>
                <w:szCs w:val="20"/>
                <w:color w:val="auto"/>
              </w:rPr>
            </w:pPr>
            <w:r>
              <w:rPr>
                <w:rFonts w:ascii="Times New Roman" w:cs="Times New Roman" w:eastAsia="Times New Roman" w:hAnsi="Times New Roman"/>
                <w:sz w:val="18"/>
                <w:szCs w:val="18"/>
                <w:color w:val="auto"/>
                <w:w w:val="99"/>
              </w:rPr>
              <w:t>Finite-lived intangible asset</w:t>
            </w:r>
          </w:p>
        </w:tc>
        <w:tc>
          <w:tcPr>
            <w:tcW w:w="20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63,800</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16,906</w:t>
            </w: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46,894</w:t>
            </w:r>
          </w:p>
        </w:tc>
        <w:tc>
          <w:tcPr>
            <w:tcW w:w="260" w:type="dxa"/>
            <w:vAlign w:val="bottom"/>
          </w:tcPr>
          <w:p>
            <w:pPr>
              <w:spacing w:after="0"/>
              <w:rPr>
                <w:sz w:val="18"/>
                <w:szCs w:val="18"/>
                <w:color w:val="auto"/>
              </w:rPr>
            </w:pPr>
          </w:p>
        </w:tc>
        <w:tc>
          <w:tcPr>
            <w:tcW w:w="1260" w:type="dxa"/>
            <w:vAlign w:val="bottom"/>
          </w:tcPr>
          <w:p>
            <w:pPr>
              <w:ind w:left="720"/>
              <w:spacing w:after="0"/>
              <w:rPr>
                <w:sz w:val="20"/>
                <w:szCs w:val="20"/>
                <w:color w:val="auto"/>
              </w:rPr>
            </w:pPr>
            <w:r>
              <w:rPr>
                <w:rFonts w:ascii="Times New Roman" w:cs="Times New Roman" w:eastAsia="Times New Roman" w:hAnsi="Times New Roman"/>
                <w:sz w:val="18"/>
                <w:szCs w:val="18"/>
                <w:color w:val="auto"/>
                <w:w w:val="98"/>
              </w:rPr>
              <w:t>8-years</w:t>
            </w:r>
          </w:p>
        </w:tc>
        <w:tc>
          <w:tcPr>
            <w:tcW w:w="0" w:type="dxa"/>
            <w:vAlign w:val="bottom"/>
          </w:tcPr>
          <w:p>
            <w:pPr>
              <w:spacing w:after="0"/>
              <w:rPr>
                <w:sz w:val="1"/>
                <w:szCs w:val="1"/>
                <w:color w:val="auto"/>
              </w:rPr>
            </w:pPr>
          </w:p>
        </w:tc>
      </w:tr>
      <w:tr>
        <w:trPr>
          <w:trHeight w:val="216"/>
        </w:trPr>
        <w:tc>
          <w:tcPr>
            <w:tcW w:w="5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June 30, 2025</w:t>
            </w: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840" w:type="dxa"/>
            <w:vAlign w:val="bottom"/>
          </w:tcPr>
          <w:p>
            <w:pPr>
              <w:jc w:val="center"/>
              <w:ind w:right="3510"/>
              <w:spacing w:after="0"/>
              <w:rPr>
                <w:sz w:val="20"/>
                <w:szCs w:val="20"/>
                <w:color w:val="auto"/>
              </w:rPr>
            </w:pPr>
            <w:r>
              <w:rPr>
                <w:rFonts w:ascii="Times New Roman" w:cs="Times New Roman" w:eastAsia="Times New Roman" w:hAnsi="Times New Roman"/>
                <w:sz w:val="18"/>
                <w:szCs w:val="18"/>
                <w:color w:val="auto"/>
                <w:w w:val="99"/>
              </w:rPr>
              <w:t>Finite-lived intangible asset</w:t>
            </w:r>
          </w:p>
        </w:tc>
        <w:tc>
          <w:tcPr>
            <w:tcW w:w="20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63,800</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20,067</w:t>
            </w: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43,733</w:t>
            </w:r>
          </w:p>
        </w:tc>
        <w:tc>
          <w:tcPr>
            <w:tcW w:w="260" w:type="dxa"/>
            <w:vAlign w:val="bottom"/>
          </w:tcPr>
          <w:p>
            <w:pPr>
              <w:spacing w:after="0"/>
              <w:rPr>
                <w:sz w:val="20"/>
                <w:szCs w:val="20"/>
                <w:color w:val="auto"/>
              </w:rPr>
            </w:pPr>
          </w:p>
        </w:tc>
        <w:tc>
          <w:tcPr>
            <w:tcW w:w="1260" w:type="dxa"/>
            <w:vAlign w:val="bottom"/>
          </w:tcPr>
          <w:p>
            <w:pPr>
              <w:ind w:left="720"/>
              <w:spacing w:after="0"/>
              <w:rPr>
                <w:sz w:val="20"/>
                <w:szCs w:val="20"/>
                <w:color w:val="auto"/>
              </w:rPr>
            </w:pPr>
            <w:r>
              <w:rPr>
                <w:rFonts w:ascii="Times New Roman" w:cs="Times New Roman" w:eastAsia="Times New Roman" w:hAnsi="Times New Roman"/>
                <w:sz w:val="18"/>
                <w:szCs w:val="18"/>
                <w:color w:val="auto"/>
                <w:w w:val="98"/>
              </w:rPr>
              <w:t>7-years</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right="260" w:firstLine="749"/>
        <w:spacing w:after="0" w:line="266" w:lineRule="auto"/>
        <w:rPr>
          <w:sz w:val="20"/>
          <w:szCs w:val="20"/>
          <w:color w:val="auto"/>
        </w:rPr>
      </w:pPr>
      <w:r>
        <w:rPr>
          <w:rFonts w:ascii="Times New Roman" w:cs="Times New Roman" w:eastAsia="Times New Roman" w:hAnsi="Times New Roman"/>
          <w:sz w:val="18"/>
          <w:szCs w:val="18"/>
          <w:color w:val="auto"/>
        </w:rPr>
        <w:t>Based on the finite-lived intangible asset recorded as of June 30, 2025, and assuming the underlying asset will not be impaired and that the Company will not change the expected life of the asset, future amortization expense over the next five years and periods thereafter are estimated to be as follows: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40" w:type="dxa"/>
            <w:vAlign w:val="bottom"/>
          </w:tcPr>
          <w:p>
            <w:pPr>
              <w:spacing w:after="0"/>
              <w:rPr>
                <w:sz w:val="13"/>
                <w:szCs w:val="13"/>
                <w:color w:val="auto"/>
              </w:rPr>
            </w:pPr>
          </w:p>
        </w:tc>
        <w:tc>
          <w:tcPr>
            <w:tcW w:w="6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Estimated amortization</w:t>
            </w:r>
          </w:p>
        </w:tc>
      </w:tr>
      <w:tr>
        <w:trPr>
          <w:trHeight w:val="173"/>
        </w:trPr>
        <w:tc>
          <w:tcPr>
            <w:tcW w:w="3140" w:type="dxa"/>
            <w:vAlign w:val="bottom"/>
          </w:tcPr>
          <w:p>
            <w:pPr>
              <w:spacing w:after="0"/>
              <w:rPr>
                <w:sz w:val="15"/>
                <w:szCs w:val="15"/>
                <w:color w:val="auto"/>
              </w:rPr>
            </w:pPr>
          </w:p>
        </w:tc>
        <w:tc>
          <w:tcPr>
            <w:tcW w:w="6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tcPr>
          <w:p>
            <w:pPr>
              <w:jc w:val="right"/>
              <w:ind w:right="614"/>
              <w:spacing w:after="0"/>
              <w:rPr>
                <w:sz w:val="20"/>
                <w:szCs w:val="20"/>
                <w:color w:val="auto"/>
              </w:rPr>
            </w:pPr>
            <w:r>
              <w:rPr>
                <w:rFonts w:ascii="Times New Roman" w:cs="Times New Roman" w:eastAsia="Times New Roman" w:hAnsi="Times New Roman"/>
                <w:sz w:val="14"/>
                <w:szCs w:val="14"/>
                <w:b w:val="1"/>
                <w:bCs w:val="1"/>
                <w:color w:val="auto"/>
              </w:rPr>
              <w:t>expense</w:t>
            </w:r>
          </w:p>
        </w:tc>
        <w:tc>
          <w:tcPr>
            <w:tcW w:w="120" w:type="dxa"/>
            <w:vAlign w:val="bottom"/>
          </w:tcPr>
          <w:p>
            <w:pPr>
              <w:spacing w:after="0"/>
              <w:rPr>
                <w:sz w:val="15"/>
                <w:szCs w:val="15"/>
                <w:color w:val="auto"/>
              </w:rPr>
            </w:pPr>
          </w:p>
        </w:tc>
      </w:tr>
      <w:tr>
        <w:trPr>
          <w:trHeight w:val="209"/>
        </w:trPr>
        <w:tc>
          <w:tcPr>
            <w:tcW w:w="3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2025</w:t>
            </w:r>
          </w:p>
        </w:tc>
        <w:tc>
          <w:tcPr>
            <w:tcW w:w="6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3,214</w:t>
            </w:r>
          </w:p>
        </w:tc>
        <w:tc>
          <w:tcPr>
            <w:tcW w:w="120" w:type="dxa"/>
            <w:vAlign w:val="bottom"/>
            <w:shd w:val="clear" w:color="auto" w:fill="CFF0FC"/>
          </w:tcPr>
          <w:p>
            <w:pPr>
              <w:spacing w:after="0"/>
              <w:rPr>
                <w:sz w:val="18"/>
                <w:szCs w:val="18"/>
                <w:color w:val="auto"/>
              </w:rPr>
            </w:pPr>
          </w:p>
        </w:tc>
      </w:tr>
      <w:tr>
        <w:trPr>
          <w:trHeight w:val="216"/>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6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6,375</w:t>
            </w:r>
          </w:p>
        </w:tc>
        <w:tc>
          <w:tcPr>
            <w:tcW w:w="120" w:type="dxa"/>
            <w:vAlign w:val="bottom"/>
          </w:tcPr>
          <w:p>
            <w:pPr>
              <w:spacing w:after="0"/>
              <w:rPr>
                <w:sz w:val="18"/>
                <w:szCs w:val="18"/>
                <w:color w:val="auto"/>
              </w:rPr>
            </w:pPr>
          </w:p>
        </w:tc>
      </w:tr>
      <w:tr>
        <w:trPr>
          <w:trHeight w:val="216"/>
        </w:trPr>
        <w:tc>
          <w:tcPr>
            <w:tcW w:w="3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2027</w:t>
            </w:r>
          </w:p>
        </w:tc>
        <w:tc>
          <w:tcPr>
            <w:tcW w:w="6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6,375</w:t>
            </w:r>
          </w:p>
        </w:tc>
        <w:tc>
          <w:tcPr>
            <w:tcW w:w="120" w:type="dxa"/>
            <w:vAlign w:val="bottom"/>
            <w:shd w:val="clear" w:color="auto" w:fill="CFF0FC"/>
          </w:tcPr>
          <w:p>
            <w:pPr>
              <w:spacing w:after="0"/>
              <w:rPr>
                <w:sz w:val="18"/>
                <w:szCs w:val="18"/>
                <w:color w:val="auto"/>
              </w:rPr>
            </w:pPr>
          </w:p>
        </w:tc>
      </w:tr>
      <w:tr>
        <w:trPr>
          <w:trHeight w:val="216"/>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6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6,392</w:t>
            </w:r>
          </w:p>
        </w:tc>
        <w:tc>
          <w:tcPr>
            <w:tcW w:w="120" w:type="dxa"/>
            <w:vAlign w:val="bottom"/>
          </w:tcPr>
          <w:p>
            <w:pPr>
              <w:spacing w:after="0"/>
              <w:rPr>
                <w:sz w:val="18"/>
                <w:szCs w:val="18"/>
                <w:color w:val="auto"/>
              </w:rPr>
            </w:pPr>
          </w:p>
        </w:tc>
      </w:tr>
      <w:tr>
        <w:trPr>
          <w:trHeight w:val="216"/>
        </w:trPr>
        <w:tc>
          <w:tcPr>
            <w:tcW w:w="3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2029</w:t>
            </w:r>
          </w:p>
        </w:tc>
        <w:tc>
          <w:tcPr>
            <w:tcW w:w="6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6,375</w:t>
            </w:r>
          </w:p>
        </w:tc>
        <w:tc>
          <w:tcPr>
            <w:tcW w:w="120" w:type="dxa"/>
            <w:vAlign w:val="bottom"/>
            <w:shd w:val="clear" w:color="auto" w:fill="CFF0FC"/>
          </w:tcPr>
          <w:p>
            <w:pPr>
              <w:spacing w:after="0"/>
              <w:rPr>
                <w:sz w:val="18"/>
                <w:szCs w:val="18"/>
                <w:color w:val="auto"/>
              </w:rPr>
            </w:pPr>
          </w:p>
        </w:tc>
      </w:tr>
      <w:tr>
        <w:trPr>
          <w:trHeight w:val="216"/>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6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15,002</w:t>
            </w:r>
          </w:p>
        </w:tc>
        <w:tc>
          <w:tcPr>
            <w:tcW w:w="120" w:type="dxa"/>
            <w:vAlign w:val="bottom"/>
          </w:tcPr>
          <w:p>
            <w:pPr>
              <w:spacing w:after="0"/>
              <w:rPr>
                <w:sz w:val="18"/>
                <w:szCs w:val="18"/>
                <w:color w:val="auto"/>
              </w:rPr>
            </w:pPr>
          </w:p>
        </w:tc>
      </w:tr>
      <w:tr>
        <w:trPr>
          <w:trHeight w:val="250"/>
        </w:trPr>
        <w:tc>
          <w:tcPr>
            <w:tcW w:w="3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6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43,733</w:t>
            </w:r>
          </w:p>
        </w:tc>
        <w:tc>
          <w:tcPr>
            <w:tcW w:w="120" w:type="dxa"/>
            <w:vAlign w:val="bottom"/>
            <w:shd w:val="clear" w:color="auto" w:fill="CFF0FC"/>
          </w:tcPr>
          <w:p>
            <w:pPr>
              <w:spacing w:after="0"/>
              <w:rPr>
                <w:sz w:val="21"/>
                <w:szCs w:val="21"/>
                <w:color w:val="auto"/>
              </w:rPr>
            </w:pPr>
          </w:p>
        </w:tc>
      </w:tr>
      <w:tr>
        <w:trPr>
          <w:trHeight w:val="844"/>
        </w:trPr>
        <w:tc>
          <w:tcPr>
            <w:tcW w:w="3140" w:type="dxa"/>
            <w:vAlign w:val="bottom"/>
            <w:tcBorders>
              <w:top w:val="single" w:sz="8" w:color="CFF0FC"/>
            </w:tcBorders>
          </w:tcPr>
          <w:p>
            <w:pPr>
              <w:spacing w:after="0"/>
              <w:rPr>
                <w:sz w:val="24"/>
                <w:szCs w:val="24"/>
                <w:color w:val="auto"/>
              </w:rPr>
            </w:pPr>
          </w:p>
        </w:tc>
        <w:tc>
          <w:tcPr>
            <w:tcW w:w="6100" w:type="dxa"/>
            <w:vAlign w:val="bottom"/>
            <w:tcBorders>
              <w:top w:val="single" w:sz="8" w:color="CFF0FC"/>
            </w:tcBorders>
          </w:tcPr>
          <w:p>
            <w:pPr>
              <w:jc w:val="right"/>
              <w:ind w:right="3430"/>
              <w:spacing w:after="0"/>
              <w:rPr>
                <w:sz w:val="20"/>
                <w:szCs w:val="20"/>
                <w:color w:val="auto"/>
              </w:rPr>
            </w:pPr>
            <w:r>
              <w:rPr>
                <w:rFonts w:ascii="Times New Roman" w:cs="Times New Roman" w:eastAsia="Times New Roman" w:hAnsi="Times New Roman"/>
                <w:sz w:val="18"/>
                <w:szCs w:val="18"/>
                <w:color w:val="auto"/>
              </w:rPr>
              <w:t>20</w:t>
            </w:r>
          </w:p>
        </w:tc>
        <w:tc>
          <w:tcPr>
            <w:tcW w:w="140" w:type="dxa"/>
            <w:vAlign w:val="bottom"/>
            <w:tcBorders>
              <w:top w:val="single" w:sz="8" w:color="auto"/>
            </w:tcBorders>
          </w:tcPr>
          <w:p>
            <w:pPr>
              <w:spacing w:after="0"/>
              <w:rPr>
                <w:sz w:val="24"/>
                <w:szCs w:val="24"/>
                <w:color w:val="auto"/>
              </w:rPr>
            </w:pPr>
          </w:p>
        </w:tc>
        <w:tc>
          <w:tcPr>
            <w:tcW w:w="174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r>
      <w:tr>
        <w:trPr>
          <w:trHeight w:val="763"/>
        </w:trPr>
        <w:tc>
          <w:tcPr>
            <w:tcW w:w="3140" w:type="dxa"/>
            <w:vAlign w:val="bottom"/>
            <w:tcBorders>
              <w:bottom w:val="single" w:sz="8" w:color="9A9A9A"/>
            </w:tcBorders>
          </w:tcPr>
          <w:p>
            <w:pPr>
              <w:spacing w:after="0"/>
              <w:rPr>
                <w:sz w:val="24"/>
                <w:szCs w:val="24"/>
                <w:color w:val="auto"/>
              </w:rPr>
            </w:pPr>
          </w:p>
        </w:tc>
        <w:tc>
          <w:tcPr>
            <w:tcW w:w="6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7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-1070610</wp:posOffset>
            </wp:positionV>
            <wp:extent cx="7747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-1053465</wp:posOffset>
            </wp:positionV>
            <wp:extent cx="7747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Fair Value of Financial Instruments</w:t>
      </w:r>
    </w:p>
    <w:p>
      <w:pPr>
        <w:spacing w:after="0" w:line="229" w:lineRule="exact"/>
        <w:rPr>
          <w:sz w:val="20"/>
          <w:szCs w:val="20"/>
          <w:color w:val="auto"/>
        </w:rPr>
      </w:pPr>
    </w:p>
    <w:p>
      <w:pPr>
        <w:ind w:right="120" w:firstLine="749"/>
        <w:spacing w:after="0" w:line="261" w:lineRule="auto"/>
        <w:rPr>
          <w:sz w:val="20"/>
          <w:szCs w:val="20"/>
          <w:color w:val="auto"/>
        </w:rPr>
      </w:pPr>
      <w:r>
        <w:rPr>
          <w:rFonts w:ascii="Times New Roman" w:cs="Times New Roman" w:eastAsia="Times New Roman" w:hAnsi="Times New Roman"/>
          <w:sz w:val="18"/>
          <w:szCs w:val="18"/>
          <w:color w:val="auto"/>
        </w:rPr>
        <w:t>In connection with the Acquisition, the Company pays royalty on U.S. net sales of Sunosi to Jazz. The discounted cash flow method used to value this contingent consideration includes inputs of not readily observable market data, which are Level 3 inputs. The fair value of the contingent consideration is reflected as current accrued contingent consideration of $9.2 million and non-current contingent consideration liability of $79.7 million in the consolidated balance sheet as of June 30, 2025.</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fair value of financial instruments measured on a recurring basis is as follows: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7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4"/>
          </w:tcPr>
          <w:p>
            <w:pPr>
              <w:ind w:left="62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8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96"/>
        </w:trPr>
        <w:tc>
          <w:tcPr>
            <w:tcW w:w="47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gridSpan w:val="2"/>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40" w:type="dxa"/>
            <w:vAlign w:val="bottom"/>
          </w:tcPr>
          <w:p>
            <w:pPr>
              <w:spacing w:after="0"/>
              <w:rPr>
                <w:sz w:val="17"/>
                <w:szCs w:val="17"/>
                <w:color w:val="auto"/>
              </w:rPr>
            </w:pPr>
          </w:p>
        </w:tc>
        <w:tc>
          <w:tcPr>
            <w:tcW w:w="10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09"/>
        </w:trPr>
        <w:tc>
          <w:tcPr>
            <w:tcW w:w="4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Assets:</w:t>
            </w:r>
          </w:p>
        </w:tc>
        <w:tc>
          <w:tcPr>
            <w:tcW w:w="108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4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Cash and cash equivalents - money market funds</w:t>
            </w: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238,269</w:t>
            </w:r>
          </w:p>
        </w:tc>
        <w:tc>
          <w:tcPr>
            <w:tcW w:w="120" w:type="dxa"/>
            <w:vAlign w:val="bottom"/>
          </w:tcPr>
          <w:p>
            <w:pPr>
              <w:spacing w:after="0"/>
              <w:rPr>
                <w:sz w:val="18"/>
                <w:szCs w:val="18"/>
                <w:color w:val="auto"/>
              </w:rPr>
            </w:pP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238,269</w:t>
            </w:r>
          </w:p>
        </w:tc>
        <w:tc>
          <w:tcPr>
            <w:tcW w:w="120" w:type="dxa"/>
            <w:vAlign w:val="bottom"/>
          </w:tcPr>
          <w:p>
            <w:pPr>
              <w:spacing w:after="0"/>
              <w:rPr>
                <w:sz w:val="18"/>
                <w:szCs w:val="18"/>
                <w:color w:val="auto"/>
              </w:rPr>
            </w:pPr>
          </w:p>
        </w:tc>
      </w:tr>
      <w:tr>
        <w:trPr>
          <w:trHeight w:val="216"/>
        </w:trPr>
        <w:tc>
          <w:tcPr>
            <w:tcW w:w="4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Liabilities:</w:t>
            </w:r>
          </w:p>
        </w:tc>
        <w:tc>
          <w:tcPr>
            <w:tcW w:w="10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4"/>
        </w:trPr>
        <w:tc>
          <w:tcPr>
            <w:tcW w:w="4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Contingent consideration</w:t>
            </w: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88,887</w:t>
            </w:r>
          </w:p>
        </w:tc>
        <w:tc>
          <w:tcPr>
            <w:tcW w:w="260" w:type="dxa"/>
            <w:vAlign w:val="bottom"/>
          </w:tcPr>
          <w:p>
            <w:pPr>
              <w:spacing w:after="0"/>
              <w:rPr>
                <w:sz w:val="20"/>
                <w:szCs w:val="20"/>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88,887</w:t>
            </w:r>
          </w:p>
        </w:tc>
        <w:tc>
          <w:tcPr>
            <w:tcW w:w="120" w:type="dxa"/>
            <w:vAlign w:val="bottom"/>
          </w:tcPr>
          <w:p>
            <w:pPr>
              <w:spacing w:after="0"/>
              <w:rPr>
                <w:sz w:val="20"/>
                <w:szCs w:val="20"/>
                <w:color w:val="auto"/>
              </w:rPr>
            </w:pPr>
          </w:p>
        </w:tc>
      </w:tr>
      <w:tr>
        <w:trPr>
          <w:trHeight w:val="616"/>
        </w:trPr>
        <w:tc>
          <w:tcPr>
            <w:tcW w:w="47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gridSpan w:val="6"/>
          </w:tcPr>
          <w:p>
            <w:pPr>
              <w:ind w:left="48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96"/>
        </w:trPr>
        <w:tc>
          <w:tcPr>
            <w:tcW w:w="47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gridSpan w:val="2"/>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40" w:type="dxa"/>
            <w:vAlign w:val="bottom"/>
          </w:tcPr>
          <w:p>
            <w:pPr>
              <w:spacing w:after="0"/>
              <w:rPr>
                <w:sz w:val="17"/>
                <w:szCs w:val="17"/>
                <w:color w:val="auto"/>
              </w:rPr>
            </w:pPr>
          </w:p>
        </w:tc>
        <w:tc>
          <w:tcPr>
            <w:tcW w:w="10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0"/>
        </w:trPr>
        <w:tc>
          <w:tcPr>
            <w:tcW w:w="4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Assets:</w:t>
            </w:r>
          </w:p>
        </w:tc>
        <w:tc>
          <w:tcPr>
            <w:tcW w:w="108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4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Cash and cash equivalents - money market funds</w:t>
            </w: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244,097</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244,097</w:t>
            </w:r>
          </w:p>
        </w:tc>
      </w:tr>
      <w:tr>
        <w:trPr>
          <w:trHeight w:val="216"/>
        </w:trPr>
        <w:tc>
          <w:tcPr>
            <w:tcW w:w="4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Liabilities:</w:t>
            </w:r>
          </w:p>
        </w:tc>
        <w:tc>
          <w:tcPr>
            <w:tcW w:w="10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4"/>
        </w:trPr>
        <w:tc>
          <w:tcPr>
            <w:tcW w:w="4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Contingent consideration</w:t>
            </w: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99,965</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99,965</w:t>
            </w: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Contingent Consideration Liabilities</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fair value of the contingent consideration liabilities is marked-to-market at each reporting period and was remeasured at June 30, 2025.</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fair value of the contingent consideration liabilities as of June 30, 2025 are as follows: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92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Contingent consideration</w:t>
            </w:r>
          </w:p>
        </w:tc>
        <w:tc>
          <w:tcPr>
            <w:tcW w:w="120" w:type="dxa"/>
            <w:vAlign w:val="bottom"/>
          </w:tcPr>
          <w:p>
            <w:pPr>
              <w:spacing w:after="0"/>
              <w:rPr>
                <w:sz w:val="15"/>
                <w:szCs w:val="15"/>
                <w:color w:val="auto"/>
              </w:rPr>
            </w:pPr>
          </w:p>
        </w:tc>
      </w:tr>
      <w:tr>
        <w:trPr>
          <w:trHeight w:val="210"/>
        </w:trPr>
        <w:tc>
          <w:tcPr>
            <w:tcW w:w="9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99,965</w:t>
            </w:r>
          </w:p>
        </w:tc>
      </w:tr>
      <w:tr>
        <w:trPr>
          <w:trHeight w:val="216"/>
        </w:trPr>
        <w:tc>
          <w:tcPr>
            <w:tcW w:w="9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Adjustment to fair value</w:t>
            </w:r>
          </w:p>
        </w:tc>
        <w:tc>
          <w:tcPr>
            <w:tcW w:w="120" w:type="dxa"/>
            <w:vAlign w:val="bottom"/>
          </w:tcPr>
          <w:p>
            <w:pPr>
              <w:spacing w:after="0"/>
              <w:rPr>
                <w:sz w:val="18"/>
                <w:szCs w:val="18"/>
                <w:color w:val="auto"/>
              </w:rPr>
            </w:pPr>
          </w:p>
        </w:tc>
        <w:tc>
          <w:tcPr>
            <w:tcW w:w="1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(6,590)</w:t>
            </w:r>
          </w:p>
        </w:tc>
      </w:tr>
      <w:tr>
        <w:trPr>
          <w:trHeight w:val="216"/>
        </w:trPr>
        <w:tc>
          <w:tcPr>
            <w:tcW w:w="92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Payments</w:t>
            </w:r>
          </w:p>
        </w:tc>
        <w:tc>
          <w:tcPr>
            <w:tcW w:w="120" w:type="dxa"/>
            <w:vAlign w:val="bottom"/>
            <w:shd w:val="clear" w:color="auto" w:fill="CFF0FC"/>
          </w:tcPr>
          <w:p>
            <w:pPr>
              <w:spacing w:after="0"/>
              <w:rPr>
                <w:sz w:val="18"/>
                <w:szCs w:val="18"/>
                <w:color w:val="auto"/>
              </w:rPr>
            </w:pPr>
          </w:p>
        </w:tc>
        <w:tc>
          <w:tcPr>
            <w:tcW w:w="18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(4,488)</w:t>
            </w:r>
          </w:p>
        </w:tc>
      </w:tr>
      <w:tr>
        <w:trPr>
          <w:trHeight w:val="228"/>
        </w:trPr>
        <w:tc>
          <w:tcPr>
            <w:tcW w:w="92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Balance at June 30, 2025 (Level 3)</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88,887</w:t>
            </w:r>
          </w:p>
        </w:tc>
        <w:tc>
          <w:tcPr>
            <w:tcW w:w="120" w:type="dxa"/>
            <w:vAlign w:val="bottom"/>
            <w:tcBorders>
              <w:top w:val="single" w:sz="8" w:color="CFF0FC"/>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7059930</wp:posOffset>
            </wp:positionH>
            <wp:positionV relativeFrom="paragraph">
              <wp:posOffset>-156845</wp:posOffset>
            </wp:positionV>
            <wp:extent cx="7747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159" w:lineRule="exact"/>
        <w:rPr>
          <w:sz w:val="20"/>
          <w:szCs w:val="20"/>
          <w:color w:val="auto"/>
        </w:rPr>
      </w:pPr>
    </w:p>
    <w:p>
      <w:pPr>
        <w:ind w:right="400" w:firstLine="749"/>
        <w:spacing w:after="0" w:line="282" w:lineRule="auto"/>
        <w:rPr>
          <w:sz w:val="20"/>
          <w:szCs w:val="20"/>
          <w:color w:val="auto"/>
        </w:rPr>
      </w:pPr>
      <w:r>
        <w:rPr>
          <w:rFonts w:ascii="Times New Roman" w:cs="Times New Roman" w:eastAsia="Times New Roman" w:hAnsi="Times New Roman"/>
          <w:sz w:val="18"/>
          <w:szCs w:val="18"/>
          <w:color w:val="auto"/>
        </w:rPr>
        <w:t>The recurring Level 3 fair value measurements of contingent consideration for which a liability is recorded include the following significant unobservable inputs: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600" w:type="dxa"/>
            <w:vAlign w:val="bottom"/>
          </w:tcPr>
          <w:p>
            <w:pPr>
              <w:spacing w:after="0"/>
              <w:rPr>
                <w:sz w:val="15"/>
                <w:szCs w:val="15"/>
                <w:color w:val="auto"/>
              </w:rPr>
            </w:pPr>
          </w:p>
        </w:tc>
        <w:tc>
          <w:tcPr>
            <w:tcW w:w="23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3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As of June 30, 2025</w:t>
            </w:r>
          </w:p>
        </w:tc>
        <w:tc>
          <w:tcPr>
            <w:tcW w:w="120" w:type="dxa"/>
            <w:vAlign w:val="bottom"/>
          </w:tcPr>
          <w:p>
            <w:pPr>
              <w:spacing w:after="0"/>
              <w:rPr>
                <w:sz w:val="15"/>
                <w:szCs w:val="15"/>
                <w:color w:val="auto"/>
              </w:rPr>
            </w:pPr>
          </w:p>
        </w:tc>
        <w:tc>
          <w:tcPr>
            <w:tcW w:w="2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c>
          <w:tcPr>
            <w:tcW w:w="0" w:type="dxa"/>
            <w:vAlign w:val="bottom"/>
          </w:tcPr>
          <w:p>
            <w:pPr>
              <w:spacing w:after="0"/>
              <w:rPr>
                <w:sz w:val="1"/>
                <w:szCs w:val="1"/>
                <w:color w:val="auto"/>
              </w:rPr>
            </w:pPr>
          </w:p>
        </w:tc>
      </w:tr>
      <w:tr>
        <w:trPr>
          <w:trHeight w:val="117"/>
        </w:trPr>
        <w:tc>
          <w:tcPr>
            <w:tcW w:w="1600" w:type="dxa"/>
            <w:vAlign w:val="bottom"/>
          </w:tcPr>
          <w:p>
            <w:pPr>
              <w:spacing w:after="0"/>
              <w:rPr>
                <w:sz w:val="10"/>
                <w:szCs w:val="10"/>
                <w:color w:val="auto"/>
              </w:rPr>
            </w:pPr>
          </w:p>
        </w:tc>
        <w:tc>
          <w:tcPr>
            <w:tcW w:w="23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Valuation methodology</w:t>
            </w:r>
          </w:p>
        </w:tc>
        <w:tc>
          <w:tcPr>
            <w:tcW w:w="120" w:type="dxa"/>
            <w:vAlign w:val="bottom"/>
          </w:tcPr>
          <w:p>
            <w:pPr>
              <w:spacing w:after="0"/>
              <w:rPr>
                <w:sz w:val="10"/>
                <w:szCs w:val="10"/>
                <w:color w:val="auto"/>
              </w:rPr>
            </w:pPr>
          </w:p>
        </w:tc>
        <w:tc>
          <w:tcPr>
            <w:tcW w:w="23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Significant unobservable input</w:t>
            </w:r>
          </w:p>
        </w:tc>
        <w:tc>
          <w:tcPr>
            <w:tcW w:w="100" w:type="dxa"/>
            <w:vAlign w:val="bottom"/>
          </w:tcPr>
          <w:p>
            <w:pPr>
              <w:spacing w:after="0"/>
              <w:rPr>
                <w:sz w:val="10"/>
                <w:szCs w:val="10"/>
                <w:color w:val="auto"/>
              </w:rPr>
            </w:pPr>
          </w:p>
        </w:tc>
        <w:tc>
          <w:tcPr>
            <w:tcW w:w="232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Weighted average (range, if</w:t>
            </w:r>
          </w:p>
        </w:tc>
        <w:tc>
          <w:tcPr>
            <w:tcW w:w="120" w:type="dxa"/>
            <w:vAlign w:val="bottom"/>
          </w:tcPr>
          <w:p>
            <w:pPr>
              <w:spacing w:after="0"/>
              <w:rPr>
                <w:sz w:val="10"/>
                <w:szCs w:val="10"/>
                <w:color w:val="auto"/>
              </w:rPr>
            </w:pPr>
          </w:p>
        </w:tc>
        <w:tc>
          <w:tcPr>
            <w:tcW w:w="234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Weighted average (range, if</w:t>
            </w:r>
          </w:p>
        </w:tc>
        <w:tc>
          <w:tcPr>
            <w:tcW w:w="0" w:type="dxa"/>
            <w:vAlign w:val="bottom"/>
          </w:tcPr>
          <w:p>
            <w:pPr>
              <w:spacing w:after="0"/>
              <w:rPr>
                <w:sz w:val="1"/>
                <w:szCs w:val="1"/>
                <w:color w:val="auto"/>
              </w:rPr>
            </w:pPr>
          </w:p>
        </w:tc>
      </w:tr>
      <w:tr>
        <w:trPr>
          <w:trHeight w:val="173"/>
        </w:trPr>
        <w:tc>
          <w:tcPr>
            <w:tcW w:w="1600" w:type="dxa"/>
            <w:vAlign w:val="bottom"/>
          </w:tcPr>
          <w:p>
            <w:pPr>
              <w:spacing w:after="0"/>
              <w:rPr>
                <w:sz w:val="15"/>
                <w:szCs w:val="15"/>
                <w:color w:val="auto"/>
              </w:rPr>
            </w:pPr>
          </w:p>
        </w:tc>
        <w:tc>
          <w:tcPr>
            <w:tcW w:w="232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232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2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applicable)</w:t>
            </w:r>
          </w:p>
        </w:tc>
        <w:tc>
          <w:tcPr>
            <w:tcW w:w="120" w:type="dxa"/>
            <w:vAlign w:val="bottom"/>
          </w:tcPr>
          <w:p>
            <w:pPr>
              <w:spacing w:after="0"/>
              <w:rPr>
                <w:sz w:val="15"/>
                <w:szCs w:val="15"/>
                <w:color w:val="auto"/>
              </w:rPr>
            </w:pPr>
          </w:p>
        </w:tc>
        <w:tc>
          <w:tcPr>
            <w:tcW w:w="2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applicable)</w:t>
            </w:r>
          </w:p>
        </w:tc>
        <w:tc>
          <w:tcPr>
            <w:tcW w:w="0" w:type="dxa"/>
            <w:vAlign w:val="bottom"/>
          </w:tcPr>
          <w:p>
            <w:pPr>
              <w:spacing w:after="0"/>
              <w:rPr>
                <w:sz w:val="1"/>
                <w:szCs w:val="1"/>
                <w:color w:val="auto"/>
              </w:rPr>
            </w:pPr>
          </w:p>
        </w:tc>
      </w:tr>
      <w:tr>
        <w:trPr>
          <w:trHeight w:val="191"/>
        </w:trPr>
        <w:tc>
          <w:tcPr>
            <w:tcW w:w="1600" w:type="dxa"/>
            <w:vAlign w:val="bottom"/>
            <w:shd w:val="clear" w:color="auto" w:fill="CFF0FC"/>
          </w:tcPr>
          <w:p>
            <w:pPr>
              <w:ind w:left="320"/>
              <w:spacing w:after="0" w:line="191" w:lineRule="exact"/>
              <w:rPr>
                <w:sz w:val="20"/>
                <w:szCs w:val="20"/>
                <w:color w:val="auto"/>
              </w:rPr>
            </w:pPr>
            <w:r>
              <w:rPr>
                <w:rFonts w:ascii="Times New Roman" w:cs="Times New Roman" w:eastAsia="Times New Roman" w:hAnsi="Times New Roman"/>
                <w:sz w:val="18"/>
                <w:szCs w:val="18"/>
                <w:color w:val="auto"/>
              </w:rPr>
              <w:t>Contingent</w:t>
            </w:r>
          </w:p>
        </w:tc>
        <w:tc>
          <w:tcPr>
            <w:tcW w:w="2320" w:type="dxa"/>
            <w:vAlign w:val="bottom"/>
            <w:shd w:val="clear" w:color="auto" w:fill="CFF0FC"/>
          </w:tcPr>
          <w:p>
            <w:pPr>
              <w:ind w:left="100"/>
              <w:spacing w:after="0" w:line="191" w:lineRule="exact"/>
              <w:rPr>
                <w:sz w:val="20"/>
                <w:szCs w:val="20"/>
                <w:color w:val="auto"/>
              </w:rPr>
            </w:pPr>
            <w:r>
              <w:rPr>
                <w:rFonts w:ascii="Times New Roman" w:cs="Times New Roman" w:eastAsia="Times New Roman" w:hAnsi="Times New Roman"/>
                <w:sz w:val="18"/>
                <w:szCs w:val="18"/>
                <w:color w:val="auto"/>
              </w:rPr>
              <w:t>Probability weighted income</w:t>
            </w:r>
          </w:p>
        </w:tc>
        <w:tc>
          <w:tcPr>
            <w:tcW w:w="120" w:type="dxa"/>
            <w:vAlign w:val="bottom"/>
            <w:shd w:val="clear" w:color="auto" w:fill="CFF0FC"/>
          </w:tcPr>
          <w:p>
            <w:pPr>
              <w:spacing w:after="0"/>
              <w:rPr>
                <w:sz w:val="16"/>
                <w:szCs w:val="16"/>
                <w:color w:val="auto"/>
              </w:rPr>
            </w:pPr>
          </w:p>
        </w:tc>
        <w:tc>
          <w:tcPr>
            <w:tcW w:w="2320" w:type="dxa"/>
            <w:vAlign w:val="bottom"/>
            <w:shd w:val="clear" w:color="auto" w:fill="CFF0FC"/>
          </w:tcPr>
          <w:p>
            <w:pPr>
              <w:jc w:val="center"/>
              <w:spacing w:after="0" w:line="191" w:lineRule="exact"/>
              <w:rPr>
                <w:sz w:val="20"/>
                <w:szCs w:val="20"/>
                <w:color w:val="auto"/>
              </w:rPr>
            </w:pPr>
            <w:r>
              <w:rPr>
                <w:rFonts w:ascii="Times New Roman" w:cs="Times New Roman" w:eastAsia="Times New Roman" w:hAnsi="Times New Roman"/>
                <w:sz w:val="18"/>
                <w:szCs w:val="18"/>
                <w:color w:val="auto"/>
              </w:rPr>
              <w:t>Discount rate</w:t>
            </w:r>
          </w:p>
        </w:tc>
        <w:tc>
          <w:tcPr>
            <w:tcW w:w="2420" w:type="dxa"/>
            <w:vAlign w:val="bottom"/>
            <w:gridSpan w:val="2"/>
            <w:shd w:val="clear" w:color="auto" w:fill="CFF0FC"/>
          </w:tcPr>
          <w:p>
            <w:pPr>
              <w:jc w:val="right"/>
              <w:ind w:right="850"/>
              <w:spacing w:after="0" w:line="191" w:lineRule="exact"/>
              <w:rPr>
                <w:sz w:val="20"/>
                <w:szCs w:val="20"/>
                <w:color w:val="auto"/>
              </w:rPr>
            </w:pPr>
            <w:r>
              <w:rPr>
                <w:rFonts w:ascii="Times New Roman" w:cs="Times New Roman" w:eastAsia="Times New Roman" w:hAnsi="Times New Roman"/>
                <w:sz w:val="18"/>
                <w:szCs w:val="18"/>
                <w:color w:val="auto"/>
              </w:rPr>
              <w:t>15.2%</w:t>
            </w:r>
          </w:p>
        </w:tc>
        <w:tc>
          <w:tcPr>
            <w:tcW w:w="2460" w:type="dxa"/>
            <w:vAlign w:val="bottom"/>
            <w:gridSpan w:val="2"/>
            <w:shd w:val="clear" w:color="auto" w:fill="CFF0FC"/>
          </w:tcPr>
          <w:p>
            <w:pPr>
              <w:jc w:val="right"/>
              <w:ind w:right="870"/>
              <w:spacing w:after="0" w:line="191" w:lineRule="exact"/>
              <w:rPr>
                <w:sz w:val="20"/>
                <w:szCs w:val="20"/>
                <w:color w:val="auto"/>
              </w:rPr>
            </w:pPr>
            <w:r>
              <w:rPr>
                <w:rFonts w:ascii="Times New Roman" w:cs="Times New Roman" w:eastAsia="Times New Roman" w:hAnsi="Times New Roman"/>
                <w:sz w:val="18"/>
                <w:szCs w:val="18"/>
                <w:color w:val="auto"/>
              </w:rPr>
              <w:t>12.0%</w:t>
            </w:r>
          </w:p>
        </w:tc>
        <w:tc>
          <w:tcPr>
            <w:tcW w:w="0" w:type="dxa"/>
            <w:vAlign w:val="bottom"/>
          </w:tcPr>
          <w:p>
            <w:pPr>
              <w:spacing w:after="0"/>
              <w:rPr>
                <w:sz w:val="1"/>
                <w:szCs w:val="1"/>
                <w:color w:val="auto"/>
              </w:rPr>
            </w:pPr>
          </w:p>
        </w:tc>
      </w:tr>
      <w:tr>
        <w:trPr>
          <w:trHeight w:val="234"/>
        </w:trPr>
        <w:tc>
          <w:tcPr>
            <w:tcW w:w="16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consideration</w:t>
            </w:r>
          </w:p>
        </w:tc>
        <w:tc>
          <w:tcPr>
            <w:tcW w:w="23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approach</w:t>
            </w:r>
          </w:p>
        </w:tc>
        <w:tc>
          <w:tcPr>
            <w:tcW w:w="120" w:type="dxa"/>
            <w:vAlign w:val="bottom"/>
            <w:shd w:val="clear" w:color="auto" w:fill="CFF0FC"/>
          </w:tcPr>
          <w:p>
            <w:pPr>
              <w:spacing w:after="0"/>
              <w:rPr>
                <w:sz w:val="20"/>
                <w:szCs w:val="20"/>
                <w:color w:val="auto"/>
              </w:rPr>
            </w:pPr>
          </w:p>
        </w:tc>
        <w:tc>
          <w:tcPr>
            <w:tcW w:w="23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3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34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160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Revenue discount rate</w:t>
            </w:r>
          </w:p>
        </w:tc>
        <w:tc>
          <w:tcPr>
            <w:tcW w:w="2420" w:type="dxa"/>
            <w:vAlign w:val="bottom"/>
            <w:gridSpan w:val="2"/>
          </w:tcPr>
          <w:p>
            <w:pPr>
              <w:jc w:val="right"/>
              <w:ind w:right="550"/>
              <w:spacing w:after="0"/>
              <w:rPr>
                <w:sz w:val="20"/>
                <w:szCs w:val="20"/>
                <w:color w:val="auto"/>
              </w:rPr>
            </w:pPr>
            <w:r>
              <w:rPr>
                <w:rFonts w:ascii="Times New Roman" w:cs="Times New Roman" w:eastAsia="Times New Roman" w:hAnsi="Times New Roman"/>
                <w:sz w:val="18"/>
                <w:szCs w:val="18"/>
                <w:color w:val="auto"/>
              </w:rPr>
              <w:t>16.6% - 19.6%</w:t>
            </w:r>
          </w:p>
        </w:tc>
        <w:tc>
          <w:tcPr>
            <w:tcW w:w="2460" w:type="dxa"/>
            <w:vAlign w:val="bottom"/>
            <w:gridSpan w:val="2"/>
          </w:tcPr>
          <w:p>
            <w:pPr>
              <w:jc w:val="right"/>
              <w:ind w:right="570"/>
              <w:spacing w:after="0"/>
              <w:rPr>
                <w:sz w:val="20"/>
                <w:szCs w:val="20"/>
                <w:color w:val="auto"/>
              </w:rPr>
            </w:pPr>
            <w:r>
              <w:rPr>
                <w:rFonts w:ascii="Times New Roman" w:cs="Times New Roman" w:eastAsia="Times New Roman" w:hAnsi="Times New Roman"/>
                <w:sz w:val="18"/>
                <w:szCs w:val="18"/>
                <w:color w:val="auto"/>
              </w:rPr>
              <w:t>17.6% - 20.6%</w:t>
            </w:r>
          </w:p>
        </w:tc>
        <w:tc>
          <w:tcPr>
            <w:tcW w:w="0" w:type="dxa"/>
            <w:vAlign w:val="bottom"/>
          </w:tcPr>
          <w:p>
            <w:pPr>
              <w:spacing w:after="0"/>
              <w:rPr>
                <w:sz w:val="1"/>
                <w:szCs w:val="1"/>
                <w:color w:val="auto"/>
              </w:rPr>
            </w:pPr>
          </w:p>
        </w:tc>
      </w:tr>
      <w:tr>
        <w:trPr>
          <w:trHeight w:val="846"/>
        </w:trPr>
        <w:tc>
          <w:tcPr>
            <w:tcW w:w="160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2440" w:type="dxa"/>
            <w:vAlign w:val="bottom"/>
            <w:gridSpan w:val="2"/>
          </w:tcPr>
          <w:p>
            <w:pPr>
              <w:jc w:val="right"/>
              <w:ind w:right="556"/>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1600" w:type="dxa"/>
            <w:vAlign w:val="bottom"/>
            <w:tcBorders>
              <w:bottom w:val="single" w:sz="8" w:color="9A9A9A"/>
            </w:tcBorders>
          </w:tcPr>
          <w:p>
            <w:pPr>
              <w:spacing w:after="0"/>
              <w:rPr>
                <w:sz w:val="24"/>
                <w:szCs w:val="24"/>
                <w:color w:val="auto"/>
              </w:rPr>
            </w:pPr>
          </w:p>
        </w:tc>
        <w:tc>
          <w:tcPr>
            <w:tcW w:w="23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3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3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3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40" w:firstLine="749"/>
        <w:spacing w:after="0" w:line="256" w:lineRule="auto"/>
        <w:rPr>
          <w:sz w:val="20"/>
          <w:szCs w:val="20"/>
          <w:color w:val="auto"/>
        </w:rPr>
      </w:pPr>
      <w:r>
        <w:rPr>
          <w:rFonts w:ascii="Times New Roman" w:cs="Times New Roman" w:eastAsia="Times New Roman" w:hAnsi="Times New Roman"/>
          <w:sz w:val="18"/>
          <w:szCs w:val="18"/>
          <w:color w:val="auto"/>
        </w:rPr>
        <w:t>The Company’s fair value measurement of contingent consideration liabilities has been classified as Level 3 as its valuation requires substantial judgment and estimation of factors which requires use of unobservable inputs. The fair value of contingent consideration liabilities are estimated by using the probability weighted income approach using significant assumptions including estimated future sales of Sunosi in current and future indications, timing of regulatory and commercial milestone achievements, probability of technical and regulatory success rates, and discount rates. If significant changes are made to one or more of these assumptions, the estimated fair value of contingent consideration liabilities may result in a significantly higher or lower fair value measurement.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Accrued Expenses and Other Current Liabilities</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Accrued expenses and other current liabilities consisted of the following:</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4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60" w:type="dxa"/>
            <w:vAlign w:val="bottom"/>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40" w:type="dxa"/>
            <w:vAlign w:val="bottom"/>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564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65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65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09"/>
        </w:trPr>
        <w:tc>
          <w:tcPr>
            <w:tcW w:w="5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research and development</w:t>
            </w:r>
          </w:p>
        </w:tc>
        <w:tc>
          <w:tcPr>
            <w:tcW w:w="240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10,154</w:t>
            </w:r>
          </w:p>
        </w:tc>
        <w:tc>
          <w:tcPr>
            <w:tcW w:w="4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14,431</w:t>
            </w:r>
          </w:p>
        </w:tc>
      </w:tr>
      <w:tr>
        <w:trPr>
          <w:trHeight w:val="216"/>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Accrued compensation</w:t>
            </w:r>
          </w:p>
        </w:tc>
        <w:tc>
          <w:tcPr>
            <w:tcW w:w="2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21,127</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28,225</w:t>
            </w:r>
          </w:p>
        </w:tc>
      </w:tr>
      <w:tr>
        <w:trPr>
          <w:trHeight w:val="216"/>
        </w:trPr>
        <w:tc>
          <w:tcPr>
            <w:tcW w:w="5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selling, general, and administrative</w:t>
            </w:r>
          </w:p>
        </w:tc>
        <w:tc>
          <w:tcPr>
            <w:tcW w:w="2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6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13,314</w:t>
            </w: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17,498</w:t>
            </w:r>
          </w:p>
        </w:tc>
      </w:tr>
      <w:tr>
        <w:trPr>
          <w:trHeight w:val="216"/>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Accrued sales discounts, rebates, and allowances</w:t>
            </w:r>
          </w:p>
        </w:tc>
        <w:tc>
          <w:tcPr>
            <w:tcW w:w="2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118,168</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73,952</w:t>
            </w:r>
          </w:p>
        </w:tc>
      </w:tr>
      <w:tr>
        <w:trPr>
          <w:trHeight w:val="216"/>
        </w:trPr>
        <w:tc>
          <w:tcPr>
            <w:tcW w:w="5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royalties</w:t>
            </w:r>
          </w:p>
        </w:tc>
        <w:tc>
          <w:tcPr>
            <w:tcW w:w="2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6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6,079</w:t>
            </w: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9,958</w:t>
            </w:r>
          </w:p>
        </w:tc>
      </w:tr>
      <w:tr>
        <w:trPr>
          <w:trHeight w:val="216"/>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Accrued interest</w:t>
            </w:r>
          </w:p>
        </w:tc>
        <w:tc>
          <w:tcPr>
            <w:tcW w:w="2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46</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1,542</w:t>
            </w:r>
          </w:p>
        </w:tc>
      </w:tr>
      <w:tr>
        <w:trPr>
          <w:trHeight w:val="216"/>
        </w:trPr>
        <w:tc>
          <w:tcPr>
            <w:tcW w:w="5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taxes</w:t>
            </w:r>
          </w:p>
        </w:tc>
        <w:tc>
          <w:tcPr>
            <w:tcW w:w="2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6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960</w:t>
            </w:r>
          </w:p>
        </w:tc>
      </w:tr>
      <w:tr>
        <w:trPr>
          <w:trHeight w:val="216"/>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Finance lease liability, current</w:t>
            </w:r>
          </w:p>
        </w:tc>
        <w:tc>
          <w:tcPr>
            <w:tcW w:w="2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2,014</w:t>
            </w:r>
          </w:p>
        </w:tc>
        <w:tc>
          <w:tcPr>
            <w:tcW w:w="1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1,421</w:t>
            </w:r>
          </w:p>
        </w:tc>
      </w:tr>
      <w:tr>
        <w:trPr>
          <w:trHeight w:val="230"/>
        </w:trPr>
        <w:tc>
          <w:tcPr>
            <w:tcW w:w="5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210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170,902</w:t>
            </w:r>
          </w:p>
        </w:tc>
        <w:tc>
          <w:tcPr>
            <w:tcW w:w="4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147,987</w:t>
            </w:r>
          </w:p>
        </w:tc>
      </w:tr>
      <w:tr>
        <w:trPr>
          <w:trHeight w:val="20"/>
        </w:trPr>
        <w:tc>
          <w:tcPr>
            <w:tcW w:w="5640" w:type="dxa"/>
            <w:vAlign w:val="bottom"/>
            <w:tcBorders>
              <w:top w:val="single" w:sz="8" w:color="CFF0FC"/>
            </w:tcBorders>
            <w:shd w:val="clear" w:color="auto" w:fill="CFF0FC"/>
          </w:tcPr>
          <w:p>
            <w:pPr>
              <w:spacing w:after="0" w:line="20" w:lineRule="exact"/>
              <w:rPr>
                <w:sz w:val="1"/>
                <w:szCs w:val="1"/>
                <w:color w:val="auto"/>
              </w:rPr>
            </w:pPr>
          </w:p>
        </w:tc>
        <w:tc>
          <w:tcPr>
            <w:tcW w:w="210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44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-24765</wp:posOffset>
            </wp:positionV>
            <wp:extent cx="11112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-7620</wp:posOffset>
            </wp:positionV>
            <wp:extent cx="11112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Loan and Security Agreement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Blackstone Alternative Credit Advisors LP and Blackstone Life Sciences Advisors L.L.C.</w:t>
      </w:r>
    </w:p>
    <w:p>
      <w:pPr>
        <w:spacing w:after="0" w:line="227" w:lineRule="exact"/>
        <w:rPr>
          <w:sz w:val="20"/>
          <w:szCs w:val="20"/>
          <w:color w:val="auto"/>
        </w:rPr>
      </w:pPr>
    </w:p>
    <w:p>
      <w:pPr>
        <w:ind w:right="720" w:firstLine="749"/>
        <w:spacing w:after="0" w:line="282" w:lineRule="auto"/>
        <w:rPr>
          <w:sz w:val="20"/>
          <w:szCs w:val="20"/>
          <w:color w:val="auto"/>
        </w:rPr>
      </w:pPr>
      <w:r>
        <w:rPr>
          <w:rFonts w:ascii="Times New Roman" w:cs="Times New Roman" w:eastAsia="Times New Roman" w:hAnsi="Times New Roman"/>
          <w:sz w:val="18"/>
          <w:szCs w:val="18"/>
          <w:color w:val="auto"/>
        </w:rPr>
        <w:t>For the purposes of this Note 8, capitalized terms used but not otherwise defined herein shall have the meanings assigned to them in the Blackstone Loan Agreement (as defined below).</w:t>
      </w:r>
    </w:p>
    <w:p>
      <w:pPr>
        <w:spacing w:after="0" w:line="162" w:lineRule="exact"/>
        <w:rPr>
          <w:sz w:val="20"/>
          <w:szCs w:val="20"/>
          <w:color w:val="auto"/>
        </w:rPr>
      </w:pPr>
    </w:p>
    <w:p>
      <w:pPr>
        <w:ind w:right="40" w:firstLine="749"/>
        <w:spacing w:after="0" w:line="252" w:lineRule="auto"/>
        <w:rPr>
          <w:sz w:val="20"/>
          <w:szCs w:val="20"/>
          <w:color w:val="auto"/>
        </w:rPr>
      </w:pPr>
      <w:r>
        <w:rPr>
          <w:rFonts w:ascii="Times New Roman" w:cs="Times New Roman" w:eastAsia="Times New Roman" w:hAnsi="Times New Roman"/>
          <w:sz w:val="18"/>
          <w:szCs w:val="18"/>
          <w:color w:val="auto"/>
        </w:rPr>
        <w:t>On May 8, 2025 (the “Closing Date”), the Company entered into a loan agreement (the “Blackstone Loan Agreement”) with Blackstone Alternative Credit Advisors LP and Blackstone Life Sciences Advisors L.L.C. (collectively, the “Blackstone Representative” and referred to herein as “Blackstone”), certain subsidiaries of the Company party thereto as guarantors, Wilmington Trust, National Association, as agent, and the lenders from time to time party thereto (collectively, the “Lenders”). The Blackstone Loan Agreement provides for loans in an aggregate principal amount of up to $570.0 million, consisting of (i) a first lien senior secured term loan in an aggregate principal amount of $120.0 million funded to the Company on the Closing Date, (ii) a $180.0 million senior secured term loan available to the Company at its option, of which $90.0 million is available until May 31, 2026, and the remaining $90.0 million is available until May 31, 2027 (the “Term Loans”), and (iii) a super senior revolving credit facility in an aggregate principal amount of up to $70.0 million available at the Company’s option (the “Revolver” and, together with the Term Loans, the “Loans”). The Blackstone Loan Agreement also permits the Company, subject to the consent of the Lenders, to request incremental term loans in an aggregate principal amount of up to $200.0 million at any time and on the same terms as the initial Term Loans, except that any call protection will be determined at the time the incremental term loans are incurred. The proceeds of the Term Loans were used, together with cash on hand, to repay in full the Company’s obligations under the Hercules Loan Agreement (as defined below). The improved financial terms and anticipated use of the Loans are expected to result in a significant reduction in interest expense. As of June 30, 2025, there were $120.0 million and $70.0 million of outstanding principal amounts under the Term Loans and Revolver facilities, respectively. The outstanding balance under the Revolver was classified as short-term based on the Company’s intent and ability to repay this amount in the next twelve months, and included in short-term borrowings on the accompanying consolidated balance sheets. In July 2025, the Company repaid the entire outstanding balance as of June 30, 2025 under the Revolver.</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firstLine="749"/>
        <w:spacing w:after="0" w:line="255" w:lineRule="auto"/>
        <w:rPr>
          <w:sz w:val="20"/>
          <w:szCs w:val="20"/>
          <w:color w:val="auto"/>
        </w:rPr>
      </w:pPr>
      <w:r>
        <w:rPr>
          <w:rFonts w:ascii="Times New Roman" w:cs="Times New Roman" w:eastAsia="Times New Roman" w:hAnsi="Times New Roman"/>
          <w:sz w:val="18"/>
          <w:szCs w:val="18"/>
          <w:color w:val="auto"/>
        </w:rPr>
        <w:t>The Term Loans bear interest at a rate equal to the Term SOFR (“Secured Overnight Financing Rate”) plus a margin of 4.75%. The effective interest rate on the Term Loans was 9.58% for the six months ended June 30, 2025. The Revolver bears interest at SOFR plus a margin of 4.00%. If an Event of Default occurs and is continuing, all amounts outstanding under the Blackstone Loan Agreement will bear an additional 2.00% interest. The weighted-average interest rate on the Revolver was 8.30% as of June 30, 2025. The Loans mature and the principal amount (including any interest and fees) must be repaid on the date that is five years from the Closing Date. Fees and costs that were directly attributable to the Revolver have been capitalized as deferred assets and will be ratably expensed over the life of the Revolver. Deferred assets are included in non-current inventory and other assets on the accompanying consolidated balance sheets. As of June 30, 2025, the remaining unamortized balance of deferred assets was $1.1 million.</w:t>
      </w:r>
    </w:p>
    <w:p>
      <w:pPr>
        <w:spacing w:after="0" w:line="189" w:lineRule="exact"/>
        <w:rPr>
          <w:sz w:val="20"/>
          <w:szCs w:val="20"/>
          <w:color w:val="auto"/>
        </w:rPr>
      </w:pPr>
    </w:p>
    <w:p>
      <w:pPr>
        <w:ind w:right="100" w:firstLine="749"/>
        <w:spacing w:after="0" w:line="258" w:lineRule="auto"/>
        <w:rPr>
          <w:sz w:val="20"/>
          <w:szCs w:val="20"/>
          <w:color w:val="auto"/>
        </w:rPr>
      </w:pPr>
      <w:r>
        <w:rPr>
          <w:rFonts w:ascii="Times New Roman" w:cs="Times New Roman" w:eastAsia="Times New Roman" w:hAnsi="Times New Roman"/>
          <w:sz w:val="18"/>
          <w:szCs w:val="18"/>
          <w:color w:val="auto"/>
        </w:rPr>
        <w:t>The Loans are subject to mandatory prepayment provisions that may require prepayment upon a change of control, the incurrence of certain additional indebtedness, certain asset sales, or an event of loss, subject to certain conditions set forth in the Blackstone Loan Agreement. The Company may prepay the Loans in whole at its option at any time, subject to certain yield protection premiums. The obligations under the Blackstone Loan Agreement are guaranteed by the Company’s subsidiaries party thereto as guarantors and are secured by a first lien security interest in certain assets of the Company and the guarantors.</w:t>
      </w:r>
    </w:p>
    <w:p>
      <w:pPr>
        <w:spacing w:after="0" w:line="183" w:lineRule="exact"/>
        <w:rPr>
          <w:sz w:val="20"/>
          <w:szCs w:val="20"/>
          <w:color w:val="auto"/>
        </w:rPr>
      </w:pPr>
    </w:p>
    <w:p>
      <w:pPr>
        <w:ind w:right="200" w:firstLine="749"/>
        <w:spacing w:after="0" w:line="261" w:lineRule="auto"/>
        <w:rPr>
          <w:sz w:val="20"/>
          <w:szCs w:val="20"/>
          <w:color w:val="auto"/>
        </w:rPr>
      </w:pPr>
      <w:r>
        <w:rPr>
          <w:rFonts w:ascii="Times New Roman" w:cs="Times New Roman" w:eastAsia="Times New Roman" w:hAnsi="Times New Roman"/>
          <w:sz w:val="18"/>
          <w:szCs w:val="18"/>
          <w:color w:val="auto"/>
        </w:rPr>
        <w:t>The Blackstone Loan Agreement contains customary representations and warranties, affirmative and negative covenants, and events of default applicable to the Company and the guarantors. The Blackstone Loan Agreement also contains a minimum liquidity covenant of $30.0 million, tested quarterly. If an event of default occurs and is continuing, the Lenders may declare all amounts outstanding under the Blackstone Loan Agreement to be immediately due and payable.</w:t>
      </w:r>
    </w:p>
    <w:p>
      <w:pPr>
        <w:spacing w:after="0" w:line="180" w:lineRule="exact"/>
        <w:rPr>
          <w:sz w:val="20"/>
          <w:szCs w:val="20"/>
          <w:color w:val="auto"/>
        </w:rPr>
      </w:pPr>
    </w:p>
    <w:p>
      <w:pPr>
        <w:ind w:right="280" w:firstLine="749"/>
        <w:spacing w:after="0" w:line="261" w:lineRule="auto"/>
        <w:rPr>
          <w:sz w:val="20"/>
          <w:szCs w:val="20"/>
          <w:color w:val="auto"/>
        </w:rPr>
      </w:pPr>
      <w:r>
        <w:rPr>
          <w:rFonts w:ascii="Times New Roman" w:cs="Times New Roman" w:eastAsia="Times New Roman" w:hAnsi="Times New Roman"/>
          <w:sz w:val="18"/>
          <w:szCs w:val="18"/>
          <w:color w:val="auto"/>
        </w:rPr>
        <w:t>Concurrent with the closing of the Blackstone Loan Agreement, Blackstone purchased $15.0 million of the Company’s common stock at a purchase price of $107.14 per share in a private placement transaction. The purchase agreement for the private placement contains customary representations, warranties, and covenants, and includes a lock-up period that generally prohibits, without the prior written consent of the Company, the sale, transfer, pledge, or other disposition of the securities through the period ending 120 days from the Closing Date.</w:t>
      </w:r>
    </w:p>
    <w:p>
      <w:pPr>
        <w:spacing w:after="0" w:line="180" w:lineRule="exact"/>
        <w:rPr>
          <w:sz w:val="20"/>
          <w:szCs w:val="20"/>
          <w:color w:val="auto"/>
        </w:rPr>
      </w:pPr>
    </w:p>
    <w:p>
      <w:pPr>
        <w:ind w:right="360" w:firstLine="749"/>
        <w:spacing w:after="0" w:line="282" w:lineRule="auto"/>
        <w:rPr>
          <w:sz w:val="20"/>
          <w:szCs w:val="20"/>
          <w:color w:val="auto"/>
        </w:rPr>
      </w:pPr>
      <w:r>
        <w:rPr>
          <w:rFonts w:ascii="Times New Roman" w:cs="Times New Roman" w:eastAsia="Times New Roman" w:hAnsi="Times New Roman"/>
          <w:sz w:val="18"/>
          <w:szCs w:val="18"/>
          <w:color w:val="auto"/>
        </w:rPr>
        <w:t>In connection with the Blackstone Loan Agreement, Antecip consented to the collateral assignment of one of the license agreements, among other things, under a direct agreement among the Company, Antecip, a related party, and Blackstone.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Hercules Capital, Inc.</w:t>
      </w:r>
    </w:p>
    <w:p>
      <w:pPr>
        <w:spacing w:after="0" w:line="227" w:lineRule="exact"/>
        <w:rPr>
          <w:sz w:val="20"/>
          <w:szCs w:val="20"/>
          <w:color w:val="auto"/>
        </w:rPr>
      </w:pPr>
    </w:p>
    <w:p>
      <w:pPr>
        <w:ind w:right="300" w:firstLine="749"/>
        <w:spacing w:after="0" w:line="266" w:lineRule="auto"/>
        <w:rPr>
          <w:sz w:val="20"/>
          <w:szCs w:val="20"/>
          <w:color w:val="auto"/>
        </w:rPr>
      </w:pPr>
      <w:r>
        <w:rPr>
          <w:rFonts w:ascii="Times New Roman" w:cs="Times New Roman" w:eastAsia="Times New Roman" w:hAnsi="Times New Roman"/>
          <w:sz w:val="18"/>
          <w:szCs w:val="18"/>
          <w:color w:val="auto"/>
        </w:rPr>
        <w:t>In September 2020, we entered into a Loan and Security Agreement for a term loan with Hercules Capital, Inc., a Maryland corporation (“Hercules”), in its capacity as administrative agent and collateral agent and as a lender, and the other financial institutions that from time to time act as lenders (the “Hercules Loan Agreement”, as amended).</w:t>
      </w:r>
    </w:p>
    <w:p>
      <w:pPr>
        <w:spacing w:after="0" w:line="176" w:lineRule="exact"/>
        <w:rPr>
          <w:sz w:val="20"/>
          <w:szCs w:val="20"/>
          <w:color w:val="auto"/>
        </w:rPr>
      </w:pPr>
    </w:p>
    <w:p>
      <w:pPr>
        <w:ind w:right="500" w:firstLine="749"/>
        <w:spacing w:after="0" w:line="266" w:lineRule="auto"/>
        <w:rPr>
          <w:sz w:val="20"/>
          <w:szCs w:val="20"/>
          <w:color w:val="auto"/>
        </w:rPr>
      </w:pPr>
      <w:r>
        <w:rPr>
          <w:rFonts w:ascii="Times New Roman" w:cs="Times New Roman" w:eastAsia="Times New Roman" w:hAnsi="Times New Roman"/>
          <w:sz w:val="18"/>
          <w:szCs w:val="18"/>
          <w:color w:val="auto"/>
        </w:rPr>
        <w:t>On May 8, 2025, the Company repaid in full its obligations under the Hercules Loan Agreement using proceeds from the Blackstone Loan Agreement. Upon repayment, the Company recorded a loss on debt extinguishment of approximately $10.4 million in the Company’s consolidated statement of operations. As of June 30, 2025, there are no outstanding obligations under the Hercules Loan Agreement.</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Loan Interest Expense and Amortization</w:t>
      </w:r>
    </w:p>
    <w:p>
      <w:pPr>
        <w:spacing w:after="0" w:line="22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Long-term debt and unamortized debt discount balances are as follows: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60" w:type="dxa"/>
            <w:vAlign w:val="bottom"/>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40" w:type="dxa"/>
            <w:vAlign w:val="bottom"/>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77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65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656"/>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0"/>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outstanding debt, long-term</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120,000</w:t>
            </w:r>
          </w:p>
        </w:tc>
        <w:tc>
          <w:tcPr>
            <w:tcW w:w="4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180,000</w:t>
            </w: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Add: accreted final payment fee</w:t>
            </w:r>
          </w:p>
        </w:tc>
        <w:tc>
          <w:tcPr>
            <w:tcW w:w="300" w:type="dxa"/>
            <w:vAlign w:val="bottom"/>
          </w:tcPr>
          <w:p>
            <w:pPr>
              <w:spacing w:after="0"/>
              <w:rPr>
                <w:sz w:val="18"/>
                <w:szCs w:val="18"/>
                <w:color w:val="auto"/>
              </w:rPr>
            </w:pPr>
          </w:p>
        </w:tc>
        <w:tc>
          <w:tcPr>
            <w:tcW w:w="136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4,085</w:t>
            </w:r>
          </w:p>
        </w:tc>
      </w:tr>
      <w:tr>
        <w:trPr>
          <w:trHeight w:val="216"/>
        </w:trPr>
        <w:tc>
          <w:tcPr>
            <w:tcW w:w="774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Less: unamortized debt discount, long-term</w:t>
            </w:r>
          </w:p>
        </w:tc>
        <w:tc>
          <w:tcPr>
            <w:tcW w:w="30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(2,460)</w:t>
            </w:r>
          </w:p>
        </w:tc>
        <w:tc>
          <w:tcPr>
            <w:tcW w:w="1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(3,375)</w:t>
            </w:r>
          </w:p>
        </w:tc>
      </w:tr>
      <w:tr>
        <w:trPr>
          <w:trHeight w:val="209"/>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Loan payable, long-term</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117,540</w:t>
            </w: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180,710</w:t>
            </w:r>
          </w:p>
        </w:tc>
      </w:tr>
      <w:tr>
        <w:trPr>
          <w:trHeight w:val="20"/>
        </w:trPr>
        <w:tc>
          <w:tcPr>
            <w:tcW w:w="77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-170815</wp:posOffset>
            </wp:positionV>
            <wp:extent cx="11112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17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book value of debt approximates its fair value given its variable interest rate.</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Interest expense, amortization of the final payment fee, and amortization of the debt discount related to the issuance costs and warrants for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Company’s debt are as follows: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2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520" w:type="dxa"/>
            <w:vAlign w:val="bottom"/>
            <w:gridSpan w:val="5"/>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0" w:type="dxa"/>
            <w:vAlign w:val="bottom"/>
            <w:gridSpan w:val="6"/>
          </w:tcPr>
          <w:p>
            <w:pPr>
              <w:ind w:left="18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42"/>
        </w:trPr>
        <w:tc>
          <w:tcPr>
            <w:tcW w:w="52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2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20" w:type="dxa"/>
            <w:vAlign w:val="bottom"/>
            <w:tcBorders>
              <w:top w:val="single" w:sz="8" w:color="auto"/>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gridSpan w:val="2"/>
          </w:tcPr>
          <w:p>
            <w:pPr>
              <w:jc w:val="right"/>
              <w:ind w:right="33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Borders>
              <w:top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35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r>
      <w:tr>
        <w:trPr>
          <w:trHeight w:val="209"/>
        </w:trPr>
        <w:tc>
          <w:tcPr>
            <w:tcW w:w="5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260" w:type="dxa"/>
            <w:vAlign w:val="bottom"/>
            <w:gridSpan w:val="2"/>
            <w:shd w:val="clear" w:color="auto" w:fill="CFF0FC"/>
          </w:tcPr>
          <w:p>
            <w:pPr>
              <w:jc w:val="right"/>
              <w:ind w:right="548"/>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3"/>
              </w:rPr>
              <w:t>3,639</w:t>
            </w:r>
          </w:p>
        </w:tc>
        <w:tc>
          <w:tcPr>
            <w:tcW w:w="960" w:type="dxa"/>
            <w:vAlign w:val="bottom"/>
            <w:gridSpan w:val="2"/>
            <w:shd w:val="clear" w:color="auto" w:fill="CFF0FC"/>
          </w:tcPr>
          <w:p>
            <w:pPr>
              <w:jc w:val="right"/>
              <w:ind w:right="548"/>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3"/>
              </w:rPr>
              <w:t>4,869</w:t>
            </w:r>
          </w:p>
        </w:tc>
        <w:tc>
          <w:tcPr>
            <w:tcW w:w="5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8,117</w:t>
            </w:r>
          </w:p>
        </w:tc>
        <w:tc>
          <w:tcPr>
            <w:tcW w:w="5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9,738</w:t>
            </w:r>
          </w:p>
        </w:tc>
        <w:tc>
          <w:tcPr>
            <w:tcW w:w="120" w:type="dxa"/>
            <w:vAlign w:val="bottom"/>
            <w:shd w:val="clear" w:color="auto" w:fill="CFF0FC"/>
          </w:tcPr>
          <w:p>
            <w:pPr>
              <w:spacing w:after="0"/>
              <w:rPr>
                <w:sz w:val="18"/>
                <w:szCs w:val="18"/>
                <w:color w:val="auto"/>
              </w:rPr>
            </w:pP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final payment fee</w:t>
            </w:r>
          </w:p>
        </w:tc>
        <w:tc>
          <w:tcPr>
            <w:tcW w:w="5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527</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709</w:t>
            </w:r>
          </w:p>
        </w:tc>
        <w:tc>
          <w:tcPr>
            <w:tcW w:w="120" w:type="dxa"/>
            <w:vAlign w:val="bottom"/>
          </w:tcPr>
          <w:p>
            <w:pPr>
              <w:spacing w:after="0"/>
              <w:rPr>
                <w:sz w:val="18"/>
                <w:szCs w:val="18"/>
                <w:color w:val="auto"/>
              </w:rPr>
            </w:pPr>
          </w:p>
        </w:tc>
      </w:tr>
      <w:tr>
        <w:trPr>
          <w:trHeight w:val="216"/>
        </w:trPr>
        <w:tc>
          <w:tcPr>
            <w:tcW w:w="5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Amortization of debt discount related issuance costs and warrants</w:t>
            </w:r>
          </w:p>
        </w:tc>
        <w:tc>
          <w:tcPr>
            <w:tcW w:w="5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2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457</w:t>
            </w: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551</w:t>
            </w:r>
          </w:p>
        </w:tc>
        <w:tc>
          <w:tcPr>
            <w:tcW w:w="120" w:type="dxa"/>
            <w:vAlign w:val="bottom"/>
            <w:shd w:val="clear" w:color="auto" w:fill="CFF0FC"/>
          </w:tcPr>
          <w:p>
            <w:pPr>
              <w:spacing w:after="0"/>
              <w:rPr>
                <w:sz w:val="18"/>
                <w:szCs w:val="18"/>
                <w:color w:val="auto"/>
              </w:rPr>
            </w:pPr>
          </w:p>
        </w:tc>
      </w:tr>
      <w:tr>
        <w:trPr>
          <w:trHeight w:val="432"/>
        </w:trPr>
        <w:tc>
          <w:tcPr>
            <w:tcW w:w="7920" w:type="dxa"/>
            <w:vAlign w:val="bottom"/>
            <w:gridSpan w:val="6"/>
          </w:tcPr>
          <w:p>
            <w:pPr>
              <w:ind w:left="760"/>
              <w:spacing w:after="0"/>
              <w:rPr>
                <w:sz w:val="20"/>
                <w:szCs w:val="20"/>
                <w:color w:val="auto"/>
              </w:rPr>
            </w:pPr>
            <w:r>
              <w:rPr>
                <w:rFonts w:ascii="Times New Roman" w:cs="Times New Roman" w:eastAsia="Times New Roman" w:hAnsi="Times New Roman"/>
                <w:sz w:val="18"/>
                <w:szCs w:val="18"/>
                <w:color w:val="auto"/>
              </w:rPr>
              <w:t>Scheduled principal payments on outstanding debt, long-term, as of June 30, 2025, are as follows:</w:t>
            </w: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16"/>
        </w:trPr>
        <w:tc>
          <w:tcPr>
            <w:tcW w:w="5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r>
      <w:tr>
        <w:trPr>
          <w:trHeight w:val="216"/>
        </w:trPr>
        <w:tc>
          <w:tcPr>
            <w:tcW w:w="5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2025</w:t>
            </w:r>
          </w:p>
        </w:tc>
        <w:tc>
          <w:tcPr>
            <w:tcW w:w="5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5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2027</w:t>
            </w:r>
          </w:p>
        </w:tc>
        <w:tc>
          <w:tcPr>
            <w:tcW w:w="5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5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2029</w:t>
            </w:r>
          </w:p>
        </w:tc>
        <w:tc>
          <w:tcPr>
            <w:tcW w:w="5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5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120,000</w:t>
            </w:r>
          </w:p>
        </w:tc>
        <w:tc>
          <w:tcPr>
            <w:tcW w:w="120" w:type="dxa"/>
            <w:vAlign w:val="bottom"/>
            <w:tcBorders>
              <w:bottom w:val="single" w:sz="8" w:color="auto"/>
            </w:tcBorders>
          </w:tcPr>
          <w:p>
            <w:pPr>
              <w:spacing w:after="0"/>
              <w:rPr>
                <w:sz w:val="18"/>
                <w:szCs w:val="18"/>
                <w:color w:val="auto"/>
              </w:rPr>
            </w:pPr>
          </w:p>
        </w:tc>
      </w:tr>
      <w:tr>
        <w:trPr>
          <w:trHeight w:val="250"/>
        </w:trPr>
        <w:tc>
          <w:tcPr>
            <w:tcW w:w="52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principal payments outstanding</w:t>
            </w:r>
          </w:p>
        </w:tc>
        <w:tc>
          <w:tcPr>
            <w:tcW w:w="540" w:type="dxa"/>
            <w:vAlign w:val="bottom"/>
            <w:tcBorders>
              <w:bottom w:val="single" w:sz="8" w:color="CFF0FC"/>
            </w:tcBorders>
            <w:shd w:val="clear" w:color="auto" w:fill="CFF0FC"/>
          </w:tcPr>
          <w:p>
            <w:pPr>
              <w:spacing w:after="0"/>
              <w:rPr>
                <w:sz w:val="21"/>
                <w:szCs w:val="21"/>
                <w:color w:val="auto"/>
              </w:rPr>
            </w:pPr>
          </w:p>
        </w:tc>
        <w:tc>
          <w:tcPr>
            <w:tcW w:w="72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72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CFF0FC"/>
            </w:tcBorders>
            <w:shd w:val="clear" w:color="auto" w:fill="CFF0FC"/>
          </w:tcPr>
          <w:p>
            <w:pPr>
              <w:spacing w:after="0"/>
              <w:rPr>
                <w:sz w:val="21"/>
                <w:szCs w:val="21"/>
                <w:color w:val="auto"/>
              </w:rPr>
            </w:pPr>
          </w:p>
        </w:tc>
        <w:tc>
          <w:tcPr>
            <w:tcW w:w="480" w:type="dxa"/>
            <w:vAlign w:val="bottom"/>
            <w:tcBorders>
              <w:bottom w:val="single" w:sz="8" w:color="auto"/>
            </w:tcBorders>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Borders>
              <w:bottom w:val="single" w:sz="8" w:color="auto"/>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120,000</w:t>
            </w:r>
          </w:p>
        </w:tc>
        <w:tc>
          <w:tcPr>
            <w:tcW w:w="120" w:type="dxa"/>
            <w:vAlign w:val="bottom"/>
            <w:tcBorders>
              <w:bottom w:val="single" w:sz="8" w:color="auto"/>
            </w:tcBorders>
            <w:shd w:val="clear" w:color="auto" w:fill="CFF0FC"/>
          </w:tcPr>
          <w:p>
            <w:pPr>
              <w:spacing w:after="0"/>
              <w:rPr>
                <w:sz w:val="21"/>
                <w:szCs w:val="2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Commitments and Contingencies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Leases</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In February 2023, the Company entered into a sublease agreement (“Initial Sublease”) for the previous office space located at One World Trade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Center.</w:t>
      </w:r>
    </w:p>
    <w:p>
      <w:pPr>
        <w:spacing w:after="0" w:line="207" w:lineRule="exact"/>
        <w:rPr>
          <w:sz w:val="20"/>
          <w:szCs w:val="20"/>
          <w:color w:val="auto"/>
        </w:rPr>
      </w:pPr>
    </w:p>
    <w:p>
      <w:pPr>
        <w:ind w:right="80" w:firstLine="749"/>
        <w:spacing w:after="0" w:line="254" w:lineRule="auto"/>
        <w:rPr>
          <w:sz w:val="20"/>
          <w:szCs w:val="20"/>
          <w:color w:val="auto"/>
        </w:rPr>
      </w:pPr>
      <w:r>
        <w:rPr>
          <w:rFonts w:ascii="Times New Roman" w:cs="Times New Roman" w:eastAsia="Times New Roman" w:hAnsi="Times New Roman"/>
          <w:sz w:val="18"/>
          <w:szCs w:val="18"/>
          <w:color w:val="auto"/>
        </w:rPr>
        <w:t>In January 2025, the Company entered into an amended sublease agreement (the “First Amendment”) to terminate the existing space in its corporate office and commence occupancy of different space within the same building. The First Amendment was treated as a lease modification to the Initial Sublease which resulted in the recognition of a gain on modification of $2.3 million which is included in selling, general and administrative expenses. The Company also recorded a right-of-use asset and corresponding lease liability of $23.9 million during the first quarter of fiscal year 2025. Based on the Company’s past experience and current expectations for administrative office needs, the Company determined the lease term to be approximately six years. As of June 30, 2025, the remaining lease term for the Company’s operating lease was 5.8 years with the discount rate of 7.12%. The interest rate implicit in lease contracts is typically not readily determinable and as such, the Company uses its incremental borrowing rate based on the information available at the lease commencement date, which represents an internally developed rate that would be incurred to borrow, on a collateralized basis, over a similar term, an amount equal to the lease payments in a similar economic environment.</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100" w:firstLine="749"/>
        <w:spacing w:after="0" w:line="258" w:lineRule="auto"/>
        <w:rPr>
          <w:sz w:val="20"/>
          <w:szCs w:val="20"/>
          <w:color w:val="auto"/>
        </w:rPr>
      </w:pPr>
      <w:r>
        <w:rPr>
          <w:rFonts w:ascii="Times New Roman" w:cs="Times New Roman" w:eastAsia="Times New Roman" w:hAnsi="Times New Roman"/>
          <w:sz w:val="18"/>
          <w:szCs w:val="18"/>
          <w:color w:val="auto"/>
        </w:rPr>
        <w:t>The Company entered into a fleet lease program beginning the first quarter of 2024. The lease agreement includes an initial 12-month noncancelable period with monthly renewal options thereafter. Lease terms range from approximately 40 to 50 months and are classified as finance leases. During the six months ended June 30, 2025, the Company recognized a right-of-use asset and lease liability, both, of $2.4 million in connection to this lease. As of June 30, 2025, right-of-use asset and lease liability related to the finance lease were $5.7 million and $5.8 million, respectively, and the weighted average remaining lease term was 3.0 years, with a weighted average discount rate of 9.6%.</w:t>
      </w:r>
    </w:p>
    <w:p>
      <w:pPr>
        <w:spacing w:after="0" w:line="18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Lease expenses recognized were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20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18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4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12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42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420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7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2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Borders>
              <w:bottom w:val="single" w:sz="8" w:color="auto"/>
            </w:tcBorders>
            <w:gridSpan w:val="2"/>
          </w:tcPr>
          <w:p>
            <w:pPr>
              <w:jc w:val="right"/>
              <w:ind w:right="1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4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2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0"/>
        </w:trPr>
        <w:tc>
          <w:tcPr>
            <w:tcW w:w="4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expense</w:t>
            </w:r>
          </w:p>
        </w:tc>
        <w:tc>
          <w:tcPr>
            <w:tcW w:w="2340" w:type="dxa"/>
            <w:vAlign w:val="bottom"/>
            <w:gridSpan w:val="2"/>
            <w:shd w:val="clear" w:color="auto" w:fill="CFF0FC"/>
          </w:tcPr>
          <w:p>
            <w:pPr>
              <w:jc w:val="right"/>
              <w:ind w:right="548"/>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3"/>
              </w:rPr>
              <w:t>1,247</w:t>
            </w:r>
          </w:p>
        </w:tc>
        <w:tc>
          <w:tcPr>
            <w:tcW w:w="780" w:type="dxa"/>
            <w:vAlign w:val="bottom"/>
            <w:gridSpan w:val="2"/>
            <w:shd w:val="clear" w:color="auto" w:fill="CFF0FC"/>
          </w:tcPr>
          <w:p>
            <w:pPr>
              <w:jc w:val="right"/>
              <w:ind w:right="368"/>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583</w:t>
            </w:r>
          </w:p>
        </w:tc>
        <w:tc>
          <w:tcPr>
            <w:tcW w:w="960" w:type="dxa"/>
            <w:vAlign w:val="bottom"/>
            <w:gridSpan w:val="2"/>
            <w:shd w:val="clear" w:color="auto" w:fill="CFF0FC"/>
          </w:tcPr>
          <w:p>
            <w:pPr>
              <w:jc w:val="right"/>
              <w:ind w:right="548"/>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2,218</w:t>
            </w:r>
          </w:p>
        </w:tc>
        <w:tc>
          <w:tcPr>
            <w:tcW w:w="980" w:type="dxa"/>
            <w:vAlign w:val="bottom"/>
            <w:gridSpan w:val="2"/>
            <w:shd w:val="clear" w:color="auto" w:fill="CFF0FC"/>
          </w:tcPr>
          <w:p>
            <w:pPr>
              <w:jc w:val="right"/>
              <w:ind w:right="568"/>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3"/>
              </w:rPr>
              <w:t>1,166</w:t>
            </w: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Finance lease expense:</w:t>
            </w:r>
          </w:p>
        </w:tc>
        <w:tc>
          <w:tcPr>
            <w:tcW w:w="16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2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Amortization of right-of-use assets</w:t>
            </w:r>
          </w:p>
        </w:tc>
        <w:tc>
          <w:tcPr>
            <w:tcW w:w="16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537</w:t>
            </w:r>
          </w:p>
        </w:tc>
        <w:tc>
          <w:tcPr>
            <w:tcW w:w="24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2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949</w:t>
            </w:r>
          </w:p>
        </w:tc>
        <w:tc>
          <w:tcPr>
            <w:tcW w:w="26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4"/>
        </w:trPr>
        <w:tc>
          <w:tcPr>
            <w:tcW w:w="4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16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2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2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8000" w:type="dxa"/>
            <w:vAlign w:val="bottom"/>
            <w:gridSpan w:val="7"/>
          </w:tcPr>
          <w:p>
            <w:pPr>
              <w:ind w:left="760"/>
              <w:spacing w:after="0"/>
              <w:rPr>
                <w:sz w:val="20"/>
                <w:szCs w:val="20"/>
                <w:color w:val="auto"/>
              </w:rPr>
            </w:pPr>
            <w:r>
              <w:rPr>
                <w:rFonts w:ascii="Times New Roman" w:cs="Times New Roman" w:eastAsia="Times New Roman" w:hAnsi="Times New Roman"/>
                <w:sz w:val="18"/>
                <w:szCs w:val="18"/>
                <w:color w:val="auto"/>
              </w:rPr>
              <w:t>Future minimum lease payments of the Company’s leases as of June 30, 2025 were as follows:</w:t>
            </w: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8"/>
        </w:trPr>
        <w:tc>
          <w:tcPr>
            <w:tcW w:w="42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3"/>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Operating lease</w:t>
            </w:r>
          </w:p>
        </w:tc>
        <w:tc>
          <w:tcPr>
            <w:tcW w:w="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4"/>
          </w:tcPr>
          <w:p>
            <w:pPr>
              <w:ind w:left="220"/>
              <w:spacing w:after="0"/>
              <w:rPr>
                <w:sz w:val="20"/>
                <w:szCs w:val="20"/>
                <w:color w:val="auto"/>
              </w:rPr>
            </w:pPr>
            <w:r>
              <w:rPr>
                <w:rFonts w:ascii="Times New Roman" w:cs="Times New Roman" w:eastAsia="Times New Roman" w:hAnsi="Times New Roman"/>
                <w:sz w:val="14"/>
                <w:szCs w:val="14"/>
                <w:b w:val="1"/>
                <w:bCs w:val="1"/>
                <w:color w:val="auto"/>
              </w:rPr>
              <w:t>Finance lease</w:t>
            </w:r>
          </w:p>
        </w:tc>
        <w:tc>
          <w:tcPr>
            <w:tcW w:w="100" w:type="dxa"/>
            <w:vAlign w:val="bottom"/>
          </w:tcPr>
          <w:p>
            <w:pPr>
              <w:spacing w:after="0"/>
              <w:rPr>
                <w:sz w:val="24"/>
                <w:szCs w:val="24"/>
                <w:color w:val="auto"/>
              </w:rPr>
            </w:pPr>
          </w:p>
        </w:tc>
      </w:tr>
      <w:tr>
        <w:trPr>
          <w:trHeight w:val="209"/>
        </w:trPr>
        <w:tc>
          <w:tcPr>
            <w:tcW w:w="4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2025</w:t>
            </w:r>
          </w:p>
        </w:tc>
        <w:tc>
          <w:tcPr>
            <w:tcW w:w="16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040" w:type="dxa"/>
            <w:vAlign w:val="bottom"/>
            <w:gridSpan w:val="3"/>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803</w:t>
            </w:r>
          </w:p>
        </w:tc>
        <w:tc>
          <w:tcPr>
            <w:tcW w:w="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4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w w:val="98"/>
              </w:rPr>
              <w:t>1,251</w:t>
            </w:r>
          </w:p>
        </w:tc>
        <w:tc>
          <w:tcPr>
            <w:tcW w:w="100" w:type="dxa"/>
            <w:vAlign w:val="bottom"/>
            <w:shd w:val="clear" w:color="auto" w:fill="CFF0FC"/>
          </w:tcPr>
          <w:p>
            <w:pPr>
              <w:spacing w:after="0"/>
              <w:rPr>
                <w:sz w:val="18"/>
                <w:szCs w:val="18"/>
                <w:color w:val="auto"/>
              </w:rPr>
            </w:pPr>
          </w:p>
        </w:tc>
      </w:tr>
      <w:tr>
        <w:trPr>
          <w:trHeight w:val="216"/>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16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2,478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8"/>
              </w:rPr>
              <w:t>2,387</w:t>
            </w:r>
          </w:p>
        </w:tc>
        <w:tc>
          <w:tcPr>
            <w:tcW w:w="100" w:type="dxa"/>
            <w:vAlign w:val="bottom"/>
          </w:tcPr>
          <w:p>
            <w:pPr>
              <w:spacing w:after="0"/>
              <w:rPr>
                <w:sz w:val="18"/>
                <w:szCs w:val="18"/>
                <w:color w:val="auto"/>
              </w:rPr>
            </w:pPr>
          </w:p>
        </w:tc>
      </w:tr>
      <w:tr>
        <w:trPr>
          <w:trHeight w:val="216"/>
        </w:trPr>
        <w:tc>
          <w:tcPr>
            <w:tcW w:w="4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2027</w:t>
            </w:r>
          </w:p>
        </w:tc>
        <w:tc>
          <w:tcPr>
            <w:tcW w:w="16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4,791</w:t>
            </w: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4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w w:val="98"/>
              </w:rPr>
              <w:t>1,880</w:t>
            </w:r>
          </w:p>
        </w:tc>
        <w:tc>
          <w:tcPr>
            <w:tcW w:w="100" w:type="dxa"/>
            <w:vAlign w:val="bottom"/>
            <w:shd w:val="clear" w:color="auto" w:fill="CFF0FC"/>
          </w:tcPr>
          <w:p>
            <w:pPr>
              <w:spacing w:after="0"/>
              <w:rPr>
                <w:sz w:val="18"/>
                <w:szCs w:val="18"/>
                <w:color w:val="auto"/>
              </w:rPr>
            </w:pPr>
          </w:p>
        </w:tc>
      </w:tr>
      <w:tr>
        <w:trPr>
          <w:trHeight w:val="216"/>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16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4,807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8"/>
              </w:rPr>
              <w:t>1,048</w:t>
            </w:r>
          </w:p>
        </w:tc>
        <w:tc>
          <w:tcPr>
            <w:tcW w:w="100" w:type="dxa"/>
            <w:vAlign w:val="bottom"/>
          </w:tcPr>
          <w:p>
            <w:pPr>
              <w:spacing w:after="0"/>
              <w:rPr>
                <w:sz w:val="18"/>
                <w:szCs w:val="18"/>
                <w:color w:val="auto"/>
              </w:rPr>
            </w:pPr>
          </w:p>
        </w:tc>
      </w:tr>
      <w:tr>
        <w:trPr>
          <w:trHeight w:val="216"/>
        </w:trPr>
        <w:tc>
          <w:tcPr>
            <w:tcW w:w="4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2029</w:t>
            </w:r>
          </w:p>
        </w:tc>
        <w:tc>
          <w:tcPr>
            <w:tcW w:w="16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11,284</w:t>
            </w: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4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shd w:val="clear" w:color="auto" w:fill="CFF0FC"/>
          </w:tcPr>
          <w:p>
            <w:pPr>
              <w:spacing w:after="0"/>
              <w:rPr>
                <w:sz w:val="18"/>
                <w:szCs w:val="18"/>
                <w:color w:val="auto"/>
              </w:rPr>
            </w:pPr>
          </w:p>
        </w:tc>
      </w:tr>
      <w:tr>
        <w:trPr>
          <w:trHeight w:val="216"/>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16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6,317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42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Total lease payments</w:t>
            </w:r>
          </w:p>
        </w:tc>
        <w:tc>
          <w:tcPr>
            <w:tcW w:w="16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30,480</w:t>
            </w:r>
          </w:p>
        </w:tc>
        <w:tc>
          <w:tcPr>
            <w:tcW w:w="100" w:type="dxa"/>
            <w:vAlign w:val="bottom"/>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440" w:type="dxa"/>
            <w:vAlign w:val="bottom"/>
            <w:tcBorders>
              <w:top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w w:val="98"/>
              </w:rPr>
              <w:t>6,610</w:t>
            </w:r>
          </w:p>
        </w:tc>
        <w:tc>
          <w:tcPr>
            <w:tcW w:w="100" w:type="dxa"/>
            <w:vAlign w:val="bottom"/>
            <w:shd w:val="clear" w:color="auto" w:fill="CFF0FC"/>
          </w:tcPr>
          <w:p>
            <w:pPr>
              <w:spacing w:after="0"/>
              <w:rPr>
                <w:sz w:val="18"/>
                <w:szCs w:val="18"/>
                <w:color w:val="auto"/>
              </w:rPr>
            </w:pPr>
          </w:p>
        </w:tc>
      </w:tr>
      <w:tr>
        <w:trPr>
          <w:trHeight w:val="216"/>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16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(6,519)</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(804)</w:t>
            </w:r>
          </w:p>
        </w:tc>
      </w:tr>
      <w:tr>
        <w:trPr>
          <w:trHeight w:val="250"/>
        </w:trPr>
        <w:tc>
          <w:tcPr>
            <w:tcW w:w="420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1620" w:type="dxa"/>
            <w:vAlign w:val="bottom"/>
            <w:tcBorders>
              <w:bottom w:val="single" w:sz="8" w:color="CFF0FC"/>
            </w:tcBorders>
            <w:shd w:val="clear" w:color="auto" w:fill="CFF0FC"/>
          </w:tcPr>
          <w:p>
            <w:pPr>
              <w:spacing w:after="0"/>
              <w:rPr>
                <w:sz w:val="21"/>
                <w:szCs w:val="21"/>
                <w:color w:val="auto"/>
              </w:rPr>
            </w:pPr>
          </w:p>
        </w:tc>
        <w:tc>
          <w:tcPr>
            <w:tcW w:w="72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bottom w:val="single" w:sz="8" w:color="CFF0FC"/>
            </w:tcBorders>
            <w:shd w:val="clear" w:color="auto" w:fill="CFF0FC"/>
          </w:tcPr>
          <w:p>
            <w:pPr>
              <w:spacing w:after="0"/>
              <w:rPr>
                <w:sz w:val="21"/>
                <w:szCs w:val="21"/>
                <w:color w:val="auto"/>
              </w:rPr>
            </w:pPr>
          </w:p>
        </w:tc>
        <w:tc>
          <w:tcPr>
            <w:tcW w:w="780" w:type="dxa"/>
            <w:vAlign w:val="bottom"/>
            <w:tcBorders>
              <w:bottom w:val="single" w:sz="8" w:color="CFF0FC"/>
            </w:tcBorders>
            <w:gridSpan w:val="2"/>
            <w:shd w:val="clear" w:color="auto" w:fill="CFF0FC"/>
          </w:tcPr>
          <w:p>
            <w:pPr>
              <w:spacing w:after="0"/>
              <w:rPr>
                <w:sz w:val="21"/>
                <w:szCs w:val="21"/>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top w:val="single" w:sz="8" w:color="auto"/>
              <w:bottom w:val="single" w:sz="8" w:color="auto"/>
            </w:tcBorders>
            <w:shd w:val="clear" w:color="auto" w:fill="CFF0FC"/>
          </w:tcPr>
          <w:p>
            <w:pPr>
              <w:spacing w:after="0"/>
              <w:rPr>
                <w:sz w:val="21"/>
                <w:szCs w:val="21"/>
                <w:color w:val="auto"/>
              </w:rPr>
            </w:pPr>
          </w:p>
        </w:tc>
        <w:tc>
          <w:tcPr>
            <w:tcW w:w="96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23,961</w:t>
            </w:r>
          </w:p>
        </w:tc>
        <w:tc>
          <w:tcPr>
            <w:tcW w:w="10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auto"/>
              <w:bottom w:val="single" w:sz="8" w:color="auto"/>
            </w:tcBorders>
            <w:shd w:val="clear" w:color="auto" w:fill="CFF0FC"/>
          </w:tcPr>
          <w:p>
            <w:pPr>
              <w:spacing w:after="0"/>
              <w:rPr>
                <w:sz w:val="21"/>
                <w:szCs w:val="21"/>
                <w:color w:val="auto"/>
              </w:rPr>
            </w:pPr>
          </w:p>
        </w:tc>
        <w:tc>
          <w:tcPr>
            <w:tcW w:w="720" w:type="dxa"/>
            <w:vAlign w:val="bottom"/>
            <w:tcBorders>
              <w:top w:val="single" w:sz="8" w:color="auto"/>
              <w:bottom w:val="single" w:sz="8" w:color="auto"/>
            </w:tcBorders>
            <w:shd w:val="clear" w:color="auto" w:fill="CFF0FC"/>
          </w:tcPr>
          <w:p>
            <w:pPr>
              <w:spacing w:after="0"/>
              <w:rPr>
                <w:sz w:val="21"/>
                <w:szCs w:val="21"/>
                <w:color w:val="auto"/>
              </w:rPr>
            </w:pPr>
          </w:p>
        </w:tc>
        <w:tc>
          <w:tcPr>
            <w:tcW w:w="44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w w:val="98"/>
              </w:rPr>
              <w:t>5,806</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-24765</wp:posOffset>
            </wp:positionV>
            <wp:extent cx="685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-7620</wp:posOffset>
            </wp:positionV>
            <wp:extent cx="685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Stockholders’ Equity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Public Offerings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At-the-Market Offerings</w:t>
      </w:r>
    </w:p>
    <w:p>
      <w:pPr>
        <w:spacing w:after="0" w:line="229" w:lineRule="exact"/>
        <w:rPr>
          <w:sz w:val="20"/>
          <w:szCs w:val="20"/>
          <w:color w:val="auto"/>
        </w:rPr>
      </w:pPr>
    </w:p>
    <w:p>
      <w:pPr>
        <w:jc w:val="both"/>
        <w:ind w:right="180" w:firstLine="749"/>
        <w:spacing w:after="0" w:line="266" w:lineRule="auto"/>
        <w:rPr>
          <w:sz w:val="20"/>
          <w:szCs w:val="20"/>
          <w:color w:val="auto"/>
        </w:rPr>
      </w:pPr>
      <w:r>
        <w:rPr>
          <w:rFonts w:ascii="Times New Roman" w:cs="Times New Roman" w:eastAsia="Times New Roman" w:hAnsi="Times New Roman"/>
          <w:sz w:val="18"/>
          <w:szCs w:val="18"/>
          <w:color w:val="auto"/>
        </w:rPr>
        <w:t>In March 2022, the Company entered into a sales agreement (the “March 2022 Sales Agreement”) with Leerink Partners LLC (“Leerink”) and filed a prospectus supplement. The March 2022 Sales Agreement supersedes the sales agreement, dated December 5, 2019, by and between the Company and Leerink. The Company exhausted sales of shares of the Company’s common stock under its prior at-the-market offering program.</w:t>
      </w:r>
    </w:p>
    <w:p>
      <w:pPr>
        <w:spacing w:after="0" w:line="176" w:lineRule="exact"/>
        <w:rPr>
          <w:sz w:val="20"/>
          <w:szCs w:val="20"/>
          <w:color w:val="auto"/>
        </w:rPr>
      </w:pPr>
    </w:p>
    <w:p>
      <w:pPr>
        <w:ind w:right="120" w:firstLine="749"/>
        <w:spacing w:after="0" w:line="258" w:lineRule="auto"/>
        <w:rPr>
          <w:sz w:val="20"/>
          <w:szCs w:val="20"/>
          <w:color w:val="auto"/>
        </w:rPr>
      </w:pPr>
      <w:r>
        <w:rPr>
          <w:rFonts w:ascii="Times New Roman" w:cs="Times New Roman" w:eastAsia="Times New Roman" w:hAnsi="Times New Roman"/>
          <w:sz w:val="18"/>
          <w:szCs w:val="18"/>
          <w:color w:val="auto"/>
        </w:rPr>
        <w:t>In December 2022, in connection with the 2022 Shelf Registration Statement (as defined below), the Company filed a new sales agreement prospectus to replace the prior prospectus supplement filed in August 2022 associated with the expired automatic shelf registration statement (the “2019 Shelf Registration Statement”), which the Company filed with the U.S. Securities and Exchange Commission (the “SEC”) on December 5, 2019. The new sales agreement prospectus covered the issuance and sale by the Company of up to the same $250 million of the Company’s common stock that may be issued and sold from time to time through Leerink, as the Company’s sales agent, under the March 2022 Sales Agreement.</w:t>
      </w:r>
    </w:p>
    <w:p>
      <w:pPr>
        <w:spacing w:after="0" w:line="183" w:lineRule="exact"/>
        <w:rPr>
          <w:sz w:val="20"/>
          <w:szCs w:val="20"/>
          <w:color w:val="auto"/>
        </w:rPr>
      </w:pPr>
    </w:p>
    <w:p>
      <w:pPr>
        <w:ind w:right="100" w:firstLine="749"/>
        <w:spacing w:after="0" w:line="261" w:lineRule="auto"/>
        <w:rPr>
          <w:sz w:val="20"/>
          <w:szCs w:val="20"/>
          <w:color w:val="auto"/>
        </w:rPr>
      </w:pPr>
      <w:r>
        <w:rPr>
          <w:rFonts w:ascii="Times New Roman" w:cs="Times New Roman" w:eastAsia="Times New Roman" w:hAnsi="Times New Roman"/>
          <w:sz w:val="18"/>
          <w:szCs w:val="18"/>
          <w:color w:val="auto"/>
        </w:rPr>
        <w:t>Under the March 2022 Sales Agreement, for the three months ended June 30, 2025, the Company received approximately $17.6 million in gross proceeds through the sale of 166,486 shares, of which net proceeds were approximately $17.2 million. For the six months ended June 30, 2025, the Company received approximately $37.3 million in gross proceeds through the sale of 322,970 shares, of which net proceeds were approximately $36.5 million under the March 2022 Sales Agreement.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June 2023 Public Offering</w:t>
      </w:r>
    </w:p>
    <w:p>
      <w:pPr>
        <w:spacing w:after="0" w:line="229" w:lineRule="exact"/>
        <w:rPr>
          <w:sz w:val="20"/>
          <w:szCs w:val="20"/>
          <w:color w:val="auto"/>
        </w:rPr>
      </w:pPr>
    </w:p>
    <w:p>
      <w:pPr>
        <w:ind w:right="40" w:firstLine="749"/>
        <w:spacing w:after="0" w:line="256" w:lineRule="auto"/>
        <w:rPr>
          <w:sz w:val="20"/>
          <w:szCs w:val="20"/>
          <w:color w:val="auto"/>
        </w:rPr>
      </w:pPr>
      <w:r>
        <w:rPr>
          <w:rFonts w:ascii="Times New Roman" w:cs="Times New Roman" w:eastAsia="Times New Roman" w:hAnsi="Times New Roman"/>
          <w:sz w:val="18"/>
          <w:szCs w:val="18"/>
          <w:color w:val="auto"/>
        </w:rPr>
        <w:t>In June 2023, the Company completed an underwritten public offering of its common stock (the “June 2023 Public Offering”). The Company sold 3.0 million shares of its common stock at a public offering price of $75.00 per share. The net proceeds were $211.3 million, net of underwriting discounts and commissions of $13.5 million and other offering costs of $0.2 million. Additionally, in connection with this public offering, in July 2023, the underwriters fully exercised their option to purchase 450,000 additional shares of the Company’s common stock at a public offering price of $75.00 per share. The net proceeds from the exercise of the option were $31.7 million, net of underwriting discounts and commissions of $2.0 million and other minimal offering costs.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Blackstone Securities Purchase Agreement</w:t>
      </w:r>
    </w:p>
    <w:p>
      <w:pPr>
        <w:spacing w:after="0" w:line="229" w:lineRule="exact"/>
        <w:rPr>
          <w:sz w:val="20"/>
          <w:szCs w:val="20"/>
          <w:color w:val="auto"/>
        </w:rPr>
      </w:pPr>
    </w:p>
    <w:p>
      <w:pPr>
        <w:ind w:right="220" w:firstLine="749"/>
        <w:spacing w:after="0" w:line="261" w:lineRule="auto"/>
        <w:rPr>
          <w:sz w:val="20"/>
          <w:szCs w:val="20"/>
          <w:color w:val="auto"/>
        </w:rPr>
      </w:pPr>
      <w:r>
        <w:rPr>
          <w:rFonts w:ascii="Times New Roman" w:cs="Times New Roman" w:eastAsia="Times New Roman" w:hAnsi="Times New Roman"/>
          <w:sz w:val="18"/>
          <w:szCs w:val="18"/>
          <w:color w:val="auto"/>
        </w:rPr>
        <w:t>In May 2025, the Company entered into a securities purchase agreement (the “SPA”) with Blackstone or its affiliates for the private placement (the “Private Placement”) of an aggregate of 140,000 shares of the Company’s common stock, at a purchase price of $107.14 per share. Gross proceeds from the Private Placement were approximately $15,000,000. The closing of the Private Placement occurred contemporaneously with the closing of the Blackstone Loan Agreement.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Shelf Registration Statement</w:t>
      </w:r>
    </w:p>
    <w:p>
      <w:pPr>
        <w:spacing w:after="0" w:line="229" w:lineRule="exact"/>
        <w:rPr>
          <w:sz w:val="20"/>
          <w:szCs w:val="20"/>
          <w:color w:val="auto"/>
        </w:rPr>
      </w:pPr>
    </w:p>
    <w:p>
      <w:pPr>
        <w:jc w:val="both"/>
        <w:ind w:right="120" w:firstLine="749"/>
        <w:spacing w:after="0" w:line="266" w:lineRule="auto"/>
        <w:rPr>
          <w:sz w:val="20"/>
          <w:szCs w:val="20"/>
          <w:color w:val="auto"/>
        </w:rPr>
      </w:pPr>
      <w:r>
        <w:rPr>
          <w:rFonts w:ascii="Times New Roman" w:cs="Times New Roman" w:eastAsia="Times New Roman" w:hAnsi="Times New Roman"/>
          <w:sz w:val="18"/>
          <w:szCs w:val="18"/>
          <w:color w:val="auto"/>
        </w:rPr>
        <w:t>On December 2, 2022, the Company filed an automatic shelf registration statement (the “2022 Shelf Registration Statement”) with the SEC for the issuance of common stock, preferred stock, warrants, rights, debt securities and units. It became effective upon filing with the SEC and is currently the Company’s only active shelf registration.</w:t>
      </w:r>
    </w:p>
    <w:p>
      <w:pPr>
        <w:spacing w:after="0" w:line="176"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Under SEC rules, the 2022 Shelf Registration Statement allows for the potential future offer and sale by the Company, from time to time, in one or more public offerings of an indeterminate amount of the Company’s common stock, preferred stock, debt securities, and units at indeterminate prices. At the time any of the securities covered by the 2022 Shelf Registration Statement are offered for sale, a prospectus supplement will be prepared and filed with the SEC containing specific information about the terms of any such offering.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Incentive Plan</w:t>
      </w:r>
    </w:p>
    <w:p>
      <w:pPr>
        <w:spacing w:after="0" w:line="229" w:lineRule="exact"/>
        <w:rPr>
          <w:sz w:val="20"/>
          <w:szCs w:val="20"/>
          <w:color w:val="auto"/>
        </w:rPr>
      </w:pPr>
    </w:p>
    <w:p>
      <w:pPr>
        <w:ind w:right="20" w:firstLine="749"/>
        <w:spacing w:after="0" w:line="261" w:lineRule="auto"/>
        <w:rPr>
          <w:sz w:val="20"/>
          <w:szCs w:val="20"/>
          <w:color w:val="auto"/>
        </w:rPr>
      </w:pPr>
      <w:r>
        <w:rPr>
          <w:rFonts w:ascii="Times New Roman" w:cs="Times New Roman" w:eastAsia="Times New Roman" w:hAnsi="Times New Roman"/>
          <w:sz w:val="18"/>
          <w:szCs w:val="18"/>
          <w:color w:val="auto"/>
        </w:rPr>
        <w:t>In November 2015, the 2015 Omnibus Incentive Compensation Plan (the “2015 Plan”) was adopted by the Company’s stockholders. In April 2025, the Company’s Long-Term Incentive Plan (“2025 Plan”) was adopted by the Board and approved by the stockholders in June 2025. All future equity awards will be made from the 2025 Plan and the Company does not intend to grant any future equity awards from the 2015 Plan. As of June 30, 2025, there were 2,456,958 shares available for future grant under the 2025 Plan.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Options</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table sets forth stock option activity as of June 30, 2025:</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8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vMerge w:val="restart"/>
          </w:tcPr>
          <w:p>
            <w:pPr>
              <w:jc w:val="center"/>
              <w:ind w:right="155"/>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00" w:type="dxa"/>
            <w:vAlign w:val="bottom"/>
          </w:tcPr>
          <w:p>
            <w:pPr>
              <w:spacing w:after="0"/>
              <w:rPr>
                <w:sz w:val="13"/>
                <w:szCs w:val="13"/>
                <w:color w:val="auto"/>
              </w:rPr>
            </w:pPr>
          </w:p>
        </w:tc>
        <w:tc>
          <w:tcPr>
            <w:tcW w:w="130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vMerge w:val="restart"/>
          </w:tcPr>
          <w:p>
            <w:pPr>
              <w:jc w:val="center"/>
              <w:ind w:right="219"/>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43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300" w:type="dxa"/>
            <w:vAlign w:val="bottom"/>
            <w:vMerge w:val="restart"/>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tcPr>
          <w:p>
            <w:pPr>
              <w:jc w:val="center"/>
              <w:ind w:right="28"/>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3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3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jc w:val="center"/>
              <w:ind w:right="155"/>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00" w:type="dxa"/>
            <w:vAlign w:val="bottom"/>
          </w:tcPr>
          <w:p>
            <w:pPr>
              <w:spacing w:after="0"/>
              <w:rPr>
                <w:sz w:val="12"/>
                <w:szCs w:val="12"/>
                <w:color w:val="auto"/>
              </w:rPr>
            </w:pPr>
          </w:p>
        </w:tc>
        <w:tc>
          <w:tcPr>
            <w:tcW w:w="1300" w:type="dxa"/>
            <w:vAlign w:val="bottom"/>
          </w:tcPr>
          <w:p>
            <w:pPr>
              <w:jc w:val="center"/>
              <w:ind w:right="48"/>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jc w:val="center"/>
              <w:ind w:right="219"/>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73"/>
        </w:trPr>
        <w:tc>
          <w:tcPr>
            <w:tcW w:w="43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300" w:type="dxa"/>
            <w:vAlign w:val="bottom"/>
            <w:tcBorders>
              <w:bottom w:val="single" w:sz="8" w:color="auto"/>
            </w:tcBorders>
          </w:tcPr>
          <w:p>
            <w:pPr>
              <w:jc w:val="right"/>
              <w:ind w:right="357"/>
              <w:spacing w:after="0"/>
              <w:rPr>
                <w:sz w:val="20"/>
                <w:szCs w:val="20"/>
                <w:color w:val="auto"/>
              </w:rPr>
            </w:pPr>
            <w:r>
              <w:rPr>
                <w:rFonts w:ascii="Times New Roman" w:cs="Times New Roman" w:eastAsia="Times New Roman" w:hAnsi="Times New Roman"/>
                <w:sz w:val="14"/>
                <w:szCs w:val="14"/>
                <w:b w:val="1"/>
                <w:bCs w:val="1"/>
                <w:color w:val="auto"/>
              </w:rPr>
              <w:t>of shares</w:t>
            </w:r>
          </w:p>
        </w:tc>
        <w:tc>
          <w:tcPr>
            <w:tcW w:w="1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ind w:right="155"/>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00" w:type="dxa"/>
            <w:vAlign w:val="bottom"/>
          </w:tcPr>
          <w:p>
            <w:pPr>
              <w:spacing w:after="0"/>
              <w:rPr>
                <w:sz w:val="15"/>
                <w:szCs w:val="15"/>
                <w:color w:val="auto"/>
              </w:rPr>
            </w:pPr>
          </w:p>
        </w:tc>
        <w:tc>
          <w:tcPr>
            <w:tcW w:w="1300" w:type="dxa"/>
            <w:vAlign w:val="bottom"/>
            <w:tcBorders>
              <w:bottom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term (years)</w:t>
            </w:r>
          </w:p>
        </w:tc>
        <w:tc>
          <w:tcPr>
            <w:tcW w:w="1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ind w:right="219"/>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10"/>
        </w:trPr>
        <w:tc>
          <w:tcPr>
            <w:tcW w:w="4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at December 31, 2024</w:t>
            </w:r>
          </w:p>
        </w:tc>
        <w:tc>
          <w:tcPr>
            <w:tcW w:w="2700" w:type="dxa"/>
            <w:vAlign w:val="bottom"/>
            <w:gridSpan w:val="2"/>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8,439,121</w:t>
            </w:r>
          </w:p>
        </w:tc>
        <w:tc>
          <w:tcPr>
            <w:tcW w:w="2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46.72</w:t>
            </w:r>
          </w:p>
        </w:tc>
        <w:tc>
          <w:tcPr>
            <w:tcW w:w="10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Granted</w:t>
            </w:r>
          </w:p>
        </w:tc>
        <w:tc>
          <w:tcPr>
            <w:tcW w:w="2700" w:type="dxa"/>
            <w:vAlign w:val="bottom"/>
            <w:gridSpan w:val="2"/>
          </w:tcPr>
          <w:p>
            <w:pPr>
              <w:jc w:val="right"/>
              <w:ind w:right="37"/>
              <w:spacing w:after="0"/>
              <w:rPr>
                <w:sz w:val="20"/>
                <w:szCs w:val="20"/>
                <w:color w:val="auto"/>
              </w:rPr>
            </w:pPr>
            <w:r>
              <w:rPr>
                <w:rFonts w:ascii="Times New Roman" w:cs="Times New Roman" w:eastAsia="Times New Roman" w:hAnsi="Times New Roman"/>
                <w:sz w:val="18"/>
                <w:szCs w:val="18"/>
                <w:color w:val="auto"/>
              </w:rPr>
              <w:t>339,411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124.90</w:t>
            </w: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Exercised</w:t>
            </w:r>
          </w:p>
        </w:tc>
        <w:tc>
          <w:tcPr>
            <w:tcW w:w="27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(548,526)</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45.53</w:t>
            </w:r>
          </w:p>
        </w:tc>
        <w:tc>
          <w:tcPr>
            <w:tcW w:w="10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Forfeited/Canceled</w:t>
            </w:r>
          </w:p>
        </w:tc>
        <w:tc>
          <w:tcPr>
            <w:tcW w:w="1400" w:type="dxa"/>
            <w:vAlign w:val="bottom"/>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(139,733)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72.73</w:t>
            </w: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at June 30, 2025</w:t>
            </w:r>
          </w:p>
        </w:tc>
        <w:tc>
          <w:tcPr>
            <w:tcW w:w="1400" w:type="dxa"/>
            <w:vAlign w:val="bottom"/>
            <w:shd w:val="clear" w:color="auto" w:fill="CFF0FC"/>
          </w:tcPr>
          <w:p>
            <w:pPr>
              <w:spacing w:after="0"/>
              <w:rPr>
                <w:sz w:val="19"/>
                <w:szCs w:val="19"/>
                <w:color w:val="auto"/>
              </w:rPr>
            </w:pPr>
          </w:p>
        </w:tc>
        <w:tc>
          <w:tcPr>
            <w:tcW w:w="130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8,090,273</w:t>
            </w:r>
          </w:p>
        </w:tc>
        <w:tc>
          <w:tcPr>
            <w:tcW w:w="2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49.64</w:t>
            </w:r>
          </w:p>
        </w:tc>
        <w:tc>
          <w:tcPr>
            <w:tcW w:w="140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8"/>
                <w:szCs w:val="18"/>
                <w:color w:val="auto"/>
              </w:rPr>
              <w:t>6.1</w:t>
            </w:r>
          </w:p>
        </w:tc>
        <w:tc>
          <w:tcPr>
            <w:tcW w:w="3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450,574</w:t>
            </w:r>
          </w:p>
        </w:tc>
        <w:tc>
          <w:tcPr>
            <w:tcW w:w="0" w:type="dxa"/>
            <w:vAlign w:val="bottom"/>
          </w:tcPr>
          <w:p>
            <w:pPr>
              <w:spacing w:after="0"/>
              <w:rPr>
                <w:sz w:val="1"/>
                <w:szCs w:val="1"/>
                <w:color w:val="auto"/>
              </w:rPr>
            </w:pPr>
          </w:p>
        </w:tc>
      </w:tr>
      <w:tr>
        <w:trPr>
          <w:trHeight w:val="20"/>
        </w:trPr>
        <w:tc>
          <w:tcPr>
            <w:tcW w:w="4380" w:type="dxa"/>
            <w:vAlign w:val="bottom"/>
            <w:tcBorders>
              <w:top w:val="single" w:sz="8" w:color="CFF0FC"/>
            </w:tcBorders>
            <w:shd w:val="clear" w:color="auto" w:fill="CFF0FC"/>
          </w:tcPr>
          <w:p>
            <w:pPr>
              <w:spacing w:after="0" w:line="20" w:lineRule="exact"/>
              <w:rPr>
                <w:sz w:val="1"/>
                <w:szCs w:val="1"/>
                <w:color w:val="auto"/>
              </w:rPr>
            </w:pPr>
          </w:p>
        </w:tc>
        <w:tc>
          <w:tcPr>
            <w:tcW w:w="1400" w:type="dxa"/>
            <w:vAlign w:val="bottom"/>
            <w:tcBorders>
              <w:top w:val="single" w:sz="8" w:color="CFF0FC"/>
            </w:tcBorders>
            <w:shd w:val="clear" w:color="auto" w:fill="CFF0FC"/>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3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Vested and expected to vest at June 30, 2025</w:t>
            </w:r>
          </w:p>
        </w:tc>
        <w:tc>
          <w:tcPr>
            <w:tcW w:w="1400" w:type="dxa"/>
            <w:vAlign w:val="bottom"/>
          </w:tcPr>
          <w:p>
            <w:pPr>
              <w:spacing w:after="0"/>
              <w:rPr>
                <w:sz w:val="17"/>
                <w:szCs w:val="17"/>
                <w:color w:val="auto"/>
              </w:rPr>
            </w:pPr>
          </w:p>
        </w:tc>
        <w:tc>
          <w:tcPr>
            <w:tcW w:w="1300" w:type="dxa"/>
            <w:vAlign w:val="bottom"/>
          </w:tcPr>
          <w:p>
            <w:pPr>
              <w:jc w:val="right"/>
              <w:ind w:right="37"/>
              <w:spacing w:after="0" w:line="196" w:lineRule="exact"/>
              <w:rPr>
                <w:sz w:val="20"/>
                <w:szCs w:val="20"/>
                <w:color w:val="auto"/>
              </w:rPr>
            </w:pPr>
            <w:r>
              <w:rPr>
                <w:rFonts w:ascii="Times New Roman" w:cs="Times New Roman" w:eastAsia="Times New Roman" w:hAnsi="Times New Roman"/>
                <w:sz w:val="18"/>
                <w:szCs w:val="18"/>
                <w:color w:val="auto"/>
              </w:rPr>
              <w:t>8,090,273</w:t>
            </w:r>
          </w:p>
        </w:tc>
        <w:tc>
          <w:tcPr>
            <w:tcW w:w="2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5"/>
              <w:spacing w:after="0" w:line="196" w:lineRule="exact"/>
              <w:rPr>
                <w:sz w:val="20"/>
                <w:szCs w:val="20"/>
                <w:color w:val="auto"/>
              </w:rPr>
            </w:pPr>
            <w:r>
              <w:rPr>
                <w:rFonts w:ascii="Times New Roman" w:cs="Times New Roman" w:eastAsia="Times New Roman" w:hAnsi="Times New Roman"/>
                <w:sz w:val="18"/>
                <w:szCs w:val="18"/>
                <w:color w:val="auto"/>
              </w:rPr>
              <w:t>49.64</w:t>
            </w:r>
          </w:p>
        </w:tc>
        <w:tc>
          <w:tcPr>
            <w:tcW w:w="1400" w:type="dxa"/>
            <w:vAlign w:val="bottom"/>
            <w:gridSpan w:val="2"/>
          </w:tcPr>
          <w:p>
            <w:pPr>
              <w:jc w:val="right"/>
              <w:ind w:right="48"/>
              <w:spacing w:after="0" w:line="196" w:lineRule="exact"/>
              <w:rPr>
                <w:sz w:val="20"/>
                <w:szCs w:val="20"/>
                <w:color w:val="auto"/>
              </w:rPr>
            </w:pPr>
            <w:r>
              <w:rPr>
                <w:rFonts w:ascii="Times New Roman" w:cs="Times New Roman" w:eastAsia="Times New Roman" w:hAnsi="Times New Roman"/>
                <w:sz w:val="18"/>
                <w:szCs w:val="18"/>
                <w:color w:val="auto"/>
              </w:rPr>
              <w:t>6.1</w:t>
            </w:r>
          </w:p>
        </w:tc>
        <w:tc>
          <w:tcPr>
            <w:tcW w:w="320" w:type="dxa"/>
            <w:vAlign w:val="bottom"/>
            <w:gridSpan w:val="2"/>
          </w:tcPr>
          <w:p>
            <w:pPr>
              <w:jc w:val="right"/>
              <w:ind w:right="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9"/>
              <w:spacing w:after="0" w:line="196" w:lineRule="exact"/>
              <w:rPr>
                <w:sz w:val="20"/>
                <w:szCs w:val="20"/>
                <w:color w:val="auto"/>
              </w:rPr>
            </w:pPr>
            <w:r>
              <w:rPr>
                <w:rFonts w:ascii="Times New Roman" w:cs="Times New Roman" w:eastAsia="Times New Roman" w:hAnsi="Times New Roman"/>
                <w:sz w:val="18"/>
                <w:szCs w:val="18"/>
                <w:color w:val="auto"/>
              </w:rPr>
              <w:t>450,574</w:t>
            </w: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438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Exercisable at June 30, 2025</w:t>
            </w:r>
          </w:p>
        </w:tc>
        <w:tc>
          <w:tcPr>
            <w:tcW w:w="2700" w:type="dxa"/>
            <w:vAlign w:val="bottom"/>
            <w:gridSpan w:val="2"/>
            <w:shd w:val="clear" w:color="auto" w:fill="CFF0FC"/>
          </w:tcPr>
          <w:p>
            <w:pPr>
              <w:jc w:val="right"/>
              <w:ind w:right="37"/>
              <w:spacing w:after="0" w:line="196" w:lineRule="exact"/>
              <w:rPr>
                <w:sz w:val="20"/>
                <w:szCs w:val="20"/>
                <w:color w:val="auto"/>
              </w:rPr>
            </w:pPr>
            <w:r>
              <w:rPr>
                <w:rFonts w:ascii="Times New Roman" w:cs="Times New Roman" w:eastAsia="Times New Roman" w:hAnsi="Times New Roman"/>
                <w:sz w:val="18"/>
                <w:szCs w:val="18"/>
                <w:color w:val="auto"/>
              </w:rPr>
              <w:t>5,602,738</w:t>
            </w:r>
          </w:p>
        </w:tc>
        <w:tc>
          <w:tcPr>
            <w:tcW w:w="240" w:type="dxa"/>
            <w:vAlign w:val="bottom"/>
            <w:gridSpan w:val="2"/>
            <w:shd w:val="clear" w:color="auto" w:fill="CFF0FC"/>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ind w:right="35"/>
              <w:spacing w:after="0" w:line="196" w:lineRule="exact"/>
              <w:rPr>
                <w:sz w:val="20"/>
                <w:szCs w:val="20"/>
                <w:color w:val="auto"/>
              </w:rPr>
            </w:pPr>
            <w:r>
              <w:rPr>
                <w:rFonts w:ascii="Times New Roman" w:cs="Times New Roman" w:eastAsia="Times New Roman" w:hAnsi="Times New Roman"/>
                <w:sz w:val="18"/>
                <w:szCs w:val="18"/>
                <w:color w:val="auto"/>
              </w:rPr>
              <w:t>38.27</w:t>
            </w:r>
          </w:p>
        </w:tc>
        <w:tc>
          <w:tcPr>
            <w:tcW w:w="1400" w:type="dxa"/>
            <w:vAlign w:val="bottom"/>
            <w:gridSpan w:val="2"/>
            <w:shd w:val="clear" w:color="auto" w:fill="CFF0FC"/>
          </w:tcPr>
          <w:p>
            <w:pPr>
              <w:jc w:val="right"/>
              <w:ind w:right="48"/>
              <w:spacing w:after="0" w:line="196" w:lineRule="exact"/>
              <w:rPr>
                <w:sz w:val="20"/>
                <w:szCs w:val="20"/>
                <w:color w:val="auto"/>
              </w:rPr>
            </w:pPr>
            <w:r>
              <w:rPr>
                <w:rFonts w:ascii="Times New Roman" w:cs="Times New Roman" w:eastAsia="Times New Roman" w:hAnsi="Times New Roman"/>
                <w:sz w:val="18"/>
                <w:szCs w:val="18"/>
                <w:color w:val="auto"/>
              </w:rPr>
              <w:t>5.2</w:t>
            </w:r>
          </w:p>
        </w:tc>
        <w:tc>
          <w:tcPr>
            <w:tcW w:w="320" w:type="dxa"/>
            <w:vAlign w:val="bottom"/>
            <w:gridSpan w:val="2"/>
            <w:shd w:val="clear" w:color="auto" w:fill="CFF0FC"/>
          </w:tcPr>
          <w:p>
            <w:pPr>
              <w:jc w:val="right"/>
              <w:ind w:right="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ind w:right="39"/>
              <w:spacing w:after="0" w:line="196" w:lineRule="exact"/>
              <w:rPr>
                <w:sz w:val="20"/>
                <w:szCs w:val="20"/>
                <w:color w:val="auto"/>
              </w:rPr>
            </w:pPr>
            <w:r>
              <w:rPr>
                <w:rFonts w:ascii="Times New Roman" w:cs="Times New Roman" w:eastAsia="Times New Roman" w:hAnsi="Times New Roman"/>
                <w:sz w:val="18"/>
                <w:szCs w:val="18"/>
                <w:color w:val="auto"/>
              </w:rPr>
              <w:t>371,058</w:t>
            </w:r>
          </w:p>
        </w:tc>
        <w:tc>
          <w:tcPr>
            <w:tcW w:w="0" w:type="dxa"/>
            <w:vAlign w:val="bottom"/>
          </w:tcPr>
          <w:p>
            <w:pPr>
              <w:spacing w:after="0"/>
              <w:rPr>
                <w:sz w:val="1"/>
                <w:szCs w:val="1"/>
                <w:color w:val="auto"/>
              </w:rPr>
            </w:pPr>
          </w:p>
        </w:tc>
      </w:tr>
      <w:tr>
        <w:trPr>
          <w:trHeight w:val="844"/>
        </w:trPr>
        <w:tc>
          <w:tcPr>
            <w:tcW w:w="4380" w:type="dxa"/>
            <w:vAlign w:val="bottom"/>
            <w:tcBorders>
              <w:top w:val="single" w:sz="8" w:color="CFF0FC"/>
            </w:tcBorders>
          </w:tcPr>
          <w:p>
            <w:pPr>
              <w:spacing w:after="0"/>
              <w:rPr>
                <w:sz w:val="24"/>
                <w:szCs w:val="24"/>
                <w:color w:val="auto"/>
              </w:rPr>
            </w:pPr>
          </w:p>
        </w:tc>
        <w:tc>
          <w:tcPr>
            <w:tcW w:w="140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300" w:type="dxa"/>
            <w:vAlign w:val="bottom"/>
            <w:tcBorders>
              <w:top w:val="single" w:sz="8" w:color="auto"/>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438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-1396365</wp:posOffset>
            </wp:positionV>
            <wp:extent cx="85725"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-1379220</wp:posOffset>
            </wp:positionV>
            <wp:extent cx="8572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-1396365</wp:posOffset>
            </wp:positionV>
            <wp:extent cx="6858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-1379220</wp:posOffset>
            </wp:positionV>
            <wp:extent cx="6858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-1396365</wp:posOffset>
            </wp:positionV>
            <wp:extent cx="85725"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-1379220</wp:posOffset>
            </wp:positionV>
            <wp:extent cx="85725"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-1070610</wp:posOffset>
            </wp:positionV>
            <wp:extent cx="85725"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-1053465</wp:posOffset>
            </wp:positionV>
            <wp:extent cx="8572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-1070610</wp:posOffset>
            </wp:positionV>
            <wp:extent cx="6858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-1053465</wp:posOffset>
            </wp:positionV>
            <wp:extent cx="685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-1070610</wp:posOffset>
            </wp:positionV>
            <wp:extent cx="85725"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-1053465</wp:posOffset>
            </wp:positionV>
            <wp:extent cx="8572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180" w:firstLine="749"/>
        <w:spacing w:after="0" w:line="254" w:lineRule="auto"/>
        <w:rPr>
          <w:sz w:val="20"/>
          <w:szCs w:val="20"/>
          <w:color w:val="auto"/>
        </w:rPr>
      </w:pPr>
      <w:r>
        <w:rPr>
          <w:rFonts w:ascii="Times New Roman" w:cs="Times New Roman" w:eastAsia="Times New Roman" w:hAnsi="Times New Roman"/>
          <w:sz w:val="18"/>
          <w:szCs w:val="18"/>
          <w:color w:val="auto"/>
        </w:rPr>
        <w:t>The fair value of each stock option grant is estimated on the date of grant using the Black-Scholes option pricing model. The expected term of the Company’s stock options has been determined utilizing the “simplified method” as described in the SEC’s Staff Accounting Bulletin No. 107 relating to stock-based compensation. The simplified method was chosen because the Company has limited historical option exercise experience due to its short operating history. The risk-free interest rate is based on the U.S. Treasury yield in effect at the time of grant for a period approximately equal to the expected term of the award. Expected dividend yield is based on the fact that the Company has never paid cash dividends and does not expect to pay any cash dividends in the foreseeable future. In prior years, expected volatility was based on historical volatilities of similar entities within the Company’s industry which were commensurate with the Company’s expected term assumption. Currently, expected volatility is based on historical volatility information of the Company’s common stock since the Company’s initial public offering in 2015.</w:t>
      </w:r>
    </w:p>
    <w:p>
      <w:pPr>
        <w:spacing w:after="0" w:line="192" w:lineRule="exact"/>
        <w:rPr>
          <w:sz w:val="20"/>
          <w:szCs w:val="20"/>
          <w:color w:val="auto"/>
        </w:rPr>
      </w:pPr>
    </w:p>
    <w:p>
      <w:pPr>
        <w:ind w:right="400" w:firstLine="749"/>
        <w:spacing w:after="0" w:line="266" w:lineRule="auto"/>
        <w:rPr>
          <w:sz w:val="20"/>
          <w:szCs w:val="20"/>
          <w:color w:val="auto"/>
        </w:rPr>
      </w:pPr>
      <w:r>
        <w:rPr>
          <w:rFonts w:ascii="Times New Roman" w:cs="Times New Roman" w:eastAsia="Times New Roman" w:hAnsi="Times New Roman"/>
          <w:sz w:val="18"/>
          <w:szCs w:val="18"/>
          <w:color w:val="auto"/>
        </w:rPr>
        <w:t>The weighted average grant date fair value of options granted was $89.21 per option for the six months ended June 30, 2025. As of June 30, 2025, there was $133.8 million of total unrecognized compensation cost related to unvested stock options which is expected to be recognized over a weighted average period of 2.2 years.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Restricted Stock Units</w:t>
      </w:r>
    </w:p>
    <w:p>
      <w:pPr>
        <w:spacing w:after="0" w:line="229" w:lineRule="exact"/>
        <w:rPr>
          <w:sz w:val="20"/>
          <w:szCs w:val="20"/>
          <w:color w:val="auto"/>
        </w:rPr>
      </w:pPr>
    </w:p>
    <w:p>
      <w:pPr>
        <w:ind w:right="80" w:firstLine="749"/>
        <w:spacing w:after="0" w:line="266" w:lineRule="auto"/>
        <w:rPr>
          <w:sz w:val="20"/>
          <w:szCs w:val="20"/>
          <w:color w:val="auto"/>
        </w:rPr>
      </w:pPr>
      <w:r>
        <w:rPr>
          <w:rFonts w:ascii="Times New Roman" w:cs="Times New Roman" w:eastAsia="Times New Roman" w:hAnsi="Times New Roman"/>
          <w:sz w:val="18"/>
          <w:szCs w:val="18"/>
          <w:color w:val="auto"/>
        </w:rPr>
        <w:t>The fair value of the RSUs is recognized as an expense ratably over the vesting period of four years. As of June 30, 2025, total compensation cost not yet recognized related to nonvested RSUs was $80.3 million, which is expected to be recognized over a weighted-average period of 2.8 years. The intrinsic value of RSUs lapsed during the six months ended June 30, 2025 was $14.7 million.</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table sets forth the RSU activity for the six months ended June 30, 2025:</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8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8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9"/>
        </w:trPr>
        <w:tc>
          <w:tcPr>
            <w:tcW w:w="7680" w:type="dxa"/>
            <w:vAlign w:val="bottom"/>
          </w:tcPr>
          <w:p>
            <w:pPr>
              <w:spacing w:after="0"/>
              <w:rPr>
                <w:sz w:val="12"/>
                <w:szCs w:val="12"/>
                <w:color w:val="auto"/>
              </w:rPr>
            </w:pPr>
          </w:p>
        </w:tc>
        <w:tc>
          <w:tcPr>
            <w:tcW w:w="1780" w:type="dxa"/>
            <w:vAlign w:val="bottom"/>
            <w:gridSpan w:val="2"/>
            <w:vMerge w:val="restart"/>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8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7680" w:type="dxa"/>
            <w:vAlign w:val="bottom"/>
          </w:tcPr>
          <w:p>
            <w:pPr>
              <w:spacing w:after="0"/>
              <w:rPr>
                <w:sz w:val="12"/>
                <w:szCs w:val="12"/>
                <w:color w:val="auto"/>
              </w:rPr>
            </w:pPr>
          </w:p>
        </w:tc>
        <w:tc>
          <w:tcPr>
            <w:tcW w:w="17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8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73"/>
        </w:trPr>
        <w:tc>
          <w:tcPr>
            <w:tcW w:w="7680" w:type="dxa"/>
            <w:vAlign w:val="bottom"/>
          </w:tcPr>
          <w:p>
            <w:pPr>
              <w:spacing w:after="0"/>
              <w:rPr>
                <w:sz w:val="15"/>
                <w:szCs w:val="15"/>
                <w:color w:val="auto"/>
              </w:rPr>
            </w:pPr>
          </w:p>
        </w:tc>
        <w:tc>
          <w:tcPr>
            <w:tcW w:w="162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of shares</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center"/>
              <w:ind w:right="218"/>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7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Nonvested at December 31, 2024</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906,944</w:t>
            </w:r>
          </w:p>
        </w:tc>
        <w:tc>
          <w:tcPr>
            <w:tcW w:w="160" w:type="dxa"/>
            <w:vAlign w:val="bottom"/>
            <w:shd w:val="clear" w:color="auto" w:fill="CFF0FC"/>
          </w:tcPr>
          <w:p>
            <w:pPr>
              <w:spacing w:after="0"/>
              <w:rPr>
                <w:sz w:val="18"/>
                <w:szCs w:val="18"/>
                <w:color w:val="auto"/>
              </w:rPr>
            </w:pPr>
          </w:p>
        </w:tc>
        <w:tc>
          <w:tcPr>
            <w:tcW w:w="4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59.48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433,692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121.85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Vested</w:t>
            </w:r>
          </w:p>
        </w:tc>
        <w:tc>
          <w:tcPr>
            <w:tcW w:w="17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(268,394)</w:t>
            </w: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50.30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Forfeited</w:t>
            </w:r>
          </w:p>
        </w:tc>
        <w:tc>
          <w:tcPr>
            <w:tcW w:w="1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(29,657)</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87.94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Nonvested at June 30, 2025</w:t>
            </w:r>
          </w:p>
        </w:tc>
        <w:tc>
          <w:tcPr>
            <w:tcW w:w="16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1,042,585</w:t>
            </w:r>
          </w:p>
        </w:tc>
        <w:tc>
          <w:tcPr>
            <w:tcW w:w="160" w:type="dxa"/>
            <w:vAlign w:val="bottom"/>
            <w:shd w:val="clear" w:color="auto" w:fill="CFF0FC"/>
          </w:tcPr>
          <w:p>
            <w:pPr>
              <w:spacing w:after="0"/>
              <w:rPr>
                <w:sz w:val="19"/>
                <w:szCs w:val="19"/>
                <w:color w:val="auto"/>
              </w:rPr>
            </w:pPr>
          </w:p>
        </w:tc>
        <w:tc>
          <w:tcPr>
            <w:tcW w:w="4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86.98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680" w:type="dxa"/>
            <w:vAlign w:val="bottom"/>
            <w:tcBorders>
              <w:top w:val="single" w:sz="8" w:color="CFF0FC"/>
            </w:tcBorders>
            <w:shd w:val="clear" w:color="auto" w:fill="CFF0FC"/>
          </w:tcPr>
          <w:p>
            <w:pPr>
              <w:spacing w:after="0" w:line="20" w:lineRule="exact"/>
              <w:rPr>
                <w:sz w:val="1"/>
                <w:szCs w:val="1"/>
                <w:color w:val="auto"/>
              </w:rPr>
            </w:pPr>
          </w:p>
        </w:tc>
        <w:tc>
          <w:tcPr>
            <w:tcW w:w="16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-25400</wp:posOffset>
            </wp:positionV>
            <wp:extent cx="6858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-8255</wp:posOffset>
            </wp:positionV>
            <wp:extent cx="6858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Performance Stock Units</w:t>
      </w:r>
    </w:p>
    <w:p>
      <w:pPr>
        <w:spacing w:after="0" w:line="229" w:lineRule="exact"/>
        <w:rPr>
          <w:sz w:val="20"/>
          <w:szCs w:val="20"/>
          <w:color w:val="auto"/>
        </w:rPr>
      </w:pPr>
    </w:p>
    <w:p>
      <w:pPr>
        <w:ind w:right="20" w:firstLine="749"/>
        <w:spacing w:after="0" w:line="256" w:lineRule="auto"/>
        <w:rPr>
          <w:sz w:val="20"/>
          <w:szCs w:val="20"/>
          <w:color w:val="auto"/>
        </w:rPr>
      </w:pPr>
      <w:r>
        <w:rPr>
          <w:rFonts w:ascii="Times New Roman" w:cs="Times New Roman" w:eastAsia="Times New Roman" w:hAnsi="Times New Roman"/>
          <w:sz w:val="18"/>
          <w:szCs w:val="18"/>
          <w:color w:val="auto"/>
        </w:rPr>
        <w:t>In February 2025, the Company granted PSUs to the executive officers. Vesting of the PSUs is subject to achievement of specified performance goals, which include achieving revenue, clinical, and regulatory targets. The actual number of common shares that would ultimately be issued is calculated by multiplying the number of PSUs granted by a payout multiplier ranging from 0 to 2. Achievement of the performance goals will ultimately be determined by the Compensation Committee or the Board at the end of the vesting term, which is approximately 3 years from the grant date. As of June 30, 2025, total compensation cost not yet recognized related to nonvested PSUs was $5.4 million, which is expected to be recognized over a weighted-average period of 2.7 years.</w:t>
      </w:r>
    </w:p>
    <w:p>
      <w:pPr>
        <w:spacing w:after="0" w:line="18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table sets forth the PSU activity for the six months ended June 30, 2025:</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8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8"/>
        </w:trPr>
        <w:tc>
          <w:tcPr>
            <w:tcW w:w="7680" w:type="dxa"/>
            <w:vAlign w:val="bottom"/>
          </w:tcPr>
          <w:p>
            <w:pPr>
              <w:spacing w:after="0"/>
              <w:rPr>
                <w:sz w:val="12"/>
                <w:szCs w:val="12"/>
                <w:color w:val="auto"/>
              </w:rPr>
            </w:pPr>
          </w:p>
        </w:tc>
        <w:tc>
          <w:tcPr>
            <w:tcW w:w="1100" w:type="dxa"/>
            <w:vAlign w:val="bottom"/>
            <w:vMerge w:val="restart"/>
          </w:tcPr>
          <w:p>
            <w:pPr>
              <w:ind w:left="54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8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9"/>
        </w:trPr>
        <w:tc>
          <w:tcPr>
            <w:tcW w:w="768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8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73"/>
        </w:trPr>
        <w:tc>
          <w:tcPr>
            <w:tcW w:w="7680" w:type="dxa"/>
            <w:vAlign w:val="bottom"/>
          </w:tcPr>
          <w:p>
            <w:pPr>
              <w:spacing w:after="0"/>
              <w:rPr>
                <w:sz w:val="15"/>
                <w:szCs w:val="15"/>
                <w:color w:val="auto"/>
              </w:rPr>
            </w:pPr>
          </w:p>
        </w:tc>
        <w:tc>
          <w:tcPr>
            <w:tcW w:w="110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4"/>
                <w:szCs w:val="14"/>
                <w:b w:val="1"/>
                <w:bCs w:val="1"/>
                <w:color w:val="auto"/>
              </w:rPr>
              <w:t>of shares</w:t>
            </w:r>
          </w:p>
        </w:tc>
        <w:tc>
          <w:tcPr>
            <w:tcW w:w="52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center"/>
              <w:ind w:right="218"/>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87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Nonvested at December 31, 2024</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7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64,281</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94.39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8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Vested</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Forfeited</w:t>
            </w:r>
          </w:p>
        </w:tc>
        <w:tc>
          <w:tcPr>
            <w:tcW w:w="11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87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Nonvested at June 30, 2025</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64,281</w:t>
            </w:r>
          </w:p>
        </w:tc>
        <w:tc>
          <w:tcPr>
            <w:tcW w:w="5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94.39</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844"/>
        </w:trPr>
        <w:tc>
          <w:tcPr>
            <w:tcW w:w="7680" w:type="dxa"/>
            <w:vAlign w:val="bottom"/>
            <w:tcBorders>
              <w:top w:val="single" w:sz="8" w:color="CFF0FC"/>
            </w:tcBorders>
          </w:tcPr>
          <w:p>
            <w:pPr>
              <w:ind w:left="5540"/>
              <w:spacing w:after="0"/>
              <w:rPr>
                <w:sz w:val="20"/>
                <w:szCs w:val="20"/>
                <w:color w:val="auto"/>
              </w:rPr>
            </w:pPr>
            <w:r>
              <w:rPr>
                <w:rFonts w:ascii="Times New Roman" w:cs="Times New Roman" w:eastAsia="Times New Roman" w:hAnsi="Times New Roman"/>
                <w:sz w:val="18"/>
                <w:szCs w:val="18"/>
                <w:color w:val="auto"/>
              </w:rPr>
              <w:t>27</w:t>
            </w:r>
          </w:p>
        </w:tc>
        <w:tc>
          <w:tcPr>
            <w:tcW w:w="110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280" w:type="dxa"/>
            <w:vAlign w:val="bottom"/>
            <w:tcBorders>
              <w:top w:val="single" w:sz="8" w:color="CFF0FC"/>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768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-1070610</wp:posOffset>
            </wp:positionV>
            <wp:extent cx="6858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-1053465</wp:posOffset>
            </wp:positionV>
            <wp:extent cx="6858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-1070610</wp:posOffset>
            </wp:positionV>
            <wp:extent cx="6858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-1053465</wp:posOffset>
            </wp:positionV>
            <wp:extent cx="6858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 Stock Purchase Plan</w:t>
      </w:r>
    </w:p>
    <w:p>
      <w:pPr>
        <w:spacing w:after="0" w:line="229" w:lineRule="exact"/>
        <w:rPr>
          <w:sz w:val="20"/>
          <w:szCs w:val="20"/>
          <w:color w:val="auto"/>
        </w:rPr>
      </w:pPr>
    </w:p>
    <w:p>
      <w:pPr>
        <w:ind w:right="40" w:firstLine="749"/>
        <w:spacing w:after="0" w:line="261" w:lineRule="auto"/>
        <w:rPr>
          <w:sz w:val="20"/>
          <w:szCs w:val="20"/>
          <w:color w:val="auto"/>
        </w:rPr>
      </w:pPr>
      <w:r>
        <w:rPr>
          <w:rFonts w:ascii="Times New Roman" w:cs="Times New Roman" w:eastAsia="Times New Roman" w:hAnsi="Times New Roman"/>
          <w:sz w:val="18"/>
          <w:szCs w:val="18"/>
          <w:color w:val="auto"/>
        </w:rPr>
        <w:t>The ESPP allows eligible employees to purchase shares of the Company’s common stock. The purchase price is equal to 85% of the lower of the closing price of the Company’s common stock on (1) the first day of the offering period or (2) the last day of the offering period. The ESPP has consecutive offering periods that begin on or about June 1st of each year with a duration of 12 months. The Company commenced the second offering period pursuant to the ESPP on June 1, 2024, and such offering ended on May 31, 2025.</w:t>
      </w:r>
    </w:p>
    <w:p>
      <w:pPr>
        <w:spacing w:after="0" w:line="180" w:lineRule="exact"/>
        <w:rPr>
          <w:sz w:val="20"/>
          <w:szCs w:val="20"/>
          <w:color w:val="auto"/>
        </w:rPr>
      </w:pPr>
    </w:p>
    <w:p>
      <w:pPr>
        <w:ind w:right="100" w:firstLine="749"/>
        <w:spacing w:after="0" w:line="282" w:lineRule="auto"/>
        <w:rPr>
          <w:sz w:val="20"/>
          <w:szCs w:val="20"/>
          <w:color w:val="auto"/>
        </w:rPr>
      </w:pPr>
      <w:r>
        <w:rPr>
          <w:rFonts w:ascii="Times New Roman" w:cs="Times New Roman" w:eastAsia="Times New Roman" w:hAnsi="Times New Roman"/>
          <w:sz w:val="18"/>
          <w:szCs w:val="18"/>
          <w:color w:val="auto"/>
        </w:rPr>
        <w:t>During the six months ended June 30, 2025, 59,607 common shares have been purchased and issued pursuant to the ESPP, and $0.5 million and $0.8 million of expense was recorded for the three and six months ended June 30,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Compensation Expense</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Stock-based compensation expense recognized was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1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400" w:type="dxa"/>
            <w:vAlign w:val="bottom"/>
            <w:tcBorders>
              <w:bottom w:val="single" w:sz="8" w:color="auto"/>
            </w:tcBorders>
            <w:gridSpan w:val="4"/>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400" w:type="dxa"/>
            <w:vAlign w:val="bottom"/>
            <w:tcBorders>
              <w:bottom w:val="single" w:sz="8" w:color="auto"/>
            </w:tcBorders>
            <w:gridSpan w:val="4"/>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96"/>
        </w:trPr>
        <w:tc>
          <w:tcPr>
            <w:tcW w:w="41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0"/>
        </w:trPr>
        <w:tc>
          <w:tcPr>
            <w:tcW w:w="4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86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6,941</w:t>
            </w:r>
          </w:p>
        </w:tc>
        <w:tc>
          <w:tcPr>
            <w:tcW w:w="40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5,072</w:t>
            </w:r>
          </w:p>
        </w:tc>
        <w:tc>
          <w:tcPr>
            <w:tcW w:w="40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13,400</w:t>
            </w:r>
          </w:p>
        </w:tc>
        <w:tc>
          <w:tcPr>
            <w:tcW w:w="3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9,640</w:t>
            </w:r>
          </w:p>
        </w:tc>
      </w:tr>
      <w:tr>
        <w:trPr>
          <w:trHeight w:val="216"/>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6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8"/>
                <w:szCs w:val="18"/>
                <w:color w:val="auto"/>
              </w:rPr>
              <w:t>17,670</w:t>
            </w:r>
          </w:p>
        </w:tc>
        <w:tc>
          <w:tcPr>
            <w:tcW w:w="1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16,310</w:t>
            </w:r>
          </w:p>
        </w:tc>
        <w:tc>
          <w:tcPr>
            <w:tcW w:w="1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8"/>
                <w:szCs w:val="18"/>
                <w:color w:val="auto"/>
              </w:rPr>
              <w:t>34,519</w:t>
            </w:r>
          </w:p>
        </w:tc>
        <w:tc>
          <w:tcPr>
            <w:tcW w:w="1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8"/>
                <w:szCs w:val="18"/>
                <w:color w:val="auto"/>
              </w:rPr>
              <w:t>31,932</w:t>
            </w:r>
          </w:p>
        </w:tc>
      </w:tr>
      <w:tr>
        <w:trPr>
          <w:trHeight w:val="229"/>
        </w:trPr>
        <w:tc>
          <w:tcPr>
            <w:tcW w:w="4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164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24,611</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21,382</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47,919</w:t>
            </w:r>
          </w:p>
        </w:tc>
        <w:tc>
          <w:tcPr>
            <w:tcW w:w="3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41,572</w:t>
            </w:r>
          </w:p>
        </w:tc>
      </w:tr>
      <w:tr>
        <w:trPr>
          <w:trHeight w:val="20"/>
        </w:trPr>
        <w:tc>
          <w:tcPr>
            <w:tcW w:w="4180" w:type="dxa"/>
            <w:vAlign w:val="bottom"/>
            <w:tcBorders>
              <w:top w:val="single" w:sz="8" w:color="CFF0FC"/>
            </w:tcBorders>
            <w:shd w:val="clear" w:color="auto" w:fill="CFF0FC"/>
          </w:tcPr>
          <w:p>
            <w:pPr>
              <w:spacing w:after="0" w:line="20" w:lineRule="exact"/>
              <w:rPr>
                <w:sz w:val="1"/>
                <w:szCs w:val="1"/>
                <w:color w:val="auto"/>
              </w:rPr>
            </w:pPr>
          </w:p>
        </w:tc>
        <w:tc>
          <w:tcPr>
            <w:tcW w:w="164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4488180</wp:posOffset>
            </wp:positionH>
            <wp:positionV relativeFrom="paragraph">
              <wp:posOffset>-25400</wp:posOffset>
            </wp:positionV>
            <wp:extent cx="85725"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-7620</wp:posOffset>
            </wp:positionV>
            <wp:extent cx="8572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-25400</wp:posOffset>
            </wp:positionV>
            <wp:extent cx="85725"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-7620</wp:posOffset>
            </wp:positionV>
            <wp:extent cx="8572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-25400</wp:posOffset>
            </wp:positionV>
            <wp:extent cx="85725"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-7620</wp:posOffset>
            </wp:positionV>
            <wp:extent cx="8572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78" w:lineRule="exact"/>
        <w:rPr>
          <w:sz w:val="20"/>
          <w:szCs w:val="20"/>
          <w:color w:val="auto"/>
        </w:rPr>
      </w:pPr>
    </w:p>
    <w:p>
      <w:pPr>
        <w:ind w:right="20" w:firstLine="749"/>
        <w:spacing w:after="0" w:line="261" w:lineRule="auto"/>
        <w:rPr>
          <w:sz w:val="20"/>
          <w:szCs w:val="20"/>
          <w:color w:val="auto"/>
        </w:rPr>
      </w:pPr>
      <w:r>
        <w:rPr>
          <w:rFonts w:ascii="Times New Roman" w:cs="Times New Roman" w:eastAsia="Times New Roman" w:hAnsi="Times New Roman"/>
          <w:sz w:val="18"/>
          <w:szCs w:val="18"/>
          <w:color w:val="auto"/>
        </w:rPr>
        <w:t>Stock-based compensation expense capitalized into inventory totaled $0.3 million and $0.7 million for the three and six months ended June 30, 2025, respectively, and $0.3 million and $0.7 million for the three and six months ended June 30, 2024, respectively. Capitalized stock-based compensation is recognized as an expense in cost of product sales when the related product is sold or in selling, general and administrative expense when the related product is dispensed as a physician sample.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Warrants</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table summarizes warrant activity for the six months ended June 30, 2025:</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80" w:type="dxa"/>
            <w:vAlign w:val="bottom"/>
          </w:tcPr>
          <w:p>
            <w:pPr>
              <w:spacing w:after="0"/>
              <w:rPr>
                <w:sz w:val="13"/>
                <w:szCs w:val="13"/>
                <w:color w:val="auto"/>
              </w:rPr>
            </w:pPr>
          </w:p>
        </w:tc>
        <w:tc>
          <w:tcPr>
            <w:tcW w:w="1100" w:type="dxa"/>
            <w:vAlign w:val="bottom"/>
            <w:vMerge w:val="restart"/>
          </w:tcPr>
          <w:p>
            <w:pPr>
              <w:ind w:left="500"/>
              <w:spacing w:after="0"/>
              <w:rPr>
                <w:sz w:val="20"/>
                <w:szCs w:val="20"/>
                <w:color w:val="auto"/>
              </w:rPr>
            </w:pPr>
            <w:r>
              <w:rPr>
                <w:rFonts w:ascii="Times New Roman" w:cs="Times New Roman" w:eastAsia="Times New Roman" w:hAnsi="Times New Roman"/>
                <w:sz w:val="14"/>
                <w:szCs w:val="14"/>
                <w:b w:val="1"/>
                <w:bCs w:val="1"/>
                <w:color w:val="auto"/>
                <w:w w:val="99"/>
              </w:rPr>
              <w:t>Warrants</w:t>
            </w:r>
          </w:p>
        </w:tc>
        <w:tc>
          <w:tcPr>
            <w:tcW w:w="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73"/>
        </w:trPr>
        <w:tc>
          <w:tcPr>
            <w:tcW w:w="7680" w:type="dxa"/>
            <w:vAlign w:val="bottom"/>
          </w:tcPr>
          <w:p>
            <w:pPr>
              <w:spacing w:after="0"/>
              <w:rPr>
                <w:sz w:val="15"/>
                <w:szCs w:val="15"/>
                <w:color w:val="auto"/>
              </w:rPr>
            </w:pPr>
          </w:p>
        </w:tc>
        <w:tc>
          <w:tcPr>
            <w:tcW w:w="1100" w:type="dxa"/>
            <w:vAlign w:val="bottom"/>
            <w:tcBorders>
              <w:bottom w:val="single" w:sz="8" w:color="auto"/>
            </w:tcBorders>
            <w:vMerge w:val="continue"/>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87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at December 31, 2024</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79,220</w:t>
            </w:r>
          </w:p>
        </w:tc>
        <w:tc>
          <w:tcPr>
            <w:tcW w:w="4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56.80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Issued</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68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Exercised</w:t>
            </w:r>
          </w:p>
        </w:tc>
        <w:tc>
          <w:tcPr>
            <w:tcW w:w="1100" w:type="dxa"/>
            <w:vAlign w:val="bottom"/>
            <w:tcBorders>
              <w:bottom w:val="single" w:sz="8" w:color="auto"/>
            </w:tcBorders>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Outstanding at June 30, 2025</w:t>
            </w:r>
          </w:p>
        </w:tc>
        <w:tc>
          <w:tcPr>
            <w:tcW w:w="1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79,220</w:t>
            </w:r>
          </w:p>
        </w:tc>
        <w:tc>
          <w:tcPr>
            <w:tcW w:w="4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8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-153670</wp:posOffset>
            </wp:positionV>
            <wp:extent cx="6858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-153670</wp:posOffset>
            </wp:positionV>
            <wp:extent cx="6858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Outstanding Warrants</w:t>
      </w:r>
    </w:p>
    <w:p>
      <w:pPr>
        <w:spacing w:after="0" w:line="227" w:lineRule="exact"/>
        <w:rPr>
          <w:sz w:val="20"/>
          <w:szCs w:val="20"/>
          <w:color w:val="auto"/>
        </w:rPr>
      </w:pPr>
    </w:p>
    <w:p>
      <w:pPr>
        <w:ind w:right="20" w:firstLine="749"/>
        <w:spacing w:after="0" w:line="256" w:lineRule="auto"/>
        <w:rPr>
          <w:sz w:val="20"/>
          <w:szCs w:val="20"/>
          <w:color w:val="auto"/>
        </w:rPr>
      </w:pPr>
      <w:r>
        <w:rPr>
          <w:rFonts w:ascii="Times New Roman" w:cs="Times New Roman" w:eastAsia="Times New Roman" w:hAnsi="Times New Roman"/>
          <w:sz w:val="18"/>
          <w:szCs w:val="18"/>
          <w:color w:val="auto"/>
        </w:rPr>
        <w:t>In connection with the entry into the Third Amendment, Hercules received warrants to purchase an aggregate of 18,724 shares of the Company’s common stock at an exercise price of $55.01 per share, and in connection with the draw down of the Tranche 1C Advance, Hercules received warrants to purchase 9,700 shares of the Company’s common stock at an exercise price of $77.31 per share (collectively, the “2023 warrants”). In connection with the entry into the Second Amendment, Hercules received warrants to purchase an aggregate of 35,255 shares of the Company’s common stock at an exercise price of $31.91 per share (the “2022 warrants”), and in connection with the first advance of the 2020 Term Loan, Hercules received warrants to purchase an aggregate of 15,541 shares of the Company’s common stock at an exercise price of $80.43 per share (the “2020 warrants”).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firstLine="749"/>
        <w:spacing w:after="0" w:line="255" w:lineRule="auto"/>
        <w:rPr>
          <w:sz w:val="20"/>
          <w:szCs w:val="20"/>
          <w:color w:val="auto"/>
        </w:rPr>
      </w:pPr>
      <w:r>
        <w:rPr>
          <w:rFonts w:ascii="Times New Roman" w:cs="Times New Roman" w:eastAsia="Times New Roman" w:hAnsi="Times New Roman"/>
          <w:sz w:val="18"/>
          <w:szCs w:val="18"/>
          <w:color w:val="auto"/>
        </w:rPr>
        <w:t>The 2023 warrants, 2022 warrants and 2020 warrants were priced using the volume weighted average price of the Company’s common stock over the ten-day trading period immediately preceding the initial closing, subject to certain limited adjustments as specified in the warrant. The warrants are exercisable for seven years from the date of issuance. The warrants were classified as a component of stockholders’ equity. The relative fair value of the warrants of approximately $1.6 million for the 2023 warrants, $0.8 million for the 2022 warrants and $0.9 million for the 2020 warrants at the time of issuance, which was determined using the Black-Scholes option-pricing model, was recorded as additional paid-in capital and reduced the carrying value of the debt. Upon full repayment of the Company’s obligations under the Hercules Loan Agreement, no additional warrants are issuable under the Hercules Loan Agreement.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Net Loss per Common Share</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diluted net loss per common share:</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8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420" w:type="dxa"/>
            <w:vAlign w:val="bottom"/>
            <w:tcBorders>
              <w:bottom w:val="single" w:sz="8" w:color="auto"/>
            </w:tcBorders>
            <w:gridSpan w:val="4"/>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460" w:type="dxa"/>
            <w:vAlign w:val="bottom"/>
            <w:tcBorders>
              <w:bottom w:val="single" w:sz="8" w:color="auto"/>
            </w:tcBorders>
            <w:gridSpan w:val="4"/>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42"/>
        </w:trPr>
        <w:tc>
          <w:tcPr>
            <w:tcW w:w="58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37"/>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5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57"/>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7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r>
      <w:tr>
        <w:trPr>
          <w:trHeight w:val="210"/>
        </w:trPr>
        <w:tc>
          <w:tcPr>
            <w:tcW w:w="5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Basic and diluted net loss per common share:</w:t>
            </w:r>
          </w:p>
        </w:tc>
        <w:tc>
          <w:tcPr>
            <w:tcW w:w="2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r>
      <w:tr>
        <w:trPr>
          <w:trHeight w:val="216"/>
        </w:trPr>
        <w:tc>
          <w:tcPr>
            <w:tcW w:w="5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loss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(47,973)</w:t>
            </w:r>
          </w:p>
        </w:tc>
        <w:tc>
          <w:tcPr>
            <w:tcW w:w="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(79,345)</w:t>
            </w:r>
          </w:p>
        </w:tc>
        <w:tc>
          <w:tcPr>
            <w:tcW w:w="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(107,386)</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(147,702)</w:t>
            </w:r>
          </w:p>
        </w:tc>
      </w:tr>
      <w:tr>
        <w:trPr>
          <w:trHeight w:val="216"/>
        </w:trPr>
        <w:tc>
          <w:tcPr>
            <w:tcW w:w="582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Weighted average common shares outstanding—basic and diluted</w:t>
            </w:r>
          </w:p>
        </w:tc>
        <w:tc>
          <w:tcPr>
            <w:tcW w:w="2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49,442,001</w:t>
            </w:r>
          </w:p>
        </w:tc>
        <w:tc>
          <w:tcPr>
            <w:tcW w:w="1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47,573,229</w:t>
            </w:r>
          </w:p>
        </w:tc>
        <w:tc>
          <w:tcPr>
            <w:tcW w:w="1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49,158,159</w:t>
            </w:r>
          </w:p>
        </w:tc>
        <w:tc>
          <w:tcPr>
            <w:tcW w:w="1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47,482,602</w:t>
            </w:r>
          </w:p>
        </w:tc>
      </w:tr>
      <w:tr>
        <w:trPr>
          <w:trHeight w:val="209"/>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Net loss per common share—basic and diluted</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(0.97)</w:t>
            </w:r>
          </w:p>
        </w:tc>
        <w:tc>
          <w:tcPr>
            <w:tcW w:w="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w:t>
            </w:r>
          </w:p>
        </w:tc>
      </w:tr>
      <w:tr>
        <w:trPr>
          <w:trHeight w:val="20"/>
        </w:trPr>
        <w:tc>
          <w:tcPr>
            <w:tcW w:w="58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4488180</wp:posOffset>
            </wp:positionH>
            <wp:positionV relativeFrom="paragraph">
              <wp:posOffset>-170815</wp:posOffset>
            </wp:positionV>
            <wp:extent cx="8572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-170815</wp:posOffset>
            </wp:positionV>
            <wp:extent cx="8572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-170815</wp:posOffset>
            </wp:positionV>
            <wp:extent cx="8572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78" w:lineRule="exact"/>
        <w:rPr>
          <w:sz w:val="20"/>
          <w:szCs w:val="20"/>
          <w:color w:val="auto"/>
        </w:rPr>
      </w:pPr>
    </w:p>
    <w:p>
      <w:pPr>
        <w:ind w:right="240" w:firstLine="749"/>
        <w:spacing w:after="0" w:line="282" w:lineRule="auto"/>
        <w:rPr>
          <w:sz w:val="20"/>
          <w:szCs w:val="20"/>
          <w:color w:val="auto"/>
        </w:rPr>
      </w:pPr>
      <w:r>
        <w:rPr>
          <w:rFonts w:ascii="Times New Roman" w:cs="Times New Roman" w:eastAsia="Times New Roman" w:hAnsi="Times New Roman"/>
          <w:sz w:val="18"/>
          <w:szCs w:val="18"/>
          <w:color w:val="auto"/>
        </w:rPr>
        <w:t>The following potentially dilutive securities have been excluded from the computation of diluted weighted average shares outstanding, as they would be anti-dilutive:</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680" w:type="dxa"/>
            <w:vAlign w:val="bottom"/>
          </w:tcPr>
          <w:p>
            <w:pPr>
              <w:spacing w:after="0"/>
              <w:rPr>
                <w:sz w:val="15"/>
                <w:szCs w:val="15"/>
                <w:color w:val="auto"/>
              </w:rPr>
            </w:pPr>
          </w:p>
        </w:tc>
        <w:tc>
          <w:tcPr>
            <w:tcW w:w="2240" w:type="dxa"/>
            <w:vAlign w:val="bottom"/>
            <w:tcBorders>
              <w:bottom w:val="single" w:sz="8" w:color="auto"/>
            </w:tcBorders>
            <w:gridSpan w:val="3"/>
          </w:tcPr>
          <w:p>
            <w:pPr>
              <w:ind w:left="146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320" w:type="dxa"/>
            <w:vAlign w:val="bottom"/>
            <w:tcBorders>
              <w:bottom w:val="single" w:sz="8" w:color="auto"/>
            </w:tcBorders>
          </w:tcPr>
          <w:p>
            <w:pPr>
              <w:spacing w:after="0"/>
              <w:rPr>
                <w:sz w:val="15"/>
                <w:szCs w:val="15"/>
                <w:color w:val="auto"/>
              </w:rPr>
            </w:pPr>
          </w:p>
        </w:tc>
      </w:tr>
      <w:tr>
        <w:trPr>
          <w:trHeight w:val="142"/>
        </w:trPr>
        <w:tc>
          <w:tcPr>
            <w:tcW w:w="7680" w:type="dxa"/>
            <w:vAlign w:val="bottom"/>
          </w:tcPr>
          <w:p>
            <w:pPr>
              <w:spacing w:after="0"/>
              <w:rPr>
                <w:sz w:val="12"/>
                <w:szCs w:val="12"/>
                <w:color w:val="auto"/>
              </w:rPr>
            </w:pPr>
          </w:p>
        </w:tc>
        <w:tc>
          <w:tcPr>
            <w:tcW w:w="1720" w:type="dxa"/>
            <w:vAlign w:val="bottom"/>
            <w:tcBorders>
              <w:bottom w:val="single" w:sz="8" w:color="auto"/>
            </w:tcBorders>
          </w:tcPr>
          <w:p>
            <w:pPr>
              <w:jc w:val="right"/>
              <w:ind w:right="69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jc w:val="right"/>
              <w:ind w:right="69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r>
      <w:tr>
        <w:trPr>
          <w:trHeight w:val="210"/>
        </w:trPr>
        <w:tc>
          <w:tcPr>
            <w:tcW w:w="7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 options</w:t>
            </w:r>
          </w:p>
        </w:tc>
        <w:tc>
          <w:tcPr>
            <w:tcW w:w="172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8,090,273</w:t>
            </w:r>
          </w:p>
        </w:tc>
        <w:tc>
          <w:tcPr>
            <w:tcW w:w="1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3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8,938,807</w:t>
            </w:r>
          </w:p>
        </w:tc>
      </w:tr>
      <w:tr>
        <w:trPr>
          <w:trHeight w:val="216"/>
        </w:trPr>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Restricted stock units</w:t>
            </w:r>
          </w:p>
        </w:tc>
        <w:tc>
          <w:tcPr>
            <w:tcW w:w="17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1,526,153</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893,055</w:t>
            </w:r>
          </w:p>
        </w:tc>
      </w:tr>
      <w:tr>
        <w:trPr>
          <w:trHeight w:val="216"/>
        </w:trPr>
        <w:tc>
          <w:tcPr>
            <w:tcW w:w="7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Performance stock units</w:t>
            </w:r>
          </w:p>
        </w:tc>
        <w:tc>
          <w:tcPr>
            <w:tcW w:w="172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64,281</w:t>
            </w:r>
          </w:p>
        </w:tc>
        <w:tc>
          <w:tcPr>
            <w:tcW w:w="1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3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Warrants</w:t>
            </w:r>
          </w:p>
        </w:tc>
        <w:tc>
          <w:tcPr>
            <w:tcW w:w="17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79,220</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79,220</w:t>
            </w:r>
          </w:p>
        </w:tc>
      </w:tr>
      <w:tr>
        <w:trPr>
          <w:trHeight w:val="216"/>
        </w:trPr>
        <w:tc>
          <w:tcPr>
            <w:tcW w:w="76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ESPP</w:t>
            </w:r>
          </w:p>
        </w:tc>
        <w:tc>
          <w:tcPr>
            <w:tcW w:w="172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92,598</w:t>
            </w:r>
          </w:p>
        </w:tc>
        <w:tc>
          <w:tcPr>
            <w:tcW w:w="12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72,902</w:t>
            </w:r>
          </w:p>
        </w:tc>
      </w:tr>
      <w:tr>
        <w:trPr>
          <w:trHeight w:val="209"/>
        </w:trPr>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72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9,852,525</w:t>
            </w:r>
          </w:p>
        </w:tc>
        <w:tc>
          <w:tcPr>
            <w:tcW w:w="12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9,983,984</w:t>
            </w:r>
          </w:p>
        </w:tc>
      </w:tr>
      <w:tr>
        <w:trPr>
          <w:trHeight w:val="20"/>
        </w:trPr>
        <w:tc>
          <w:tcPr>
            <w:tcW w:w="768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-170815</wp:posOffset>
            </wp:positionV>
            <wp:extent cx="7683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6835" cy="8255"/>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Revenues</w:t>
      </w:r>
    </w:p>
    <w:p>
      <w:pPr>
        <w:spacing w:after="0" w:line="229" w:lineRule="exact"/>
        <w:rPr>
          <w:sz w:val="20"/>
          <w:szCs w:val="20"/>
          <w:color w:val="auto"/>
        </w:rPr>
      </w:pPr>
    </w:p>
    <w:p>
      <w:pPr>
        <w:jc w:val="both"/>
        <w:ind w:right="20" w:firstLine="749"/>
        <w:spacing w:after="0" w:line="266" w:lineRule="auto"/>
        <w:rPr>
          <w:sz w:val="20"/>
          <w:szCs w:val="20"/>
          <w:color w:val="auto"/>
        </w:rPr>
      </w:pPr>
      <w:r>
        <w:rPr>
          <w:rFonts w:ascii="Times New Roman" w:cs="Times New Roman" w:eastAsia="Times New Roman" w:hAnsi="Times New Roman"/>
          <w:sz w:val="18"/>
          <w:szCs w:val="18"/>
          <w:color w:val="auto"/>
        </w:rPr>
        <w:t>The Company sells Auvelity, Sunosi, and Symbravo in the United States through the Distributors. The Company also sells Sunosi to Distributors in Canada and on a product supply basis to Pharmanovia. Sunosi is subsequently sold by Pharmanovia in certain ex-U.S. markets. For the six months ended June 30, 2025, the Company’s three largest customers represented approximately 32%, 29%, and 27% of the Company’s gross product sales.</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Royalty revenue is related to sales of Sunosi by Pharmanovia in certain ex-U.S. markets.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table presents a summary of total revenues by product:</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76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300" w:type="dxa"/>
            <w:vAlign w:val="bottom"/>
            <w:gridSpan w:val="4"/>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0" w:type="dxa"/>
            <w:vAlign w:val="bottom"/>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96"/>
        </w:trPr>
        <w:tc>
          <w:tcPr>
            <w:tcW w:w="376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Borders>
              <w:top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Borders>
              <w:top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7"/>
                <w:szCs w:val="17"/>
                <w:color w:val="auto"/>
              </w:rPr>
            </w:pPr>
          </w:p>
        </w:tc>
      </w:tr>
      <w:tr>
        <w:trPr>
          <w:trHeight w:val="209"/>
        </w:trPr>
        <w:tc>
          <w:tcPr>
            <w:tcW w:w="3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Product sales, net</w:t>
            </w:r>
          </w:p>
        </w:tc>
        <w:tc>
          <w:tcPr>
            <w:tcW w:w="20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3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Auvelity</w:t>
            </w:r>
          </w:p>
        </w:tc>
        <w:tc>
          <w:tcPr>
            <w:tcW w:w="22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119,642</w:t>
            </w:r>
          </w:p>
        </w:tc>
        <w:tc>
          <w:tcPr>
            <w:tcW w:w="5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65,025</w:t>
            </w:r>
          </w:p>
        </w:tc>
        <w:tc>
          <w:tcPr>
            <w:tcW w:w="5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215,873</w:t>
            </w: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118,420</w:t>
            </w:r>
          </w:p>
        </w:tc>
        <w:tc>
          <w:tcPr>
            <w:tcW w:w="120" w:type="dxa"/>
            <w:vAlign w:val="bottom"/>
          </w:tcPr>
          <w:p>
            <w:pPr>
              <w:spacing w:after="0"/>
              <w:rPr>
                <w:sz w:val="18"/>
                <w:szCs w:val="18"/>
                <w:color w:val="auto"/>
              </w:rPr>
            </w:pPr>
          </w:p>
        </w:tc>
      </w:tr>
      <w:tr>
        <w:trPr>
          <w:trHeight w:val="216"/>
        </w:trPr>
        <w:tc>
          <w:tcPr>
            <w:tcW w:w="37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Sunosi</w:t>
            </w:r>
          </w:p>
        </w:tc>
        <w:tc>
          <w:tcPr>
            <w:tcW w:w="20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28,907</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21,495</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53,034</w:t>
            </w: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42,196</w:t>
            </w:r>
          </w:p>
        </w:tc>
        <w:tc>
          <w:tcPr>
            <w:tcW w:w="120" w:type="dxa"/>
            <w:vAlign w:val="bottom"/>
            <w:shd w:val="clear" w:color="auto" w:fill="CFF0FC"/>
          </w:tcPr>
          <w:p>
            <w:pPr>
              <w:spacing w:after="0"/>
              <w:rPr>
                <w:sz w:val="18"/>
                <w:szCs w:val="18"/>
                <w:color w:val="auto"/>
              </w:rPr>
            </w:pPr>
          </w:p>
        </w:tc>
      </w:tr>
      <w:tr>
        <w:trPr>
          <w:trHeight w:val="216"/>
        </w:trPr>
        <w:tc>
          <w:tcPr>
            <w:tcW w:w="3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Symbravo</w:t>
            </w:r>
          </w:p>
        </w:tc>
        <w:tc>
          <w:tcPr>
            <w:tcW w:w="2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3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product sales, net</w:t>
            </w:r>
          </w:p>
        </w:tc>
        <w:tc>
          <w:tcPr>
            <w:tcW w:w="206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148,959</w:t>
            </w:r>
          </w:p>
        </w:tc>
        <w:tc>
          <w:tcPr>
            <w:tcW w:w="24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86,520</w:t>
            </w:r>
          </w:p>
        </w:tc>
        <w:tc>
          <w:tcPr>
            <w:tcW w:w="24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269,317</w:t>
            </w:r>
          </w:p>
        </w:tc>
        <w:tc>
          <w:tcPr>
            <w:tcW w:w="260" w:type="dxa"/>
            <w:vAlign w:val="bottom"/>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160,616</w:t>
            </w:r>
          </w:p>
        </w:tc>
        <w:tc>
          <w:tcPr>
            <w:tcW w:w="120" w:type="dxa"/>
            <w:vAlign w:val="bottom"/>
            <w:shd w:val="clear" w:color="auto" w:fill="CFF0FC"/>
          </w:tcPr>
          <w:p>
            <w:pPr>
              <w:spacing w:after="0"/>
              <w:rPr>
                <w:sz w:val="18"/>
                <w:szCs w:val="18"/>
                <w:color w:val="auto"/>
              </w:rPr>
            </w:pPr>
          </w:p>
        </w:tc>
      </w:tr>
      <w:tr>
        <w:trPr>
          <w:trHeight w:val="216"/>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Sunosi royalty revenue</w:t>
            </w:r>
          </w:p>
        </w:tc>
        <w:tc>
          <w:tcPr>
            <w:tcW w:w="20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1,083</w:t>
            </w:r>
          </w:p>
        </w:tc>
        <w:tc>
          <w:tcPr>
            <w:tcW w:w="2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646</w:t>
            </w:r>
          </w:p>
        </w:tc>
        <w:tc>
          <w:tcPr>
            <w:tcW w:w="2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2,188</w:t>
            </w:r>
          </w:p>
        </w:tc>
        <w:tc>
          <w:tcPr>
            <w:tcW w:w="2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1,549</w:t>
            </w:r>
          </w:p>
        </w:tc>
        <w:tc>
          <w:tcPr>
            <w:tcW w:w="120" w:type="dxa"/>
            <w:vAlign w:val="bottom"/>
          </w:tcPr>
          <w:p>
            <w:pPr>
              <w:spacing w:after="0"/>
              <w:rPr>
                <w:sz w:val="18"/>
                <w:szCs w:val="18"/>
                <w:color w:val="auto"/>
              </w:rPr>
            </w:pPr>
          </w:p>
        </w:tc>
      </w:tr>
      <w:tr>
        <w:trPr>
          <w:trHeight w:val="230"/>
        </w:trPr>
        <w:tc>
          <w:tcPr>
            <w:tcW w:w="3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206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150,042</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87,166</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271,505</w:t>
            </w:r>
          </w:p>
        </w:tc>
        <w:tc>
          <w:tcPr>
            <w:tcW w:w="5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162,165</w:t>
            </w:r>
          </w:p>
        </w:tc>
        <w:tc>
          <w:tcPr>
            <w:tcW w:w="120" w:type="dxa"/>
            <w:vAlign w:val="bottom"/>
            <w:shd w:val="clear" w:color="auto" w:fill="CFF0FC"/>
          </w:tcPr>
          <w:p>
            <w:pPr>
              <w:spacing w:after="0"/>
              <w:rPr>
                <w:sz w:val="19"/>
                <w:szCs w:val="19"/>
                <w:color w:val="auto"/>
              </w:rPr>
            </w:pPr>
          </w:p>
        </w:tc>
      </w:tr>
      <w:tr>
        <w:trPr>
          <w:trHeight w:val="20"/>
        </w:trPr>
        <w:tc>
          <w:tcPr>
            <w:tcW w:w="3760" w:type="dxa"/>
            <w:vAlign w:val="bottom"/>
            <w:tcBorders>
              <w:top w:val="single" w:sz="8" w:color="CFF0FC"/>
            </w:tcBorders>
            <w:shd w:val="clear" w:color="auto" w:fill="CFF0FC"/>
          </w:tcPr>
          <w:p>
            <w:pPr>
              <w:spacing w:after="0" w:line="20" w:lineRule="exact"/>
              <w:rPr>
                <w:sz w:val="1"/>
                <w:szCs w:val="1"/>
                <w:color w:val="auto"/>
              </w:rPr>
            </w:pPr>
          </w:p>
        </w:tc>
        <w:tc>
          <w:tcPr>
            <w:tcW w:w="206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-24765</wp:posOffset>
            </wp:positionV>
            <wp:extent cx="685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-7620</wp:posOffset>
            </wp:positionV>
            <wp:extent cx="6858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-24765</wp:posOffset>
            </wp:positionV>
            <wp:extent cx="6858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-7620</wp:posOffset>
            </wp:positionV>
            <wp:extent cx="6858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-24765</wp:posOffset>
            </wp:positionV>
            <wp:extent cx="6858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-7620</wp:posOffset>
            </wp:positionV>
            <wp:extent cx="6858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table presents a summary of total revenues by geographic location:</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98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300" w:type="dxa"/>
            <w:vAlign w:val="bottom"/>
            <w:gridSpan w:val="4"/>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0" w:type="dxa"/>
            <w:vAlign w:val="bottom"/>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96"/>
        </w:trPr>
        <w:tc>
          <w:tcPr>
            <w:tcW w:w="398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Borders>
              <w:top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Borders>
              <w:top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7"/>
                <w:szCs w:val="17"/>
                <w:color w:val="auto"/>
              </w:rPr>
            </w:pPr>
          </w:p>
        </w:tc>
      </w:tr>
      <w:tr>
        <w:trPr>
          <w:trHeight w:val="210"/>
        </w:trPr>
        <w:tc>
          <w:tcPr>
            <w:tcW w:w="3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Product sales, net</w:t>
            </w:r>
          </w:p>
        </w:tc>
        <w:tc>
          <w:tcPr>
            <w:tcW w:w="1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3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United States</w:t>
            </w:r>
          </w:p>
        </w:tc>
        <w:tc>
          <w:tcPr>
            <w:tcW w:w="20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146,446</w:t>
            </w:r>
          </w:p>
        </w:tc>
        <w:tc>
          <w:tcPr>
            <w:tcW w:w="5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85,444</w:t>
            </w:r>
          </w:p>
        </w:tc>
        <w:tc>
          <w:tcPr>
            <w:tcW w:w="5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265,859</w:t>
            </w: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158,715</w:t>
            </w:r>
          </w:p>
        </w:tc>
        <w:tc>
          <w:tcPr>
            <w:tcW w:w="120" w:type="dxa"/>
            <w:vAlign w:val="bottom"/>
          </w:tcPr>
          <w:p>
            <w:pPr>
              <w:spacing w:after="0"/>
              <w:rPr>
                <w:sz w:val="18"/>
                <w:szCs w:val="18"/>
                <w:color w:val="auto"/>
              </w:rPr>
            </w:pPr>
          </w:p>
        </w:tc>
      </w:tr>
      <w:tr>
        <w:trPr>
          <w:trHeight w:val="216"/>
        </w:trPr>
        <w:tc>
          <w:tcPr>
            <w:tcW w:w="398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Outside of the United States</w:t>
            </w:r>
          </w:p>
        </w:tc>
        <w:tc>
          <w:tcPr>
            <w:tcW w:w="18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2,513</w:t>
            </w:r>
          </w:p>
        </w:tc>
        <w:tc>
          <w:tcPr>
            <w:tcW w:w="2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1,076</w:t>
            </w:r>
          </w:p>
        </w:tc>
        <w:tc>
          <w:tcPr>
            <w:tcW w:w="2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3,458</w:t>
            </w:r>
          </w:p>
        </w:tc>
        <w:tc>
          <w:tcPr>
            <w:tcW w:w="26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1,901</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9"/>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Total product sales, net</w:t>
            </w:r>
          </w:p>
        </w:tc>
        <w:tc>
          <w:tcPr>
            <w:tcW w:w="1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148,959</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86,520</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269,317</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160,616</w:t>
            </w:r>
          </w:p>
        </w:tc>
        <w:tc>
          <w:tcPr>
            <w:tcW w:w="120" w:type="dxa"/>
            <w:vAlign w:val="bottom"/>
          </w:tcPr>
          <w:p>
            <w:pPr>
              <w:spacing w:after="0"/>
              <w:rPr>
                <w:sz w:val="18"/>
                <w:szCs w:val="18"/>
                <w:color w:val="auto"/>
              </w:rPr>
            </w:pPr>
          </w:p>
        </w:tc>
      </w:tr>
      <w:tr>
        <w:trPr>
          <w:trHeight w:val="216"/>
        </w:trPr>
        <w:tc>
          <w:tcPr>
            <w:tcW w:w="3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Royalty revenue</w:t>
            </w:r>
          </w:p>
        </w:tc>
        <w:tc>
          <w:tcPr>
            <w:tcW w:w="1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3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Outside of the United States</w:t>
            </w:r>
          </w:p>
        </w:tc>
        <w:tc>
          <w:tcPr>
            <w:tcW w:w="18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1,083</w:t>
            </w:r>
          </w:p>
        </w:tc>
        <w:tc>
          <w:tcPr>
            <w:tcW w:w="2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646</w:t>
            </w:r>
          </w:p>
        </w:tc>
        <w:tc>
          <w:tcPr>
            <w:tcW w:w="2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2,188</w:t>
            </w:r>
          </w:p>
        </w:tc>
        <w:tc>
          <w:tcPr>
            <w:tcW w:w="2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1,549</w:t>
            </w:r>
          </w:p>
        </w:tc>
        <w:tc>
          <w:tcPr>
            <w:tcW w:w="120" w:type="dxa"/>
            <w:vAlign w:val="bottom"/>
          </w:tcPr>
          <w:p>
            <w:pPr>
              <w:spacing w:after="0"/>
              <w:rPr>
                <w:sz w:val="18"/>
                <w:szCs w:val="18"/>
                <w:color w:val="auto"/>
              </w:rPr>
            </w:pPr>
          </w:p>
        </w:tc>
      </w:tr>
      <w:tr>
        <w:trPr>
          <w:trHeight w:val="230"/>
        </w:trPr>
        <w:tc>
          <w:tcPr>
            <w:tcW w:w="3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184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150,042</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87,166</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271,505</w:t>
            </w:r>
          </w:p>
        </w:tc>
        <w:tc>
          <w:tcPr>
            <w:tcW w:w="5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162,165</w:t>
            </w:r>
          </w:p>
        </w:tc>
        <w:tc>
          <w:tcPr>
            <w:tcW w:w="120" w:type="dxa"/>
            <w:vAlign w:val="bottom"/>
            <w:shd w:val="clear" w:color="auto" w:fill="CFF0FC"/>
          </w:tcPr>
          <w:p>
            <w:pPr>
              <w:spacing w:after="0"/>
              <w:rPr>
                <w:sz w:val="19"/>
                <w:szCs w:val="19"/>
                <w:color w:val="auto"/>
              </w:rPr>
            </w:pPr>
          </w:p>
        </w:tc>
      </w:tr>
      <w:tr>
        <w:trPr>
          <w:trHeight w:val="20"/>
        </w:trPr>
        <w:tc>
          <w:tcPr>
            <w:tcW w:w="3980" w:type="dxa"/>
            <w:vAlign w:val="bottom"/>
            <w:tcBorders>
              <w:top w:val="single" w:sz="8" w:color="CFF0FC"/>
            </w:tcBorders>
            <w:shd w:val="clear" w:color="auto" w:fill="CFF0FC"/>
          </w:tcPr>
          <w:p>
            <w:pPr>
              <w:spacing w:after="0" w:line="20" w:lineRule="exact"/>
              <w:rPr>
                <w:sz w:val="1"/>
                <w:szCs w:val="1"/>
                <w:color w:val="auto"/>
              </w:rPr>
            </w:pPr>
          </w:p>
        </w:tc>
        <w:tc>
          <w:tcPr>
            <w:tcW w:w="184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-590550</wp:posOffset>
            </wp:positionV>
            <wp:extent cx="6858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-590550</wp:posOffset>
            </wp:positionV>
            <wp:extent cx="6858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-590550</wp:posOffset>
            </wp:positionV>
            <wp:extent cx="6858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-590550</wp:posOffset>
            </wp:positionV>
            <wp:extent cx="7747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-24765</wp:posOffset>
            </wp:positionV>
            <wp:extent cx="6858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-7620</wp:posOffset>
            </wp:positionV>
            <wp:extent cx="6858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-24765</wp:posOffset>
            </wp:positionV>
            <wp:extent cx="6858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-7620</wp:posOffset>
            </wp:positionV>
            <wp:extent cx="6858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-24765</wp:posOffset>
            </wp:positionV>
            <wp:extent cx="6858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-7620</wp:posOffset>
            </wp:positionV>
            <wp:extent cx="6858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8" w:lineRule="exact"/>
        <w:rPr>
          <w:sz w:val="20"/>
          <w:szCs w:val="20"/>
          <w:color w:val="auto"/>
        </w:rPr>
      </w:pPr>
    </w:p>
    <w:p>
      <w:pPr>
        <w:ind w:right="340" w:firstLine="749"/>
        <w:spacing w:after="0" w:line="266" w:lineRule="auto"/>
        <w:rPr>
          <w:sz w:val="20"/>
          <w:szCs w:val="20"/>
          <w:color w:val="auto"/>
        </w:rPr>
      </w:pPr>
      <w:r>
        <w:rPr>
          <w:rFonts w:ascii="Times New Roman" w:cs="Times New Roman" w:eastAsia="Times New Roman" w:hAnsi="Times New Roman"/>
          <w:sz w:val="18"/>
          <w:szCs w:val="18"/>
          <w:color w:val="auto"/>
        </w:rPr>
        <w:t>For the six months ended June 30, 2025, product sales, net includes adjustments for provisions for product sales made in 2024 resulting from changes in estimates of $1.1 million for Auvelity and $0.9 million for Sunosi. For the six months ended June 30, 2024, product sales, net includes adjustments for provisions for product sales made in 2023 resulting from changes in estimates of $1.1 million for Auvelity and $0.6 million for Sunosi.</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License Agreements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License Agreement with Pharmanovia</w:t>
      </w:r>
    </w:p>
    <w:p>
      <w:pPr>
        <w:spacing w:after="0" w:line="227" w:lineRule="exact"/>
        <w:rPr>
          <w:sz w:val="20"/>
          <w:szCs w:val="20"/>
          <w:color w:val="auto"/>
        </w:rPr>
      </w:pPr>
    </w:p>
    <w:p>
      <w:pPr>
        <w:ind w:right="120" w:firstLine="749"/>
        <w:spacing w:after="0" w:line="256" w:lineRule="auto"/>
        <w:rPr>
          <w:sz w:val="20"/>
          <w:szCs w:val="20"/>
          <w:color w:val="auto"/>
        </w:rPr>
      </w:pPr>
      <w:r>
        <w:rPr>
          <w:rFonts w:ascii="Times New Roman" w:cs="Times New Roman" w:eastAsia="Times New Roman" w:hAnsi="Times New Roman"/>
          <w:sz w:val="18"/>
          <w:szCs w:val="18"/>
          <w:color w:val="auto"/>
        </w:rPr>
        <w:t>In February 2023, Axsome Malta, a Malta limited company and a wholly-owned subsidiary of the Company, entered into an exclusive license agreement with Pharmanovia (the “Pharmanovia License Agreement”) to commercialize and further develop Sunosi in Europe and certain countries in the Middle East and North Africa (the “Territory”). Under the terms of the Pharmanovia License Agreement, the Company retains its existing interest in Sunosi intellectual property and licenses those rights in the Territory to Pharmanovia. Pharmanovia is solely responsible for the clinical development and commercialization of Sunosi in the Territory. The Company will continue to manufacture Sunosi and provide product supply to Pharmanovia for an indefinite period of time, and the Company will recognize revenue as a component of product sales, net when product is supplied to Pharmanovia.</w:t>
      </w:r>
    </w:p>
    <w:p>
      <w:pPr>
        <w:spacing w:after="0" w:line="18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In consideration for entering the Pharmanovia License Agreement, the Company received a non-refundable upfront payment of €62.0 million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($65.7 million). The Company also will receive a royalty percentage in the mid-twenties on Sunosi net sales in the Territory and is eligible to receive sales-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based milestone payments totaling up to €94.5 million.</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80" w:firstLine="794"/>
        <w:spacing w:after="0" w:line="253" w:lineRule="auto"/>
        <w:rPr>
          <w:sz w:val="20"/>
          <w:szCs w:val="20"/>
          <w:color w:val="auto"/>
        </w:rPr>
      </w:pPr>
      <w:r>
        <w:rPr>
          <w:rFonts w:ascii="Times New Roman" w:cs="Times New Roman" w:eastAsia="Times New Roman" w:hAnsi="Times New Roman"/>
          <w:sz w:val="18"/>
          <w:szCs w:val="18"/>
          <w:color w:val="auto"/>
        </w:rPr>
        <w:t>The Company evaluated the Pharmanovia License Agreement under ASC 606 and concluded that Pharmanovia represents a customer in the transaction. The initial transaction price consisted of the non-refundable upfront payment, which was recognized as License Revenue in the first quarter of 2023 upon transfer of the license to Pharmanovia, as the requirement for revenue recognition under ASC 606 were met. The remaining forms of consideration are variable because they are dependent on the achievement of sales-based or other milestones. The Company evaluated the constraint on variable consideration and concluded that the milestone payments are dependent on regulatory approvals and actions of third parties, and thus are highly susceptible to factors outside the Company’s influence. Therefore, at contract inception, the milestones are not included in the transaction price as it is not probable that a significant reversal of revenue would not occur. Sales-based milestones will be recognized as revenue in the period when the related sales threshold is met. All other development or regulatory milestones will be recognized as revenue immediately in the period the underlying milestone is achieved. Any consideration related to sales-based royalties will be recognized when the related sales occur. The Company recognized royalty revenue of $1.1 million and $0.6 million for the three months ended June 30, 2025 and 2024, respectively, and $2.2 million and $1.5 million for the six months ended June 30, 2025 and 2024, respectively, related to Pharmanovia’s sales of Sunosi. No other development or sales-based milestones were recognized during the six months ended June 30, 2025 and 2024.</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Exclusive License Agreement with Pfizer</w:t>
      </w:r>
    </w:p>
    <w:p>
      <w:pPr>
        <w:spacing w:after="0" w:line="227" w:lineRule="exact"/>
        <w:rPr>
          <w:sz w:val="20"/>
          <w:szCs w:val="20"/>
          <w:color w:val="auto"/>
        </w:rPr>
      </w:pPr>
    </w:p>
    <w:p>
      <w:pPr>
        <w:ind w:right="60" w:firstLine="749"/>
        <w:spacing w:after="0" w:line="261" w:lineRule="auto"/>
        <w:rPr>
          <w:sz w:val="20"/>
          <w:szCs w:val="20"/>
          <w:color w:val="auto"/>
        </w:rPr>
      </w:pPr>
      <w:r>
        <w:rPr>
          <w:rFonts w:ascii="Times New Roman" w:cs="Times New Roman" w:eastAsia="Times New Roman" w:hAnsi="Times New Roman"/>
          <w:sz w:val="18"/>
          <w:szCs w:val="18"/>
          <w:color w:val="auto"/>
        </w:rPr>
        <w:t>In January 2020, the Company entered into an exclusive license agreement with Pfizer Inc. (“Pfizer”) for Pfizer’s clinical and nonclinical data, and intellectual property for reboxetine, the active pharmaceutical ingredient in AXS-12 which the Company is developing for the treatment of narcolepsy. The agreement also provides the Company exclusive rights to develop and commercialize esreboxetine, a new late-stage product candidate referred to as AXS-14, in the U.S. for the treatment of fibromyalgia.</w:t>
      </w:r>
    </w:p>
    <w:p>
      <w:pPr>
        <w:spacing w:after="0" w:line="180"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Under the terms of the agreement, Pfizer received 82,019 shares of the Company’s common stock having a stated value of $8.0 million, based on the average closing price of the Company’s common stock for the ten prior trading days of $97.54, in consideration for the license and rights and also received an upfront cash payment of $3.0 million. The Company determined that the fair value of each share of common stock granted to Pfizer on the closing date of January 9, 2020 was $87.24, based on the closing price of the Company’s stock on that date. As a result, the fair value of the stock issued was $7.2 million and, therefore, the total research and development expense recognized was $10.2 million related to the Pfizer license agreement during the year ended December 31, 2020.</w:t>
      </w:r>
    </w:p>
    <w:p>
      <w:pPr>
        <w:spacing w:after="0" w:line="187" w:lineRule="exact"/>
        <w:rPr>
          <w:sz w:val="20"/>
          <w:szCs w:val="20"/>
          <w:color w:val="auto"/>
        </w:rPr>
      </w:pPr>
    </w:p>
    <w:p>
      <w:pPr>
        <w:ind w:right="120" w:firstLine="749"/>
        <w:spacing w:after="0" w:line="261" w:lineRule="auto"/>
        <w:rPr>
          <w:sz w:val="20"/>
          <w:szCs w:val="20"/>
          <w:color w:val="auto"/>
        </w:rPr>
      </w:pPr>
      <w:r>
        <w:rPr>
          <w:rFonts w:ascii="Times New Roman" w:cs="Times New Roman" w:eastAsia="Times New Roman" w:hAnsi="Times New Roman"/>
          <w:sz w:val="18"/>
          <w:szCs w:val="18"/>
          <w:color w:val="auto"/>
        </w:rPr>
        <w:t>Pfizer can also receive up to $323 million in regulatory and sales milestones, and tiered mid-single to low double-digit royalties on future sales related to the licensed products. Pfizer will also have a right of first negotiation on any potential future strategic transactions involving AXS-12 and AXS-</w:t>
      </w:r>
    </w:p>
    <w:p>
      <w:pPr>
        <w:ind w:left="5540" w:right="1100" w:hanging="5532"/>
        <w:spacing w:after="0" w:line="761" w:lineRule="auto"/>
        <w:tabs>
          <w:tab w:leader="none" w:pos="28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three and six months ended June 30, 2025 and 2024, no milestone payments or royalties were paid to Pfizer by the Company.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182245</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Exclusive License Agreements with Antecip</w:t>
      </w:r>
    </w:p>
    <w:p>
      <w:pPr>
        <w:spacing w:after="0" w:line="227" w:lineRule="exact"/>
        <w:rPr>
          <w:sz w:val="20"/>
          <w:szCs w:val="20"/>
          <w:color w:val="auto"/>
        </w:rPr>
      </w:pPr>
    </w:p>
    <w:p>
      <w:pPr>
        <w:ind w:firstLine="749"/>
        <w:spacing w:after="0" w:line="252" w:lineRule="auto"/>
        <w:rPr>
          <w:sz w:val="20"/>
          <w:szCs w:val="20"/>
          <w:color w:val="auto"/>
        </w:rPr>
      </w:pPr>
      <w:r>
        <w:rPr>
          <w:rFonts w:ascii="Times New Roman" w:cs="Times New Roman" w:eastAsia="Times New Roman" w:hAnsi="Times New Roman"/>
          <w:sz w:val="18"/>
          <w:szCs w:val="18"/>
          <w:color w:val="auto"/>
        </w:rPr>
        <w:t>In 2012, the Company entered into three exclusive license agreements with Antecip, an entity owned by the Company’s Chief Executive Officer and Chairman of the Board, Herriot Tabuteau, M.D., in which the Company was granted exclusive licenses to develop, manufacture and commercialize Antecip’s patents and applications related to the development of AXS-05 (now marketed as Auvelity) and two product candidates no longer under active development, anywhere in the world for human therapeutic, veterinary, and diagnostic use. Pursuant to the agreements, the Company is required to use commercially reasonable efforts to develop, obtain regulatory approval for and commercialize these product candidates. Under the terms of the agreements, the Company is required to pay to Antecip a royalty equal to 3.0% for AXS-05 (and 1.5% or 4.5% for the other two product candidates no longer under active development), of net sales of products containing the licensed technology by the Company, its affiliates, or permitted sublicensees. These royalty payments are subject to reduction by an amount up to 50.0% of any required payments to third parties. Unless earlier terminated by a party for cause or by the Company for convenience, the agreements shall remain in effect on a product-by-product and country-by-country basis until the later to occur of (i) the applicable product is no longer covered by a valid claim in that country or (ii) 10 years from the first commercial sale of the applicable product in that country. Upon expiration of the agreements with respect to a product in a country, the Company’s license grant for that product in that country will become a fully paid-up, royalty-free, perpetual non-exclusive license. If Antecip terminates any of the agreements for cause, or if the Company exercises its right to terminate any of the agreements for convenience, the rights granted to the Company under such terminated agreement will revert to Antecip. The Company began recording royalty payments to Antecip along with the initiation of sales of Auvelity (the components of which are referred to as “AXS-05”) in the fourth quarter of 2022. For the six months ended June 30, 2025 and 2024, the Company recorded royalty expense of $6.5 million and $3.6 million, respectively, for royalty due to Antecip, which is equal to 3.0% of net sales of Auvelity. This is considered to be a related party transaction.</w:t>
      </w:r>
    </w:p>
    <w:p>
      <w:pPr>
        <w:spacing w:after="0" w:line="195" w:lineRule="exact"/>
        <w:rPr>
          <w:sz w:val="20"/>
          <w:szCs w:val="20"/>
          <w:color w:val="auto"/>
        </w:rPr>
      </w:pPr>
    </w:p>
    <w:p>
      <w:pPr>
        <w:ind w:right="360" w:firstLine="749"/>
        <w:spacing w:after="0" w:line="282" w:lineRule="auto"/>
        <w:rPr>
          <w:sz w:val="20"/>
          <w:szCs w:val="20"/>
          <w:color w:val="auto"/>
        </w:rPr>
      </w:pPr>
      <w:r>
        <w:rPr>
          <w:rFonts w:ascii="Times New Roman" w:cs="Times New Roman" w:eastAsia="Times New Roman" w:hAnsi="Times New Roman"/>
          <w:sz w:val="18"/>
          <w:szCs w:val="18"/>
          <w:color w:val="auto"/>
        </w:rPr>
        <w:t>In connection with the Blackstone Loan Agreement, Antecip consented to the collateral assignment of one of the license agreements, among other things, under a direct agreement among the Company, Antecip and Blackstone.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Royalty Agreements</w:t>
      </w:r>
    </w:p>
    <w:p>
      <w:pPr>
        <w:spacing w:after="0" w:line="229" w:lineRule="exact"/>
        <w:rPr>
          <w:sz w:val="20"/>
          <w:szCs w:val="20"/>
          <w:color w:val="auto"/>
        </w:rPr>
      </w:pPr>
    </w:p>
    <w:p>
      <w:pPr>
        <w:ind w:right="60" w:firstLine="749"/>
        <w:spacing w:after="0" w:line="255" w:lineRule="auto"/>
        <w:rPr>
          <w:sz w:val="20"/>
          <w:szCs w:val="20"/>
          <w:color w:val="auto"/>
        </w:rPr>
      </w:pPr>
      <w:r>
        <w:rPr>
          <w:rFonts w:ascii="Times New Roman" w:cs="Times New Roman" w:eastAsia="Times New Roman" w:hAnsi="Times New Roman"/>
          <w:sz w:val="18"/>
          <w:szCs w:val="18"/>
          <w:color w:val="auto"/>
        </w:rPr>
        <w:t>On March 25, 2022, the Company entered into an Asset Purchase Agreement (the “Purchase Agreement”) with Jazz, pursuant to which the Company was to acquire commercial and development rights with respect to Sunosi from Jazz in certain U.S. and ex-U.S. markets. The Acquisition occurred in two separate closings. The sale and purchase of specified initial assets contemplated by the Purchase Agreement occurred on May 9, 2022 (the “Initial Closing”), following the satisfaction or waiver of the closing conditions under the Purchase Agreement. The sale and purchase of specified ex-U.S. assets contemplated by the Purchase Agreement occurred on November 14, 2022, following the satisfaction or waiver of the closing conditions under the Purchase Agreement (the “Final Closing”). The Company accounted for the Initial Closing as a business combination using the acquisition method of accounting, and the Company accounted for the Final Closing as an asset acquisition.</w:t>
      </w:r>
    </w:p>
    <w:p>
      <w:pPr>
        <w:spacing w:after="0" w:line="189" w:lineRule="exact"/>
        <w:rPr>
          <w:sz w:val="20"/>
          <w:szCs w:val="20"/>
          <w:color w:val="auto"/>
        </w:rPr>
      </w:pPr>
    </w:p>
    <w:p>
      <w:pPr>
        <w:ind w:right="140" w:firstLine="749"/>
        <w:spacing w:after="0" w:line="266" w:lineRule="auto"/>
        <w:rPr>
          <w:sz w:val="20"/>
          <w:szCs w:val="20"/>
          <w:color w:val="auto"/>
        </w:rPr>
      </w:pPr>
      <w:r>
        <w:rPr>
          <w:rFonts w:ascii="Times New Roman" w:cs="Times New Roman" w:eastAsia="Times New Roman" w:hAnsi="Times New Roman"/>
          <w:sz w:val="18"/>
          <w:szCs w:val="18"/>
          <w:color w:val="auto"/>
        </w:rPr>
        <w:t>Pursuant to the Purchase Agreement, the Company agreed to make non-refundable, non-creditable royalty payments to Jazz equal to a (A) high single-digit royalty for any current indication, or (B) mid-single-digit royalty for any future indication of net sales in the U.S. Territory made during the applicable royalty term. There are no royalty payments due to Jazz for net sales outside of the U.S. Territory.</w:t>
      </w:r>
    </w:p>
    <w:p>
      <w:pPr>
        <w:spacing w:after="0" w:line="176"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At the Initial Closing, the Company assumed all of the commitments of Jazz to SK and Aerial. SK is the originator of Sunosi and retains rights in 12 Asian markets, including China, Korea and Japan. In 2014, Jazz acquired from Aerial worldwide rights to Sunosi excluding those Asian markets stated previously. The assumed commitments to SK and Aerial include single-digit tiered royalties based on the Company’s sales of Sunosi, and additionally, the Company is committed to pay up to $165.0 million based on revenue milestones and $1.0 million based on development milestones.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Income Taxes</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table below presents the Company’s loss before income taxes and effective tax rates for all periods presented:</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40" w:type="dxa"/>
            <w:vAlign w:val="bottom"/>
            <w:gridSpan w:val="5"/>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60" w:type="dxa"/>
            <w:vAlign w:val="bottom"/>
          </w:tcPr>
          <w:p>
            <w:pPr>
              <w:spacing w:after="0"/>
              <w:rPr>
                <w:sz w:val="15"/>
                <w:szCs w:val="15"/>
                <w:color w:val="auto"/>
              </w:rPr>
            </w:pPr>
          </w:p>
        </w:tc>
        <w:tc>
          <w:tcPr>
            <w:tcW w:w="2500" w:type="dxa"/>
            <w:vAlign w:val="bottom"/>
            <w:gridSpan w:val="6"/>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96"/>
        </w:trPr>
        <w:tc>
          <w:tcPr>
            <w:tcW w:w="560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ind w:right="337"/>
              <w:spacing w:after="0"/>
              <w:rPr>
                <w:sz w:val="20"/>
                <w:szCs w:val="20"/>
                <w:color w:val="auto"/>
              </w:rPr>
            </w:pPr>
            <w:r>
              <w:rPr>
                <w:rFonts w:ascii="Times New Roman" w:cs="Times New Roman" w:eastAsia="Times New Roman" w:hAnsi="Times New Roman"/>
                <w:sz w:val="14"/>
                <w:szCs w:val="14"/>
                <w:b w:val="1"/>
                <w:bCs w:val="1"/>
                <w:color w:val="auto"/>
              </w:rPr>
              <w:t>2025</w:t>
            </w:r>
          </w:p>
        </w:tc>
        <w:tc>
          <w:tcPr>
            <w:tcW w:w="360" w:type="dxa"/>
            <w:vAlign w:val="bottom"/>
            <w:tcBorders>
              <w:top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ind w:right="337"/>
              <w:spacing w:after="0"/>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7"/>
                <w:szCs w:val="17"/>
                <w:color w:val="auto"/>
              </w:rPr>
            </w:pPr>
          </w:p>
        </w:tc>
      </w:tr>
      <w:tr>
        <w:trPr>
          <w:trHeight w:val="210"/>
        </w:trPr>
        <w:tc>
          <w:tcPr>
            <w:tcW w:w="5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2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right w:val="single" w:sz="8" w:color="CFF0FC"/>
            </w:tcBorders>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(48,933)</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(79,345)</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(108,346)</w:t>
            </w:r>
          </w:p>
        </w:tc>
        <w:tc>
          <w:tcPr>
            <w:tcW w:w="3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(147,702)</w:t>
            </w:r>
          </w:p>
        </w:tc>
      </w:tr>
      <w:tr>
        <w:trPr>
          <w:trHeight w:val="216"/>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Income tax benefit</w:t>
            </w: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960</w:t>
            </w:r>
          </w:p>
        </w:tc>
        <w:tc>
          <w:tcPr>
            <w:tcW w:w="3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960</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r>
      <w:tr>
        <w:trPr>
          <w:trHeight w:val="229"/>
        </w:trPr>
        <w:tc>
          <w:tcPr>
            <w:tcW w:w="5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Effective tax rate</w:t>
            </w:r>
          </w:p>
        </w:tc>
        <w:tc>
          <w:tcPr>
            <w:tcW w:w="240" w:type="dxa"/>
            <w:vAlign w:val="bottom"/>
            <w:shd w:val="clear" w:color="auto" w:fill="CFF0FC"/>
          </w:tcPr>
          <w:p>
            <w:pPr>
              <w:spacing w:after="0"/>
              <w:rPr>
                <w:sz w:val="19"/>
                <w:szCs w:val="19"/>
                <w:color w:val="auto"/>
              </w:rPr>
            </w:pPr>
          </w:p>
        </w:tc>
        <w:tc>
          <w:tcPr>
            <w:tcW w:w="1220" w:type="dxa"/>
            <w:vAlign w:val="bottom"/>
            <w:tcBorders>
              <w:right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(2.0)%</w:t>
            </w:r>
          </w:p>
        </w:tc>
        <w:tc>
          <w:tcPr>
            <w:tcW w:w="26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(0.9)%</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60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4257040</wp:posOffset>
            </wp:positionH>
            <wp:positionV relativeFrom="paragraph">
              <wp:posOffset>-25400</wp:posOffset>
            </wp:positionV>
            <wp:extent cx="14605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-7620</wp:posOffset>
            </wp:positionV>
            <wp:extent cx="14605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-25400</wp:posOffset>
            </wp:positionV>
            <wp:extent cx="111125"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-7620</wp:posOffset>
            </wp:positionV>
            <wp:extent cx="11112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-25400</wp:posOffset>
            </wp:positionV>
            <wp:extent cx="14605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-7620</wp:posOffset>
            </wp:positionV>
            <wp:extent cx="14605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-25400</wp:posOffset>
            </wp:positionV>
            <wp:extent cx="11176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-7620</wp:posOffset>
            </wp:positionV>
            <wp:extent cx="11176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11760" cy="8255"/>
                    </a:xfrm>
                    <a:prstGeom prst="rect">
                      <a:avLst/>
                    </a:prstGeom>
                    <a:noFill/>
                  </pic:spPr>
                </pic:pic>
              </a:graphicData>
            </a:graphic>
          </wp:anchor>
        </w:drawing>
      </w:r>
    </w:p>
    <w:p>
      <w:pPr>
        <w:spacing w:after="0" w:line="178" w:lineRule="exact"/>
        <w:rPr>
          <w:sz w:val="20"/>
          <w:szCs w:val="20"/>
          <w:color w:val="auto"/>
        </w:rPr>
      </w:pPr>
    </w:p>
    <w:p>
      <w:pPr>
        <w:ind w:right="160" w:firstLine="749"/>
        <w:spacing w:after="0" w:line="255" w:lineRule="auto"/>
        <w:rPr>
          <w:sz w:val="20"/>
          <w:szCs w:val="20"/>
          <w:color w:val="auto"/>
        </w:rPr>
      </w:pPr>
      <w:r>
        <w:rPr>
          <w:rFonts w:ascii="Times New Roman" w:cs="Times New Roman" w:eastAsia="Times New Roman" w:hAnsi="Times New Roman"/>
          <w:sz w:val="18"/>
          <w:szCs w:val="18"/>
          <w:color w:val="auto"/>
        </w:rPr>
        <w:t>The Company is subject to income taxes in the United States and foreign jurisdictions in which the Company does business. These foreign jurisdictions have statutory tax rates different from those in the United States. Accordingly, the Company’s effective tax rates will vary depending on the relative proportion of foreign to United States income, the utilization of net operating loss and tax credit carry forwards, changes in geographic mix of income and expense, and changes in management’s assessment of matters such as the ability to realize deferred tax assets and changes in tax laws. The Company regularly assesses the likelihood of adverse outcomes resulting from the examination of the Company’s tax returns by the Internal Revenue Service (the “IRS”) and other tax authorities to determine the adequacy of its income tax reserves and expense. Should actual events or results differ from the Company’s current expectations, charges or credits to its income tax expense may become necessary.</w:t>
      </w:r>
    </w:p>
    <w:p>
      <w:pPr>
        <w:spacing w:after="0" w:line="189" w:lineRule="exact"/>
        <w:rPr>
          <w:sz w:val="20"/>
          <w:szCs w:val="20"/>
          <w:color w:val="auto"/>
        </w:rPr>
      </w:pPr>
    </w:p>
    <w:p>
      <w:pPr>
        <w:ind w:right="160" w:firstLine="749"/>
        <w:spacing w:after="0" w:line="266" w:lineRule="auto"/>
        <w:rPr>
          <w:sz w:val="20"/>
          <w:szCs w:val="20"/>
          <w:color w:val="auto"/>
        </w:rPr>
      </w:pPr>
      <w:r>
        <w:rPr>
          <w:rFonts w:ascii="Times New Roman" w:cs="Times New Roman" w:eastAsia="Times New Roman" w:hAnsi="Times New Roman"/>
          <w:sz w:val="18"/>
          <w:szCs w:val="18"/>
          <w:color w:val="auto"/>
        </w:rPr>
        <w:t>For the three and six months ended June 30, 2025, the Company recorded a discrete income tax benefit of $1.0 million. The discrete tax benefit is related to favorable return-to-provision adjustments attributable to certain foreign tax returns filed during July 2025. The Company did not have any unrecognized tax benefits as of June 30, 2025 related to uncertain tax positions that would impact the effective income tax rate if recognized.</w:t>
      </w:r>
    </w:p>
    <w:p>
      <w:pPr>
        <w:spacing w:after="0" w:line="176" w:lineRule="exact"/>
        <w:rPr>
          <w:sz w:val="20"/>
          <w:szCs w:val="20"/>
          <w:color w:val="auto"/>
        </w:rPr>
      </w:pPr>
    </w:p>
    <w:p>
      <w:pPr>
        <w:jc w:val="both"/>
        <w:ind w:right="220" w:firstLine="749"/>
        <w:spacing w:after="0" w:line="261" w:lineRule="auto"/>
        <w:rPr>
          <w:sz w:val="20"/>
          <w:szCs w:val="20"/>
          <w:color w:val="auto"/>
        </w:rPr>
      </w:pPr>
      <w:r>
        <w:rPr>
          <w:rFonts w:ascii="Times New Roman" w:cs="Times New Roman" w:eastAsia="Times New Roman" w:hAnsi="Times New Roman"/>
          <w:sz w:val="18"/>
          <w:szCs w:val="18"/>
          <w:color w:val="auto"/>
        </w:rPr>
        <w:t>The Company is currently under examination by the IRS for the Company’s 2021 U.S. income tax return. The Company is not currently under examination at the state level. The Company’s U.S. federal and state net operating losses have occurred since its inception in 2012 and as such, tax years subject to potential tax examination could apply from that date because the utilization of net operating losses from prior years opens the relevant year to audit by the IRS and/or state taxing authorities.</w:t>
      </w:r>
    </w:p>
    <w:p>
      <w:pPr>
        <w:spacing w:after="0" w:line="180" w:lineRule="exact"/>
        <w:rPr>
          <w:sz w:val="20"/>
          <w:szCs w:val="20"/>
          <w:color w:val="auto"/>
        </w:rPr>
      </w:pPr>
    </w:p>
    <w:p>
      <w:pPr>
        <w:ind w:right="240" w:firstLine="749"/>
        <w:spacing w:after="0" w:line="261" w:lineRule="auto"/>
        <w:rPr>
          <w:sz w:val="20"/>
          <w:szCs w:val="20"/>
          <w:color w:val="auto"/>
        </w:rPr>
      </w:pPr>
      <w:r>
        <w:rPr>
          <w:rFonts w:ascii="Times New Roman" w:cs="Times New Roman" w:eastAsia="Times New Roman" w:hAnsi="Times New Roman"/>
          <w:sz w:val="18"/>
          <w:szCs w:val="18"/>
          <w:color w:val="auto"/>
        </w:rPr>
        <w:t>On July 4, 2025, the One Big Beautiful Bill Act (“OBBBA”) was enacted in the U.S. The OBBBA includes significant provisions, such as the permanent extension of certain expiring provisions of the Tax Cuts and Jobs Act, modifications to the international tax framework and the restoration of favorable tax treatment for certain business provisions. The legislation has multiple effective dates, with certain provisions effective in 2025 and others implemented through 2027. The Company is currently assessing the impact on its condensed consolidated financial statements and disclosures.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Related Party Transactions</w:t>
      </w:r>
    </w:p>
    <w:p>
      <w:pPr>
        <w:spacing w:after="0" w:line="229" w:lineRule="exact"/>
        <w:rPr>
          <w:sz w:val="20"/>
          <w:szCs w:val="20"/>
          <w:color w:val="auto"/>
        </w:rPr>
      </w:pPr>
    </w:p>
    <w:p>
      <w:pPr>
        <w:ind w:right="80" w:firstLine="749"/>
        <w:spacing w:after="0" w:line="256" w:lineRule="auto"/>
        <w:rPr>
          <w:sz w:val="20"/>
          <w:szCs w:val="20"/>
          <w:color w:val="auto"/>
        </w:rPr>
      </w:pPr>
      <w:r>
        <w:rPr>
          <w:rFonts w:ascii="Times New Roman" w:cs="Times New Roman" w:eastAsia="Times New Roman" w:hAnsi="Times New Roman"/>
          <w:sz w:val="18"/>
          <w:szCs w:val="18"/>
          <w:color w:val="auto"/>
        </w:rPr>
        <w:t>From the Company’s inception, Herriot Tabuteau, M.D. has been the Company’s founder, Chief Executive Officer, Chairman of the Company’s Board, and the beneficial owner of more than 5% of the outstanding shares of the Company’s common stock. In connection with the formation of the Company, in January 2012, the Company issued to Antecip Bioventures II LLC, an entity controlled by Dr. Tabuteau, an aggregate of 7,344,500 shares of the Company’s common stock for nominal consideration. Additionally, since the launch of Auvelity in the fourth quarter of 2022, the Company recorded royalty expense of $6.5 million and $3.6 million for the six months ended June 30, 2025 and 2024, respectively, which equal 3.0% of net sales for those respective periods.</w:t>
      </w:r>
    </w:p>
    <w:p>
      <w:pPr>
        <w:spacing w:after="0" w:line="18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Company is a party to three exclusive license agreements with Antecip Bioventures II LLC, an entity owned by Dr. Tabuteau. See Note 14.</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License Agreements for further information regarding the license agreements.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18. Segment Information</w:t>
      </w:r>
    </w:p>
    <w:p>
      <w:pPr>
        <w:spacing w:after="0" w:line="229" w:lineRule="exact"/>
        <w:rPr>
          <w:sz w:val="20"/>
          <w:szCs w:val="20"/>
          <w:color w:val="auto"/>
        </w:rPr>
      </w:pPr>
    </w:p>
    <w:p>
      <w:pPr>
        <w:ind w:right="20" w:firstLine="749"/>
        <w:spacing w:after="0" w:line="258" w:lineRule="auto"/>
        <w:rPr>
          <w:sz w:val="20"/>
          <w:szCs w:val="20"/>
          <w:color w:val="auto"/>
        </w:rPr>
      </w:pPr>
      <w:r>
        <w:rPr>
          <w:rFonts w:ascii="Times New Roman" w:cs="Times New Roman" w:eastAsia="Times New Roman" w:hAnsi="Times New Roman"/>
          <w:sz w:val="18"/>
          <w:szCs w:val="18"/>
          <w:color w:val="auto"/>
        </w:rPr>
        <w:t>The Company views its operations and manages its business as one operating and reportable segment, which is the business of developing and delivering novel therapies for the management of CNS disorders. The Company’s focus centers around the CNS disorders market as its primary operating environment. Consistent with the operational structure, the Chief Executive Officer, as the chief operating decision maker (“CODM”), manages and allocates resources on a consolidated basis. This decision making process reflects the way in which the financial information is regularly reviewed and used by the CODM to evaluate performance, set operational targets, forecast future financial results, and allocate resources.</w:t>
      </w:r>
    </w:p>
    <w:p>
      <w:pPr>
        <w:spacing w:after="0" w:line="183" w:lineRule="exact"/>
        <w:rPr>
          <w:sz w:val="20"/>
          <w:szCs w:val="20"/>
          <w:color w:val="auto"/>
        </w:rPr>
      </w:pPr>
    </w:p>
    <w:p>
      <w:pPr>
        <w:ind w:right="220" w:firstLine="749"/>
        <w:spacing w:after="0" w:line="258" w:lineRule="auto"/>
        <w:rPr>
          <w:sz w:val="20"/>
          <w:szCs w:val="20"/>
          <w:color w:val="auto"/>
        </w:rPr>
      </w:pPr>
      <w:r>
        <w:rPr>
          <w:rFonts w:ascii="Times New Roman" w:cs="Times New Roman" w:eastAsia="Times New Roman" w:hAnsi="Times New Roman"/>
          <w:sz w:val="18"/>
          <w:szCs w:val="18"/>
          <w:color w:val="auto"/>
        </w:rPr>
        <w:t>The Company’s CODM assesses financial performance and allocates resources based on consolidated net loss that also is reported on the consolidated statements of operations. The measure of segment assets is reported on the balance sheet as total consolidated assets. The CODM utilizes consolidated net loss by comparing actual results against budgeted amounts on a quarterly basis. As part of this process, consolidated net loss is a critical performance measure used to evaluate the Company’s operating performance and guide strategic decisions and resource allocations, including additional investments in research and development and commercialization activities.</w:t>
      </w:r>
    </w:p>
    <w:p>
      <w:pPr>
        <w:spacing w:after="0" w:line="18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table provides information about the Company’s one reportable segment and includes the reconciliation to consolidated net loss.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40" w:type="dxa"/>
            <w:vAlign w:val="bottom"/>
            <w:gridSpan w:val="6"/>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0" w:type="dxa"/>
            <w:vAlign w:val="bottom"/>
            <w:gridSpan w:val="5"/>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42"/>
        </w:trPr>
        <w:tc>
          <w:tcPr>
            <w:tcW w:w="5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33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35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33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Borders>
              <w:top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35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r>
      <w:tr>
        <w:trPr>
          <w:trHeight w:val="210"/>
        </w:trPr>
        <w:tc>
          <w:tcPr>
            <w:tcW w:w="5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4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150,042</w:t>
            </w:r>
          </w:p>
        </w:tc>
        <w:tc>
          <w:tcPr>
            <w:tcW w:w="160" w:type="dxa"/>
            <w:vAlign w:val="bottom"/>
            <w:shd w:val="clear" w:color="auto" w:fill="CFF0FC"/>
          </w:tcPr>
          <w:p>
            <w:pPr>
              <w:spacing w:after="0"/>
              <w:rPr>
                <w:sz w:val="18"/>
                <w:szCs w:val="18"/>
                <w:color w:val="auto"/>
              </w:rPr>
            </w:pPr>
          </w:p>
        </w:tc>
        <w:tc>
          <w:tcPr>
            <w:tcW w:w="3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87,166</w:t>
            </w:r>
          </w:p>
        </w:tc>
        <w:tc>
          <w:tcPr>
            <w:tcW w:w="140" w:type="dxa"/>
            <w:vAlign w:val="bottom"/>
            <w:shd w:val="clear" w:color="auto" w:fill="CFF0FC"/>
          </w:tcPr>
          <w:p>
            <w:pPr>
              <w:spacing w:after="0"/>
              <w:rPr>
                <w:sz w:val="18"/>
                <w:szCs w:val="18"/>
                <w:color w:val="auto"/>
              </w:rPr>
            </w:pPr>
          </w:p>
        </w:tc>
        <w:tc>
          <w:tcPr>
            <w:tcW w:w="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271,505</w:t>
            </w: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162,165</w:t>
            </w:r>
          </w:p>
        </w:tc>
        <w:tc>
          <w:tcPr>
            <w:tcW w:w="120" w:type="dxa"/>
            <w:vAlign w:val="bottom"/>
            <w:shd w:val="clear" w:color="auto" w:fill="CFF0FC"/>
          </w:tcPr>
          <w:p>
            <w:pPr>
              <w:spacing w:after="0"/>
              <w:rPr>
                <w:sz w:val="18"/>
                <w:szCs w:val="18"/>
                <w:color w:val="auto"/>
              </w:rPr>
            </w:pPr>
          </w:p>
        </w:tc>
      </w:tr>
      <w:tr>
        <w:trPr>
          <w:trHeight w:val="216"/>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Less:</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6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Cost of revenue (excluding amortization and depreciation)</w:t>
            </w: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13,448</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8,055</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23,237</w:t>
            </w: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14,352</w:t>
            </w:r>
          </w:p>
        </w:tc>
        <w:tc>
          <w:tcPr>
            <w:tcW w:w="120" w:type="dxa"/>
            <w:vAlign w:val="bottom"/>
            <w:shd w:val="clear" w:color="auto" w:fill="CFF0FC"/>
          </w:tcPr>
          <w:p>
            <w:pPr>
              <w:spacing w:after="0"/>
              <w:rPr>
                <w:sz w:val="18"/>
                <w:szCs w:val="18"/>
                <w:color w:val="auto"/>
              </w:rPr>
            </w:pPr>
          </w:p>
        </w:tc>
      </w:tr>
      <w:tr>
        <w:trPr>
          <w:trHeight w:val="198"/>
        </w:trPr>
        <w:tc>
          <w:tcPr>
            <w:tcW w:w="5640" w:type="dxa"/>
            <w:vAlign w:val="bottom"/>
          </w:tcPr>
          <w:p>
            <w:pPr>
              <w:ind w:left="120"/>
              <w:spacing w:after="0" w:line="198" w:lineRule="exact"/>
              <w:rPr>
                <w:sz w:val="20"/>
                <w:szCs w:val="20"/>
                <w:color w:val="auto"/>
              </w:rPr>
            </w:pPr>
            <w:r>
              <w:rPr>
                <w:rFonts w:ascii="Times New Roman" w:cs="Times New Roman" w:eastAsia="Times New Roman" w:hAnsi="Times New Roman"/>
                <w:sz w:val="18"/>
                <w:szCs w:val="18"/>
                <w:color w:val="auto"/>
              </w:rPr>
              <w:t>Research and development expense (excluding share-based compensation</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4"/>
        </w:trPr>
        <w:tc>
          <w:tcPr>
            <w:tcW w:w="5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expense):</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16"/>
        </w:trPr>
        <w:tc>
          <w:tcPr>
            <w:tcW w:w="564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Solriamfetol</w:t>
            </w: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10,770</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15,633</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22,576</w:t>
            </w: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24,197</w:t>
            </w:r>
          </w:p>
        </w:tc>
        <w:tc>
          <w:tcPr>
            <w:tcW w:w="120" w:type="dxa"/>
            <w:vAlign w:val="bottom"/>
            <w:shd w:val="clear" w:color="auto" w:fill="CFF0FC"/>
          </w:tcPr>
          <w:p>
            <w:pPr>
              <w:spacing w:after="0"/>
              <w:rPr>
                <w:sz w:val="18"/>
                <w:szCs w:val="18"/>
                <w:color w:val="auto"/>
              </w:rPr>
            </w:pPr>
          </w:p>
        </w:tc>
      </w:tr>
      <w:tr>
        <w:trPr>
          <w:trHeight w:val="216"/>
        </w:trPr>
        <w:tc>
          <w:tcPr>
            <w:tcW w:w="5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AXS-05</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14,564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15,763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29,041</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29,288</w:t>
            </w:r>
          </w:p>
        </w:tc>
        <w:tc>
          <w:tcPr>
            <w:tcW w:w="120" w:type="dxa"/>
            <w:vAlign w:val="bottom"/>
          </w:tcPr>
          <w:p>
            <w:pPr>
              <w:spacing w:after="0"/>
              <w:rPr>
                <w:sz w:val="18"/>
                <w:szCs w:val="18"/>
                <w:color w:val="auto"/>
              </w:rPr>
            </w:pPr>
          </w:p>
        </w:tc>
      </w:tr>
      <w:tr>
        <w:trPr>
          <w:trHeight w:val="216"/>
        </w:trPr>
        <w:tc>
          <w:tcPr>
            <w:tcW w:w="564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AXS-07</w:t>
            </w: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6,075</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3,973</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10,554</w:t>
            </w: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6,945</w:t>
            </w:r>
          </w:p>
        </w:tc>
        <w:tc>
          <w:tcPr>
            <w:tcW w:w="120" w:type="dxa"/>
            <w:vAlign w:val="bottom"/>
            <w:shd w:val="clear" w:color="auto" w:fill="CFF0FC"/>
          </w:tcPr>
          <w:p>
            <w:pPr>
              <w:spacing w:after="0"/>
              <w:rPr>
                <w:sz w:val="18"/>
                <w:szCs w:val="18"/>
                <w:color w:val="auto"/>
              </w:rPr>
            </w:pPr>
          </w:p>
        </w:tc>
      </w:tr>
      <w:tr>
        <w:trPr>
          <w:trHeight w:val="216"/>
        </w:trPr>
        <w:tc>
          <w:tcPr>
            <w:tcW w:w="5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AXS-12</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1,737</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4,146</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5,124</w:t>
            </w:r>
          </w:p>
        </w:tc>
        <w:tc>
          <w:tcPr>
            <w:tcW w:w="120" w:type="dxa"/>
            <w:vAlign w:val="bottom"/>
          </w:tcPr>
          <w:p>
            <w:pPr>
              <w:spacing w:after="0"/>
              <w:rPr>
                <w:sz w:val="18"/>
                <w:szCs w:val="18"/>
                <w:color w:val="auto"/>
              </w:rPr>
            </w:pPr>
          </w:p>
        </w:tc>
      </w:tr>
      <w:tr>
        <w:trPr>
          <w:trHeight w:val="216"/>
        </w:trPr>
        <w:tc>
          <w:tcPr>
            <w:tcW w:w="564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AXS-14</w:t>
            </w: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6,225</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3,761</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7,411</w:t>
            </w: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6,370</w:t>
            </w:r>
          </w:p>
        </w:tc>
        <w:tc>
          <w:tcPr>
            <w:tcW w:w="120" w:type="dxa"/>
            <w:vAlign w:val="bottom"/>
            <w:shd w:val="clear" w:color="auto" w:fill="CFF0FC"/>
          </w:tcPr>
          <w:p>
            <w:pPr>
              <w:spacing w:after="0"/>
              <w:rPr>
                <w:sz w:val="18"/>
                <w:szCs w:val="18"/>
                <w:color w:val="auto"/>
              </w:rPr>
            </w:pPr>
          </w:p>
        </w:tc>
      </w:tr>
      <w:tr>
        <w:trPr>
          <w:trHeight w:val="216"/>
        </w:trPr>
        <w:tc>
          <w:tcPr>
            <w:tcW w:w="5640" w:type="dxa"/>
            <w:vAlign w:val="bottom"/>
          </w:tcPr>
          <w:p>
            <w:pPr>
              <w:ind w:left="220"/>
              <w:spacing w:after="0" w:line="216" w:lineRule="exact"/>
              <w:rPr>
                <w:sz w:val="20"/>
                <w:szCs w:val="20"/>
                <w:color w:val="auto"/>
              </w:rPr>
            </w:pPr>
            <w:r>
              <w:rPr>
                <w:rFonts w:ascii="Times New Roman" w:cs="Times New Roman" w:eastAsia="Times New Roman" w:hAnsi="Times New Roman"/>
                <w:sz w:val="18"/>
                <w:szCs w:val="18"/>
                <w:color w:val="auto"/>
              </w:rPr>
              <w:t>Other research and development</w:t>
            </w:r>
            <w:r>
              <w:rPr>
                <w:rFonts w:ascii="Times New Roman" w:cs="Times New Roman" w:eastAsia="Times New Roman" w:hAnsi="Times New Roman"/>
                <w:sz w:val="24"/>
                <w:szCs w:val="24"/>
                <w:color w:val="auto"/>
                <w:vertAlign w:val="superscript"/>
              </w:rPr>
              <w:t>(a)</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3,229</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7,198</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5,119</w:t>
            </w:r>
          </w:p>
        </w:tc>
        <w:tc>
          <w:tcPr>
            <w:tcW w:w="120" w:type="dxa"/>
            <w:vAlign w:val="bottom"/>
          </w:tcPr>
          <w:p>
            <w:pPr>
              <w:spacing w:after="0"/>
              <w:rPr>
                <w:sz w:val="18"/>
                <w:szCs w:val="18"/>
                <w:color w:val="auto"/>
              </w:rPr>
            </w:pPr>
          </w:p>
        </w:tc>
      </w:tr>
      <w:tr>
        <w:trPr>
          <w:trHeight w:val="198"/>
        </w:trPr>
        <w:tc>
          <w:tcPr>
            <w:tcW w:w="5640" w:type="dxa"/>
            <w:vAlign w:val="bottom"/>
            <w:shd w:val="clear" w:color="auto" w:fill="CFF0FC"/>
          </w:tcPr>
          <w:p>
            <w:pPr>
              <w:ind w:left="120"/>
              <w:spacing w:after="0" w:line="198" w:lineRule="exact"/>
              <w:rPr>
                <w:sz w:val="20"/>
                <w:szCs w:val="20"/>
                <w:color w:val="auto"/>
              </w:rPr>
            </w:pPr>
            <w:r>
              <w:rPr>
                <w:rFonts w:ascii="Times New Roman" w:cs="Times New Roman" w:eastAsia="Times New Roman" w:hAnsi="Times New Roman"/>
                <w:sz w:val="18"/>
                <w:szCs w:val="18"/>
                <w:color w:val="auto"/>
              </w:rPr>
              <w:t>General and administrative expense (excluding share-based compensation</w:t>
            </w:r>
          </w:p>
        </w:tc>
        <w:tc>
          <w:tcPr>
            <w:tcW w:w="1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34"/>
        </w:trPr>
        <w:tc>
          <w:tcPr>
            <w:tcW w:w="56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expense)</w:t>
            </w:r>
          </w:p>
        </w:tc>
        <w:tc>
          <w:tcPr>
            <w:tcW w:w="1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13,234</w:t>
            </w:r>
          </w:p>
        </w:tc>
        <w:tc>
          <w:tcPr>
            <w:tcW w:w="1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12,688</w:t>
            </w:r>
          </w:p>
        </w:tc>
        <w:tc>
          <w:tcPr>
            <w:tcW w:w="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24,884</w:t>
            </w:r>
          </w:p>
        </w:tc>
        <w:tc>
          <w:tcPr>
            <w:tcW w:w="2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24,840</w:t>
            </w:r>
          </w:p>
        </w:tc>
        <w:tc>
          <w:tcPr>
            <w:tcW w:w="120" w:type="dxa"/>
            <w:vAlign w:val="bottom"/>
            <w:shd w:val="clear" w:color="auto" w:fill="CFF0FC"/>
          </w:tcPr>
          <w:p>
            <w:pPr>
              <w:spacing w:after="0"/>
              <w:rPr>
                <w:sz w:val="20"/>
                <w:szCs w:val="20"/>
                <w:color w:val="auto"/>
              </w:rPr>
            </w:pPr>
          </w:p>
        </w:tc>
      </w:tr>
      <w:tr>
        <w:trPr>
          <w:trHeight w:val="198"/>
        </w:trPr>
        <w:tc>
          <w:tcPr>
            <w:tcW w:w="5640" w:type="dxa"/>
            <w:vAlign w:val="bottom"/>
          </w:tcPr>
          <w:p>
            <w:pPr>
              <w:ind w:left="120"/>
              <w:spacing w:after="0" w:line="198" w:lineRule="exact"/>
              <w:rPr>
                <w:sz w:val="20"/>
                <w:szCs w:val="20"/>
                <w:color w:val="auto"/>
              </w:rPr>
            </w:pPr>
            <w:r>
              <w:rPr>
                <w:rFonts w:ascii="Times New Roman" w:cs="Times New Roman" w:eastAsia="Times New Roman" w:hAnsi="Times New Roman"/>
                <w:sz w:val="18"/>
                <w:szCs w:val="18"/>
                <w:color w:val="auto"/>
              </w:rPr>
              <w:t>Selling and marketing expense (excluding share-based compensation</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4"/>
        </w:trPr>
        <w:tc>
          <w:tcPr>
            <w:tcW w:w="5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expense)</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99,376</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74,556</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191,664</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145,752</w:t>
            </w:r>
          </w:p>
        </w:tc>
        <w:tc>
          <w:tcPr>
            <w:tcW w:w="120" w:type="dxa"/>
            <w:vAlign w:val="bottom"/>
          </w:tcPr>
          <w:p>
            <w:pPr>
              <w:spacing w:after="0"/>
              <w:rPr>
                <w:sz w:val="20"/>
                <w:szCs w:val="20"/>
                <w:color w:val="auto"/>
              </w:rPr>
            </w:pPr>
          </w:p>
        </w:tc>
      </w:tr>
      <w:tr>
        <w:trPr>
          <w:trHeight w:val="216"/>
        </w:trPr>
        <w:tc>
          <w:tcPr>
            <w:tcW w:w="56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Share based compensation expense</w:t>
            </w: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24,611</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21,382</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47,919</w:t>
            </w: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41,572</w:t>
            </w:r>
          </w:p>
        </w:tc>
        <w:tc>
          <w:tcPr>
            <w:tcW w:w="120" w:type="dxa"/>
            <w:vAlign w:val="bottom"/>
            <w:shd w:val="clear" w:color="auto" w:fill="CFF0FC"/>
          </w:tcPr>
          <w:p>
            <w:pPr>
              <w:spacing w:after="0"/>
              <w:rPr>
                <w:sz w:val="18"/>
                <w:szCs w:val="18"/>
                <w:color w:val="auto"/>
              </w:rPr>
            </w:pPr>
          </w:p>
        </w:tc>
      </w:tr>
      <w:tr>
        <w:trPr>
          <w:trHeight w:val="216"/>
        </w:trPr>
        <w:tc>
          <w:tcPr>
            <w:tcW w:w="5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Loss (Gain) in fair value of contingent consideration</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(8,102)</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(6,590)</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748</w:t>
            </w:r>
          </w:p>
        </w:tc>
        <w:tc>
          <w:tcPr>
            <w:tcW w:w="120" w:type="dxa"/>
            <w:vAlign w:val="bottom"/>
          </w:tcPr>
          <w:p>
            <w:pPr>
              <w:spacing w:after="0"/>
              <w:rPr>
                <w:sz w:val="18"/>
                <w:szCs w:val="18"/>
                <w:color w:val="auto"/>
              </w:rPr>
            </w:pPr>
          </w:p>
        </w:tc>
      </w:tr>
      <w:tr>
        <w:trPr>
          <w:trHeight w:val="216"/>
        </w:trPr>
        <w:tc>
          <w:tcPr>
            <w:tcW w:w="5640" w:type="dxa"/>
            <w:vAlign w:val="bottom"/>
            <w:shd w:val="clear" w:color="auto" w:fill="CFF0FC"/>
          </w:tcPr>
          <w:p>
            <w:pPr>
              <w:ind w:left="120"/>
              <w:spacing w:after="0" w:line="216" w:lineRule="exact"/>
              <w:rPr>
                <w:sz w:val="20"/>
                <w:szCs w:val="20"/>
                <w:color w:val="auto"/>
              </w:rPr>
            </w:pPr>
            <w:r>
              <w:rPr>
                <w:rFonts w:ascii="Times New Roman" w:cs="Times New Roman" w:eastAsia="Times New Roman" w:hAnsi="Times New Roman"/>
                <w:sz w:val="18"/>
                <w:szCs w:val="18"/>
                <w:color w:val="auto"/>
              </w:rPr>
              <w:t>Interest expense, net</w:t>
            </w:r>
            <w:r>
              <w:rPr>
                <w:rFonts w:ascii="Times New Roman" w:cs="Times New Roman" w:eastAsia="Times New Roman" w:hAnsi="Times New Roman"/>
                <w:sz w:val="24"/>
                <w:szCs w:val="24"/>
                <w:color w:val="auto"/>
                <w:vertAlign w:val="superscript"/>
              </w:rPr>
              <w:t>(b)</w:t>
            </w: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1,834</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1,299</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4,265</w:t>
            </w: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2,381</w:t>
            </w:r>
          </w:p>
        </w:tc>
        <w:tc>
          <w:tcPr>
            <w:tcW w:w="120" w:type="dxa"/>
            <w:vAlign w:val="bottom"/>
            <w:shd w:val="clear" w:color="auto" w:fill="CFF0FC"/>
          </w:tcPr>
          <w:p>
            <w:pPr>
              <w:spacing w:after="0"/>
              <w:rPr>
                <w:sz w:val="18"/>
                <w:szCs w:val="18"/>
                <w:color w:val="auto"/>
              </w:rPr>
            </w:pPr>
          </w:p>
        </w:tc>
      </w:tr>
      <w:tr>
        <w:trPr>
          <w:trHeight w:val="216"/>
        </w:trPr>
        <w:tc>
          <w:tcPr>
            <w:tcW w:w="5640" w:type="dxa"/>
            <w:vAlign w:val="bottom"/>
          </w:tcPr>
          <w:p>
            <w:pPr>
              <w:ind w:left="120"/>
              <w:spacing w:after="0" w:line="216" w:lineRule="exact"/>
              <w:rPr>
                <w:sz w:val="20"/>
                <w:szCs w:val="20"/>
                <w:color w:val="auto"/>
              </w:rPr>
            </w:pPr>
            <w:r>
              <w:rPr>
                <w:rFonts w:ascii="Times New Roman" w:cs="Times New Roman" w:eastAsia="Times New Roman" w:hAnsi="Times New Roman"/>
                <w:sz w:val="18"/>
                <w:szCs w:val="18"/>
                <w:color w:val="auto"/>
              </w:rPr>
              <w:t>Other segment items</w:t>
            </w:r>
            <w:r>
              <w:rPr>
                <w:rFonts w:ascii="Times New Roman" w:cs="Times New Roman" w:eastAsia="Times New Roman" w:hAnsi="Times New Roman"/>
                <w:sz w:val="24"/>
                <w:szCs w:val="24"/>
                <w:color w:val="auto"/>
                <w:vertAlign w:val="superscript"/>
              </w:rPr>
              <w:t>(c)</w:t>
            </w:r>
          </w:p>
        </w:tc>
        <w:tc>
          <w:tcPr>
            <w:tcW w:w="1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11,014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12,586</w:t>
            </w:r>
          </w:p>
        </w:tc>
        <w:tc>
          <w:tcPr>
            <w:tcW w:w="2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3,179</w:t>
            </w:r>
          </w:p>
        </w:tc>
        <w:tc>
          <w:tcPr>
            <w:tcW w:w="120" w:type="dxa"/>
            <w:vAlign w:val="bottom"/>
          </w:tcPr>
          <w:p>
            <w:pPr>
              <w:spacing w:after="0"/>
              <w:rPr>
                <w:sz w:val="18"/>
                <w:szCs w:val="18"/>
                <w:color w:val="auto"/>
              </w:rPr>
            </w:pPr>
          </w:p>
        </w:tc>
      </w:tr>
      <w:tr>
        <w:trPr>
          <w:trHeight w:val="210"/>
        </w:trPr>
        <w:tc>
          <w:tcPr>
            <w:tcW w:w="5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Segment net loss</w:t>
            </w: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(47,973)</w:t>
            </w: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(79,345)</w:t>
            </w: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(107,386)</w:t>
            </w:r>
          </w:p>
        </w:tc>
        <w:tc>
          <w:tcPr>
            <w:tcW w:w="24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(147,702)</w:t>
            </w:r>
          </w:p>
        </w:tc>
      </w:tr>
      <w:tr>
        <w:trPr>
          <w:trHeight w:val="210"/>
        </w:trPr>
        <w:tc>
          <w:tcPr>
            <w:tcW w:w="5640" w:type="dxa"/>
            <w:vAlign w:val="bottom"/>
            <w:tcBorders>
              <w:top w:val="single" w:sz="8" w:color="CFF0FC"/>
            </w:tcBorders>
          </w:tcPr>
          <w:p>
            <w:pPr>
              <w:spacing w:after="0"/>
              <w:rPr>
                <w:sz w:val="18"/>
                <w:szCs w:val="18"/>
                <w:color w:val="auto"/>
              </w:rPr>
            </w:pPr>
          </w:p>
        </w:tc>
        <w:tc>
          <w:tcPr>
            <w:tcW w:w="180" w:type="dxa"/>
            <w:vAlign w:val="bottom"/>
            <w:tcBorders>
              <w:top w:val="single" w:sz="8" w:color="CFF0FC"/>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60" w:type="dxa"/>
            <w:vAlign w:val="bottom"/>
            <w:tcBorders>
              <w:top w:val="single" w:sz="8" w:color="CFF0FC"/>
            </w:tcBorders>
          </w:tcPr>
          <w:p>
            <w:pPr>
              <w:spacing w:after="0"/>
              <w:rPr>
                <w:sz w:val="18"/>
                <w:szCs w:val="18"/>
                <w:color w:val="auto"/>
              </w:rPr>
            </w:pPr>
          </w:p>
        </w:tc>
        <w:tc>
          <w:tcPr>
            <w:tcW w:w="80" w:type="dxa"/>
            <w:vAlign w:val="bottom"/>
            <w:tcBorders>
              <w:top w:val="single" w:sz="8" w:color="CFF0FC"/>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4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60" w:type="dxa"/>
            <w:vAlign w:val="bottom"/>
            <w:tcBorders>
              <w:top w:val="single" w:sz="8" w:color="CFF0FC"/>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r>
      <w:tr>
        <w:trPr>
          <w:trHeight w:val="216"/>
        </w:trPr>
        <w:tc>
          <w:tcPr>
            <w:tcW w:w="5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Reconciliation of net loss</w:t>
            </w: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Adjustments and reconciling items</w:t>
            </w:r>
          </w:p>
        </w:tc>
        <w:tc>
          <w:tcPr>
            <w:tcW w:w="1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r>
      <w:tr>
        <w:trPr>
          <w:trHeight w:val="230"/>
        </w:trPr>
        <w:tc>
          <w:tcPr>
            <w:tcW w:w="5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Consolidated net loss</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(47,973)</w:t>
            </w: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(79,345)</w:t>
            </w: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(107,386)</w:t>
            </w:r>
          </w:p>
        </w:tc>
        <w:tc>
          <w:tcPr>
            <w:tcW w:w="2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(147,702)</w:t>
            </w:r>
          </w:p>
        </w:tc>
      </w:tr>
      <w:tr>
        <w:trPr>
          <w:trHeight w:val="20"/>
        </w:trPr>
        <w:tc>
          <w:tcPr>
            <w:tcW w:w="564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-590550</wp:posOffset>
            </wp:positionV>
            <wp:extent cx="6858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-590550</wp:posOffset>
            </wp:positionV>
            <wp:extent cx="6858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-590550</wp:posOffset>
            </wp:positionV>
            <wp:extent cx="6858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-590550</wp:posOffset>
            </wp:positionV>
            <wp:extent cx="7747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-24765</wp:posOffset>
            </wp:positionV>
            <wp:extent cx="6858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-7620</wp:posOffset>
            </wp:positionV>
            <wp:extent cx="6858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-24765</wp:posOffset>
            </wp:positionV>
            <wp:extent cx="6858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-7620</wp:posOffset>
            </wp:positionV>
            <wp:extent cx="6858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-24765</wp:posOffset>
            </wp:positionV>
            <wp:extent cx="6858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-7620</wp:posOffset>
            </wp:positionV>
            <wp:extent cx="6858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69" w:lineRule="exact"/>
        <w:rPr>
          <w:sz w:val="20"/>
          <w:szCs w:val="20"/>
          <w:color w:val="auto"/>
        </w:rPr>
      </w:pPr>
    </w:p>
    <w:p>
      <w:pPr>
        <w:ind w:left="300" w:hanging="292"/>
        <w:spacing w:after="0"/>
        <w:tabs>
          <w:tab w:leader="none" w:pos="300" w:val="left"/>
        </w:tabs>
        <w:numPr>
          <w:ilvl w:val="0"/>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Other research and development expenses primarily consist of facilities charges, third party consultant costs, costs related to other product candidates, and other unallocated costs.</w:t>
      </w:r>
    </w:p>
    <w:p>
      <w:pPr>
        <w:ind w:left="300" w:right="20" w:hanging="292"/>
        <w:spacing w:after="0" w:line="234" w:lineRule="auto"/>
        <w:tabs>
          <w:tab w:leader="none" w:pos="30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Interest expense, net of $1,834 for the three months ended June 30, 2025 comprises (i) consolidated interest expense of $4,086 and (ii) consolidated interest income of $2,252. Interest expense, net of $4,265 for the six months ended June 30, 2025 comprises (i) consolidated interest expense of $9,344 and (ii) consolidated interest income of $5,079. Interest expense, net of $1,299 for the three months ended June 30, 2024 comprises</w:t>
      </w:r>
    </w:p>
    <w:p>
      <w:pPr>
        <w:ind w:left="300" w:right="20"/>
        <w:spacing w:after="0" w:line="216" w:lineRule="auto"/>
        <w:rPr>
          <w:rFonts w:ascii="Times New Roman" w:cs="Times New Roman" w:eastAsia="Times New Roman" w:hAnsi="Times New Roman"/>
          <w:sz w:val="12"/>
          <w:szCs w:val="12"/>
          <w:color w:val="auto"/>
        </w:rPr>
      </w:pPr>
      <w:r>
        <w:rPr>
          <w:rFonts w:ascii="Times New Roman" w:cs="Times New Roman" w:eastAsia="Times New Roman" w:hAnsi="Times New Roman"/>
          <w:sz w:val="13"/>
          <w:szCs w:val="13"/>
          <w:color w:val="auto"/>
        </w:rPr>
        <w:t>(i) consolidated interest expense of $5,079 and (ii) consolidated interest income of $3,780. Interest expense, net of $2,381 for the six months ended June 30, 2024 comprises (i) consolidated interest expense of $10,485 and (ii) consolidated interest income of $8,104.</w:t>
      </w:r>
    </w:p>
    <w:p>
      <w:pPr>
        <w:ind w:left="300" w:hanging="292"/>
        <w:spacing w:after="0"/>
        <w:tabs>
          <w:tab w:leader="none" w:pos="300" w:val="left"/>
        </w:tabs>
        <w:numPr>
          <w:ilvl w:val="0"/>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Other segment items included in Segment net loss include intangible asset amortization, loss on debt extinguishment, and other miscellaneous items.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7"/>
          <w:szCs w:val="17"/>
          <w:color w:val="auto"/>
        </w:rPr>
        <w:t>See Note 2. Summary of Significant Accounting Policies for further details on the products from which the Company derives its revenues.</w:t>
      </w:r>
    </w:p>
    <w:p>
      <w:pPr>
        <w:spacing w:after="0" w:line="23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See Note 13. Revenues for details of revenue from external customers by geography.</w:t>
      </w:r>
    </w:p>
    <w:p>
      <w:pPr>
        <w:spacing w:after="0" w:line="200" w:lineRule="exact"/>
        <w:rPr>
          <w:sz w:val="20"/>
          <w:szCs w:val="20"/>
          <w:color w:val="auto"/>
        </w:rPr>
      </w:pPr>
    </w:p>
    <w:p>
      <w:pPr>
        <w:spacing w:after="0" w:line="241"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0"/>
          </w:cols>
          <w:pgMar w:left="320" w:top="114" w:right="8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7"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i w:val="1"/>
          <w:iCs w:val="1"/>
          <w:color w:val="auto"/>
        </w:rPr>
        <w:t>The following discussion and analysis contains forward-looking statements about our plans and expectations of what may happen in the future. Forward-looking statements are based on a number of assumptions and estimates that are inherently subject to significant risks and uncertainties, and our results could differ materially from the results anticipated by our forward-looking statements as a result of many known or unknown factors, including, but not limited to, those factors discussed in “Risk Factors.” See also the “Cautionary Note Regarding Forward-Looking Statements” set forth at the beginning of this report.</w:t>
      </w:r>
    </w:p>
    <w:p>
      <w:pPr>
        <w:spacing w:after="0" w:line="183" w:lineRule="exact"/>
        <w:rPr>
          <w:sz w:val="20"/>
          <w:szCs w:val="20"/>
          <w:color w:val="auto"/>
        </w:rPr>
      </w:pPr>
    </w:p>
    <w:p>
      <w:pPr>
        <w:ind w:right="60" w:firstLine="749"/>
        <w:spacing w:after="0" w:line="261"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in conjunction with the unaudited interim consolidated financial statements, and the related footnotes thereto, appearing elsewhere in this report, and in conjunction with management’s discussion and analysis and the audited consolidated financial statements included in our Annual Report on Form 10-K for the year ended December 31, 2024 which was filed with the U.S. Securities and Exchange Commission, or SEC, on February 18, 2025</w:t>
      </w:r>
      <w:r>
        <w:rPr>
          <w:rFonts w:ascii="Times New Roman" w:cs="Times New Roman" w:eastAsia="Times New Roman" w:hAnsi="Times New Roman"/>
          <w:sz w:val="18"/>
          <w:szCs w:val="18"/>
          <w:color w:val="auto"/>
        </w:rPr>
        <w: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right="300" w:firstLine="749"/>
        <w:spacing w:after="0" w:line="282" w:lineRule="auto"/>
        <w:rPr>
          <w:sz w:val="20"/>
          <w:szCs w:val="20"/>
          <w:color w:val="auto"/>
        </w:rPr>
      </w:pPr>
      <w:r>
        <w:rPr>
          <w:rFonts w:ascii="Times New Roman" w:cs="Times New Roman" w:eastAsia="Times New Roman" w:hAnsi="Times New Roman"/>
          <w:sz w:val="18"/>
          <w:szCs w:val="18"/>
          <w:color w:val="auto"/>
        </w:rPr>
        <w:t>We are a biopharmaceutical company dedicated to the development and commercialization of innovative medicines for people living central nervous system (“CNS”) conditions.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Commercial Products</w:t>
      </w:r>
    </w:p>
    <w:p>
      <w:pPr>
        <w:spacing w:after="0" w:line="124" w:lineRule="exact"/>
        <w:rPr>
          <w:sz w:val="20"/>
          <w:szCs w:val="20"/>
          <w:color w:val="auto"/>
        </w:rPr>
      </w:pPr>
    </w:p>
    <w:p>
      <w:pPr>
        <w:ind w:left="1020" w:right="20" w:hanging="503"/>
        <w:spacing w:after="0" w:line="245" w:lineRule="auto"/>
        <w:tabs>
          <w:tab w:leader="none" w:pos="1020" w:val="left"/>
        </w:tabs>
        <w:numPr>
          <w:ilvl w:val="0"/>
          <w:numId w:val="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Auvelity</w:t>
      </w:r>
      <w:r>
        <w:rPr>
          <w:rFonts w:ascii="Times New Roman" w:cs="Times New Roman" w:eastAsia="Times New Roman" w:hAnsi="Times New Roman"/>
          <w:sz w:val="24"/>
          <w:szCs w:val="24"/>
          <w:b w:val="1"/>
          <w:bCs w:val="1"/>
          <w:i w:val="1"/>
          <w:iCs w:val="1"/>
          <w:color w:val="auto"/>
          <w:vertAlign w:val="superscript"/>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Auvelity (dextromethorphan-bupropion) is a novel, oral, N-methyl-D-aspartate (NMDA) receptor antagonist, sigma-1 receptor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agonist, aminoketone, and CYP2D6 inhibitor. Auvelity was developed by the Company and approved by the FDA for the treatment of major depressive disorder (MDD) in adults in August 2022. We initiated the commercial launch of Auvelity in the United States in October 2022. We refer to the proprietary dextromethorphan-bupropion formulation contained in Auvelity as AXS-05. As used in this report, “Auvelity” refers to AXS-05 approved by the FDA for the treatment of MDD in adults, and “AXS-05” refers to, where applicable, Auvelity as well as AXS-05 for the treatment of indications beyond MDD in adults.</w:t>
      </w:r>
    </w:p>
    <w:p>
      <w:pPr>
        <w:spacing w:after="0" w:line="92" w:lineRule="exact"/>
        <w:rPr>
          <w:rFonts w:ascii="Times New Roman" w:cs="Times New Roman" w:eastAsia="Times New Roman" w:hAnsi="Times New Roman"/>
          <w:sz w:val="18"/>
          <w:szCs w:val="18"/>
          <w:b w:val="1"/>
          <w:bCs w:val="1"/>
          <w:i w:val="1"/>
          <w:iCs w:val="1"/>
          <w:color w:val="auto"/>
        </w:rPr>
      </w:pPr>
    </w:p>
    <w:p>
      <w:pPr>
        <w:ind w:left="1020" w:right="20" w:hanging="503"/>
        <w:spacing w:after="0" w:line="243" w:lineRule="auto"/>
        <w:tabs>
          <w:tab w:leader="none" w:pos="1020" w:val="left"/>
        </w:tabs>
        <w:numPr>
          <w:ilvl w:val="0"/>
          <w:numId w:val="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Sunosi</w:t>
      </w:r>
      <w:r>
        <w:rPr>
          <w:rFonts w:ascii="Times New Roman" w:cs="Times New Roman" w:eastAsia="Times New Roman" w:hAnsi="Times New Roman"/>
          <w:sz w:val="24"/>
          <w:szCs w:val="24"/>
          <w:b w:val="1"/>
          <w:bCs w:val="1"/>
          <w:i w:val="1"/>
          <w:iCs w:val="1"/>
          <w:color w:val="auto"/>
          <w:vertAlign w:val="superscript"/>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Sunosi (solriamfetol) is a novel, oral, dopamine and norepinephrine reuptake inhibitor (DNRI), trace amine-associated receptor 1</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(TAAR1) agonist, and 5-HT</w:t>
      </w:r>
      <w:r>
        <w:rPr>
          <w:rFonts w:ascii="Times New Roman" w:cs="Times New Roman" w:eastAsia="Times New Roman" w:hAnsi="Times New Roman"/>
          <w:sz w:val="24"/>
          <w:szCs w:val="24"/>
          <w:color w:val="auto"/>
          <w:vertAlign w:val="subscript"/>
        </w:rPr>
        <w:t>1A</w:t>
      </w:r>
      <w:r>
        <w:rPr>
          <w:rFonts w:ascii="Times New Roman" w:cs="Times New Roman" w:eastAsia="Times New Roman" w:hAnsi="Times New Roman"/>
          <w:sz w:val="18"/>
          <w:szCs w:val="18"/>
          <w:color w:val="auto"/>
        </w:rPr>
        <w:t xml:space="preserve"> agonist. Sunosi was approved for the treatment of EDS in adult patients with narcolepsy or obstructive sleep apnea (OSA) by the FDA in 2019 and by the European Commission in 2020. We acquired the U.S. rights to Sunosi from Jazz Pharmaceuticals plc, or Jazz, in May 2022 and the ex-U.S. rights (excluding certain Asian markets) from Jazz in November 2022. We have been commercializing Sunosi since we completed these acquisitions. SK Biopharmaceuticals Co. Ltd., or SK, is the originator of Sunosi and retains rights in 12 Asian markets, including China, Korea, and Japan. We refer to the acquisition of Sunosi herein as the Acquisition. In February 2023, we entered into a licensing agreement, or the Pharmanovia License Agreement, with Atnahs Pharma UK Limited, or Pharmanovia, that granted to Pharmanovia the exclusive right to market Sunosi in Europe and certain countries in the Middle East and North Africa, referred to as the Licensed Territory. As used in this report, “Sunosi” refers to solriamfetol approved for the treatment of EDS in patients with narcolepsy or OSA, and “solriamfetol” refers to, where applicable, Sunosi as well as solriamfetol for the treatment of indications beyond EDS in patients with narcolepsy or OSA.</w:t>
      </w:r>
    </w:p>
    <w:p>
      <w:pPr>
        <w:spacing w:after="0" w:line="93" w:lineRule="exact"/>
        <w:rPr>
          <w:rFonts w:ascii="Times New Roman" w:cs="Times New Roman" w:eastAsia="Times New Roman" w:hAnsi="Times New Roman"/>
          <w:sz w:val="18"/>
          <w:szCs w:val="18"/>
          <w:b w:val="1"/>
          <w:bCs w:val="1"/>
          <w:i w:val="1"/>
          <w:iCs w:val="1"/>
          <w:color w:val="auto"/>
        </w:rPr>
      </w:pPr>
    </w:p>
    <w:p>
      <w:pPr>
        <w:ind w:left="1020" w:right="120" w:hanging="503"/>
        <w:spacing w:after="0" w:line="226" w:lineRule="auto"/>
        <w:tabs>
          <w:tab w:leader="none" w:pos="1020" w:val="left"/>
        </w:tabs>
        <w:numPr>
          <w:ilvl w:val="0"/>
          <w:numId w:val="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Symbravo</w:t>
      </w:r>
      <w:r>
        <w:rPr>
          <w:rFonts w:ascii="Times New Roman" w:cs="Times New Roman" w:eastAsia="Times New Roman" w:hAnsi="Times New Roman"/>
          <w:sz w:val="24"/>
          <w:szCs w:val="24"/>
          <w:b w:val="1"/>
          <w:bCs w:val="1"/>
          <w:i w:val="1"/>
          <w:iCs w:val="1"/>
          <w:color w:val="auto"/>
          <w:vertAlign w:val="superscript"/>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Symbravo (MoSEIC</w:t>
      </w:r>
      <w:r>
        <w:rPr>
          <w:rFonts w:ascii="Times New Roman" w:cs="Times New Roman" w:eastAsia="Times New Roman" w:hAnsi="Times New Roman"/>
          <w:sz w:val="24"/>
          <w:szCs w:val="24"/>
          <w:color w:val="auto"/>
          <w:vertAlign w:val="superscript"/>
        </w:rPr>
        <w:t>TM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meloxicam-rizatriptan) is a novel, oral, rapidly absorbed, multi-mechanistic, selective COX-2 inhibitor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5-HT</w:t>
      </w:r>
      <w:r>
        <w:rPr>
          <w:rFonts w:ascii="Times New Roman" w:cs="Times New Roman" w:eastAsia="Times New Roman" w:hAnsi="Times New Roman"/>
          <w:sz w:val="24"/>
          <w:szCs w:val="24"/>
          <w:color w:val="auto"/>
          <w:vertAlign w:val="subscript"/>
        </w:rPr>
        <w:t>1B/1D</w:t>
      </w:r>
      <w:r>
        <w:rPr>
          <w:rFonts w:ascii="Times New Roman" w:cs="Times New Roman" w:eastAsia="Times New Roman" w:hAnsi="Times New Roman"/>
          <w:sz w:val="18"/>
          <w:szCs w:val="18"/>
          <w:color w:val="auto"/>
        </w:rPr>
        <w:t xml:space="preserve"> agonist. Symbravo was developed by the Company and approved by the FDA for the acute treatment of migraine with or without aura in adults in January 2025. We initiated the commercial launch of Symbravo in the United States in June 2025.</w:t>
      </w:r>
    </w:p>
    <w:p>
      <w:pPr>
        <w:spacing w:after="0" w:line="200" w:lineRule="exact"/>
        <w:rPr>
          <w:sz w:val="20"/>
          <w:szCs w:val="20"/>
          <w:color w:val="auto"/>
        </w:rPr>
      </w:pPr>
    </w:p>
    <w:p>
      <w:pPr>
        <w:spacing w:after="0" w:line="21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4" w:right="39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Pipeline</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We are advancing a diversified, late-stage pipeline of novel product candidates for serious neurological and psychiatric conditions.</w:t>
      </w:r>
    </w:p>
    <w:p>
      <w:pPr>
        <w:spacing w:after="0" w:line="225" w:lineRule="exact"/>
        <w:rPr>
          <w:sz w:val="20"/>
          <w:szCs w:val="20"/>
          <w:color w:val="auto"/>
        </w:rPr>
      </w:pPr>
    </w:p>
    <w:p>
      <w:pPr>
        <w:ind w:right="40" w:firstLine="749"/>
        <w:spacing w:after="0" w:line="258" w:lineRule="auto"/>
        <w:rPr>
          <w:sz w:val="20"/>
          <w:szCs w:val="20"/>
          <w:color w:val="auto"/>
        </w:rPr>
      </w:pPr>
      <w:r>
        <w:rPr>
          <w:rFonts w:ascii="Times New Roman" w:cs="Times New Roman" w:eastAsia="Times New Roman" w:hAnsi="Times New Roman"/>
          <w:sz w:val="18"/>
          <w:szCs w:val="18"/>
          <w:color w:val="auto"/>
        </w:rPr>
        <w:t>AXS-05 (dextromethorphan-bupropion) is a novel, oral, investigational NMDA receptor antagonist, sigma-1 receptor agonist, aminoketone, and CYP2D6 inhibitor being developed for the treatment of Alzheimer’s disease agitation, or AD agitation, and smoking cessation. AXS-05 utilizes a proprietary formulation and dose of dextromethorphan and bupropion, and Axsome’s metabolic inhibition technology, to modulate the delivery of the components. We have successfully completed the Phase 3 clinical program of AXS-05 in AD agitation consisting of four Phase 3, placebo-controlled efficacy trials and a long-term safety trial. AXS-05 has been granted FDA Breakthrough Therapy designation for AD agitation.</w:t>
      </w:r>
    </w:p>
    <w:p>
      <w:pPr>
        <w:spacing w:after="0" w:line="124" w:lineRule="exact"/>
        <w:rPr>
          <w:sz w:val="20"/>
          <w:szCs w:val="20"/>
          <w:color w:val="auto"/>
        </w:rPr>
      </w:pPr>
    </w:p>
    <w:p>
      <w:pPr>
        <w:ind w:right="80" w:firstLine="749"/>
        <w:spacing w:after="0" w:line="260" w:lineRule="auto"/>
        <w:rPr>
          <w:sz w:val="20"/>
          <w:szCs w:val="20"/>
          <w:color w:val="auto"/>
        </w:rPr>
      </w:pPr>
      <w:r>
        <w:rPr>
          <w:rFonts w:ascii="Times New Roman" w:cs="Times New Roman" w:eastAsia="Times New Roman" w:hAnsi="Times New Roman"/>
          <w:sz w:val="18"/>
          <w:szCs w:val="18"/>
          <w:color w:val="auto"/>
        </w:rPr>
        <w:t>Solriamfetol is an oral, DNRI, TAAR1 agonist, and 5-HT</w:t>
      </w:r>
      <w:r>
        <w:rPr>
          <w:rFonts w:ascii="Times New Roman" w:cs="Times New Roman" w:eastAsia="Times New Roman" w:hAnsi="Times New Roman"/>
          <w:sz w:val="24"/>
          <w:szCs w:val="24"/>
          <w:color w:val="auto"/>
          <w:vertAlign w:val="subscript"/>
        </w:rPr>
        <w:t>1A</w:t>
      </w:r>
      <w:r>
        <w:rPr>
          <w:rFonts w:ascii="Times New Roman" w:cs="Times New Roman" w:eastAsia="Times New Roman" w:hAnsi="Times New Roman"/>
          <w:sz w:val="18"/>
          <w:szCs w:val="18"/>
          <w:color w:val="auto"/>
        </w:rPr>
        <w:t xml:space="preserve"> agonist being developed for the treatment of attention deficit hyperactivity disorder (“ADHD”), major depressive disorder (MDD) with EDS, binge eating disorder (“BED”) and excessive sleepiness associated with shift work disorder (“SWD”). We recently announced topline results from the FOCUS Phase 3 trial of solriamfetol in ADHD in adults and the PARADIGM Phase 3 trial of solriamfetol in MDD. Enrollment for the ENGAGE and SUSTAIN Phase 3 trials of solriamfetol in BED and SWD, respectively, are ongoing.</w:t>
      </w:r>
    </w:p>
    <w:p>
      <w:pPr>
        <w:spacing w:after="0" w:line="182" w:lineRule="exact"/>
        <w:rPr>
          <w:sz w:val="20"/>
          <w:szCs w:val="20"/>
          <w:color w:val="auto"/>
        </w:rPr>
      </w:pPr>
    </w:p>
    <w:p>
      <w:pPr>
        <w:ind w:right="120" w:firstLine="749"/>
        <w:spacing w:after="0" w:line="266" w:lineRule="auto"/>
        <w:rPr>
          <w:sz w:val="20"/>
          <w:szCs w:val="20"/>
          <w:color w:val="auto"/>
        </w:rPr>
      </w:pPr>
      <w:r>
        <w:rPr>
          <w:rFonts w:ascii="Times New Roman" w:cs="Times New Roman" w:eastAsia="Times New Roman" w:hAnsi="Times New Roman"/>
          <w:sz w:val="18"/>
          <w:szCs w:val="18"/>
          <w:color w:val="auto"/>
        </w:rPr>
        <w:t>AXS-12 (reboxetine) is a novel, oral, investigational, highly selective and potent norepinephrine reuptake inhibitor and cortical dopamine modulator being developed for the treatment of narcolepsy. We have successfully completed three Phase 2 and Phase 3, placebo-controlled efficacy trials and a long-term safety trial. AXS-12 has been granted FDA Orphan Drug Designation for narcolepsy.</w:t>
      </w:r>
    </w:p>
    <w:p>
      <w:pPr>
        <w:spacing w:after="0" w:line="176"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AXS-14 (esreboxetine) is a novel, oral, investigational, highly selective and potent norepinephrine reuptake inhibitor being developed for the management of fibromyalgia. Esreboxetine, the SS-enantiomer of reboxetine, is more potent and selective than racemic reboxetine. We have submitted an NDA to the FDA for AXS-14 for the management of fibromyalgia and, in June 2025, announced that we received a Refusal to File letter from the FDA for the NDA. To address the FDA’s feedback, Axsome will conduct an additional controlled trial.</w:t>
      </w:r>
    </w:p>
    <w:p>
      <w:pPr>
        <w:spacing w:after="0" w:line="180" w:lineRule="exact"/>
        <w:rPr>
          <w:sz w:val="20"/>
          <w:szCs w:val="20"/>
          <w:color w:val="auto"/>
        </w:rPr>
      </w:pPr>
    </w:p>
    <w:p>
      <w:pPr>
        <w:ind w:right="160" w:firstLine="749"/>
        <w:spacing w:after="0" w:line="261" w:lineRule="auto"/>
        <w:rPr>
          <w:sz w:val="20"/>
          <w:szCs w:val="20"/>
          <w:color w:val="auto"/>
        </w:rPr>
      </w:pPr>
      <w:r>
        <w:rPr>
          <w:rFonts w:ascii="Times New Roman" w:cs="Times New Roman" w:eastAsia="Times New Roman" w:hAnsi="Times New Roman"/>
          <w:sz w:val="18"/>
          <w:szCs w:val="18"/>
          <w:color w:val="auto"/>
        </w:rPr>
        <w:t>Since our incorporation in January 2012, our operations to date have included organizing and staffing our company, business planning, raising capital, developing our compounds, engaging in other discovery and preclinical activities, the commercial launches of Auvelity and Sunosi, and preparatory activities for the launch of Symbravo. Subsequent to our IPO, we financed our operations primarily through proceeds from sales of our common stock to equity investors and debt borrowings. For a further discussion, see the section entitled “Liquidity and Capital Resources” below.</w:t>
      </w:r>
    </w:p>
    <w:p>
      <w:pPr>
        <w:spacing w:after="0" w:line="180" w:lineRule="exact"/>
        <w:rPr>
          <w:sz w:val="20"/>
          <w:szCs w:val="20"/>
          <w:color w:val="auto"/>
        </w:rPr>
      </w:pPr>
    </w:p>
    <w:p>
      <w:pPr>
        <w:ind w:right="700" w:firstLine="749"/>
        <w:spacing w:after="0" w:line="282" w:lineRule="auto"/>
        <w:rPr>
          <w:sz w:val="20"/>
          <w:szCs w:val="20"/>
          <w:color w:val="auto"/>
        </w:rPr>
      </w:pPr>
      <w:r>
        <w:rPr>
          <w:rFonts w:ascii="Times New Roman" w:cs="Times New Roman" w:eastAsia="Times New Roman" w:hAnsi="Times New Roman"/>
          <w:sz w:val="18"/>
          <w:szCs w:val="18"/>
          <w:color w:val="auto"/>
        </w:rPr>
        <w:t>Our ability to become profitable depends on our ability to generate revenue. We have begun commercial sales of Auvelity, Sunosi, and Symbravo, but we have limited experience with commercializing these, or any, products.</w:t>
      </w:r>
    </w:p>
    <w:p>
      <w:pPr>
        <w:spacing w:after="0" w:line="162" w:lineRule="exact"/>
        <w:rPr>
          <w:sz w:val="20"/>
          <w:szCs w:val="20"/>
          <w:color w:val="auto"/>
        </w:rPr>
      </w:pPr>
    </w:p>
    <w:p>
      <w:pPr>
        <w:ind w:right="60" w:firstLine="749"/>
        <w:spacing w:after="0" w:line="254" w:lineRule="auto"/>
        <w:rPr>
          <w:sz w:val="20"/>
          <w:szCs w:val="20"/>
          <w:color w:val="auto"/>
        </w:rPr>
      </w:pPr>
      <w:r>
        <w:rPr>
          <w:rFonts w:ascii="Times New Roman" w:cs="Times New Roman" w:eastAsia="Times New Roman" w:hAnsi="Times New Roman"/>
          <w:sz w:val="18"/>
          <w:szCs w:val="18"/>
          <w:color w:val="auto"/>
        </w:rPr>
        <w:t>We have incurred significant operating and net losses since inception. We incurred net losses of $107.4 million and $147.7 million for the six months ended June 30, 2025 and 2024, respectively. Our accumulated deficit as of June 30, 2025 was $1,230.2 million, and we expect to incur significant expenses and continuing operating losses. We expect our expenses to increase in connection with our ongoing activities, as we continue the commercialization of our on-market products and the development and clinical trials of, and seek regulatory approval for, our current product candidates and any other product candidates that we develop or in-license and advance to clinical development. Further, we have incurred and will continue to incur additional costs associated with operating as a public company. Accordingly, we may need additional financing to support our continuing operations. We may seek to fund our operations through public or private equity, debt financings, or other sources. Adequate additional financing may not be available to us on acceptable terms, or at all. Our failure to raise capital as and when needed would have a negative impact on our financial condition and our ability to pursue our business strategy. We will need to generate significant revenue to achieve profitability, and we may never do so.</w:t>
      </w:r>
    </w:p>
    <w:p>
      <w:pPr>
        <w:spacing w:after="0" w:line="200" w:lineRule="exact"/>
        <w:rPr>
          <w:sz w:val="20"/>
          <w:szCs w:val="20"/>
          <w:color w:val="auto"/>
        </w:rPr>
      </w:pPr>
    </w:p>
    <w:p>
      <w:pPr>
        <w:spacing w:after="0" w:line="20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4" w:right="39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Overview</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9" w:lineRule="exact"/>
        <w:rPr>
          <w:sz w:val="20"/>
          <w:szCs w:val="20"/>
          <w:color w:val="auto"/>
        </w:rPr>
      </w:pPr>
    </w:p>
    <w:p>
      <w:pPr>
        <w:ind w:right="300" w:firstLine="749"/>
        <w:spacing w:after="0" w:line="282" w:lineRule="auto"/>
        <w:rPr>
          <w:sz w:val="20"/>
          <w:szCs w:val="20"/>
          <w:color w:val="auto"/>
        </w:rPr>
      </w:pPr>
      <w:r>
        <w:rPr>
          <w:rFonts w:ascii="Times New Roman" w:cs="Times New Roman" w:eastAsia="Times New Roman" w:hAnsi="Times New Roman"/>
          <w:sz w:val="18"/>
          <w:szCs w:val="18"/>
          <w:color w:val="auto"/>
        </w:rPr>
        <w:t>We generated total revenues of $150.0 million and $87.2 million in the three months ended June 30, 2025 and 2024, respectively, and $271.5 million and $162.2 million in the six months ended June 30, 2025 and 2024, respectively.</w:t>
      </w:r>
    </w:p>
    <w:p>
      <w:pPr>
        <w:spacing w:after="0" w:line="162"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We expect that Auvelity, Sunosi, and Symbravo revenues are likely to fluctuate based on demand quarter to quarter. We will not generate revenue from other products unless and until we successfully develop, obtain regulatory approval of, and commercialize one of our current or future product candidates. We have incurred significant operating losses since inception. If we fail to complete the development of our product candidates in a timely manner or obtain regulatory approval for them, our ability to generate future revenue from such product candidates, and our results of operations and financial position, would be materially and adversely affected. If we enter into licensing or collaboration arrangements, such agreements may or may not generate revenue in the future.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License Agreement with Pharmanovia</w:t>
      </w:r>
    </w:p>
    <w:p>
      <w:pPr>
        <w:spacing w:after="0" w:line="234" w:lineRule="exact"/>
        <w:rPr>
          <w:sz w:val="20"/>
          <w:szCs w:val="20"/>
          <w:color w:val="auto"/>
        </w:rPr>
      </w:pPr>
    </w:p>
    <w:p>
      <w:pPr>
        <w:ind w:right="140" w:firstLine="749"/>
        <w:spacing w:after="0" w:line="234" w:lineRule="auto"/>
        <w:rPr>
          <w:sz w:val="20"/>
          <w:szCs w:val="20"/>
          <w:color w:val="auto"/>
        </w:rPr>
      </w:pPr>
      <w:r>
        <w:rPr>
          <w:rFonts w:ascii="Times New Roman" w:cs="Times New Roman" w:eastAsia="Times New Roman" w:hAnsi="Times New Roman"/>
          <w:sz w:val="18"/>
          <w:szCs w:val="18"/>
          <w:color w:val="auto"/>
        </w:rPr>
        <w:t>In February 2023, we entered into the Pharmanovia License Agreement with Pharmanovia to commercialize and further develop Sunosi</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in the Territory. Pharmanovia is a UK-based global life cycle management healthcare company that focuses on four core therapeutic areas – Oncology, Endocrinology, Neurology and Cardiovascular.</w:t>
      </w:r>
    </w:p>
    <w:p>
      <w:pPr>
        <w:spacing w:after="0" w:line="198" w:lineRule="exact"/>
        <w:rPr>
          <w:sz w:val="20"/>
          <w:szCs w:val="20"/>
          <w:color w:val="auto"/>
        </w:rPr>
      </w:pPr>
    </w:p>
    <w:p>
      <w:pPr>
        <w:ind w:right="100" w:firstLine="749"/>
        <w:spacing w:after="0" w:line="261" w:lineRule="auto"/>
        <w:rPr>
          <w:sz w:val="20"/>
          <w:szCs w:val="20"/>
          <w:color w:val="auto"/>
        </w:rPr>
      </w:pPr>
      <w:r>
        <w:rPr>
          <w:rFonts w:ascii="Times New Roman" w:cs="Times New Roman" w:eastAsia="Times New Roman" w:hAnsi="Times New Roman"/>
          <w:sz w:val="18"/>
          <w:szCs w:val="18"/>
          <w:color w:val="auto"/>
        </w:rPr>
        <w:t>We are eligible to receive sales-based and other milestone payments totaling up to €94.5 million. We will receive a royalty percentage in the mid-twenties on net sales of the Licensed Products (as defined in the Pharmanovia License Agreement) in the Territory. We recognized royalty revenue of $1.1 million and $0.6 million for the three months ended June 30, 2025 and 2024, respectively, and $2.2 million and $1.5 million for the six months ended June 30, 2025 and 2024, respectively, related to Pharmanovia’s sales of Sunosi.</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229" w:lineRule="exact"/>
        <w:rPr>
          <w:sz w:val="20"/>
          <w:szCs w:val="20"/>
          <w:color w:val="auto"/>
        </w:rPr>
      </w:pPr>
    </w:p>
    <w:p>
      <w:pPr>
        <w:ind w:right="280" w:firstLine="749"/>
        <w:spacing w:after="0" w:line="282" w:lineRule="auto"/>
        <w:rPr>
          <w:sz w:val="20"/>
          <w:szCs w:val="20"/>
          <w:color w:val="auto"/>
        </w:rPr>
      </w:pPr>
      <w:r>
        <w:rPr>
          <w:rFonts w:ascii="Times New Roman" w:cs="Times New Roman" w:eastAsia="Times New Roman" w:hAnsi="Times New Roman"/>
          <w:sz w:val="18"/>
          <w:szCs w:val="18"/>
          <w:color w:val="auto"/>
        </w:rPr>
        <w:t>Cost of revenue includes direct costs of formulating, manufacturing and packaging drug product, overhead costs consisting of labor, customs, stock-based compensation, shipping, outside inventory management, royalty expense, and other miscellaneous operating costs.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229" w:lineRule="exact"/>
        <w:rPr>
          <w:sz w:val="20"/>
          <w:szCs w:val="20"/>
          <w:color w:val="auto"/>
        </w:rPr>
      </w:pPr>
    </w:p>
    <w:p>
      <w:pPr>
        <w:ind w:right="260" w:firstLine="749"/>
        <w:spacing w:after="0" w:line="220" w:lineRule="exact"/>
        <w:rPr>
          <w:sz w:val="20"/>
          <w:szCs w:val="20"/>
          <w:color w:val="auto"/>
        </w:rPr>
      </w:pPr>
      <w:r>
        <w:rPr>
          <w:rFonts w:ascii="Times New Roman" w:cs="Times New Roman" w:eastAsia="Times New Roman" w:hAnsi="Times New Roman"/>
          <w:sz w:val="18"/>
          <w:szCs w:val="18"/>
          <w:color w:val="auto"/>
        </w:rPr>
        <w:t>Research and development expenses primarily include preclinical studies, clinical trials, manufacturing costs, employee-related expenses including salaries, benefits, travel, and stock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 expense, contract services, including external research and development expenses incurred under arrangements with third parties, such as contract research organizations, or CROs, facilities costs, overhead costs, depreciation, and other related costs.</w:t>
      </w:r>
    </w:p>
    <w:p>
      <w:pPr>
        <w:spacing w:after="0" w:line="200" w:lineRule="exact"/>
        <w:rPr>
          <w:sz w:val="20"/>
          <w:szCs w:val="20"/>
          <w:color w:val="auto"/>
        </w:rPr>
      </w:pPr>
    </w:p>
    <w:p>
      <w:pPr>
        <w:ind w:right="40" w:firstLine="749"/>
        <w:spacing w:after="0" w:line="254" w:lineRule="auto"/>
        <w:rPr>
          <w:sz w:val="20"/>
          <w:szCs w:val="20"/>
          <w:color w:val="auto"/>
        </w:rPr>
      </w:pPr>
      <w:r>
        <w:rPr>
          <w:rFonts w:ascii="Times New Roman" w:cs="Times New Roman" w:eastAsia="Times New Roman" w:hAnsi="Times New Roman"/>
          <w:sz w:val="18"/>
          <w:szCs w:val="18"/>
          <w:color w:val="auto"/>
        </w:rPr>
        <w:t>Research and development activities are central to our business model. We have and will incur substantial costs beyond our present and planned clinical trials in order to file an NDA for any of our product candidates. It is difficult to determine with certainty the costs and duration of our current or future clinical trials and preclinical studies, or to what extent we will generate revenue from the commercialization and sale of Auvelity, Sunosi, Symbravo or our product candidates if we obtain regulatory approval. The duration, costs, and timing of clinical trials and development of our product candidates will depend on a variety of factors, including the uncertainties of future clinical trials and preclinical studies, uncertainties in clinical trial enrollment rate, and significant and changing government regulation. In addition, the probability of success for each product candidate will depend on numerous factors, including competition, manufacturing capability, and commercial viability. We will determine which programs to pursue and how much to fund each program in response to the scientific and clinical success of each product candidate, as well as an assessment of each product candidate’s commercial potential.</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140" w:firstLine="749"/>
        <w:spacing w:after="0" w:line="255" w:lineRule="auto"/>
        <w:rPr>
          <w:sz w:val="20"/>
          <w:szCs w:val="20"/>
          <w:color w:val="auto"/>
        </w:rPr>
      </w:pPr>
      <w:r>
        <w:rPr>
          <w:rFonts w:ascii="Times New Roman" w:cs="Times New Roman" w:eastAsia="Times New Roman" w:hAnsi="Times New Roman"/>
          <w:sz w:val="18"/>
          <w:szCs w:val="18"/>
          <w:color w:val="auto"/>
        </w:rPr>
        <w:t>Management considers many factors in developing the estimates and assumptions that are used in the preparation of these financial statements. Management must apply significant judgment in this process. In addition, other factors may affect estimates, including expected business and operational changes, sensitivity and volatility associated with the assumptions used in developing estimates, and whether historical trends are expected to be representative of future trends. The estimation process often may yield a range of potentially reasonable estimates of the ultimate future outcomes and management must select an amount that falls within that range of reasonable estimates. This process may result in actual results differing materially from those estimated amounts used in the preparation of the financial statements if these results differ from historical experience, or other assumptions do not turn out to be substantially accurate, even if such assumptions are reasonable when made.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229"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Selling, general and administrative expenses consist of salaries and related costs for personnel in executive, commercial, finance, and operational functions, including stock-based compensation and travel expenses. Also included in selling, general and administrative expenses are marketing costs, other commercial costs, pre-commercialization costs, facility-related costs, insurance expense, professional fees for legal and accounting services, and patent filing and prosecution costs. Selling, general and administrative expenses are expensed when incurred.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 net</w:t>
      </w:r>
    </w:p>
    <w:p>
      <w:pPr>
        <w:spacing w:after="0" w:line="229" w:lineRule="exact"/>
        <w:rPr>
          <w:sz w:val="20"/>
          <w:szCs w:val="20"/>
          <w:color w:val="auto"/>
        </w:rPr>
      </w:pPr>
    </w:p>
    <w:p>
      <w:pPr>
        <w:ind w:right="440" w:firstLine="749"/>
        <w:spacing w:after="0" w:line="266" w:lineRule="auto"/>
        <w:rPr>
          <w:sz w:val="20"/>
          <w:szCs w:val="20"/>
          <w:color w:val="auto"/>
        </w:rPr>
      </w:pPr>
      <w:r>
        <w:rPr>
          <w:rFonts w:ascii="Times New Roman" w:cs="Times New Roman" w:eastAsia="Times New Roman" w:hAnsi="Times New Roman"/>
          <w:sz w:val="18"/>
          <w:szCs w:val="18"/>
          <w:color w:val="auto"/>
        </w:rPr>
        <w:t>Interest expense, net primarily consists of cash interest and non-cash costs related to our term loans (see “Liquidity and Capital Resources” below for a further discussion). We amortize these costs over the term of our debt agreements as interest expense in our consolidated statement of operations. Interest expense, net also includes interest income earned on cash and cash equivalents.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Significant Judgments and Estimates</w:t>
      </w:r>
    </w:p>
    <w:p>
      <w:pPr>
        <w:spacing w:after="0" w:line="229" w:lineRule="exact"/>
        <w:rPr>
          <w:sz w:val="20"/>
          <w:szCs w:val="20"/>
          <w:color w:val="auto"/>
        </w:rPr>
      </w:pPr>
    </w:p>
    <w:p>
      <w:pPr>
        <w:ind w:right="240" w:firstLine="749"/>
        <w:spacing w:after="0" w:line="256" w:lineRule="auto"/>
        <w:rPr>
          <w:sz w:val="20"/>
          <w:szCs w:val="20"/>
          <w:color w:val="auto"/>
        </w:rPr>
      </w:pPr>
      <w:r>
        <w:rPr>
          <w:rFonts w:ascii="Times New Roman" w:cs="Times New Roman" w:eastAsia="Times New Roman" w:hAnsi="Times New Roman"/>
          <w:sz w:val="18"/>
          <w:szCs w:val="18"/>
          <w:color w:val="auto"/>
        </w:rPr>
        <w:t>This discussion and analysis of our financial condition and results of operations is based on our consolidated financial statements, which have been prepared in accordance with generally accepted accounting principles in the United States of America, or GAAP. The preparation of these consolidated financial statements requires us to make estimates and assumptions that affect the reported amounts of assets and liabilities, disclosure of contingent assets and liabilities at the date of the consolidated financial statements and the reported amounts of expenses during the reported period. In accordance with GAAP, we base our estimates on historical experience and on various other assumptions that we believe are reasonable under the circumstances. Actual results may differ from these estimates under different assumptions or conditions.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Reserves for Variable Consideration</w:t>
      </w:r>
    </w:p>
    <w:p>
      <w:pPr>
        <w:spacing w:after="0" w:line="227" w:lineRule="exact"/>
        <w:rPr>
          <w:sz w:val="20"/>
          <w:szCs w:val="20"/>
          <w:color w:val="auto"/>
        </w:rPr>
      </w:pPr>
    </w:p>
    <w:p>
      <w:pPr>
        <w:ind w:right="100" w:firstLine="749"/>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Medicare Part D Program Redesign </w:t>
      </w:r>
      <w:r>
        <w:rPr>
          <w:rFonts w:ascii="Times New Roman" w:cs="Times New Roman" w:eastAsia="Times New Roman" w:hAnsi="Times New Roman"/>
          <w:sz w:val="18"/>
          <w:szCs w:val="18"/>
          <w:color w:val="auto"/>
        </w:rPr>
        <w:t>- Effective January 1, 2025, the Medicare Part D coverage gap program was replaced with a redesigned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program under the Inflation Reduction Act of 2022. The standard Part D benefit now comprises three phases: the deductible phase, the initial coverage phase and the catastrophic coverage phase. Applicable dispensed drugs will be subject to manufacturer discounts of 10% during the initial coverage phase and 20% during the catastrophic coverage phase. We estimate the percentage of goods sold to patients in the initial coverage and catastrophic coverage phases and adjusts the transaction price for such discount at the time of sale resulting in a reduction to product sales as well as a component of accrued expenses and other current liabilities.</w:t>
      </w:r>
    </w:p>
    <w:p>
      <w:pPr>
        <w:spacing w:after="0" w:line="184" w:lineRule="exact"/>
        <w:rPr>
          <w:sz w:val="20"/>
          <w:szCs w:val="20"/>
          <w:color w:val="auto"/>
        </w:rPr>
      </w:pPr>
    </w:p>
    <w:p>
      <w:pPr>
        <w:ind w:right="220" w:firstLine="749"/>
        <w:spacing w:after="0" w:line="266" w:lineRule="auto"/>
        <w:rPr>
          <w:sz w:val="20"/>
          <w:szCs w:val="20"/>
          <w:color w:val="auto"/>
        </w:rPr>
      </w:pPr>
      <w:r>
        <w:rPr>
          <w:rFonts w:ascii="Times New Roman" w:cs="Times New Roman" w:eastAsia="Times New Roman" w:hAnsi="Times New Roman"/>
          <w:sz w:val="18"/>
          <w:szCs w:val="18"/>
          <w:color w:val="auto"/>
        </w:rPr>
        <w:t>Except for the Medicare Part D Program Redesign, as discussed above, there have been no material changes to the critical accounting policies disclosed in our 2024 Annual Report on Form 10-K. Our critical accounting policies are described in the notes to the consolidated financial statements appearing elsewhere in this Quarterly Report on Form 10-Q.</w:t>
      </w: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4" w:right="37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the periods indicated (in thousands, except share and per share amounts):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2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420" w:type="dxa"/>
            <w:vAlign w:val="bottom"/>
            <w:tcBorders>
              <w:bottom w:val="single" w:sz="8" w:color="auto"/>
            </w:tcBorders>
            <w:gridSpan w:val="4"/>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460" w:type="dxa"/>
            <w:vAlign w:val="bottom"/>
            <w:tcBorders>
              <w:bottom w:val="single" w:sz="8" w:color="auto"/>
            </w:tcBorders>
            <w:gridSpan w:val="4"/>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42"/>
        </w:trPr>
        <w:tc>
          <w:tcPr>
            <w:tcW w:w="52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3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5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5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7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r>
      <w:tr>
        <w:trPr>
          <w:trHeight w:val="209"/>
        </w:trPr>
        <w:tc>
          <w:tcPr>
            <w:tcW w:w="5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Revenues:</w:t>
            </w:r>
          </w:p>
        </w:tc>
        <w:tc>
          <w:tcPr>
            <w:tcW w:w="5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r>
      <w:tr>
        <w:trPr>
          <w:trHeight w:val="216"/>
        </w:trPr>
        <w:tc>
          <w:tcPr>
            <w:tcW w:w="5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Product sales, net</w:t>
            </w:r>
          </w:p>
        </w:tc>
        <w:tc>
          <w:tcPr>
            <w:tcW w:w="7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148,959</w:t>
            </w:r>
          </w:p>
        </w:tc>
        <w:tc>
          <w:tcPr>
            <w:tcW w:w="3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86,520</w:t>
            </w:r>
          </w:p>
        </w:tc>
        <w:tc>
          <w:tcPr>
            <w:tcW w:w="3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269,317</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160,616</w:t>
            </w:r>
          </w:p>
        </w:tc>
      </w:tr>
      <w:tr>
        <w:trPr>
          <w:trHeight w:val="216"/>
        </w:trPr>
        <w:tc>
          <w:tcPr>
            <w:tcW w:w="526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Royalty revenue</w:t>
            </w:r>
          </w:p>
        </w:tc>
        <w:tc>
          <w:tcPr>
            <w:tcW w:w="56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1,083</w:t>
            </w:r>
          </w:p>
        </w:tc>
        <w:tc>
          <w:tcPr>
            <w:tcW w:w="1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646</w:t>
            </w:r>
          </w:p>
        </w:tc>
        <w:tc>
          <w:tcPr>
            <w:tcW w:w="1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2,188</w:t>
            </w:r>
          </w:p>
        </w:tc>
        <w:tc>
          <w:tcPr>
            <w:tcW w:w="1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1,549</w:t>
            </w:r>
          </w:p>
        </w:tc>
      </w:tr>
      <w:tr>
        <w:trPr>
          <w:trHeight w:val="209"/>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5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150,042</w:t>
            </w:r>
          </w:p>
        </w:tc>
        <w:tc>
          <w:tcPr>
            <w:tcW w:w="1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87,166</w:t>
            </w:r>
          </w:p>
        </w:tc>
        <w:tc>
          <w:tcPr>
            <w:tcW w:w="1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271,505</w:t>
            </w:r>
          </w:p>
        </w:tc>
        <w:tc>
          <w:tcPr>
            <w:tcW w:w="1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162,165</w:t>
            </w:r>
          </w:p>
        </w:tc>
      </w:tr>
      <w:tr>
        <w:trPr>
          <w:trHeight w:val="210"/>
        </w:trPr>
        <w:tc>
          <w:tcPr>
            <w:tcW w:w="5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5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r>
      <w:tr>
        <w:trPr>
          <w:trHeight w:val="216"/>
        </w:trPr>
        <w:tc>
          <w:tcPr>
            <w:tcW w:w="5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Cost of revenue (excluding amortization and depreciation)</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13,448</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8,055</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23,237</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14,352</w:t>
            </w:r>
          </w:p>
        </w:tc>
      </w:tr>
      <w:tr>
        <w:trPr>
          <w:trHeight w:val="216"/>
        </w:trPr>
        <w:tc>
          <w:tcPr>
            <w:tcW w:w="52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5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49,541</w:t>
            </w: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49,853</w:t>
            </w: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94,326</w:t>
            </w: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86,683</w:t>
            </w:r>
          </w:p>
        </w:tc>
      </w:tr>
      <w:tr>
        <w:trPr>
          <w:trHeight w:val="216"/>
        </w:trPr>
        <w:tc>
          <w:tcPr>
            <w:tcW w:w="5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130,280</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103,554</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251,067</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202,524</w:t>
            </w:r>
          </w:p>
        </w:tc>
      </w:tr>
      <w:tr>
        <w:trPr>
          <w:trHeight w:val="216"/>
        </w:trPr>
        <w:tc>
          <w:tcPr>
            <w:tcW w:w="52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Loss (Gain) in fair value of contingent consideration</w:t>
            </w:r>
          </w:p>
        </w:tc>
        <w:tc>
          <w:tcPr>
            <w:tcW w:w="5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(8,102)</w:t>
            </w: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2,160</w:t>
            </w: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(6,590)</w:t>
            </w: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748</w:t>
            </w:r>
          </w:p>
        </w:tc>
      </w:tr>
      <w:tr>
        <w:trPr>
          <w:trHeight w:val="216"/>
        </w:trPr>
        <w:tc>
          <w:tcPr>
            <w:tcW w:w="5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Intangible asset amortization</w:t>
            </w:r>
          </w:p>
        </w:tc>
        <w:tc>
          <w:tcPr>
            <w:tcW w:w="5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1,589</w:t>
            </w:r>
          </w:p>
        </w:tc>
        <w:tc>
          <w:tcPr>
            <w:tcW w:w="1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1,590</w:t>
            </w:r>
          </w:p>
        </w:tc>
        <w:tc>
          <w:tcPr>
            <w:tcW w:w="1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3,161</w:t>
            </w:r>
          </w:p>
        </w:tc>
        <w:tc>
          <w:tcPr>
            <w:tcW w:w="1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3,179</w:t>
            </w:r>
          </w:p>
        </w:tc>
      </w:tr>
      <w:tr>
        <w:trPr>
          <w:trHeight w:val="210"/>
        </w:trPr>
        <w:tc>
          <w:tcPr>
            <w:tcW w:w="52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56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186,756</w:t>
            </w:r>
          </w:p>
        </w:tc>
        <w:tc>
          <w:tcPr>
            <w:tcW w:w="1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165,212</w:t>
            </w:r>
          </w:p>
        </w:tc>
        <w:tc>
          <w:tcPr>
            <w:tcW w:w="1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365,201</w:t>
            </w:r>
          </w:p>
        </w:tc>
        <w:tc>
          <w:tcPr>
            <w:tcW w:w="1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307,486</w:t>
            </w:r>
          </w:p>
        </w:tc>
      </w:tr>
      <w:tr>
        <w:trPr>
          <w:trHeight w:val="209"/>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(36,714)</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(78,046)</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(93,696)</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(145,321)</w:t>
            </w:r>
          </w:p>
        </w:tc>
      </w:tr>
      <w:tr>
        <w:trPr>
          <w:trHeight w:val="216"/>
        </w:trPr>
        <w:tc>
          <w:tcPr>
            <w:tcW w:w="52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Interest expense, net</w:t>
            </w:r>
          </w:p>
        </w:tc>
        <w:tc>
          <w:tcPr>
            <w:tcW w:w="5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(1,834)</w:t>
            </w: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(1,299)</w:t>
            </w: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(4,265)</w:t>
            </w: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(2,381)</w:t>
            </w:r>
          </w:p>
        </w:tc>
      </w:tr>
      <w:tr>
        <w:trPr>
          <w:trHeight w:val="216"/>
        </w:trPr>
        <w:tc>
          <w:tcPr>
            <w:tcW w:w="5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Loss on debt extinguishment</w:t>
            </w:r>
          </w:p>
        </w:tc>
        <w:tc>
          <w:tcPr>
            <w:tcW w:w="5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(10,385)</w:t>
            </w:r>
          </w:p>
        </w:tc>
        <w:tc>
          <w:tcPr>
            <w:tcW w:w="1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(10,385)</w:t>
            </w:r>
          </w:p>
        </w:tc>
        <w:tc>
          <w:tcPr>
            <w:tcW w:w="1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5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5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(48,933)</w:t>
            </w: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(79,345)</w:t>
            </w: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(108,346)</w:t>
            </w: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(147,702)</w:t>
            </w:r>
          </w:p>
        </w:tc>
      </w:tr>
      <w:tr>
        <w:trPr>
          <w:trHeight w:val="216"/>
        </w:trPr>
        <w:tc>
          <w:tcPr>
            <w:tcW w:w="5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Income tax benefit</w:t>
            </w:r>
          </w:p>
        </w:tc>
        <w:tc>
          <w:tcPr>
            <w:tcW w:w="5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960</w:t>
            </w:r>
          </w:p>
        </w:tc>
        <w:tc>
          <w:tcPr>
            <w:tcW w:w="1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960</w:t>
            </w:r>
          </w:p>
        </w:tc>
        <w:tc>
          <w:tcPr>
            <w:tcW w:w="1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56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(47,973)</w:t>
            </w: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(79,345)</w:t>
            </w: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(107,386)</w:t>
            </w:r>
          </w:p>
        </w:tc>
        <w:tc>
          <w:tcPr>
            <w:tcW w:w="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(147,702)</w:t>
            </w:r>
          </w:p>
        </w:tc>
      </w:tr>
      <w:tr>
        <w:trPr>
          <w:trHeight w:val="20"/>
        </w:trPr>
        <w:tc>
          <w:tcPr>
            <w:tcW w:w="5260" w:type="dxa"/>
            <w:vAlign w:val="bottom"/>
            <w:tcBorders>
              <w:top w:val="single" w:sz="8" w:color="CFF0FC"/>
            </w:tcBorders>
            <w:shd w:val="clear" w:color="auto" w:fill="CFF0FC"/>
          </w:tcPr>
          <w:p>
            <w:pPr>
              <w:spacing w:after="0" w:line="20" w:lineRule="exact"/>
              <w:rPr>
                <w:sz w:val="1"/>
                <w:szCs w:val="1"/>
                <w:color w:val="auto"/>
              </w:rPr>
            </w:pPr>
          </w:p>
        </w:tc>
        <w:tc>
          <w:tcPr>
            <w:tcW w:w="56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r>
      <w:tr>
        <w:trPr>
          <w:trHeight w:val="197"/>
        </w:trPr>
        <w:tc>
          <w:tcPr>
            <w:tcW w:w="52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Net loss per common share, basic and diluted</w:t>
            </w:r>
          </w:p>
        </w:tc>
        <w:tc>
          <w:tcPr>
            <w:tcW w:w="560" w:type="dxa"/>
            <w:vAlign w:val="bottom"/>
          </w:tcPr>
          <w:p>
            <w:pPr>
              <w:spacing w:after="0"/>
              <w:rPr>
                <w:sz w:val="17"/>
                <w:szCs w:val="17"/>
                <w:color w:val="auto"/>
              </w:rPr>
            </w:pPr>
          </w:p>
        </w:tc>
        <w:tc>
          <w:tcPr>
            <w:tcW w:w="200" w:type="dxa"/>
            <w:vAlign w:val="bottom"/>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(0.97)</w:t>
            </w:r>
          </w:p>
        </w:tc>
        <w:tc>
          <w:tcPr>
            <w:tcW w:w="140" w:type="dxa"/>
            <w:vAlign w:val="bottom"/>
          </w:tcPr>
          <w:p>
            <w:pPr>
              <w:spacing w:after="0"/>
              <w:rPr>
                <w:sz w:val="17"/>
                <w:szCs w:val="17"/>
                <w:color w:val="auto"/>
              </w:rPr>
            </w:pPr>
          </w:p>
        </w:tc>
        <w:tc>
          <w:tcPr>
            <w:tcW w:w="200" w:type="dxa"/>
            <w:vAlign w:val="bottom"/>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(1.67)</w:t>
            </w:r>
          </w:p>
        </w:tc>
        <w:tc>
          <w:tcPr>
            <w:tcW w:w="140" w:type="dxa"/>
            <w:vAlign w:val="bottom"/>
          </w:tcPr>
          <w:p>
            <w:pPr>
              <w:spacing w:after="0"/>
              <w:rPr>
                <w:sz w:val="17"/>
                <w:szCs w:val="17"/>
                <w:color w:val="auto"/>
              </w:rPr>
            </w:pPr>
          </w:p>
        </w:tc>
        <w:tc>
          <w:tcPr>
            <w:tcW w:w="200" w:type="dxa"/>
            <w:vAlign w:val="bottom"/>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(2.18)</w:t>
            </w:r>
          </w:p>
        </w:tc>
        <w:tc>
          <w:tcPr>
            <w:tcW w:w="340" w:type="dxa"/>
            <w:vAlign w:val="bottom"/>
            <w:gridSpan w:val="2"/>
          </w:tcPr>
          <w:p>
            <w:pPr>
              <w:jc w:val="right"/>
              <w:ind w:right="1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(3.11)</w:t>
            </w:r>
          </w:p>
        </w:tc>
      </w:tr>
      <w:tr>
        <w:trPr>
          <w:trHeight w:val="20"/>
        </w:trPr>
        <w:tc>
          <w:tcPr>
            <w:tcW w:w="5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r>
        <w:trPr>
          <w:trHeight w:val="236"/>
        </w:trPr>
        <w:tc>
          <w:tcPr>
            <w:tcW w:w="5260" w:type="dxa"/>
            <w:vAlign w:val="bottom"/>
            <w:tcBorders>
              <w:bottom w:val="single" w:sz="8" w:color="CFF0FC"/>
            </w:tcBorders>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Weighted average common shares outstanding, basic and diluted</w:t>
            </w:r>
          </w:p>
        </w:tc>
        <w:tc>
          <w:tcPr>
            <w:tcW w:w="56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1040" w:type="dxa"/>
            <w:vAlign w:val="bottom"/>
            <w:tcBorders>
              <w:bottom w:val="single" w:sz="8" w:color="auto"/>
            </w:tcBorders>
            <w:shd w:val="clear" w:color="auto" w:fill="CFF0FC"/>
          </w:tcPr>
          <w:p>
            <w:pPr>
              <w:jc w:val="right"/>
              <w:ind w:right="32"/>
              <w:spacing w:after="0" w:line="196" w:lineRule="exact"/>
              <w:rPr>
                <w:sz w:val="20"/>
                <w:szCs w:val="20"/>
                <w:color w:val="auto"/>
              </w:rPr>
            </w:pPr>
            <w:r>
              <w:rPr>
                <w:rFonts w:ascii="Times New Roman" w:cs="Times New Roman" w:eastAsia="Times New Roman" w:hAnsi="Times New Roman"/>
                <w:sz w:val="18"/>
                <w:szCs w:val="18"/>
                <w:color w:val="auto"/>
              </w:rPr>
              <w:t>49,442,001</w:t>
            </w:r>
          </w:p>
        </w:tc>
        <w:tc>
          <w:tcPr>
            <w:tcW w:w="14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1040" w:type="dxa"/>
            <w:vAlign w:val="bottom"/>
            <w:tcBorders>
              <w:bottom w:val="single" w:sz="8" w:color="auto"/>
            </w:tcBorders>
            <w:shd w:val="clear" w:color="auto" w:fill="CFF0FC"/>
          </w:tcPr>
          <w:p>
            <w:pPr>
              <w:jc w:val="right"/>
              <w:ind w:right="31"/>
              <w:spacing w:after="0" w:line="196" w:lineRule="exact"/>
              <w:rPr>
                <w:sz w:val="20"/>
                <w:szCs w:val="20"/>
                <w:color w:val="auto"/>
              </w:rPr>
            </w:pPr>
            <w:r>
              <w:rPr>
                <w:rFonts w:ascii="Times New Roman" w:cs="Times New Roman" w:eastAsia="Times New Roman" w:hAnsi="Times New Roman"/>
                <w:sz w:val="18"/>
                <w:szCs w:val="18"/>
                <w:color w:val="auto"/>
              </w:rPr>
              <w:t>47,573,229</w:t>
            </w:r>
          </w:p>
        </w:tc>
        <w:tc>
          <w:tcPr>
            <w:tcW w:w="14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1060" w:type="dxa"/>
            <w:vAlign w:val="bottom"/>
            <w:tcBorders>
              <w:bottom w:val="single" w:sz="8" w:color="auto"/>
            </w:tcBorders>
            <w:shd w:val="clear" w:color="auto" w:fill="CFF0FC"/>
          </w:tcPr>
          <w:p>
            <w:pPr>
              <w:jc w:val="right"/>
              <w:ind w:right="32"/>
              <w:spacing w:after="0" w:line="196" w:lineRule="exact"/>
              <w:rPr>
                <w:sz w:val="20"/>
                <w:szCs w:val="20"/>
                <w:color w:val="auto"/>
              </w:rPr>
            </w:pPr>
            <w:r>
              <w:rPr>
                <w:rFonts w:ascii="Times New Roman" w:cs="Times New Roman" w:eastAsia="Times New Roman" w:hAnsi="Times New Roman"/>
                <w:sz w:val="18"/>
                <w:szCs w:val="18"/>
                <w:color w:val="auto"/>
              </w:rPr>
              <w:t>49,158,159</w:t>
            </w:r>
          </w:p>
        </w:tc>
        <w:tc>
          <w:tcPr>
            <w:tcW w:w="14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1060" w:type="dxa"/>
            <w:vAlign w:val="bottom"/>
            <w:tcBorders>
              <w:bottom w:val="single" w:sz="8" w:color="auto"/>
            </w:tcBorders>
            <w:shd w:val="clear" w:color="auto" w:fill="CFF0FC"/>
          </w:tcPr>
          <w:p>
            <w:pPr>
              <w:jc w:val="right"/>
              <w:ind w:right="51"/>
              <w:spacing w:after="0" w:line="196" w:lineRule="exact"/>
              <w:rPr>
                <w:sz w:val="20"/>
                <w:szCs w:val="20"/>
                <w:color w:val="auto"/>
              </w:rPr>
            </w:pPr>
            <w:r>
              <w:rPr>
                <w:rFonts w:ascii="Times New Roman" w:cs="Times New Roman" w:eastAsia="Times New Roman" w:hAnsi="Times New Roman"/>
                <w:sz w:val="18"/>
                <w:szCs w:val="18"/>
                <w:color w:val="auto"/>
              </w:rPr>
              <w:t>47,482,602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4488180</wp:posOffset>
            </wp:positionH>
            <wp:positionV relativeFrom="paragraph">
              <wp:posOffset>-2322195</wp:posOffset>
            </wp:positionV>
            <wp:extent cx="8572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-2322195</wp:posOffset>
            </wp:positionV>
            <wp:extent cx="8572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-2322195</wp:posOffset>
            </wp:positionV>
            <wp:extent cx="85725"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-1199515</wp:posOffset>
            </wp:positionV>
            <wp:extent cx="85725"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-1199515</wp:posOffset>
            </wp:positionV>
            <wp:extent cx="85725"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-1199515</wp:posOffset>
            </wp:positionV>
            <wp:extent cx="85725"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-350520</wp:posOffset>
            </wp:positionV>
            <wp:extent cx="85725"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-333375</wp:posOffset>
            </wp:positionV>
            <wp:extent cx="85725"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-350520</wp:posOffset>
            </wp:positionV>
            <wp:extent cx="85725"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-333375</wp:posOffset>
            </wp:positionV>
            <wp:extent cx="85725"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-350520</wp:posOffset>
            </wp:positionV>
            <wp:extent cx="85725"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-333375</wp:posOffset>
            </wp:positionV>
            <wp:extent cx="85725"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-24765</wp:posOffset>
            </wp:positionV>
            <wp:extent cx="85725"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-7620</wp:posOffset>
            </wp:positionV>
            <wp:extent cx="85725"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-24765</wp:posOffset>
            </wp:positionV>
            <wp:extent cx="85725"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-7620</wp:posOffset>
            </wp:positionV>
            <wp:extent cx="85725"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-24765</wp:posOffset>
            </wp:positionV>
            <wp:extent cx="85725"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-7620</wp:posOffset>
            </wp:positionV>
            <wp:extent cx="85725"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76" w:lineRule="exact"/>
        <w:rPr>
          <w:sz w:val="20"/>
          <w:szCs w:val="20"/>
          <w:color w:val="auto"/>
        </w:rPr>
      </w:pPr>
    </w:p>
    <w:p>
      <w:pPr>
        <w:ind w:right="180" w:firstLine="749"/>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Product sales, net. </w:t>
      </w:r>
      <w:r>
        <w:rPr>
          <w:rFonts w:ascii="Times New Roman" w:cs="Times New Roman" w:eastAsia="Times New Roman" w:hAnsi="Times New Roman"/>
          <w:sz w:val="18"/>
          <w:szCs w:val="18"/>
          <w:color w:val="auto"/>
        </w:rPr>
        <w:t>Auvelity U.S. net sales were $119.6 million and $215.9 million for the three and six months ended June 30, 2025,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respectively, as compared to $65.0 million and $118.4 million for the same periods in 2024. Sunosi net sales were $28.9 million and $53.0 million for the three and six months ended June 30, 2025, respectively, as compared to $21.5 million and $42.2 million for the same periods in 2024. We began commercial sales of Symbravo in June 2025 and had U.S. net sales of $0.4 million for the three months ended June 30, 2025. No Symbravo sales were recorded in 2024. The increases in both comparable periods were primarily due to the increase in unit sales volume for both Auvelity and Sunosi, and commercial launch of Symbravo in June 2025.</w:t>
      </w:r>
    </w:p>
    <w:p>
      <w:pPr>
        <w:spacing w:after="0" w:line="18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table summarizes the activity of our sales allowance and reserves as of and for the six months ended June 30, 2025 (in thousands):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Commercial</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discounts and</w:t>
            </w:r>
          </w:p>
        </w:tc>
        <w:tc>
          <w:tcPr>
            <w:tcW w:w="80" w:type="dxa"/>
            <w:vAlign w:val="bottom"/>
          </w:tcPr>
          <w:p>
            <w:pPr>
              <w:spacing w:after="0"/>
              <w:rPr>
                <w:sz w:val="12"/>
                <w:szCs w:val="12"/>
                <w:color w:val="auto"/>
              </w:rPr>
            </w:pPr>
          </w:p>
        </w:tc>
        <w:tc>
          <w:tcPr>
            <w:tcW w:w="1280" w:type="dxa"/>
            <w:vAlign w:val="bottom"/>
            <w:gridSpan w:val="3"/>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Cash discounts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Medicaid and</w:t>
            </w: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820" w:type="dxa"/>
            <w:vAlign w:val="bottom"/>
          </w:tcPr>
          <w:p>
            <w:pPr>
              <w:spacing w:after="0"/>
              <w:rPr>
                <w:sz w:val="12"/>
                <w:szCs w:val="12"/>
                <w:color w:val="auto"/>
              </w:rPr>
            </w:pPr>
          </w:p>
        </w:tc>
        <w:tc>
          <w:tcPr>
            <w:tcW w:w="1300" w:type="dxa"/>
            <w:vAlign w:val="bottom"/>
            <w:gridSpan w:val="3"/>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rebates, returns</w:t>
            </w:r>
          </w:p>
        </w:tc>
        <w:tc>
          <w:tcPr>
            <w:tcW w:w="80" w:type="dxa"/>
            <w:vAlign w:val="bottom"/>
          </w:tcPr>
          <w:p>
            <w:pPr>
              <w:spacing w:after="0"/>
              <w:rPr>
                <w:sz w:val="12"/>
                <w:szCs w:val="12"/>
                <w:color w:val="auto"/>
              </w:rPr>
            </w:pPr>
          </w:p>
        </w:tc>
        <w:tc>
          <w:tcPr>
            <w:tcW w:w="128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vMerge w:val="restart"/>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8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rPr>
              <w:t>and other</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and chargebacks</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Medicare rebates</w:t>
            </w:r>
          </w:p>
        </w:tc>
        <w:tc>
          <w:tcPr>
            <w:tcW w:w="2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55,412</w:t>
            </w:r>
          </w:p>
        </w:tc>
        <w:tc>
          <w:tcPr>
            <w:tcW w:w="160" w:type="dxa"/>
            <w:vAlign w:val="bottom"/>
            <w:shd w:val="clear" w:color="auto" w:fill="CFF0FC"/>
          </w:tcPr>
          <w:p>
            <w:pPr>
              <w:spacing w:after="0"/>
              <w:rPr>
                <w:sz w:val="18"/>
                <w:szCs w:val="18"/>
                <w:color w:val="auto"/>
              </w:rPr>
            </w:pPr>
          </w:p>
        </w:tc>
        <w:tc>
          <w:tcPr>
            <w:tcW w:w="420" w:type="dxa"/>
            <w:vAlign w:val="bottom"/>
            <w:gridSpan w:val="2"/>
            <w:shd w:val="clear" w:color="auto" w:fill="CFF0FC"/>
          </w:tcPr>
          <w:p>
            <w:pPr>
              <w:jc w:val="right"/>
              <w:ind w:right="162"/>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13,504</w:t>
            </w:r>
          </w:p>
        </w:tc>
        <w:tc>
          <w:tcPr>
            <w:tcW w:w="140" w:type="dxa"/>
            <w:vAlign w:val="bottom"/>
            <w:shd w:val="clear" w:color="auto" w:fill="CFF0FC"/>
          </w:tcPr>
          <w:p>
            <w:pPr>
              <w:spacing w:after="0"/>
              <w:rPr>
                <w:sz w:val="18"/>
                <w:szCs w:val="18"/>
                <w:color w:val="auto"/>
              </w:rPr>
            </w:pP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18,538</w:t>
            </w: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87,454</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Provisions</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184,548</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67,694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43,586</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295,828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Payments/credits</w:t>
            </w:r>
          </w:p>
        </w:tc>
        <w:tc>
          <w:tcPr>
            <w:tcW w:w="12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(158,426)</w:t>
            </w:r>
          </w:p>
        </w:tc>
        <w:tc>
          <w:tcPr>
            <w:tcW w:w="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(61,386)</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(25,492)</w:t>
            </w:r>
          </w:p>
        </w:tc>
        <w:tc>
          <w:tcPr>
            <w:tcW w:w="24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(245,304)</w:t>
            </w:r>
          </w:p>
        </w:tc>
        <w:tc>
          <w:tcPr>
            <w:tcW w:w="0" w:type="dxa"/>
            <w:vAlign w:val="bottom"/>
          </w:tcPr>
          <w:p>
            <w:pPr>
              <w:spacing w:after="0"/>
              <w:rPr>
                <w:sz w:val="1"/>
                <w:szCs w:val="1"/>
                <w:color w:val="auto"/>
              </w:rPr>
            </w:pPr>
          </w:p>
        </w:tc>
      </w:tr>
      <w:tr>
        <w:trPr>
          <w:trHeight w:val="210"/>
        </w:trPr>
        <w:tc>
          <w:tcPr>
            <w:tcW w:w="58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Balance at June 30, 2025</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81,534</w:t>
            </w:r>
          </w:p>
        </w:tc>
        <w:tc>
          <w:tcPr>
            <w:tcW w:w="160" w:type="dxa"/>
            <w:vAlign w:val="bottom"/>
            <w:tcBorders>
              <w:top w:val="single" w:sz="8" w:color="CFF0FC"/>
            </w:tcBorders>
          </w:tcPr>
          <w:p>
            <w:pPr>
              <w:spacing w:after="0"/>
              <w:rPr>
                <w:sz w:val="18"/>
                <w:szCs w:val="18"/>
                <w:color w:val="auto"/>
              </w:rPr>
            </w:pPr>
          </w:p>
        </w:tc>
        <w:tc>
          <w:tcPr>
            <w:tcW w:w="80" w:type="dxa"/>
            <w:vAlign w:val="bottom"/>
            <w:tcBorders>
              <w:top w:val="single" w:sz="8" w:color="CFF0FC"/>
            </w:tcBorders>
          </w:tcPr>
          <w:p>
            <w:pPr>
              <w:spacing w:after="0"/>
              <w:rPr>
                <w:sz w:val="18"/>
                <w:szCs w:val="18"/>
                <w:color w:val="auto"/>
              </w:rPr>
            </w:pPr>
          </w:p>
        </w:tc>
        <w:tc>
          <w:tcPr>
            <w:tcW w:w="340" w:type="dxa"/>
            <w:vAlign w:val="bottom"/>
            <w:tcBorders>
              <w:top w:val="single" w:sz="8" w:color="auto"/>
              <w:bottom w:val="single" w:sz="8" w:color="auto"/>
            </w:tcBorders>
          </w:tcPr>
          <w:p>
            <w:pPr>
              <w:jc w:val="right"/>
              <w:ind w:right="162"/>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19,812</w:t>
            </w:r>
          </w:p>
        </w:tc>
        <w:tc>
          <w:tcPr>
            <w:tcW w:w="14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36,632</w:t>
            </w:r>
          </w:p>
        </w:tc>
        <w:tc>
          <w:tcPr>
            <w:tcW w:w="260" w:type="dxa"/>
            <w:vAlign w:val="bottom"/>
            <w:tcBorders>
              <w:top w:val="single" w:sz="8" w:color="CFF0FC"/>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137,978</w:t>
            </w:r>
          </w:p>
        </w:tc>
        <w:tc>
          <w:tcPr>
            <w:tcW w:w="12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-170815</wp:posOffset>
            </wp:positionV>
            <wp:extent cx="6858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-170815</wp:posOffset>
            </wp:positionV>
            <wp:extent cx="6858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-170815</wp:posOffset>
            </wp:positionV>
            <wp:extent cx="6858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6" w:lineRule="exact"/>
        <w:rPr>
          <w:sz w:val="20"/>
          <w:szCs w:val="20"/>
          <w:color w:val="auto"/>
        </w:rPr>
      </w:pPr>
    </w:p>
    <w:p>
      <w:pPr>
        <w:ind w:right="20" w:firstLine="74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Royalty revenue. </w:t>
      </w:r>
      <w:r>
        <w:rPr>
          <w:rFonts w:ascii="Times New Roman" w:cs="Times New Roman" w:eastAsia="Times New Roman" w:hAnsi="Times New Roman"/>
          <w:sz w:val="18"/>
          <w:szCs w:val="18"/>
          <w:color w:val="auto"/>
        </w:rPr>
        <w:t>In connection with the February 2023 Pharmanovia License Agreement to commercialize Sunosi in certain ex-U.S. markets,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recognized royalty revenue of $1.1 million and $2.2 million for the three and six months ended June 30, 2025, respectively, as compared to $0.6 million and $1.5 million for the same periods in 2024 attributable to Pharmanovia sales of Sunosi in the out-licensed markets. The increases in both comparable periods were in line with the increase in unit sales volume of Sunosi in certain ex-U.S. markets.</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60" w:firstLine="74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Cost of revenue. </w:t>
      </w:r>
      <w:r>
        <w:rPr>
          <w:rFonts w:ascii="Times New Roman" w:cs="Times New Roman" w:eastAsia="Times New Roman" w:hAnsi="Times New Roman"/>
          <w:sz w:val="18"/>
          <w:szCs w:val="18"/>
          <w:color w:val="auto"/>
        </w:rPr>
        <w:t>Cost of revenue was $13.4 million and $23.2 million for the three and six months ended June 30, 2025, respectively,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$8.1 million and $14.4 million for the same periods in 2024. The increase was in line with the increase in sales of Auvelity and Sunosi, and commercial launch of Symbravo in June 2025.</w:t>
      </w:r>
    </w:p>
    <w:p>
      <w:pPr>
        <w:spacing w:after="0" w:line="173" w:lineRule="exact"/>
        <w:rPr>
          <w:sz w:val="20"/>
          <w:szCs w:val="20"/>
          <w:color w:val="auto"/>
        </w:rPr>
      </w:pPr>
    </w:p>
    <w:p>
      <w:pPr>
        <w:ind w:right="180" w:firstLine="74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Research and development. </w:t>
      </w:r>
      <w:r>
        <w:rPr>
          <w:rFonts w:ascii="Times New Roman" w:cs="Times New Roman" w:eastAsia="Times New Roman" w:hAnsi="Times New Roman"/>
          <w:sz w:val="18"/>
          <w:szCs w:val="18"/>
          <w:color w:val="auto"/>
        </w:rPr>
        <w:t>The following table summarizes our research and development expenses for our primary products for the three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six months ended June 30, 2025 and 2024 (in thousands):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8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400" w:type="dxa"/>
            <w:vAlign w:val="bottom"/>
            <w:tcBorders>
              <w:bottom w:val="single" w:sz="8" w:color="auto"/>
            </w:tcBorders>
            <w:gridSpan w:val="4"/>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400" w:type="dxa"/>
            <w:vAlign w:val="bottom"/>
            <w:tcBorders>
              <w:bottom w:val="single" w:sz="8" w:color="auto"/>
            </w:tcBorders>
            <w:gridSpan w:val="4"/>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42"/>
        </w:trPr>
        <w:tc>
          <w:tcPr>
            <w:tcW w:w="58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3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45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45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7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r>
      <w:tr>
        <w:trPr>
          <w:trHeight w:val="209"/>
        </w:trPr>
        <w:tc>
          <w:tcPr>
            <w:tcW w:w="58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Solriamfetol</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10,770</w:t>
            </w:r>
          </w:p>
        </w:tc>
        <w:tc>
          <w:tcPr>
            <w:tcW w:w="4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15,633</w:t>
            </w:r>
          </w:p>
        </w:tc>
        <w:tc>
          <w:tcPr>
            <w:tcW w:w="4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22,576</w:t>
            </w:r>
          </w:p>
        </w:tc>
        <w:tc>
          <w:tcPr>
            <w:tcW w:w="3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24,197</w:t>
            </w:r>
          </w:p>
        </w:tc>
      </w:tr>
      <w:tr>
        <w:trPr>
          <w:trHeight w:val="216"/>
        </w:trPr>
        <w:tc>
          <w:tcPr>
            <w:tcW w:w="5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AXS-05</w:t>
            </w:r>
          </w:p>
        </w:tc>
        <w:tc>
          <w:tcPr>
            <w:tcW w:w="220" w:type="dxa"/>
            <w:vAlign w:val="bottom"/>
          </w:tcPr>
          <w:p>
            <w:pPr>
              <w:spacing w:after="0"/>
              <w:rPr>
                <w:sz w:val="18"/>
                <w:szCs w:val="18"/>
                <w:color w:val="auto"/>
              </w:rPr>
            </w:pPr>
          </w:p>
        </w:tc>
        <w:tc>
          <w:tcPr>
            <w:tcW w:w="10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14,564</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15,763</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29,041</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29,288</w:t>
            </w:r>
          </w:p>
        </w:tc>
      </w:tr>
      <w:tr>
        <w:trPr>
          <w:trHeight w:val="216"/>
        </w:trPr>
        <w:tc>
          <w:tcPr>
            <w:tcW w:w="58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AXS-07</w:t>
            </w: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6,075</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3,973</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10,554</w:t>
            </w: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6,945</w:t>
            </w:r>
          </w:p>
        </w:tc>
      </w:tr>
      <w:tr>
        <w:trPr>
          <w:trHeight w:val="216"/>
        </w:trPr>
        <w:tc>
          <w:tcPr>
            <w:tcW w:w="5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AXS-12</w:t>
            </w:r>
          </w:p>
        </w:tc>
        <w:tc>
          <w:tcPr>
            <w:tcW w:w="220" w:type="dxa"/>
            <w:vAlign w:val="bottom"/>
          </w:tcPr>
          <w:p>
            <w:pPr>
              <w:spacing w:after="0"/>
              <w:rPr>
                <w:sz w:val="18"/>
                <w:szCs w:val="18"/>
                <w:color w:val="auto"/>
              </w:rPr>
            </w:pPr>
          </w:p>
        </w:tc>
        <w:tc>
          <w:tcPr>
            <w:tcW w:w="10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1,737</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3,078</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4,146</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5,124</w:t>
            </w:r>
          </w:p>
        </w:tc>
      </w:tr>
      <w:tr>
        <w:trPr>
          <w:trHeight w:val="216"/>
        </w:trPr>
        <w:tc>
          <w:tcPr>
            <w:tcW w:w="58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AXS-14</w:t>
            </w: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6,225</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3,761</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7,411</w:t>
            </w: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6,370</w:t>
            </w:r>
          </w:p>
        </w:tc>
      </w:tr>
      <w:tr>
        <w:trPr>
          <w:trHeight w:val="216"/>
        </w:trPr>
        <w:tc>
          <w:tcPr>
            <w:tcW w:w="5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research and development (*)</w:t>
            </w:r>
          </w:p>
        </w:tc>
        <w:tc>
          <w:tcPr>
            <w:tcW w:w="220" w:type="dxa"/>
            <w:vAlign w:val="bottom"/>
          </w:tcPr>
          <w:p>
            <w:pPr>
              <w:spacing w:after="0"/>
              <w:rPr>
                <w:sz w:val="18"/>
                <w:szCs w:val="18"/>
                <w:color w:val="auto"/>
              </w:rPr>
            </w:pPr>
          </w:p>
        </w:tc>
        <w:tc>
          <w:tcPr>
            <w:tcW w:w="10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3,229</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2,573</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7,198</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5,119</w:t>
            </w:r>
          </w:p>
        </w:tc>
      </w:tr>
      <w:tr>
        <w:trPr>
          <w:trHeight w:val="216"/>
        </w:trPr>
        <w:tc>
          <w:tcPr>
            <w:tcW w:w="582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Stock-based compensation</w:t>
            </w:r>
          </w:p>
        </w:tc>
        <w:tc>
          <w:tcPr>
            <w:tcW w:w="22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6,941</w:t>
            </w:r>
          </w:p>
        </w:tc>
        <w:tc>
          <w:tcPr>
            <w:tcW w:w="1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5,072</w:t>
            </w:r>
          </w:p>
        </w:tc>
        <w:tc>
          <w:tcPr>
            <w:tcW w:w="1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13,400</w:t>
            </w:r>
          </w:p>
        </w:tc>
        <w:tc>
          <w:tcPr>
            <w:tcW w:w="1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9,640</w:t>
            </w:r>
          </w:p>
        </w:tc>
      </w:tr>
      <w:tr>
        <w:trPr>
          <w:trHeight w:val="209"/>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49,541</w:t>
            </w: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49,853</w:t>
            </w: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94,326</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86,683</w:t>
            </w:r>
          </w:p>
        </w:tc>
      </w:tr>
      <w:tr>
        <w:trPr>
          <w:trHeight w:val="20"/>
        </w:trPr>
        <w:tc>
          <w:tcPr>
            <w:tcW w:w="58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4488180</wp:posOffset>
            </wp:positionH>
            <wp:positionV relativeFrom="paragraph">
              <wp:posOffset>-170815</wp:posOffset>
            </wp:positionV>
            <wp:extent cx="85725"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-170815</wp:posOffset>
            </wp:positionV>
            <wp:extent cx="85725"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-170815</wp:posOffset>
            </wp:positionV>
            <wp:extent cx="85725"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Other research and development expenses primarily consist of facilities charges, third party consultant costs, costs related to other product candidates, and other unallocated costs.</w:t>
      </w:r>
    </w:p>
    <w:p>
      <w:pPr>
        <w:spacing w:after="0" w:line="208"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Research and development expenses decreased by $0.4 million and increased by $7.6 million for the three and six months ended June 30, 2025, respectively, as compared to the same periods in 2024. The decrease in the three months ended comparable period was due to the completion of trials for solriamfetol in ADHD and MDD along with AXS-05 in Alzheimer’s Disease Agitation, which was partially offset by higher personnel costs. The increase in the six months ended comparable period was due to higher costs for AXS-07 and AXS-14. This was partially offset by lower spending due to completion of trials for MDD and ADHD for solriamfetol and for AXS-12. We expect research and development costs to stabilize at current levels through the end of 2025 as certain development programs near completion while new development programs are initiated.</w:t>
      </w:r>
    </w:p>
    <w:p>
      <w:pPr>
        <w:spacing w:after="0" w:line="185" w:lineRule="exact"/>
        <w:rPr>
          <w:sz w:val="20"/>
          <w:szCs w:val="20"/>
          <w:color w:val="auto"/>
        </w:rPr>
      </w:pPr>
    </w:p>
    <w:p>
      <w:pPr>
        <w:ind w:right="200" w:firstLine="749"/>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Selling, general and administrative. </w:t>
      </w:r>
      <w:r>
        <w:rPr>
          <w:rFonts w:ascii="Times New Roman" w:cs="Times New Roman" w:eastAsia="Times New Roman" w:hAnsi="Times New Roman"/>
          <w:sz w:val="18"/>
          <w:szCs w:val="18"/>
          <w:color w:val="auto"/>
        </w:rPr>
        <w:t>Selling, general and administrative expenses were $130.3 million and $251.1 million for the three and six</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months ended June 30, 2025, respectively, as compared to $103.6 million and $202.5 million for the same periods in 2024. The increases in both comparable periods were related to higher commercial activities for Auvelity and Symbravo, and higher personnel costs related to organizational growth, including non-cash stock-based compensation. We expect selling, general and administrative expenses to increase through the end of 2025 as we expand marketing, promotional, and advertising costs for Auvelity and Symbravo.</w:t>
      </w:r>
    </w:p>
    <w:p>
      <w:pPr>
        <w:spacing w:after="0" w:line="183" w:lineRule="exact"/>
        <w:rPr>
          <w:sz w:val="20"/>
          <w:szCs w:val="20"/>
          <w:color w:val="auto"/>
        </w:rPr>
      </w:pPr>
    </w:p>
    <w:p>
      <w:pPr>
        <w:ind w:right="180" w:firstLine="74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Loss (Gain) in Fair Value of Contingent Consideration. </w:t>
      </w:r>
      <w:r>
        <w:rPr>
          <w:rFonts w:ascii="Times New Roman" w:cs="Times New Roman" w:eastAsia="Times New Roman" w:hAnsi="Times New Roman"/>
          <w:sz w:val="18"/>
          <w:szCs w:val="18"/>
          <w:color w:val="auto"/>
        </w:rPr>
        <w:t>The $8.1 million and $6.6 million changes for the three and six months ended June 30,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2025, respectively, as compared to $2.2 million and $0.7 million changes for the same periods in 2024, were primarily related to changes in significant unobservable inputs, including discount rates.</w:t>
      </w:r>
    </w:p>
    <w:p>
      <w:pPr>
        <w:spacing w:after="0" w:line="173" w:lineRule="exact"/>
        <w:rPr>
          <w:sz w:val="20"/>
          <w:szCs w:val="20"/>
          <w:color w:val="auto"/>
        </w:rPr>
      </w:pPr>
    </w:p>
    <w:p>
      <w:pPr>
        <w:ind w:right="20" w:firstLine="749"/>
        <w:spacing w:after="0" w:line="267" w:lineRule="auto"/>
        <w:rPr>
          <w:sz w:val="20"/>
          <w:szCs w:val="20"/>
          <w:color w:val="auto"/>
        </w:rPr>
      </w:pPr>
      <w:r>
        <w:rPr>
          <w:rFonts w:ascii="Times New Roman" w:cs="Times New Roman" w:eastAsia="Times New Roman" w:hAnsi="Times New Roman"/>
          <w:sz w:val="18"/>
          <w:szCs w:val="18"/>
          <w:i w:val="1"/>
          <w:iCs w:val="1"/>
          <w:color w:val="auto"/>
        </w:rPr>
        <w:t>Intangible asset amortization</w:t>
      </w:r>
      <w:r>
        <w:rPr>
          <w:rFonts w:ascii="Times New Roman" w:cs="Times New Roman" w:eastAsia="Times New Roman" w:hAnsi="Times New Roman"/>
          <w:sz w:val="18"/>
          <w:szCs w:val="18"/>
          <w:color w:val="auto"/>
        </w:rPr>
        <w:t>. We amortize the intangible asset, which we recognized as part of the Acquisition, over its useful life of 10 years.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Intangible asset amortization was $1.6 million for both the three months ended June 30, 2025 and 2024 and $3.2 million for both the six months ended June 30, 2025 and 2024.</w:t>
      </w:r>
    </w:p>
    <w:p>
      <w:pPr>
        <w:spacing w:after="0" w:line="173" w:lineRule="exact"/>
        <w:rPr>
          <w:sz w:val="20"/>
          <w:szCs w:val="20"/>
          <w:color w:val="auto"/>
        </w:rPr>
      </w:pPr>
    </w:p>
    <w:p>
      <w:pPr>
        <w:ind w:right="180" w:firstLine="74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Interest expense, net. </w:t>
      </w:r>
      <w:r>
        <w:rPr>
          <w:rFonts w:ascii="Times New Roman" w:cs="Times New Roman" w:eastAsia="Times New Roman" w:hAnsi="Times New Roman"/>
          <w:sz w:val="18"/>
          <w:szCs w:val="18"/>
          <w:color w:val="auto"/>
        </w:rPr>
        <w:t>Interest expense, net was $1.8 million and $4.3 million for the three and six months ended June 30, 2025, respectively,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$1.3 million and $2.4 million for the same periods in 2024. The increase was mainly due to less interest income on lower cash balances.</w:t>
      </w:r>
    </w:p>
    <w:p>
      <w:pPr>
        <w:spacing w:after="0" w:line="158" w:lineRule="exact"/>
        <w:rPr>
          <w:sz w:val="20"/>
          <w:szCs w:val="20"/>
          <w:color w:val="auto"/>
        </w:rPr>
      </w:pPr>
    </w:p>
    <w:p>
      <w:pPr>
        <w:ind w:right="300" w:firstLine="74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Income tax expense. </w:t>
      </w:r>
      <w:r>
        <w:rPr>
          <w:rFonts w:ascii="Times New Roman" w:cs="Times New Roman" w:eastAsia="Times New Roman" w:hAnsi="Times New Roman"/>
          <w:sz w:val="18"/>
          <w:szCs w:val="18"/>
          <w:color w:val="auto"/>
        </w:rPr>
        <w:t>We recorded a tax benefit of $1.0 million for the three and six months ended June 30, 2025 due to favorable return-to-provision adjustments attributable to certain foreign tax returns filed during July 2025. We did not record an income tax benefit or expense for the same periods in 2024.</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Net loss. </w:t>
      </w:r>
      <w:r>
        <w:rPr>
          <w:rFonts w:ascii="Times New Roman" w:cs="Times New Roman" w:eastAsia="Times New Roman" w:hAnsi="Times New Roman"/>
          <w:sz w:val="18"/>
          <w:szCs w:val="18"/>
          <w:color w:val="auto"/>
        </w:rPr>
        <w:t>Net loss was $48.0 million and $107.4 million for the three and six months ended June 30, 2025, respectively, as compared to $79.3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and $147.7 million for the same periods in 2024. The decreases in both comparable periods were primarily due to higher sales which was partially offset by higher research and development spend from ongoing clinical trial expenses, higher selling, general and administrative expenses from commercial activities related to Auvelity, Sunosi, and Symbravo, including sales force and marketing spend, and higher personnel costs due to organizational growth, including non-cash stock compensation expense.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ind w:right="80" w:firstLine="749"/>
        <w:spacing w:after="0" w:line="282" w:lineRule="auto"/>
        <w:rPr>
          <w:sz w:val="20"/>
          <w:szCs w:val="20"/>
          <w:color w:val="auto"/>
        </w:rPr>
      </w:pPr>
      <w:r>
        <w:rPr>
          <w:rFonts w:ascii="Times New Roman" w:cs="Times New Roman" w:eastAsia="Times New Roman" w:hAnsi="Times New Roman"/>
          <w:sz w:val="18"/>
          <w:szCs w:val="18"/>
          <w:color w:val="auto"/>
        </w:rPr>
        <w:t>Since our inception through June 30, 2025, we have financed our operations primarily through proceeds from equity offerings, debt borrowings, and proceeds from product sales. See discussion below.</w:t>
      </w:r>
    </w:p>
    <w:p>
      <w:pPr>
        <w:spacing w:after="0" w:line="162" w:lineRule="exact"/>
        <w:rPr>
          <w:sz w:val="20"/>
          <w:szCs w:val="20"/>
          <w:color w:val="auto"/>
        </w:rPr>
      </w:pPr>
    </w:p>
    <w:p>
      <w:pPr>
        <w:jc w:val="both"/>
        <w:ind w:right="220" w:firstLine="749"/>
        <w:spacing w:after="0" w:line="266" w:lineRule="auto"/>
        <w:rPr>
          <w:sz w:val="20"/>
          <w:szCs w:val="20"/>
          <w:color w:val="auto"/>
        </w:rPr>
      </w:pPr>
      <w:r>
        <w:rPr>
          <w:rFonts w:ascii="Times New Roman" w:cs="Times New Roman" w:eastAsia="Times New Roman" w:hAnsi="Times New Roman"/>
          <w:sz w:val="18"/>
          <w:szCs w:val="18"/>
          <w:color w:val="auto"/>
        </w:rPr>
        <w:t>In March 2022, we entered into a sales agreement, or the March 2022 Sales Agreement with Leerink, and filed a prospectus supplement. The March 2022 Sales Agreement supersedes the sales agreement, dated December 5, 2019, by and between us and Leerink. We exhausted sales of shares of our common stock under our prior at-the-market offering program.</w:t>
      </w:r>
    </w:p>
    <w:p>
      <w:pPr>
        <w:spacing w:after="0" w:line="176" w:lineRule="exact"/>
        <w:rPr>
          <w:sz w:val="20"/>
          <w:szCs w:val="20"/>
          <w:color w:val="auto"/>
        </w:rPr>
      </w:pPr>
    </w:p>
    <w:p>
      <w:pPr>
        <w:ind w:right="100" w:firstLine="749"/>
        <w:spacing w:after="0" w:line="256" w:lineRule="auto"/>
        <w:rPr>
          <w:sz w:val="20"/>
          <w:szCs w:val="20"/>
          <w:color w:val="auto"/>
        </w:rPr>
      </w:pPr>
      <w:r>
        <w:rPr>
          <w:rFonts w:ascii="Times New Roman" w:cs="Times New Roman" w:eastAsia="Times New Roman" w:hAnsi="Times New Roman"/>
          <w:sz w:val="18"/>
          <w:szCs w:val="18"/>
          <w:color w:val="auto"/>
        </w:rPr>
        <w:t>On December 2, 2022, we filed an automatic shelf registration statement with the SEC for the issuance of common stock, preferred stock, warrants, rights, debt securities, and units up to an unlimited amount, which we refer to as the 2022 Shelf Registration Statement. It was declared effective by the SEC upon filing. In the future, we may conduct additional offerings of one or more of these securities utilizing the 2022 Shelf Registration Statement in such amounts, prices and terms to be announced when and if the securities are offered. At the time any of our securities covered by the 2022 Shelf Registration Statement are offered for sale, a prospectus supplement will be prepared and filed with the SEC containing specific information about the terms of any such offering.</w:t>
      </w:r>
    </w:p>
    <w:p>
      <w:pPr>
        <w:spacing w:after="0" w:line="187"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In December 2022, in connection with the 2022 Shelf Registration Statement, we filed a new sales agreement prospectus to replace the prior prospectus supplement filed in August 2022 associated with the expired 2019 Shelf Registration Statement. The new sales agreement prospectus covered the issuance and sale by us of up to the same $250 million of our common stock that may be issued and sold from time to time through Leerink, as the sales agent, under the March 2022 Sales Agreement.</w:t>
      </w:r>
    </w:p>
    <w:p>
      <w:pPr>
        <w:spacing w:after="0" w:line="180" w:lineRule="exact"/>
        <w:rPr>
          <w:sz w:val="20"/>
          <w:szCs w:val="20"/>
          <w:color w:val="auto"/>
        </w:rPr>
      </w:pPr>
    </w:p>
    <w:p>
      <w:pPr>
        <w:ind w:right="300" w:firstLine="749"/>
        <w:spacing w:after="0" w:line="282" w:lineRule="auto"/>
        <w:rPr>
          <w:sz w:val="20"/>
          <w:szCs w:val="20"/>
          <w:color w:val="auto"/>
        </w:rPr>
      </w:pPr>
      <w:r>
        <w:rPr>
          <w:rFonts w:ascii="Times New Roman" w:cs="Times New Roman" w:eastAsia="Times New Roman" w:hAnsi="Times New Roman"/>
          <w:sz w:val="18"/>
          <w:szCs w:val="18"/>
          <w:color w:val="auto"/>
        </w:rPr>
        <w:t>Under the March 2022 Sales Agreement, for the six months ended June 30, 2025, we received approximately $37.3 million in gross proceeds through the sale of 322,970 shares, of which net proceeds were approximately $36.5 million.</w:t>
      </w:r>
    </w:p>
    <w:p>
      <w:pPr>
        <w:spacing w:after="0" w:line="162" w:lineRule="exact"/>
        <w:rPr>
          <w:sz w:val="20"/>
          <w:szCs w:val="20"/>
          <w:color w:val="auto"/>
        </w:rPr>
      </w:pPr>
    </w:p>
    <w:p>
      <w:pPr>
        <w:jc w:val="both"/>
        <w:ind w:right="140" w:firstLine="749"/>
        <w:spacing w:after="0" w:line="258" w:lineRule="auto"/>
        <w:rPr>
          <w:sz w:val="20"/>
          <w:szCs w:val="20"/>
          <w:color w:val="auto"/>
        </w:rPr>
      </w:pPr>
      <w:r>
        <w:rPr>
          <w:rFonts w:ascii="Times New Roman" w:cs="Times New Roman" w:eastAsia="Times New Roman" w:hAnsi="Times New Roman"/>
          <w:sz w:val="18"/>
          <w:szCs w:val="18"/>
          <w:color w:val="auto"/>
        </w:rPr>
        <w:t>In June 2023, we completed an underwritten public offering of our common stock and sold 3.0 million shares of our common stock at a public offering price of $75.00 per share. Net proceeds were $211.3 million, net of underwriting discounts and commissions of $13.5 million and other offering costs of $0.2 million. Additionally, in connection with this public offering, in July 2023, the underwriters fully exercised their option to purchase 450,000 additional shares of our common stock, at a public offering price of $75.00 per share. The net proceeds were $31.7 million, net of underwriting discounts and commissions of $2.0 million and other minimal offering costs.</w:t>
      </w:r>
    </w:p>
    <w:p>
      <w:pPr>
        <w:spacing w:after="0" w:line="183"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In the future, we may conduct additional offerings of one or more of the securities covered by the 2022 Shelf Registration Statement in such amounts, prices and terms to be announced when and if the securities are offered. At the time any of our securities covered by the 2022 Shelf Registration Statement are offered for sale, a prospectus supplement will be prepared and filed with the SEC containing specific information about the terms of any such offering.</w:t>
      </w:r>
    </w:p>
    <w:p>
      <w:pPr>
        <w:spacing w:after="0" w:line="180" w:lineRule="exact"/>
        <w:rPr>
          <w:sz w:val="20"/>
          <w:szCs w:val="20"/>
          <w:color w:val="auto"/>
        </w:rPr>
      </w:pPr>
    </w:p>
    <w:p>
      <w:pPr>
        <w:ind w:right="300" w:firstLine="749"/>
        <w:spacing w:after="0" w:line="282" w:lineRule="auto"/>
        <w:rPr>
          <w:sz w:val="20"/>
          <w:szCs w:val="20"/>
          <w:color w:val="auto"/>
        </w:rPr>
      </w:pPr>
      <w:r>
        <w:rPr>
          <w:rFonts w:ascii="Times New Roman" w:cs="Times New Roman" w:eastAsia="Times New Roman" w:hAnsi="Times New Roman"/>
          <w:sz w:val="18"/>
          <w:szCs w:val="18"/>
          <w:color w:val="auto"/>
        </w:rPr>
        <w:t>On February 21, 2023, we entered into a Sublease with Advance Magazine Publishers d/b/a Conde Nast for the entirety of the twenty-second floor of One Word Trade Center in New York, NY, or the Initial Sublease.</w:t>
      </w:r>
    </w:p>
    <w:p>
      <w:pPr>
        <w:spacing w:after="0" w:line="162" w:lineRule="exact"/>
        <w:rPr>
          <w:sz w:val="20"/>
          <w:szCs w:val="20"/>
          <w:color w:val="auto"/>
        </w:rPr>
      </w:pPr>
    </w:p>
    <w:p>
      <w:pPr>
        <w:jc w:val="both"/>
        <w:ind w:right="180" w:firstLine="749"/>
        <w:spacing w:after="0" w:line="261" w:lineRule="auto"/>
        <w:rPr>
          <w:sz w:val="20"/>
          <w:szCs w:val="20"/>
          <w:color w:val="auto"/>
        </w:rPr>
      </w:pPr>
      <w:r>
        <w:rPr>
          <w:rFonts w:ascii="Times New Roman" w:cs="Times New Roman" w:eastAsia="Times New Roman" w:hAnsi="Times New Roman"/>
          <w:sz w:val="18"/>
          <w:szCs w:val="18"/>
          <w:color w:val="auto"/>
        </w:rPr>
        <w:t>On January 17, 2025, we entered into an Amendment to our Sublease, or First Amendment, pursuant to which we will relinquish our existing space in One World Trade Center and commence occupancy of different space within the building. This space is utilized as our corporate and executive offices. The First Amendment extends the Initial Sublease expiration date to January 31, 2036. We now have a one-time option to terminate the Sublease effective March 30, 2031 upon the payment of a fee to the sublandlord. The Company is responsible for base rent</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under the Sublease and certain additional customary variable costs, such as an allocable portion of building taxes and operating expenses. In connection with the Initial Sublease and First Amendment, we received certain rent and work concessions from the sublandlord.</w:t>
      </w:r>
    </w:p>
    <w:p>
      <w:pPr>
        <w:spacing w:after="0" w:line="162" w:lineRule="exact"/>
        <w:rPr>
          <w:sz w:val="20"/>
          <w:szCs w:val="20"/>
          <w:color w:val="auto"/>
        </w:rPr>
      </w:pPr>
    </w:p>
    <w:p>
      <w:pPr>
        <w:ind w:right="100" w:firstLine="794"/>
        <w:spacing w:after="0" w:line="266" w:lineRule="auto"/>
        <w:rPr>
          <w:sz w:val="20"/>
          <w:szCs w:val="20"/>
          <w:color w:val="auto"/>
        </w:rPr>
      </w:pPr>
      <w:r>
        <w:rPr>
          <w:rFonts w:ascii="Times New Roman" w:cs="Times New Roman" w:eastAsia="Times New Roman" w:hAnsi="Times New Roman"/>
          <w:sz w:val="18"/>
          <w:szCs w:val="18"/>
          <w:color w:val="auto"/>
        </w:rPr>
        <w:t>The Company entered into a fleet lease program beginning the first quarter of 2024. The lease agreement includes an initial 12-month noncancelable period with monthly renewal options thereafter. Lease terms range from approximately 40 to 50 months and are classified as finance leases. See Note 9. Commitments and Contingencies for further information on future contractual obligations.</w:t>
      </w:r>
    </w:p>
    <w:p>
      <w:pPr>
        <w:spacing w:after="0" w:line="176" w:lineRule="exact"/>
        <w:rPr>
          <w:sz w:val="20"/>
          <w:szCs w:val="20"/>
          <w:color w:val="auto"/>
        </w:rPr>
      </w:pPr>
    </w:p>
    <w:p>
      <w:pPr>
        <w:ind w:right="20" w:firstLine="749"/>
        <w:spacing w:after="0" w:line="258" w:lineRule="auto"/>
        <w:rPr>
          <w:sz w:val="20"/>
          <w:szCs w:val="20"/>
          <w:color w:val="auto"/>
        </w:rPr>
      </w:pPr>
      <w:r>
        <w:rPr>
          <w:rFonts w:ascii="Times New Roman" w:cs="Times New Roman" w:eastAsia="Times New Roman" w:hAnsi="Times New Roman"/>
          <w:sz w:val="18"/>
          <w:szCs w:val="18"/>
          <w:color w:val="auto"/>
        </w:rPr>
        <w:t>As described below in the “Loan Agreement with Blackstone” section, on May 8, 2025, we entered into a loan agreement (the “Blackstone Loan Agreement”) with Blackstone Alternative Credit Advisors LP and Blackstone Life Sciences Advisors L.L.C. (collectively, the “Blackstone Representative” and referred to herein as “Blackstone”), certain subsidiaries of our party thereto as guarantors, Wilmington Trust, National Association, as agent, and the lenders from time to time party thereto (collectively, the “Lenders”). The Blackstone Loan Agreement provides for Loans in an aggregate principal amount of up to $570.0 million.</w:t>
      </w:r>
    </w:p>
    <w:p>
      <w:pPr>
        <w:spacing w:after="0" w:line="183" w:lineRule="exact"/>
        <w:rPr>
          <w:sz w:val="20"/>
          <w:szCs w:val="20"/>
          <w:color w:val="auto"/>
        </w:rPr>
      </w:pPr>
    </w:p>
    <w:p>
      <w:pPr>
        <w:ind w:right="60" w:firstLine="749"/>
        <w:spacing w:after="0" w:line="282" w:lineRule="auto"/>
        <w:rPr>
          <w:sz w:val="20"/>
          <w:szCs w:val="20"/>
          <w:color w:val="auto"/>
        </w:rPr>
      </w:pPr>
      <w:r>
        <w:rPr>
          <w:rFonts w:ascii="Times New Roman" w:cs="Times New Roman" w:eastAsia="Times New Roman" w:hAnsi="Times New Roman"/>
          <w:sz w:val="18"/>
          <w:szCs w:val="18"/>
          <w:color w:val="auto"/>
        </w:rPr>
        <w:t>On May 8, 2025, we repaid in full our obligations under the Hercules Loan Agreement using proceeds from the Blackstone Loan Agreement. As of June 30, 2025, there are no outstanding obligations under the Hercules Loan Agreement.</w:t>
      </w:r>
    </w:p>
    <w:p>
      <w:pPr>
        <w:spacing w:after="0" w:line="162" w:lineRule="exact"/>
        <w:rPr>
          <w:sz w:val="20"/>
          <w:szCs w:val="20"/>
          <w:color w:val="auto"/>
        </w:rPr>
      </w:pPr>
    </w:p>
    <w:p>
      <w:pPr>
        <w:ind w:right="20" w:firstLine="749"/>
        <w:spacing w:after="0" w:line="261" w:lineRule="auto"/>
        <w:rPr>
          <w:sz w:val="20"/>
          <w:szCs w:val="20"/>
          <w:color w:val="auto"/>
        </w:rPr>
      </w:pPr>
      <w:r>
        <w:rPr>
          <w:rFonts w:ascii="Times New Roman" w:cs="Times New Roman" w:eastAsia="Times New Roman" w:hAnsi="Times New Roman"/>
          <w:sz w:val="18"/>
          <w:szCs w:val="18"/>
          <w:color w:val="auto"/>
        </w:rPr>
        <w:t>We believe that our current cash is sufficient to fund anticipated operations into cash flow positivity, based on the current operating plan. Because the process of commercializing products and evaluating product candidates in clinical trials is costly and the timing of progress in these trials is uncertain, it is possible that the assumptions upon which we have based this estimate may prove to be wrong, and we could use our capital resources sooner than we currently expect.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table summarizes our primary sources and uses of cash for the periods indicated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00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2800" w:type="dxa"/>
            <w:vAlign w:val="bottom"/>
            <w:tcBorders>
              <w:bottom w:val="single" w:sz="8" w:color="auto"/>
            </w:tcBorders>
            <w:gridSpan w:val="4"/>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700" w:type="dxa"/>
            <w:vAlign w:val="bottom"/>
            <w:tcBorders>
              <w:bottom w:val="single" w:sz="8" w:color="auto"/>
            </w:tcBorders>
          </w:tcPr>
          <w:p>
            <w:pPr>
              <w:spacing w:after="0"/>
              <w:rPr>
                <w:sz w:val="15"/>
                <w:szCs w:val="15"/>
                <w:color w:val="auto"/>
              </w:rPr>
            </w:pPr>
          </w:p>
        </w:tc>
      </w:tr>
      <w:tr>
        <w:trPr>
          <w:trHeight w:val="142"/>
        </w:trPr>
        <w:tc>
          <w:tcPr>
            <w:tcW w:w="500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9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700" w:type="dxa"/>
            <w:vAlign w:val="bottom"/>
          </w:tcPr>
          <w:p>
            <w:pPr>
              <w:spacing w:after="0"/>
              <w:rPr>
                <w:sz w:val="12"/>
                <w:szCs w:val="12"/>
                <w:color w:val="auto"/>
              </w:rPr>
            </w:pPr>
          </w:p>
        </w:tc>
        <w:tc>
          <w:tcPr>
            <w:tcW w:w="1140" w:type="dxa"/>
            <w:vAlign w:val="bottom"/>
            <w:gridSpan w:val="2"/>
          </w:tcPr>
          <w:p>
            <w:pPr>
              <w:jc w:val="right"/>
              <w:ind w:right="4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700" w:type="dxa"/>
            <w:vAlign w:val="bottom"/>
          </w:tcPr>
          <w:p>
            <w:pPr>
              <w:spacing w:after="0"/>
              <w:rPr>
                <w:sz w:val="12"/>
                <w:szCs w:val="12"/>
                <w:color w:val="auto"/>
              </w:rPr>
            </w:pPr>
          </w:p>
        </w:tc>
      </w:tr>
      <w:tr>
        <w:trPr>
          <w:trHeight w:val="210"/>
        </w:trPr>
        <w:tc>
          <w:tcPr>
            <w:tcW w:w="5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provided by:</w:t>
            </w:r>
          </w:p>
        </w:tc>
        <w:tc>
          <w:tcPr>
            <w:tcW w:w="2740" w:type="dxa"/>
            <w:vAlign w:val="bottom"/>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spacing w:after="0"/>
              <w:rPr>
                <w:sz w:val="18"/>
                <w:szCs w:val="18"/>
                <w:color w:val="auto"/>
              </w:rPr>
            </w:pPr>
          </w:p>
        </w:tc>
      </w:tr>
      <w:tr>
        <w:trPr>
          <w:trHeight w:val="216"/>
        </w:trPr>
        <w:tc>
          <w:tcPr>
            <w:tcW w:w="5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activities</w:t>
            </w:r>
          </w:p>
        </w:tc>
        <w:tc>
          <w:tcPr>
            <w:tcW w:w="3700" w:type="dxa"/>
            <w:vAlign w:val="bottom"/>
            <w:gridSpan w:val="2"/>
          </w:tcPr>
          <w:p>
            <w:pPr>
              <w:jc w:val="right"/>
              <w:ind w:right="782"/>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(75,798)</w:t>
            </w:r>
          </w:p>
        </w:tc>
        <w:tc>
          <w:tcPr>
            <w:tcW w:w="1140" w:type="dxa"/>
            <w:vAlign w:val="bottom"/>
            <w:gridSpan w:val="2"/>
          </w:tcPr>
          <w:p>
            <w:pPr>
              <w:jc w:val="right"/>
              <w:ind w:right="8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(83,577)</w:t>
            </w:r>
          </w:p>
        </w:tc>
      </w:tr>
      <w:tr>
        <w:trPr>
          <w:trHeight w:val="216"/>
        </w:trPr>
        <w:tc>
          <w:tcPr>
            <w:tcW w:w="50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Investing activities</w:t>
            </w:r>
          </w:p>
        </w:tc>
        <w:tc>
          <w:tcPr>
            <w:tcW w:w="27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w:t>
            </w:r>
          </w:p>
        </w:tc>
      </w:tr>
      <w:tr>
        <w:trPr>
          <w:trHeight w:val="216"/>
        </w:trPr>
        <w:tc>
          <w:tcPr>
            <w:tcW w:w="5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Financing activities</w:t>
            </w:r>
          </w:p>
        </w:tc>
        <w:tc>
          <w:tcPr>
            <w:tcW w:w="274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63,812</w:t>
            </w:r>
          </w:p>
        </w:tc>
        <w:tc>
          <w:tcPr>
            <w:tcW w:w="18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13,191</w:t>
            </w:r>
          </w:p>
        </w:tc>
      </w:tr>
      <w:tr>
        <w:trPr>
          <w:trHeight w:val="230"/>
        </w:trPr>
        <w:tc>
          <w:tcPr>
            <w:tcW w:w="5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decrease in cash</w:t>
            </w:r>
          </w:p>
        </w:tc>
        <w:tc>
          <w:tcPr>
            <w:tcW w:w="274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782"/>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(12,337)</w:t>
            </w:r>
          </w:p>
        </w:tc>
        <w:tc>
          <w:tcPr>
            <w:tcW w:w="1140" w:type="dxa"/>
            <w:vAlign w:val="bottom"/>
            <w:gridSpan w:val="2"/>
            <w:shd w:val="clear" w:color="auto" w:fill="CFF0FC"/>
          </w:tcPr>
          <w:p>
            <w:pPr>
              <w:jc w:val="right"/>
              <w:ind w:right="8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(70,536)</w:t>
            </w:r>
          </w:p>
        </w:tc>
      </w:tr>
      <w:tr>
        <w:trPr>
          <w:trHeight w:val="20"/>
        </w:trPr>
        <w:tc>
          <w:tcPr>
            <w:tcW w:w="5000" w:type="dxa"/>
            <w:vAlign w:val="bottom"/>
            <w:tcBorders>
              <w:top w:val="single" w:sz="8" w:color="CFF0FC"/>
            </w:tcBorders>
            <w:shd w:val="clear" w:color="auto" w:fill="CFF0FC"/>
          </w:tcPr>
          <w:p>
            <w:pPr>
              <w:spacing w:after="0" w:line="20" w:lineRule="exact"/>
              <w:rPr>
                <w:sz w:val="1"/>
                <w:szCs w:val="1"/>
                <w:color w:val="auto"/>
              </w:rPr>
            </w:pPr>
          </w:p>
        </w:tc>
        <w:tc>
          <w:tcPr>
            <w:tcW w:w="2740" w:type="dxa"/>
            <w:vAlign w:val="bottom"/>
            <w:tcBorders>
              <w:top w:val="single" w:sz="8" w:color="CFF0FC"/>
            </w:tcBorders>
            <w:shd w:val="clear" w:color="auto" w:fill="CFF0FC"/>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-24765</wp:posOffset>
            </wp:positionV>
            <wp:extent cx="111125"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-8255</wp:posOffset>
            </wp:positionV>
            <wp:extent cx="111125"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11125" cy="8890"/>
                    </a:xfrm>
                    <a:prstGeom prst="rect">
                      <a:avLst/>
                    </a:prstGeom>
                    <a:noFill/>
                  </pic:spPr>
                </pic:pic>
              </a:graphicData>
            </a:graphic>
          </wp:anchor>
        </w:drawing>
      </w:r>
    </w:p>
    <w:p>
      <w:pPr>
        <w:spacing w:after="0" w:line="176" w:lineRule="exact"/>
        <w:rPr>
          <w:sz w:val="20"/>
          <w:szCs w:val="20"/>
          <w:color w:val="auto"/>
        </w:rPr>
      </w:pPr>
    </w:p>
    <w:p>
      <w:pPr>
        <w:jc w:val="both"/>
        <w:ind w:right="160" w:firstLine="74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Operating Activities. </w:t>
      </w:r>
      <w:r>
        <w:rPr>
          <w:rFonts w:ascii="Times New Roman" w:cs="Times New Roman" w:eastAsia="Times New Roman" w:hAnsi="Times New Roman"/>
          <w:sz w:val="18"/>
          <w:szCs w:val="18"/>
          <w:color w:val="auto"/>
        </w:rPr>
        <w:t>Cash used in operating activities for the six months ended June 30, 2025 was $75.8 million, as compared to $83.6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the same period in 2024. The decrease of $7.8 million was primarily due to higher net product revenues from Auvelity and Sunosi in 2025, which was partially offset by an increase in cash used in commercial and clinical related activities.</w:t>
      </w:r>
    </w:p>
    <w:p>
      <w:pPr>
        <w:spacing w:after="0" w:line="173" w:lineRule="exact"/>
        <w:rPr>
          <w:sz w:val="20"/>
          <w:szCs w:val="20"/>
          <w:color w:val="auto"/>
        </w:rPr>
      </w:pPr>
    </w:p>
    <w:p>
      <w:pPr>
        <w:ind w:right="120" w:firstLine="74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Investing Activities. </w:t>
      </w:r>
      <w:r>
        <w:rPr>
          <w:rFonts w:ascii="Times New Roman" w:cs="Times New Roman" w:eastAsia="Times New Roman" w:hAnsi="Times New Roman"/>
          <w:sz w:val="18"/>
          <w:szCs w:val="18"/>
          <w:color w:val="auto"/>
        </w:rPr>
        <w:t>Cash used in investing activities for the six months ended June 30, 2025 was $351 thousand, as compared to $150 thousand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the same period in 2024. The increase was impacted by the move into our new corporate office space during the first quarter of 2025.</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firstLine="749"/>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Financing Activities. </w:t>
      </w:r>
      <w:r>
        <w:rPr>
          <w:rFonts w:ascii="Times New Roman" w:cs="Times New Roman" w:eastAsia="Times New Roman" w:hAnsi="Times New Roman"/>
          <w:sz w:val="18"/>
          <w:szCs w:val="18"/>
          <w:color w:val="auto"/>
        </w:rPr>
        <w:t>Cash provided by financing activities was $63.8 million for the six months ended June 30, 2025, which included net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proceeds of $186.4 million from draw-downs related to the Blackstone Loans and net proceeds of $51.4 million from issuance of common stock for financing purposes as well as proceeds of $28.7 million from the issuance of common stock upon the exercise of employee stock options and under the ESPP, which was partially offset by the repayment of the Hercules Loan, for a total of $192.0 million, and payments of contingent consideration and tax withholdings on stock awards, for a total of $9.7 million. Cash provided by financing activities was $13.2 million for the six months ended June 30, 2024, which included net proceeds of $11.0 million from issuance of common stock for financing purposes as well as proceeds of $9.2 million from the issuance of common stock upon the exercise of employee stock options and under the ESPP, which was partially offset by payments of contingent consideration and tax withholdings on stock awards, for a total of $6.7 million.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Funding Requirements</w:t>
      </w:r>
    </w:p>
    <w:p>
      <w:pPr>
        <w:spacing w:after="0" w:line="229"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We have not achieved profitability since our inception, and we expect to continue to have losses as we continue the development of, and seek regulatory approvals for, our product candidates, while further investing in Auvelity, Sunosi, and Symbravo. We are subject to all of the risks pertinent to the development of new product candidates, and we may encounter unforeseen expenses, difficulties, complications, delays, and other unknown factors that may harm our business.</w:t>
      </w:r>
    </w:p>
    <w:p>
      <w:pPr>
        <w:spacing w:after="0" w:line="180" w:lineRule="exact"/>
        <w:rPr>
          <w:sz w:val="20"/>
          <w:szCs w:val="20"/>
          <w:color w:val="auto"/>
        </w:rPr>
      </w:pPr>
    </w:p>
    <w:p>
      <w:pPr>
        <w:ind w:right="60" w:firstLine="749"/>
        <w:spacing w:after="0" w:line="258" w:lineRule="auto"/>
        <w:rPr>
          <w:sz w:val="20"/>
          <w:szCs w:val="20"/>
          <w:color w:val="auto"/>
        </w:rPr>
      </w:pPr>
      <w:r>
        <w:rPr>
          <w:rFonts w:ascii="Times New Roman" w:cs="Times New Roman" w:eastAsia="Times New Roman" w:hAnsi="Times New Roman"/>
          <w:sz w:val="18"/>
          <w:szCs w:val="18"/>
          <w:color w:val="auto"/>
        </w:rPr>
        <w:t>We may need to raise additional financing in the future to fund our operations. In the event that we need additional financing, we may incur additional debt, license certain intellectual property, and seek to sell additional equity or convertible securities that may result in dilution to our stockholders. If we raise additional funds through the issuance of equity or convertible securities, these securities could have rights or preferences senior to those of our common stock and could contain covenants that restrict our operations. There can be no assurance that we will be able to obtain additional equity or debt financing on terms acceptable to us, if at all. Our future capital requirements will depend on many factors, including:</w:t>
      </w:r>
    </w:p>
    <w:p>
      <w:pPr>
        <w:spacing w:after="0" w:line="183" w:lineRule="exact"/>
        <w:rPr>
          <w:sz w:val="20"/>
          <w:szCs w:val="20"/>
          <w:color w:val="auto"/>
        </w:rPr>
      </w:pPr>
    </w:p>
    <w:p>
      <w:pPr>
        <w:ind w:left="760" w:hanging="378"/>
        <w:spacing w:after="0"/>
        <w:tabs>
          <w:tab w:leader="none" w:pos="76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the scope, rate of progress, results, and cost of our clinical studies and other related activities;</w:t>
      </w:r>
    </w:p>
    <w:p>
      <w:pPr>
        <w:spacing w:after="0" w:line="225"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our ability to enter into collaborative agreements for the development and commercialization of our product candidates;</w:t>
      </w:r>
    </w:p>
    <w:p>
      <w:pPr>
        <w:spacing w:after="0" w:line="225"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the number and development requirements of any other product candidates that we pursue;</w:t>
      </w:r>
    </w:p>
    <w:p>
      <w:pPr>
        <w:spacing w:after="0" w:line="225"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the costs, timing, and outcome of regulatory reviews of our product candidates;</w:t>
      </w:r>
    </w:p>
    <w:p>
      <w:pPr>
        <w:spacing w:after="0" w:line="225" w:lineRule="exact"/>
        <w:rPr>
          <w:rFonts w:ascii="Times New Roman" w:cs="Times New Roman" w:eastAsia="Times New Roman" w:hAnsi="Times New Roman"/>
          <w:sz w:val="16"/>
          <w:szCs w:val="16"/>
          <w:color w:val="auto"/>
        </w:rPr>
      </w:pPr>
    </w:p>
    <w:p>
      <w:pPr>
        <w:ind w:left="760" w:right="460" w:hanging="378"/>
        <w:spacing w:after="0" w:line="282" w:lineRule="auto"/>
        <w:tabs>
          <w:tab w:leader="none" w:pos="76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the costs and timing of our commercialization activities, including product manufacturing, marketing, sales, and distribution, for any of our products and product candidates for which we receive marketing approval;</w:t>
      </w:r>
    </w:p>
    <w:p>
      <w:pPr>
        <w:spacing w:after="0" w:line="161"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any product liability or other lawsuits related to our product candidates;</w:t>
      </w:r>
    </w:p>
    <w:p>
      <w:pPr>
        <w:spacing w:after="0" w:line="225"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the expenses needed to attract and retain skilled personnel;</w:t>
      </w:r>
    </w:p>
    <w:p>
      <w:pPr>
        <w:spacing w:after="0" w:line="225"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the general and administrative expenses related to being a public company;</w:t>
      </w:r>
    </w:p>
    <w:p>
      <w:pPr>
        <w:spacing w:after="0" w:line="225"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the revenue received from commercial sales of our products and product candidates for which we receive marketing approval; and</w:t>
      </w:r>
    </w:p>
    <w:p>
      <w:pPr>
        <w:spacing w:after="0" w:line="225" w:lineRule="exact"/>
        <w:rPr>
          <w:rFonts w:ascii="Times New Roman" w:cs="Times New Roman" w:eastAsia="Times New Roman" w:hAnsi="Times New Roman"/>
          <w:sz w:val="16"/>
          <w:szCs w:val="16"/>
          <w:color w:val="auto"/>
        </w:rPr>
      </w:pPr>
    </w:p>
    <w:p>
      <w:pPr>
        <w:ind w:left="760" w:right="580" w:hanging="378"/>
        <w:spacing w:after="0" w:line="239" w:lineRule="exact"/>
        <w:tabs>
          <w:tab w:leader="none" w:pos="76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the costs involved in preparing, filing, and prosecuting patent applications, maintaining and enforcing our intellectual property rights, and defending our intellectual property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related claims.</w:t>
      </w:r>
    </w:p>
    <w:p>
      <w:pPr>
        <w:spacing w:after="0" w:line="170" w:lineRule="exact"/>
        <w:rPr>
          <w:rFonts w:ascii="Times New Roman" w:cs="Times New Roman" w:eastAsia="Times New Roman" w:hAnsi="Times New Roman"/>
          <w:sz w:val="16"/>
          <w:szCs w:val="16"/>
          <w:color w:val="auto"/>
        </w:rPr>
      </w:pPr>
    </w:p>
    <w:p>
      <w:pPr>
        <w:ind w:left="76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Please see “Risk Factors” for additional risks associated with our substantial capital requirements.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License agreement with Pfizer</w:t>
      </w:r>
    </w:p>
    <w:p>
      <w:pPr>
        <w:spacing w:after="0" w:line="227"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In January 2020, we entered into a license agreement with Pfizer. Under the terms of our exclusive license agreement with Pfizer, Pfizer received 82,019 shares of our common stock having a stated value of $8.0 million, based on the average closing price of our common stock for the ten prior trading days of $97.54, in consideration for the license and rights. Pfizer also received an upfront cash payment of $3.0 million. We determined that the fair value of each share of common stock granted to Pfizer on the closing date of January 9, 2020 was $87.24, based on the closing price of our common stock on that date. As a result, the fair value of the stock issued was $7.2 million and, therefore, the total research and development expense recognized was $10.2 million related to the Pfizer license agreement during the year ended December 31, 2020.</w:t>
      </w:r>
    </w:p>
    <w:p>
      <w:pPr>
        <w:spacing w:after="0" w:line="187" w:lineRule="exact"/>
        <w:rPr>
          <w:sz w:val="20"/>
          <w:szCs w:val="20"/>
          <w:color w:val="auto"/>
        </w:rPr>
      </w:pPr>
    </w:p>
    <w:p>
      <w:pPr>
        <w:ind w:right="100" w:firstLine="749"/>
        <w:spacing w:after="0" w:line="266" w:lineRule="auto"/>
        <w:rPr>
          <w:sz w:val="20"/>
          <w:szCs w:val="20"/>
          <w:color w:val="auto"/>
        </w:rPr>
      </w:pPr>
      <w:r>
        <w:rPr>
          <w:rFonts w:ascii="Times New Roman" w:cs="Times New Roman" w:eastAsia="Times New Roman" w:hAnsi="Times New Roman"/>
          <w:sz w:val="18"/>
          <w:szCs w:val="18"/>
          <w:color w:val="auto"/>
        </w:rPr>
        <w:t>Pfizer can also receive up to $323 million upon the achievement of certain regulatory and sales milestones, and tiered mid-single to low double-digit royalties on future sales of any such approved clinical products containing compounds reboxetine esreboxetine. Pfizer will also have a right of first negotiation on any potential future strategic transactions involving AXS-12 and AXS-14.</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License agreements with Antecip Bioventures</w:t>
      </w:r>
    </w:p>
    <w:p>
      <w:pPr>
        <w:spacing w:after="0" w:line="227" w:lineRule="exact"/>
        <w:rPr>
          <w:sz w:val="20"/>
          <w:szCs w:val="20"/>
          <w:color w:val="auto"/>
        </w:rPr>
      </w:pPr>
    </w:p>
    <w:p>
      <w:pPr>
        <w:ind w:right="100" w:firstLine="749"/>
        <w:spacing w:after="0" w:line="266" w:lineRule="auto"/>
        <w:rPr>
          <w:sz w:val="20"/>
          <w:szCs w:val="20"/>
          <w:color w:val="auto"/>
        </w:rPr>
      </w:pPr>
      <w:r>
        <w:rPr>
          <w:rFonts w:ascii="Times New Roman" w:cs="Times New Roman" w:eastAsia="Times New Roman" w:hAnsi="Times New Roman"/>
          <w:sz w:val="18"/>
          <w:szCs w:val="18"/>
          <w:color w:val="auto"/>
        </w:rPr>
        <w:t>Under three exclusive license agreements with Antecip, an entity owned by our Chief Executive Officer and Chairman of the Board, Herriot Tabuteau, M.D., we are obligated to make specified royalty payments ranging from 1.5% to 4.5%, subject to up to a 50% reduction depending on required payments to third parties, on net sales of our products containing the licensed technology of AXS-02, AXS-05, and AXS-04.</w:t>
      </w:r>
    </w:p>
    <w:p>
      <w:pPr>
        <w:spacing w:after="0" w:line="176" w:lineRule="exact"/>
        <w:rPr>
          <w:sz w:val="20"/>
          <w:szCs w:val="20"/>
          <w:color w:val="auto"/>
        </w:rPr>
      </w:pPr>
    </w:p>
    <w:p>
      <w:pPr>
        <w:ind w:right="20" w:firstLine="749"/>
        <w:spacing w:after="0" w:line="282" w:lineRule="auto"/>
        <w:rPr>
          <w:sz w:val="20"/>
          <w:szCs w:val="20"/>
          <w:color w:val="auto"/>
        </w:rPr>
      </w:pPr>
      <w:r>
        <w:rPr>
          <w:rFonts w:ascii="Times New Roman" w:cs="Times New Roman" w:eastAsia="Times New Roman" w:hAnsi="Times New Roman"/>
          <w:sz w:val="18"/>
          <w:szCs w:val="18"/>
          <w:color w:val="auto"/>
        </w:rPr>
        <w:t>In connection with the Blackstone Loan Agreement (see below), Antecip consented to the collateral assignment of one of the license agreements, among other things, under a direct agreement among us, Antecip and Blackstone.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Loan Agreement with Blackstone</w:t>
      </w:r>
    </w:p>
    <w:p>
      <w:pPr>
        <w:spacing w:after="0" w:line="227" w:lineRule="exact"/>
        <w:rPr>
          <w:sz w:val="20"/>
          <w:szCs w:val="20"/>
          <w:color w:val="auto"/>
        </w:rPr>
      </w:pPr>
    </w:p>
    <w:p>
      <w:pPr>
        <w:ind w:right="80" w:firstLine="749"/>
        <w:spacing w:after="0" w:line="252" w:lineRule="auto"/>
        <w:rPr>
          <w:sz w:val="20"/>
          <w:szCs w:val="20"/>
          <w:color w:val="auto"/>
        </w:rPr>
      </w:pPr>
      <w:r>
        <w:rPr>
          <w:rFonts w:ascii="Times New Roman" w:cs="Times New Roman" w:eastAsia="Times New Roman" w:hAnsi="Times New Roman"/>
          <w:sz w:val="18"/>
          <w:szCs w:val="18"/>
          <w:color w:val="auto"/>
        </w:rPr>
        <w:t>On May 8, 2025 (the “Closing Date”), we entered into a loan agreement (the “Blackstone Loan Agreement”) with Blackstone Alternative Credit Advisors LP and Blackstone Life Sciences Advisors L.L.C. (collectively, the “Blackstone Representative” and referred to herein as “Blackstone”), certain subsidiaries of ours party thereto as guarantors, Wilmington Trust, National Association, as agent, and the lenders from time to time party thereto (collectively, the “Lenders”), providing for loans in an aggregate principal amount of up to $570.0 million, consisting of (i) a first lien senior secured term loan in an aggregate principal amount of $120.0 million funded to us on the Closing Date, (ii) a $180.0 million senior secured term loan which is available to us at our option, of which $90.0 million is available to us until May 31, 2026, and of which the remaining $90.0 million is available until May 31, 2027 (the “Term Loans”) and (iii) a super senior revolving credit facility in an aggregate principal amount of up to $70.0 million available at our option (the “Revolver” and collectively with the Term Loans, the “Loans”). The Blackstone Loan Agreement also permits us, subject to the consent of the Lenders, to request incremental term loans in an aggregate principal amount of up to $200.0 million at any time and on the same terms as the initial Term Loans, except that any call protection will be determined at the time the incremental term loans are incurred. The proceeds of the Term Loans were used, together with cash on hand, to repay in full our obligations under the Hercules Loan Agreement, which resulted in a recording of a loss on debt extinguishment of approximately $10.4 million in the Company’s consolidated statement of operations. The Term Loans bear interest at a variable SOFR plus 4.75%. The Revolver bears interest at SOFR plus 4.0%. The maturity date of the Loans is May 8, 2030. The Blackstone Loan Agreement provides for additional drawdowns at our option, subject to certain conditions, and includes customary covenants and a minimum liquidity covenant of $30.0 million. The obligations under the Blackstone Loan Agreement are secured by a first lien on certain assets of ours and our subsidiaries.</w:t>
      </w:r>
    </w:p>
    <w:p>
      <w:pPr>
        <w:spacing w:after="0" w:line="196" w:lineRule="exact"/>
        <w:rPr>
          <w:sz w:val="20"/>
          <w:szCs w:val="20"/>
          <w:color w:val="auto"/>
        </w:rPr>
      </w:pPr>
    </w:p>
    <w:p>
      <w:pPr>
        <w:ind w:right="40" w:firstLine="749"/>
        <w:spacing w:after="0" w:line="282" w:lineRule="auto"/>
        <w:rPr>
          <w:sz w:val="20"/>
          <w:szCs w:val="20"/>
          <w:color w:val="auto"/>
        </w:rPr>
      </w:pPr>
      <w:r>
        <w:rPr>
          <w:rFonts w:ascii="Times New Roman" w:cs="Times New Roman" w:eastAsia="Times New Roman" w:hAnsi="Times New Roman"/>
          <w:sz w:val="18"/>
          <w:szCs w:val="18"/>
          <w:color w:val="auto"/>
        </w:rPr>
        <w:t>On May 8, 2025, we repaid in full our obligations under the Hercules Loan Agreement using proceeds from the Blackstone Loan Agreement. As of June 30, 2025, there are no outstanding obligations under the Hercules Loan Agreement.</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Royalty Agreements</w:t>
      </w:r>
    </w:p>
    <w:p>
      <w:pPr>
        <w:spacing w:after="0" w:line="227"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Pursuant to the Asset Purchase Agreement, dated as of March 25, 2022, or the Purchase Agreement, we agreed to make non-refundable, non-creditable royalty payments to Jazz equal to a (A) high-single digit royalty for any Current Indication or (B) mid-single digit royalty for any Future Indication, of net sales in the U.S. Territory made during the applicable Royalty Term (in each case, as those terms are defined in the Purchase Agreement). There are no royalty payments due to Jazz for net sales outside of the U.S. Territory.</w:t>
      </w:r>
    </w:p>
    <w:p>
      <w:pPr>
        <w:spacing w:after="0" w:line="180" w:lineRule="exact"/>
        <w:rPr>
          <w:sz w:val="20"/>
          <w:szCs w:val="20"/>
          <w:color w:val="auto"/>
        </w:rPr>
      </w:pPr>
    </w:p>
    <w:p>
      <w:pPr>
        <w:ind w:right="80" w:firstLine="749"/>
        <w:spacing w:after="0" w:line="261" w:lineRule="auto"/>
        <w:rPr>
          <w:sz w:val="20"/>
          <w:szCs w:val="20"/>
          <w:color w:val="auto"/>
        </w:rPr>
      </w:pPr>
      <w:r>
        <w:rPr>
          <w:rFonts w:ascii="Times New Roman" w:cs="Times New Roman" w:eastAsia="Times New Roman" w:hAnsi="Times New Roman"/>
          <w:sz w:val="18"/>
          <w:szCs w:val="18"/>
          <w:color w:val="auto"/>
        </w:rPr>
        <w:t>At the initial closing, we assumed all of the commitments of Jazz to SK and Aerial. SK is the originator of Sunosi and retains rights in 12 Asian markets, including China, Korea, and Japan. In 2014, Jazz acquired from Aerial worldwide rights to Sunosi excluding those Asian markets stated previously. The assumed commitments to SK and Aerial include single-digit tiered royalties based on our sales of Sunosi, and we are committed to pay up to $165.0 million based on revenue milestones and $1.0 million based on development milestones.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 and Human Capital Management</w:t>
      </w:r>
    </w:p>
    <w:p>
      <w:pPr>
        <w:spacing w:after="0" w:line="188" w:lineRule="exact"/>
        <w:rPr>
          <w:sz w:val="20"/>
          <w:szCs w:val="20"/>
          <w:color w:val="auto"/>
        </w:rPr>
      </w:pPr>
    </w:p>
    <w:p>
      <w:pPr>
        <w:ind w:firstLine="749"/>
        <w:spacing w:after="0" w:line="223" w:lineRule="exact"/>
        <w:rPr>
          <w:sz w:val="20"/>
          <w:szCs w:val="20"/>
          <w:color w:val="auto"/>
        </w:rPr>
      </w:pPr>
      <w:r>
        <w:rPr>
          <w:rFonts w:ascii="Times New Roman" w:cs="Times New Roman" w:eastAsia="Times New Roman" w:hAnsi="Times New Roman"/>
          <w:sz w:val="18"/>
          <w:szCs w:val="18"/>
          <w:color w:val="auto"/>
        </w:rPr>
        <w:t>As of July 28, 2025, we had 846 full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time employees. None of our employees are represented by a collective bargaining agreement and we have never experienced any work stoppage. We believe that we maintain good relations with our employees. Our employees are highly skilled, and many hold advanced degrees. Many of our employees have experience with drug commercialization or development. Our future performance depends significantly upon the continued service of our key scientific, technical and senior management personnel and our continued ability to attract and retain highly skilled employees. We provide our employees with competitive salaries and bonuses, opportunities for equity ownership, development programs that enable continued learning and growth and a robust employment package that promotes well-being across all aspects of their lives. In addition to salaries, these programs include potential annual discretionary bonuses, stock awards, healthcare and insurance benefits, health savings and flexible spending accounts, paid time off, family leave, and flexible work schedules, among other benefits. We may take further actions, in compliance with all appropriate government regulations, that we determine to be in the best interest of our employees.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ind w:right="160" w:firstLine="749"/>
        <w:spacing w:after="0" w:line="282" w:lineRule="auto"/>
        <w:rPr>
          <w:sz w:val="20"/>
          <w:szCs w:val="20"/>
          <w:color w:val="auto"/>
        </w:rPr>
      </w:pPr>
      <w:r>
        <w:rPr>
          <w:rFonts w:ascii="Times New Roman" w:cs="Times New Roman" w:eastAsia="Times New Roman" w:hAnsi="Times New Roman"/>
          <w:sz w:val="18"/>
          <w:szCs w:val="18"/>
          <w:color w:val="auto"/>
        </w:rPr>
        <w:t>We did not have during the periods presented, and we do not currently have, any off-balance sheet arrangements, as defined by applicable SEC regulations.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9" w:lineRule="exact"/>
        <w:rPr>
          <w:sz w:val="20"/>
          <w:szCs w:val="20"/>
          <w:color w:val="auto"/>
        </w:rPr>
      </w:pPr>
    </w:p>
    <w:p>
      <w:pPr>
        <w:ind w:right="120" w:firstLine="749"/>
        <w:spacing w:after="0" w:line="282" w:lineRule="auto"/>
        <w:rPr>
          <w:sz w:val="20"/>
          <w:szCs w:val="20"/>
          <w:color w:val="auto"/>
        </w:rPr>
      </w:pPr>
      <w:r>
        <w:rPr>
          <w:rFonts w:ascii="Times New Roman" w:cs="Times New Roman" w:eastAsia="Times New Roman" w:hAnsi="Times New Roman"/>
          <w:sz w:val="18"/>
          <w:szCs w:val="18"/>
          <w:color w:val="auto"/>
        </w:rPr>
        <w:t>Refer to Note 2. Summary of Significant Accounting Policies to our consolidated financial statements included in Part I, Financial Information, Item 1, Financial Statements, of this Quarterly Report on Form 10-Q for a discussion of recently issued accounting pronouncements.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 ABOUT MARKET RISK</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 Risk</w:t>
      </w:r>
    </w:p>
    <w:p>
      <w:pPr>
        <w:spacing w:after="0" w:line="227"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We are exposed to market risks in the ordinary course of our business. These market risks are principally limited to interest rate fluctuations. We had cash of $303.0 million and $315.4 million as of June 30, 2025 and December 31, 2024, respectively. The primary objective of our investment activities is to preserve principal and liquidity while maximizing income without significantly increasing risk. We do not enter into investments for trading or speculative purposes. Due to the short term nature of our investment portfolio and debt agreement, which use short term interest rates and the prime rate, respectively, we do not believe an immediate 100 basis point increase in interest rates would have a material effect on the fair market value of our portfolio, and, accordingly, we do not expect our operating results or cash flows to be materially affected by a sudden change in market interest rates.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Currency Exchange Risk</w:t>
      </w:r>
    </w:p>
    <w:p>
      <w:pPr>
        <w:spacing w:after="0" w:line="227"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We contract with vendors and third-party manufacturers located in Europe and certain invoices are denominated in foreign currencies. Royalty revenues from Pharmanovia are derived from their sales of Sunosi in ex-U.S. markets and those sales are denominated in Euros. We are therefore subject to fluctuations in foreign currency rates for the Euro, Swiss Franc, and British Pound, in connection with these agreements, and recognize foreign exchange gains or losses in our statement of operations. We have not historically hedged our foreign currency exchange rate risk. To date, we have not incurred any material effects from foreign currency changes on these transactions.</w:t>
      </w:r>
    </w:p>
    <w:p>
      <w:pPr>
        <w:spacing w:after="0" w:line="18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We do not believe a 10% change in these currencies on June 30, 2025 would have had a material effect on our results of operations or financial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condition.</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Inflation Risk</w:t>
      </w:r>
    </w:p>
    <w:p>
      <w:pPr>
        <w:spacing w:after="0" w:line="227" w:lineRule="exact"/>
        <w:rPr>
          <w:sz w:val="20"/>
          <w:szCs w:val="20"/>
          <w:color w:val="auto"/>
        </w:rPr>
      </w:pPr>
    </w:p>
    <w:p>
      <w:pPr>
        <w:ind w:right="20" w:firstLine="749"/>
        <w:spacing w:after="0" w:line="282" w:lineRule="auto"/>
        <w:rPr>
          <w:sz w:val="20"/>
          <w:szCs w:val="20"/>
          <w:color w:val="auto"/>
        </w:rPr>
      </w:pPr>
      <w:r>
        <w:rPr>
          <w:rFonts w:ascii="Times New Roman" w:cs="Times New Roman" w:eastAsia="Times New Roman" w:hAnsi="Times New Roman"/>
          <w:sz w:val="18"/>
          <w:szCs w:val="18"/>
          <w:color w:val="auto"/>
        </w:rPr>
        <w:t>Inflation generally affects us by increasing our cost of labor and pricing of contracts. We do not believe that inflation has had a material effect on our business, financial condition, or results of operations during the six months ended June 30,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7" w:lineRule="exact"/>
        <w:rPr>
          <w:sz w:val="20"/>
          <w:szCs w:val="20"/>
          <w:color w:val="auto"/>
        </w:rPr>
      </w:pPr>
    </w:p>
    <w:p>
      <w:pPr>
        <w:ind w:right="120" w:firstLine="749"/>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Disclosure Controls and Procedures. </w:t>
      </w:r>
      <w:r>
        <w:rPr>
          <w:rFonts w:ascii="Times New Roman" w:cs="Times New Roman" w:eastAsia="Times New Roman" w:hAnsi="Times New Roman"/>
          <w:sz w:val="18"/>
          <w:szCs w:val="18"/>
          <w:color w:val="auto"/>
        </w:rPr>
        <w:t>Our management, with the participation of our principal executive officer and our principal financial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officer, evaluated, as of the end of the period covered by this Quarterly Report on Form 10-Q, the effectiveness of our disclosure controls and procedures. Based on that evaluation, our principal executive officer and principal financial officer concluded that our disclosure controls and procedures, as of such date, were effective in ensuring that information required to be disclosed by us in the reports that we file or submit under the Securities Exchange Act of 1934, as amended, or the Exchange Act, is recorded, processed, summarized and reported within the time periods specified in the SEC’s rules and forms. Disclosure controls and procedures include, without limitation, controls and procedures designed to ensure that information required to be disclosed by us in the reports we file or submit under the Exchange Act is accumulated and communicated to our management, including our principal executive officer and principal financial officer, as appropriate to allow timely decisions regarding required disclosure.</w:t>
      </w:r>
    </w:p>
    <w:p>
      <w:pPr>
        <w:spacing w:after="0" w:line="185" w:lineRule="exact"/>
        <w:rPr>
          <w:sz w:val="20"/>
          <w:szCs w:val="20"/>
          <w:color w:val="auto"/>
        </w:rPr>
      </w:pPr>
    </w:p>
    <w:p>
      <w:pPr>
        <w:ind w:right="120" w:firstLine="74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Changes in Internal Control over Financial Reporting. </w:t>
      </w:r>
      <w:r>
        <w:rPr>
          <w:rFonts w:ascii="Times New Roman" w:cs="Times New Roman" w:eastAsia="Times New Roman" w:hAnsi="Times New Roman"/>
          <w:sz w:val="18"/>
          <w:szCs w:val="18"/>
          <w:color w:val="auto"/>
        </w:rPr>
        <w:t>During the quarter ended June 30, 2025, there have been no changes in internal controls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over financial reporting that have materially affected, or are reasonably likely to materially affect, our internal control over financial reporting.</w:t>
      </w: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ind w:right="260" w:firstLine="749"/>
        <w:spacing w:after="0" w:line="282" w:lineRule="auto"/>
        <w:rPr>
          <w:sz w:val="20"/>
          <w:szCs w:val="20"/>
          <w:color w:val="auto"/>
        </w:rPr>
      </w:pPr>
      <w:r>
        <w:rPr>
          <w:rFonts w:ascii="Times New Roman" w:cs="Times New Roman" w:eastAsia="Times New Roman" w:hAnsi="Times New Roman"/>
          <w:sz w:val="18"/>
          <w:szCs w:val="18"/>
          <w:color w:val="auto"/>
        </w:rPr>
        <w:t>Except as described herein, we, and our subsidiaries, are currently not a party to, and our property is not currently the subject of, any material pending legal proceedings; however, we may also become involved in various claims and legal actions arising in the ordinary course of business.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Securities Class Action</w:t>
      </w:r>
    </w:p>
    <w:p>
      <w:pPr>
        <w:spacing w:after="0" w:line="227" w:lineRule="exact"/>
        <w:rPr>
          <w:sz w:val="20"/>
          <w:szCs w:val="20"/>
          <w:color w:val="auto"/>
        </w:rPr>
      </w:pPr>
    </w:p>
    <w:p>
      <w:pPr>
        <w:ind w:right="180" w:firstLine="749"/>
        <w:spacing w:after="0" w:line="246" w:lineRule="auto"/>
        <w:rPr>
          <w:sz w:val="20"/>
          <w:szCs w:val="20"/>
          <w:color w:val="auto"/>
        </w:rPr>
      </w:pPr>
      <w:r>
        <w:rPr>
          <w:rFonts w:ascii="Times New Roman" w:cs="Times New Roman" w:eastAsia="Times New Roman" w:hAnsi="Times New Roman"/>
          <w:sz w:val="18"/>
          <w:szCs w:val="18"/>
          <w:color w:val="auto"/>
        </w:rPr>
        <w:t>On May 13, 2022, Evy Gru filed a putative class action complaint captioned Gru v. Axsome Therapeutics, Inc., et al. in the U.S. District Court for the Southern District of New York, or the SDNY District Court, against the Company and certain of its current and former officers and one director, which we refer to as the Securities Class Action. The complaint asserts claims under Sections 10(b) and 20(a) of the Exchange Act and Rule 10b-5 promulgated thereunder, and alleges, among other things, that the defendants made false statements and omissions concerning the Company’s Chemistry Manufacturing and Controls practices, and its NDA with the FDA, with respect to one of its then product candidates, AXS-07, now Symbravo</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The named plaintiff sought unspecified damages, fees, interest, and costs. On August 11, 2022, the SDNY District Court appointed co-lead plaintiffs in the Securities Class Action, one of whom later withdrew. On October 7, 2022, the Securities Class Action plaintiffs filed an amended complaint, which contained substantially similar allegations as in the initial complaint. On September 25, 2023, the SDNY District Court granted defendants’ motion to dismiss the amended complaint.</w:t>
      </w:r>
    </w:p>
    <w:p>
      <w:pPr>
        <w:spacing w:after="0" w:line="193" w:lineRule="exact"/>
        <w:rPr>
          <w:sz w:val="20"/>
          <w:szCs w:val="20"/>
          <w:color w:val="auto"/>
        </w:rPr>
      </w:pPr>
    </w:p>
    <w:p>
      <w:pPr>
        <w:ind w:firstLine="749"/>
        <w:spacing w:after="0" w:line="255" w:lineRule="auto"/>
        <w:rPr>
          <w:sz w:val="20"/>
          <w:szCs w:val="20"/>
          <w:color w:val="auto"/>
        </w:rPr>
      </w:pPr>
      <w:r>
        <w:rPr>
          <w:rFonts w:ascii="Times New Roman" w:cs="Times New Roman" w:eastAsia="Times New Roman" w:hAnsi="Times New Roman"/>
          <w:sz w:val="18"/>
          <w:szCs w:val="18"/>
          <w:color w:val="auto"/>
        </w:rPr>
        <w:t>On October 13, 2023, plaintiffs’ counsel filed a letter seeking leave to file an amended complaint and to substitute new plaintiffs. On January 22, 2024, the SDNY District Court granted that motion and ordered that the case name be changed to In re Axsome Therapeutics, Inc. Securities Litigation. On January 26, 2024, the replacement plaintiffs renewed their request for leave to file a proposed second amended complaint, and, on February 6, 2024, the SDNY District Court granted that request. Plaintiffs filed the second amended complaint on February 7, 2024. On March 11, 2024, the defendants moved to dismiss the second amended complaint. On March 31, 2025, the SDNY District Court entered an order granting in part and denying in part defendants’ motions to dismiss, dismissing plaintiffs’ claims against three of Axsome’s current and former officers and allowing the claims against the Company and two current officers to proceed.</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Shareholder Derivative Action</w:t>
      </w:r>
    </w:p>
    <w:p>
      <w:pPr>
        <w:spacing w:after="0" w:line="227" w:lineRule="exact"/>
        <w:rPr>
          <w:sz w:val="20"/>
          <w:szCs w:val="20"/>
          <w:color w:val="auto"/>
        </w:rPr>
      </w:pPr>
    </w:p>
    <w:p>
      <w:pPr>
        <w:ind w:right="100" w:firstLine="749"/>
        <w:spacing w:after="0" w:line="254" w:lineRule="auto"/>
        <w:rPr>
          <w:sz w:val="20"/>
          <w:szCs w:val="20"/>
          <w:color w:val="auto"/>
        </w:rPr>
      </w:pPr>
      <w:r>
        <w:rPr>
          <w:rFonts w:ascii="Times New Roman" w:cs="Times New Roman" w:eastAsia="Times New Roman" w:hAnsi="Times New Roman"/>
          <w:sz w:val="18"/>
          <w:szCs w:val="18"/>
          <w:color w:val="auto"/>
        </w:rPr>
        <w:t>On July 21, 2022, Daniel Engel filed a stockholder derivative complaint captioned Engel v. Herriot Tabuteau, et al. in the SDNY District Court against the Company’s current directors, certain of the Company’s current and former officers, and the Company (as nominal defendant). On January 27, 2023, Kyle Guterba filed a stockholder derivative complaint captioned Guterba v. Tabuteau, et al. in the SDNY District Court against the Company’s current directors, certain of the Company’s current and former officers, and the Company (as nominal defendant). The derivative complaints arise out of similar allegations as those made in the Securities Class Action. The plaintiffs assert claims for breach of fiduciary duties against all of the defendants and for contribution for violations of Section 10(b) and 21D of the Exchange Act. The plaintiffs seek unspecified damages, fees, interest, and costs, as well as corporate governance changes. The Engel and Guterba matters were consolidated on February 28, 2023 and are currently stayed pending further proceedings in the Securities Class Action.</w:t>
      </w: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4" w:right="37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Sunosi Paragraph IV Litigation</w:t>
      </w:r>
    </w:p>
    <w:p>
      <w:pPr>
        <w:spacing w:after="0" w:line="227" w:lineRule="exact"/>
        <w:rPr>
          <w:sz w:val="20"/>
          <w:szCs w:val="20"/>
          <w:color w:val="auto"/>
        </w:rPr>
      </w:pPr>
    </w:p>
    <w:p>
      <w:pPr>
        <w:ind w:firstLine="749"/>
        <w:spacing w:after="0" w:line="248" w:lineRule="auto"/>
        <w:rPr>
          <w:sz w:val="20"/>
          <w:szCs w:val="20"/>
          <w:color w:val="auto"/>
        </w:rPr>
      </w:pPr>
      <w:r>
        <w:rPr>
          <w:rFonts w:ascii="Times New Roman" w:cs="Times New Roman" w:eastAsia="Times New Roman" w:hAnsi="Times New Roman"/>
          <w:sz w:val="18"/>
          <w:szCs w:val="18"/>
          <w:color w:val="auto"/>
        </w:rPr>
        <w:t>On September 13, 2023, we commenced a patent infringement action against Hikma and five other drug companies relating to each defendant’s ANDA for Sunosi</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This action is captioned </w:t>
      </w:r>
      <w:r>
        <w:rPr>
          <w:rFonts w:ascii="Times New Roman" w:cs="Times New Roman" w:eastAsia="Times New Roman" w:hAnsi="Times New Roman"/>
          <w:sz w:val="18"/>
          <w:szCs w:val="18"/>
          <w:i w:val="1"/>
          <w:iCs w:val="1"/>
          <w:color w:val="auto"/>
        </w:rPr>
        <w:t>Axsome Malta Ltd. &amp; Axsome Therapeutics, Inc. v. Alkem Laboratories Ltd., et al</w:t>
      </w:r>
      <w:r>
        <w:rPr>
          <w:rFonts w:ascii="Times New Roman" w:cs="Times New Roman" w:eastAsia="Times New Roman" w:hAnsi="Times New Roman"/>
          <w:sz w:val="18"/>
          <w:szCs w:val="18"/>
          <w:color w:val="auto"/>
        </w:rPr>
        <w:t xml:space="preserve">. No. 2:23-CV-20354 in the NJ District Court. We commenced related patent infringement actions against the defendants relating to their ANDAs on December 20, 2023, January 11, 2024, January 18, 2024, February 14, 2024, March 19, 2024 (2 actions filed), April 5, 2024, July 2, 2024, August 8, 2024, August 21, 2024, September 16, 2024, November 20, 2024 (4 actions filed), January 21, 2025, January 29, 2025, and May 1, 2025. Those actions are captioned </w:t>
      </w:r>
      <w:r>
        <w:rPr>
          <w:rFonts w:ascii="Times New Roman" w:cs="Times New Roman" w:eastAsia="Times New Roman" w:hAnsi="Times New Roman"/>
          <w:sz w:val="18"/>
          <w:szCs w:val="18"/>
          <w:i w:val="1"/>
          <w:iCs w:val="1"/>
          <w:color w:val="auto"/>
        </w:rPr>
        <w:t>Axsome Malta Ltd. &amp;</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Axsome Therapeutics, Inc. v. Unichem Laboratories Ltd</w:t>
      </w:r>
      <w:r>
        <w:rPr>
          <w:rFonts w:ascii="Times New Roman" w:cs="Times New Roman" w:eastAsia="Times New Roman" w:hAnsi="Times New Roman"/>
          <w:sz w:val="18"/>
          <w:szCs w:val="18"/>
          <w:color w:val="auto"/>
        </w:rPr>
        <w:t>. No. 2:23-cv-23255;</w:t>
      </w:r>
      <w:r>
        <w:rPr>
          <w:rFonts w:ascii="Times New Roman" w:cs="Times New Roman" w:eastAsia="Times New Roman" w:hAnsi="Times New Roman"/>
          <w:sz w:val="18"/>
          <w:szCs w:val="18"/>
          <w:i w:val="1"/>
          <w:iCs w:val="1"/>
          <w:color w:val="auto"/>
        </w:rPr>
        <w:t xml:space="preserve"> Axsome Malta Ltd. &amp; Axsome Therapeutics, Inc. v. Hetero USA, Inc. et al</w:t>
      </w:r>
      <w:r>
        <w:rPr>
          <w:rFonts w:ascii="Times New Roman" w:cs="Times New Roman" w:eastAsia="Times New Roman" w:hAnsi="Times New Roman"/>
          <w:sz w:val="18"/>
          <w:szCs w:val="18"/>
          <w:color w:val="auto"/>
        </w:rPr>
        <w:t>. No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2:24-cv-00196; </w:t>
      </w:r>
      <w:r>
        <w:rPr>
          <w:rFonts w:ascii="Times New Roman" w:cs="Times New Roman" w:eastAsia="Times New Roman" w:hAnsi="Times New Roman"/>
          <w:sz w:val="18"/>
          <w:szCs w:val="18"/>
          <w:i w:val="1"/>
          <w:iCs w:val="1"/>
          <w:color w:val="auto"/>
        </w:rPr>
        <w:t>Axsome Malta Ltd. &amp; Axsome Therapeutics, Inc. v. Aurobindo Pharma USA, Inc. et al</w:t>
      </w:r>
      <w:r>
        <w:rPr>
          <w:rFonts w:ascii="Times New Roman" w:cs="Times New Roman" w:eastAsia="Times New Roman" w:hAnsi="Times New Roman"/>
          <w:sz w:val="18"/>
          <w:szCs w:val="18"/>
          <w:color w:val="auto"/>
        </w:rPr>
        <w:t xml:space="preserve">. No. 2:24-cv-00309; </w:t>
      </w:r>
      <w:r>
        <w:rPr>
          <w:rFonts w:ascii="Times New Roman" w:cs="Times New Roman" w:eastAsia="Times New Roman" w:hAnsi="Times New Roman"/>
          <w:sz w:val="18"/>
          <w:szCs w:val="18"/>
          <w:i w:val="1"/>
          <w:iCs w:val="1"/>
          <w:color w:val="auto"/>
        </w:rPr>
        <w:t>Axsome Malta Ltd. &amp; Axsome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Therapeutics, Inc. v. Sandoz, Inc</w:t>
      </w:r>
      <w:r>
        <w:rPr>
          <w:rFonts w:ascii="Times New Roman" w:cs="Times New Roman" w:eastAsia="Times New Roman" w:hAnsi="Times New Roman"/>
          <w:sz w:val="18"/>
          <w:szCs w:val="18"/>
          <w:color w:val="auto"/>
        </w:rPr>
        <w:t>. No. 2:24-cv-00860;</w:t>
      </w:r>
      <w:r>
        <w:rPr>
          <w:rFonts w:ascii="Times New Roman" w:cs="Times New Roman" w:eastAsia="Times New Roman" w:hAnsi="Times New Roman"/>
          <w:sz w:val="18"/>
          <w:szCs w:val="18"/>
          <w:i w:val="1"/>
          <w:iCs w:val="1"/>
          <w:color w:val="auto"/>
        </w:rPr>
        <w:t xml:space="preserve"> Axsome Malta Ltd. &amp; Axsome Therapeutics, Inc. v. Hetero USA, Inc. et al</w:t>
      </w:r>
      <w:r>
        <w:rPr>
          <w:rFonts w:ascii="Times New Roman" w:cs="Times New Roman" w:eastAsia="Times New Roman" w:hAnsi="Times New Roman"/>
          <w:sz w:val="18"/>
          <w:szCs w:val="18"/>
          <w:color w:val="auto"/>
        </w:rPr>
        <w:t>. No 2:24-cv-03999;</w:t>
      </w:r>
      <w:r>
        <w:rPr>
          <w:rFonts w:ascii="Times New Roman" w:cs="Times New Roman" w:eastAsia="Times New Roman" w:hAnsi="Times New Roman"/>
          <w:sz w:val="18"/>
          <w:szCs w:val="18"/>
          <w:i w:val="1"/>
          <w:iCs w:val="1"/>
          <w:color w:val="auto"/>
        </w:rPr>
        <w:t xml:space="preserve"> Axsome Malta Ltd. &amp; Axsome Therapeutics, Inc. v. Aurobindo Pharma USA, Inc. et al</w:t>
      </w:r>
      <w:r>
        <w:rPr>
          <w:rFonts w:ascii="Times New Roman" w:cs="Times New Roman" w:eastAsia="Times New Roman" w:hAnsi="Times New Roman"/>
          <w:sz w:val="18"/>
          <w:szCs w:val="18"/>
          <w:color w:val="auto"/>
        </w:rPr>
        <w:t>. No. 2:24-cv-04002;</w:t>
      </w:r>
      <w:r>
        <w:rPr>
          <w:rFonts w:ascii="Times New Roman" w:cs="Times New Roman" w:eastAsia="Times New Roman" w:hAnsi="Times New Roman"/>
          <w:sz w:val="18"/>
          <w:szCs w:val="18"/>
          <w:i w:val="1"/>
          <w:iCs w:val="1"/>
          <w:color w:val="auto"/>
        </w:rPr>
        <w:t xml:space="preserve"> Axsome Malta Ltd. &amp; Axsome Therapeutics, Inc. v. Alkem Laboratories Ltd., et al</w:t>
      </w:r>
      <w:r>
        <w:rPr>
          <w:rFonts w:ascii="Times New Roman" w:cs="Times New Roman" w:eastAsia="Times New Roman" w:hAnsi="Times New Roman"/>
          <w:sz w:val="18"/>
          <w:szCs w:val="18"/>
          <w:color w:val="auto"/>
        </w:rPr>
        <w:t>. No. 2:24-CV-04608;</w:t>
      </w:r>
      <w:r>
        <w:rPr>
          <w:rFonts w:ascii="Times New Roman" w:cs="Times New Roman" w:eastAsia="Times New Roman" w:hAnsi="Times New Roman"/>
          <w:sz w:val="18"/>
          <w:szCs w:val="18"/>
          <w:i w:val="1"/>
          <w:iCs w:val="1"/>
          <w:color w:val="auto"/>
        </w:rPr>
        <w:t xml:space="preserve"> Axsome Malta Ltd. &amp; Axsome Therapeutics, Inc. v. Aurobindo Pharma USA, Inc. et al</w:t>
      </w:r>
      <w:r>
        <w:rPr>
          <w:rFonts w:ascii="Times New Roman" w:cs="Times New Roman" w:eastAsia="Times New Roman" w:hAnsi="Times New Roman"/>
          <w:sz w:val="18"/>
          <w:szCs w:val="18"/>
          <w:color w:val="auto"/>
        </w:rPr>
        <w:t xml:space="preserve">. No. 2-24-cv-07511; </w:t>
      </w:r>
      <w:r>
        <w:rPr>
          <w:rFonts w:ascii="Times New Roman" w:cs="Times New Roman" w:eastAsia="Times New Roman" w:hAnsi="Times New Roman"/>
          <w:sz w:val="18"/>
          <w:szCs w:val="18"/>
          <w:i w:val="1"/>
          <w:iCs w:val="1"/>
          <w:color w:val="auto"/>
        </w:rPr>
        <w:t>Axsome Malta Ltd. &amp; Axsome Therapeutics, Inc. v. Alkem Laboratories Ltd.</w:t>
      </w:r>
      <w:r>
        <w:rPr>
          <w:rFonts w:ascii="Times New Roman" w:cs="Times New Roman" w:eastAsia="Times New Roman" w:hAnsi="Times New Roman"/>
          <w:sz w:val="18"/>
          <w:szCs w:val="18"/>
          <w:color w:val="auto"/>
        </w:rPr>
        <w:t xml:space="preserve">No. 2-24-cv-08365; </w:t>
      </w:r>
      <w:r>
        <w:rPr>
          <w:rFonts w:ascii="Times New Roman" w:cs="Times New Roman" w:eastAsia="Times New Roman" w:hAnsi="Times New Roman"/>
          <w:sz w:val="18"/>
          <w:szCs w:val="18"/>
          <w:i w:val="1"/>
          <w:iCs w:val="1"/>
          <w:color w:val="auto"/>
        </w:rPr>
        <w:t>Axsome Malta Ltd. &amp; Axsome Therapeutics,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Inc. v. Aurobindo Pharma USA, Inc. et al. </w:t>
      </w:r>
      <w:r>
        <w:rPr>
          <w:rFonts w:ascii="Times New Roman" w:cs="Times New Roman" w:eastAsia="Times New Roman" w:hAnsi="Times New Roman"/>
          <w:sz w:val="18"/>
          <w:szCs w:val="18"/>
          <w:color w:val="auto"/>
        </w:rPr>
        <w:t>No. 2-24-cv-08624;</w:t>
      </w:r>
      <w:r>
        <w:rPr>
          <w:rFonts w:ascii="Times New Roman" w:cs="Times New Roman" w:eastAsia="Times New Roman" w:hAnsi="Times New Roman"/>
          <w:sz w:val="18"/>
          <w:szCs w:val="18"/>
          <w:i w:val="1"/>
          <w:iCs w:val="1"/>
          <w:color w:val="auto"/>
        </w:rPr>
        <w:t xml:space="preserve"> Axsome Malta Ltd. &amp; Axsome Therapeutics, Inc. v. Alkem Laboratories Ltd. et al. </w:t>
      </w:r>
      <w:r>
        <w:rPr>
          <w:rFonts w:ascii="Times New Roman" w:cs="Times New Roman" w:eastAsia="Times New Roman" w:hAnsi="Times New Roman"/>
          <w:sz w:val="18"/>
          <w:szCs w:val="18"/>
          <w:color w:val="auto"/>
        </w:rPr>
        <w:t xml:space="preserve">No. 2-24-cv-09209; </w:t>
      </w:r>
      <w:r>
        <w:rPr>
          <w:rFonts w:ascii="Times New Roman" w:cs="Times New Roman" w:eastAsia="Times New Roman" w:hAnsi="Times New Roman"/>
          <w:sz w:val="18"/>
          <w:szCs w:val="18"/>
          <w:i w:val="1"/>
          <w:iCs w:val="1"/>
          <w:color w:val="auto"/>
        </w:rPr>
        <w:t>Axsome Malta Ltd. &amp; Axsome Therapeutics, Inc. v. Alkem Laboratories Ltd.</w:t>
      </w:r>
      <w:r>
        <w:rPr>
          <w:rFonts w:ascii="Times New Roman" w:cs="Times New Roman" w:eastAsia="Times New Roman" w:hAnsi="Times New Roman"/>
          <w:sz w:val="18"/>
          <w:szCs w:val="18"/>
          <w:color w:val="auto"/>
        </w:rPr>
        <w:t xml:space="preserve"> No. 2-24-cv-10617; </w:t>
      </w:r>
      <w:r>
        <w:rPr>
          <w:rFonts w:ascii="Times New Roman" w:cs="Times New Roman" w:eastAsia="Times New Roman" w:hAnsi="Times New Roman"/>
          <w:sz w:val="18"/>
          <w:szCs w:val="18"/>
          <w:i w:val="1"/>
          <w:iCs w:val="1"/>
          <w:color w:val="auto"/>
        </w:rPr>
        <w:t>Axsome Malta Ltd. &amp; Axsome Therapeutics,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Inc. v. Hetero USA, Inc. et al</w:t>
      </w:r>
      <w:r>
        <w:rPr>
          <w:rFonts w:ascii="Times New Roman" w:cs="Times New Roman" w:eastAsia="Times New Roman" w:hAnsi="Times New Roman"/>
          <w:sz w:val="18"/>
          <w:szCs w:val="18"/>
          <w:color w:val="auto"/>
        </w:rPr>
        <w:t>. No 2:24-cv-10618;</w:t>
      </w:r>
      <w:r>
        <w:rPr>
          <w:rFonts w:ascii="Times New Roman" w:cs="Times New Roman" w:eastAsia="Times New Roman" w:hAnsi="Times New Roman"/>
          <w:sz w:val="18"/>
          <w:szCs w:val="18"/>
          <w:i w:val="1"/>
          <w:iCs w:val="1"/>
          <w:color w:val="auto"/>
        </w:rPr>
        <w:t xml:space="preserve"> Axsome Malta Ltd. &amp; Axsome Therapeutics, Inc. v. Aurobindo Pharma USA, Inc. et al</w:t>
      </w:r>
      <w:r>
        <w:rPr>
          <w:rFonts w:ascii="Times New Roman" w:cs="Times New Roman" w:eastAsia="Times New Roman" w:hAnsi="Times New Roman"/>
          <w:sz w:val="18"/>
          <w:szCs w:val="18"/>
          <w:color w:val="auto"/>
        </w:rPr>
        <w:t xml:space="preserve">. No 2:24-cv-10619; </w:t>
      </w:r>
      <w:r>
        <w:rPr>
          <w:rFonts w:ascii="Times New Roman" w:cs="Times New Roman" w:eastAsia="Times New Roman" w:hAnsi="Times New Roman"/>
          <w:sz w:val="18"/>
          <w:szCs w:val="18"/>
          <w:i w:val="1"/>
          <w:iCs w:val="1"/>
          <w:color w:val="auto"/>
        </w:rPr>
        <w:t>Axsome Malta Ltd. &amp; Axsome Therapeutics, Inc. v. Hikma Pharmaceuticals USA Inc</w:t>
      </w:r>
      <w:r>
        <w:rPr>
          <w:rFonts w:ascii="Times New Roman" w:cs="Times New Roman" w:eastAsia="Times New Roman" w:hAnsi="Times New Roman"/>
          <w:sz w:val="18"/>
          <w:szCs w:val="18"/>
          <w:color w:val="auto"/>
        </w:rPr>
        <w:t xml:space="preserve">. No 2:24-cv-10620; </w:t>
      </w:r>
      <w:r>
        <w:rPr>
          <w:rFonts w:ascii="Times New Roman" w:cs="Times New Roman" w:eastAsia="Times New Roman" w:hAnsi="Times New Roman"/>
          <w:sz w:val="18"/>
          <w:szCs w:val="18"/>
          <w:i w:val="1"/>
          <w:iCs w:val="1"/>
          <w:color w:val="auto"/>
        </w:rPr>
        <w:t>Axsome Malta Ltd. &amp; Axsome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Therapeutics, Inc. v. Aurobindo Pharma USA, Inc. et al</w:t>
      </w:r>
      <w:r>
        <w:rPr>
          <w:rFonts w:ascii="Times New Roman" w:cs="Times New Roman" w:eastAsia="Times New Roman" w:hAnsi="Times New Roman"/>
          <w:sz w:val="18"/>
          <w:szCs w:val="18"/>
          <w:color w:val="auto"/>
        </w:rPr>
        <w:t>. No 2:25-cv-00643;</w:t>
      </w:r>
      <w:r>
        <w:rPr>
          <w:rFonts w:ascii="Times New Roman" w:cs="Times New Roman" w:eastAsia="Times New Roman" w:hAnsi="Times New Roman"/>
          <w:sz w:val="18"/>
          <w:szCs w:val="18"/>
          <w:i w:val="1"/>
          <w:iCs w:val="1"/>
          <w:color w:val="auto"/>
        </w:rPr>
        <w:t xml:space="preserve"> Axsome Malta Ltd. et al v. Hetero USA Inc. et al</w:t>
      </w:r>
      <w:r>
        <w:rPr>
          <w:rFonts w:ascii="Times New Roman" w:cs="Times New Roman" w:eastAsia="Times New Roman" w:hAnsi="Times New Roman"/>
          <w:sz w:val="18"/>
          <w:szCs w:val="18"/>
          <w:color w:val="auto"/>
        </w:rPr>
        <w:t>. 2-25-cv-00801; and</w:t>
      </w:r>
      <w:r>
        <w:rPr>
          <w:rFonts w:ascii="Times New Roman" w:cs="Times New Roman" w:eastAsia="Times New Roman" w:hAnsi="Times New Roman"/>
          <w:sz w:val="18"/>
          <w:szCs w:val="18"/>
          <w:i w:val="1"/>
          <w:iCs w:val="1"/>
          <w:color w:val="auto"/>
        </w:rPr>
        <w:t xml:space="preserve"> Axsome Malta Ltd. &amp; Axsome Therapeutics, Inc. v. Aurobindo Pharma USA, Inc. et al</w:t>
      </w:r>
      <w:r>
        <w:rPr>
          <w:rFonts w:ascii="Times New Roman" w:cs="Times New Roman" w:eastAsia="Times New Roman" w:hAnsi="Times New Roman"/>
          <w:sz w:val="18"/>
          <w:szCs w:val="18"/>
          <w:color w:val="auto"/>
        </w:rPr>
        <w:t>. No. 2-25-cv-03721, respectively, all of which were filed in the NJ District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Court.</w:t>
      </w:r>
    </w:p>
    <w:p>
      <w:pPr>
        <w:spacing w:after="0" w:line="196" w:lineRule="exact"/>
        <w:rPr>
          <w:sz w:val="20"/>
          <w:szCs w:val="20"/>
          <w:color w:val="auto"/>
        </w:rPr>
      </w:pPr>
    </w:p>
    <w:p>
      <w:pPr>
        <w:ind w:right="20" w:firstLine="749"/>
        <w:spacing w:after="0" w:line="253" w:lineRule="auto"/>
        <w:rPr>
          <w:sz w:val="20"/>
          <w:szCs w:val="20"/>
          <w:color w:val="auto"/>
        </w:rPr>
      </w:pPr>
      <w:r>
        <w:rPr>
          <w:rFonts w:ascii="Times New Roman" w:cs="Times New Roman" w:eastAsia="Times New Roman" w:hAnsi="Times New Roman"/>
          <w:sz w:val="18"/>
          <w:szCs w:val="18"/>
          <w:color w:val="auto"/>
        </w:rPr>
        <w:t xml:space="preserve">On June 4, 2024, Axsome and the Malta Subsidiary entered into a settlement agreement with Unichem Laboratories Ltd. (“Unichem”) under which agreement Unichem agreed not to launch its generic solriamfetol product until June 30, 2042, or earlier under certain circumstances. On August 21, 2024, Axsome and the Malta Subsidiary reached an agreement to dismiss the actions pending against Sandoz Inc. On September 25, 2024, Hikma Pharmaceuticals USA, Inc. (“Hikma”) filed a petition for Inter Partes Review of U.S. Patent No. 11,560,354 before the United States Patent and Trademark Office’s Patent Trial and Appeal Board. That petition is captioned </w:t>
      </w:r>
      <w:r>
        <w:rPr>
          <w:rFonts w:ascii="Times New Roman" w:cs="Times New Roman" w:eastAsia="Times New Roman" w:hAnsi="Times New Roman"/>
          <w:sz w:val="18"/>
          <w:szCs w:val="18"/>
          <w:i w:val="1"/>
          <w:iCs w:val="1"/>
          <w:color w:val="auto"/>
        </w:rPr>
        <w:t>Hikma Pharmaceuticals USA Inc. f/k/a West-Ward Pharmaceuticals Corp. v. Axsome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Malta Ltd</w:t>
      </w:r>
      <w:r>
        <w:rPr>
          <w:rFonts w:ascii="Times New Roman" w:cs="Times New Roman" w:eastAsia="Times New Roman" w:hAnsi="Times New Roman"/>
          <w:sz w:val="18"/>
          <w:szCs w:val="18"/>
          <w:color w:val="auto"/>
        </w:rPr>
        <w:t>. IPR2024-01418. On March 2, 2025, Axsome and the Malta Subsidiary entered into a settlement agreement with Hikma under which agreement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Hikma agreed not to launch its generic solriamfetol product until September 1, 2040, if pediatric exclusivity is granted for Sunosi, or on or after March 1, 2040, if no pediatric exclusivity is granted, or earlier under certain circumstances. On March 6, 2025 the Malta Subsidiary and Hikma jointly requested that the PTAB dismiss IPR2024-01418. That request was granted on March 12, 2025. On May 21, 2025, Axsome and the Malta Subsidiary entered into a settlement with Hetero USA, Inc., Hetero Labs Limited Unit-V, and Hetero Labs Ltd. (collectively, “Hetero”) under which agreement Hetero agreed not to launch its generic solriamfetol product until September 1, 2040, if pediatric exclusivity is granted for Sunosi, or on or after March 1, 2040, if no pediatric exclusivity is granted, or earlier under certain circumstances. All other actions remain pending.</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i w:val="1"/>
          <w:iCs w:val="1"/>
          <w:color w:val="auto"/>
        </w:rPr>
        <w:t>The Company is subject to a number of risks that if realized could materially adversely affect its business, results of operations, cash flow, financial condition or prospects. The following is a summary of the principal risk factors facing the Company. The list below is not exhaustive, and the Company faces additional challenges and risks. We have restated and revised our risk factors for material updates for this quarter, where appropriate, from those included in our Annual Report on Form 10-K dated and filed with the SEC on February 18, 2025. Investors should carefully consider all of the information set forth in this Quarterly Report on Form 10-Q, including the following risk factors, before deciding to invest in any of the Company’s securities.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Factors Summary</w:t>
      </w:r>
    </w:p>
    <w:p>
      <w:pPr>
        <w:spacing w:after="0" w:line="229" w:lineRule="exact"/>
        <w:rPr>
          <w:sz w:val="20"/>
          <w:szCs w:val="20"/>
          <w:color w:val="auto"/>
        </w:rPr>
      </w:pPr>
    </w:p>
    <w:p>
      <w:pPr>
        <w:ind w:right="20" w:firstLine="749"/>
        <w:spacing w:after="0" w:line="282" w:lineRule="auto"/>
        <w:rPr>
          <w:sz w:val="20"/>
          <w:szCs w:val="20"/>
          <w:color w:val="auto"/>
        </w:rPr>
      </w:pPr>
      <w:r>
        <w:rPr>
          <w:rFonts w:ascii="Times New Roman" w:cs="Times New Roman" w:eastAsia="Times New Roman" w:hAnsi="Times New Roman"/>
          <w:sz w:val="18"/>
          <w:szCs w:val="18"/>
          <w:color w:val="auto"/>
        </w:rPr>
        <w:t>Our business is subject to a number of risks and uncertainties, including those risks discussed at length below. These risks include, among others, the following:</w:t>
      </w:r>
    </w:p>
    <w:p>
      <w:pPr>
        <w:spacing w:after="0" w:line="158" w:lineRule="exact"/>
        <w:rPr>
          <w:sz w:val="20"/>
          <w:szCs w:val="20"/>
          <w:color w:val="auto"/>
        </w:rPr>
      </w:pPr>
    </w:p>
    <w:p>
      <w:pPr>
        <w:ind w:left="760" w:right="220" w:hanging="378"/>
        <w:spacing w:after="0" w:line="286" w:lineRule="auto"/>
        <w:tabs>
          <w:tab w:leader="none" w:pos="76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b w:val="1"/>
          <w:bCs w:val="1"/>
          <w:i w:val="1"/>
          <w:iCs w:val="1"/>
          <w:color w:val="auto"/>
        </w:rPr>
        <w:t>We have incurred significant losses since our inception, anticipate that we will continue to have losses, and may never achieve or maintain profitability.</w:t>
      </w:r>
    </w:p>
    <w:p>
      <w:pPr>
        <w:spacing w:after="0" w:line="154" w:lineRule="exact"/>
        <w:rPr>
          <w:rFonts w:ascii="Times New Roman" w:cs="Times New Roman" w:eastAsia="Times New Roman" w:hAnsi="Times New Roman"/>
          <w:sz w:val="16"/>
          <w:szCs w:val="16"/>
          <w:color w:val="auto"/>
        </w:rPr>
      </w:pPr>
    </w:p>
    <w:p>
      <w:pPr>
        <w:ind w:left="760" w:right="380" w:hanging="378"/>
        <w:spacing w:after="0" w:line="268" w:lineRule="auto"/>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We may need additional funding to conduct our future clinical trials and to complete development and commercialization of our product candidates. If we are unable to raise capital when needed, we would be forced to delay, reduce, or eliminate our product development programs or commercialization efforts.</w:t>
      </w:r>
    </w:p>
    <w:p>
      <w:pPr>
        <w:spacing w:after="0" w:line="170" w:lineRule="exact"/>
        <w:rPr>
          <w:rFonts w:ascii="Times New Roman" w:cs="Times New Roman" w:eastAsia="Times New Roman" w:hAnsi="Times New Roman"/>
          <w:sz w:val="18"/>
          <w:szCs w:val="18"/>
          <w:color w:val="auto"/>
        </w:rPr>
      </w:pPr>
    </w:p>
    <w:p>
      <w:pPr>
        <w:ind w:left="760" w:right="420" w:hanging="378"/>
        <w:spacing w:after="0" w:line="268" w:lineRule="auto"/>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Our operating activities may be restricted as a result of covenants related to the outstanding indebtedness under our loan facility with Blackstone, and we may be required to repay the outstanding indebtedness in an event of default, which could have a materially adverse effect on our business.</w:t>
      </w:r>
    </w:p>
    <w:p>
      <w:pPr>
        <w:spacing w:after="0" w:line="170"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We have a limited operating history of commercializing products, which may make it difficult to evaluate our business and prospects.</w:t>
      </w:r>
    </w:p>
    <w:p>
      <w:pPr>
        <w:spacing w:after="0" w:line="225" w:lineRule="exact"/>
        <w:rPr>
          <w:rFonts w:ascii="Times New Roman" w:cs="Times New Roman" w:eastAsia="Times New Roman" w:hAnsi="Times New Roman"/>
          <w:sz w:val="18"/>
          <w:szCs w:val="18"/>
          <w:color w:val="auto"/>
        </w:rPr>
      </w:pPr>
    </w:p>
    <w:p>
      <w:pPr>
        <w:ind w:left="760" w:right="360" w:hanging="378"/>
        <w:spacing w:after="0" w:line="286" w:lineRule="auto"/>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We are substantially dependent on the success of our products and cannot guarantee that any of our product candidates will successfully complete any planned or ongoing clinical trials, receive regulatory approval, or be successfully commercialized.</w:t>
      </w:r>
    </w:p>
    <w:p>
      <w:pPr>
        <w:spacing w:after="0" w:line="154" w:lineRule="exact"/>
        <w:rPr>
          <w:rFonts w:ascii="Times New Roman" w:cs="Times New Roman" w:eastAsia="Times New Roman" w:hAnsi="Times New Roman"/>
          <w:sz w:val="18"/>
          <w:szCs w:val="18"/>
          <w:color w:val="auto"/>
        </w:rPr>
      </w:pPr>
    </w:p>
    <w:p>
      <w:pPr>
        <w:ind w:left="760" w:right="60" w:hanging="378"/>
        <w:spacing w:after="0" w:line="262" w:lineRule="auto"/>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If safety and efficacy data for our product candidates, a reference drug, or published literature does not satisfactorily demonstrate safety and efficacy to the FDA, or if the FDA and other regulators do not permit us to rely on the data of a reference drug or published literature, we may incur additional costs or experience delays in completing, or ultimately be unable to complete, the development and commercialization of our product candidates.</w:t>
      </w:r>
    </w:p>
    <w:p>
      <w:pPr>
        <w:spacing w:after="0" w:line="176" w:lineRule="exact"/>
        <w:rPr>
          <w:rFonts w:ascii="Times New Roman" w:cs="Times New Roman" w:eastAsia="Times New Roman" w:hAnsi="Times New Roman"/>
          <w:sz w:val="18"/>
          <w:szCs w:val="18"/>
          <w:color w:val="auto"/>
        </w:rPr>
      </w:pPr>
    </w:p>
    <w:p>
      <w:pPr>
        <w:ind w:left="760" w:hanging="378"/>
        <w:spacing w:after="0" w:line="262" w:lineRule="auto"/>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Although Breakthrough Therapy, Fast Track, and other designations are designed to expedite the development and review of drugs, they may not ultimately lead to a faster approval process or faster development of regulatory review, and they will not increase the likelihood that our product candidates will receive marketing approval, for example, Breakthrough Therapy designation by the FDA for AXS-05 for the treatment of AD agitation.</w:t>
      </w:r>
    </w:p>
    <w:p>
      <w:pPr>
        <w:spacing w:after="0" w:line="176" w:lineRule="exact"/>
        <w:rPr>
          <w:rFonts w:ascii="Times New Roman" w:cs="Times New Roman" w:eastAsia="Times New Roman" w:hAnsi="Times New Roman"/>
          <w:sz w:val="18"/>
          <w:szCs w:val="18"/>
          <w:color w:val="auto"/>
        </w:rPr>
      </w:pPr>
    </w:p>
    <w:p>
      <w:pPr>
        <w:ind w:left="760" w:right="160" w:hanging="378"/>
        <w:spacing w:after="0" w:line="286" w:lineRule="auto"/>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We face significant competition from other pharmaceutical and biotechnology companies, academic institutions, government agencies, and other research organizations. Our operating results will suffer if we fail to compete effectively.</w:t>
      </w:r>
    </w:p>
    <w:p>
      <w:pPr>
        <w:spacing w:after="0" w:line="154" w:lineRule="exact"/>
        <w:rPr>
          <w:rFonts w:ascii="Times New Roman" w:cs="Times New Roman" w:eastAsia="Times New Roman" w:hAnsi="Times New Roman"/>
          <w:sz w:val="18"/>
          <w:szCs w:val="18"/>
          <w:color w:val="auto"/>
        </w:rPr>
      </w:pPr>
    </w:p>
    <w:p>
      <w:pPr>
        <w:ind w:left="760" w:right="100" w:hanging="378"/>
        <w:spacing w:after="0" w:line="286" w:lineRule="auto"/>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If we are unable to establish effective marketing, sales and distribution capabilities or enter into agreements with third parties to market, sell and distribute our products, we may be unable to generate substantial product revenues.</w:t>
      </w:r>
    </w:p>
    <w:p>
      <w:pPr>
        <w:spacing w:after="0" w:line="15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If any of our products do not achieve broad market acceptance, we may be unable to generate substantial product revenues.</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760" w:right="20" w:hanging="378"/>
        <w:spacing w:after="0" w:line="259" w:lineRule="auto"/>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We rely, and expect to continue to rely, on third parties to perform many essential services for our products and product candidates, including services related to our preclinical studies and clinical trials, warehousing and inventory control, distribution, government price reporting, customer service, and adverse event reporting. If these third parties fail to perform satisfactorily, including by failing to meet deadlines for the completion of our preclinical studies and clinical trials, or fail to comply with legal and regulatory requirements, our ability to commercialize any of our products will be significantly impacted and we may be subject to regulatory sanctions.</w:t>
      </w:r>
    </w:p>
    <w:p>
      <w:pPr>
        <w:spacing w:after="0" w:line="179" w:lineRule="exact"/>
        <w:rPr>
          <w:rFonts w:ascii="Times New Roman" w:cs="Times New Roman" w:eastAsia="Times New Roman" w:hAnsi="Times New Roman"/>
          <w:sz w:val="18"/>
          <w:szCs w:val="18"/>
          <w:color w:val="auto"/>
        </w:rPr>
      </w:pPr>
    </w:p>
    <w:p>
      <w:pPr>
        <w:ind w:left="760" w:right="40" w:hanging="378"/>
        <w:spacing w:after="0" w:line="268" w:lineRule="auto"/>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If the manufacturers upon whom we rely fail to produce our products in the volumes that we require on a timely basis, or to comply with stringent regulations applicable to pharmaceutical drug manufacturers, we may face delays in the development and commercialization of, or be unable to meet demand for, our products and may lose or fail to generate potential revenues.</w:t>
      </w:r>
    </w:p>
    <w:p>
      <w:pPr>
        <w:spacing w:after="0" w:line="170" w:lineRule="exact"/>
        <w:rPr>
          <w:rFonts w:ascii="Times New Roman" w:cs="Times New Roman" w:eastAsia="Times New Roman" w:hAnsi="Times New Roman"/>
          <w:sz w:val="18"/>
          <w:szCs w:val="18"/>
          <w:color w:val="auto"/>
        </w:rPr>
      </w:pPr>
    </w:p>
    <w:p>
      <w:pPr>
        <w:ind w:left="760" w:right="740" w:hanging="378"/>
        <w:spacing w:after="0" w:line="286" w:lineRule="auto"/>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Patent reform legislation could increase the uncertainties and costs surrounding the prosecution of our patent applications and the enforcement or defense of our issued patents.</w:t>
      </w:r>
    </w:p>
    <w:p>
      <w:pPr>
        <w:spacing w:after="0" w:line="154" w:lineRule="exact"/>
        <w:rPr>
          <w:rFonts w:ascii="Times New Roman" w:cs="Times New Roman" w:eastAsia="Times New Roman" w:hAnsi="Times New Roman"/>
          <w:sz w:val="18"/>
          <w:szCs w:val="18"/>
          <w:color w:val="auto"/>
        </w:rPr>
      </w:pPr>
    </w:p>
    <w:p>
      <w:pPr>
        <w:ind w:left="760" w:right="40" w:hanging="378"/>
        <w:spacing w:after="0" w:line="268" w:lineRule="auto"/>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We have licensed and may need to license certain intellectual property from third parties in the future. Such licenses may not be available or may not be available on commercially reasonable terms. Our business may be materially harmed if the licenses are not available or terminated for any reason.</w:t>
      </w:r>
    </w:p>
    <w:p>
      <w:pPr>
        <w:spacing w:after="0" w:line="170" w:lineRule="exact"/>
        <w:rPr>
          <w:rFonts w:ascii="Times New Roman" w:cs="Times New Roman" w:eastAsia="Times New Roman" w:hAnsi="Times New Roman"/>
          <w:sz w:val="18"/>
          <w:szCs w:val="18"/>
          <w:color w:val="auto"/>
        </w:rPr>
      </w:pPr>
    </w:p>
    <w:p>
      <w:pPr>
        <w:ind w:left="760" w:right="200" w:hanging="378"/>
        <w:spacing w:after="0" w:line="268" w:lineRule="auto"/>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If we fail to comply with federal, state, and foreign healthcare laws, including laws governing fraud and abuse, transparency, health and data protection, information privacy and security, we could face substantial penalties and liabilities, and our business, financial condition, results of operations, and prospects could be adversely affected.</w:t>
      </w:r>
    </w:p>
    <w:p>
      <w:pPr>
        <w:spacing w:after="0" w:line="170" w:lineRule="exact"/>
        <w:rPr>
          <w:rFonts w:ascii="Times New Roman" w:cs="Times New Roman" w:eastAsia="Times New Roman" w:hAnsi="Times New Roman"/>
          <w:sz w:val="18"/>
          <w:szCs w:val="18"/>
          <w:color w:val="auto"/>
        </w:rPr>
      </w:pPr>
    </w:p>
    <w:p>
      <w:pPr>
        <w:ind w:left="760" w:right="40" w:hanging="378"/>
        <w:spacing w:after="0" w:line="268" w:lineRule="auto"/>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If the government or third-party payors fail to provide adequate coverage and payment rates for any of our products, or if such payors and health care providers including health maintenance organizations (HMOs) and long-term care facilities choose to use therapies that are less expensive, our revenue and prospects for profitability may be limited.</w:t>
      </w:r>
    </w:p>
    <w:p>
      <w:pPr>
        <w:spacing w:after="0" w:line="170" w:lineRule="exact"/>
        <w:rPr>
          <w:rFonts w:ascii="Times New Roman" w:cs="Times New Roman" w:eastAsia="Times New Roman" w:hAnsi="Times New Roman"/>
          <w:sz w:val="18"/>
          <w:szCs w:val="18"/>
          <w:color w:val="auto"/>
        </w:rPr>
      </w:pPr>
    </w:p>
    <w:p>
      <w:pPr>
        <w:jc w:val="both"/>
        <w:ind w:left="760" w:right="120" w:hanging="378"/>
        <w:spacing w:after="0" w:line="268" w:lineRule="auto"/>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We have and may continue to significantly increase the size of our organization, and we may experience difficulties in managing growth. If we are unable to implement appropriate controls and procedures to manage our growth, we will not be able to implement our business plan successfully.</w:t>
      </w:r>
    </w:p>
    <w:p>
      <w:pPr>
        <w:spacing w:after="0" w:line="170" w:lineRule="exact"/>
        <w:rPr>
          <w:rFonts w:ascii="Times New Roman" w:cs="Times New Roman" w:eastAsia="Times New Roman" w:hAnsi="Times New Roman"/>
          <w:sz w:val="18"/>
          <w:szCs w:val="18"/>
          <w:color w:val="auto"/>
        </w:rPr>
      </w:pPr>
    </w:p>
    <w:p>
      <w:pPr>
        <w:ind w:left="760" w:hanging="378"/>
        <w:spacing w:after="0" w:line="268" w:lineRule="auto"/>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If we fail to maintain an effective system of internal controls over financial reporting, we may not be able to accurately report our financial condition, results of operations or cash flows, which may adversely affect investor confidence in us and, as a result, the value of our common stock.</w:t>
      </w:r>
    </w:p>
    <w:p>
      <w:pPr>
        <w:spacing w:after="0" w:line="170" w:lineRule="exact"/>
        <w:rPr>
          <w:rFonts w:ascii="Times New Roman" w:cs="Times New Roman" w:eastAsia="Times New Roman" w:hAnsi="Times New Roman"/>
          <w:sz w:val="18"/>
          <w:szCs w:val="18"/>
          <w:color w:val="auto"/>
        </w:rPr>
      </w:pPr>
    </w:p>
    <w:p>
      <w:pPr>
        <w:ind w:left="760" w:right="400" w:hanging="378"/>
        <w:spacing w:after="0" w:line="286" w:lineRule="auto"/>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Our principal stockholders and management own a significant percentage of our stock and may be able to exert significant control over matters subject to stockholder approval.</w:t>
      </w:r>
    </w:p>
    <w:p>
      <w:pPr>
        <w:spacing w:after="0" w:line="15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The use of our net operating loss carryforwards and research tax credits may be limited.</w:t>
      </w:r>
    </w:p>
    <w:p>
      <w:pPr>
        <w:spacing w:after="0" w:line="200" w:lineRule="exact"/>
        <w:rPr>
          <w:sz w:val="20"/>
          <w:szCs w:val="20"/>
          <w:color w:val="auto"/>
        </w:rPr>
      </w:pPr>
    </w:p>
    <w:p>
      <w:pPr>
        <w:spacing w:after="0" w:line="24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4" w:right="37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FINANCIAL CONDITION AND CAPITAL REQUIREMENTS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have incurred significant losses since our inception, anticipate that we will continue to have losses, and may never achieve or maintain profitability.</w:t>
      </w:r>
    </w:p>
    <w:p>
      <w:pPr>
        <w:spacing w:after="0" w:line="241" w:lineRule="exact"/>
        <w:rPr>
          <w:sz w:val="20"/>
          <w:szCs w:val="20"/>
          <w:color w:val="auto"/>
        </w:rPr>
      </w:pPr>
    </w:p>
    <w:p>
      <w:pPr>
        <w:ind w:right="100" w:firstLine="749"/>
        <w:spacing w:after="0" w:line="258" w:lineRule="auto"/>
        <w:rPr>
          <w:sz w:val="20"/>
          <w:szCs w:val="20"/>
          <w:color w:val="auto"/>
        </w:rPr>
      </w:pPr>
      <w:r>
        <w:rPr>
          <w:rFonts w:ascii="Times New Roman" w:cs="Times New Roman" w:eastAsia="Times New Roman" w:hAnsi="Times New Roman"/>
          <w:sz w:val="18"/>
          <w:szCs w:val="18"/>
          <w:color w:val="auto"/>
        </w:rPr>
        <w:t>We are a biopharmaceutical company with a limited operating history. Since inception, we have incurred significant operating losses. Our net loss was $107.4 million and $147.7 million for the six months ended June 30, 2025 and 2024, respectively. As of June 30, 2025, we had an accumulated deficit of $1,230.2 million. In 2022, we commenced the commercial sale of Auvelity in the United States and Sunosi in the United States and select global markets. In January 2025, Symbravo was approved by the FDA for the acute treatment of migraine with or without aura in adults. Apart from Auvelity, Sunosi, and Symbravo, we have no other products which have received regulatory approval.</w:t>
      </w:r>
    </w:p>
    <w:p>
      <w:pPr>
        <w:spacing w:after="0" w:line="183" w:lineRule="exact"/>
        <w:rPr>
          <w:sz w:val="20"/>
          <w:szCs w:val="20"/>
          <w:color w:val="auto"/>
        </w:rPr>
      </w:pPr>
    </w:p>
    <w:p>
      <w:pPr>
        <w:jc w:val="both"/>
        <w:ind w:right="20" w:firstLine="749"/>
        <w:spacing w:after="0" w:line="266" w:lineRule="auto"/>
        <w:rPr>
          <w:sz w:val="20"/>
          <w:szCs w:val="20"/>
          <w:color w:val="auto"/>
        </w:rPr>
      </w:pPr>
      <w:r>
        <w:rPr>
          <w:rFonts w:ascii="Times New Roman" w:cs="Times New Roman" w:eastAsia="Times New Roman" w:hAnsi="Times New Roman"/>
          <w:sz w:val="18"/>
          <w:szCs w:val="18"/>
          <w:color w:val="auto"/>
        </w:rPr>
        <w:t>We expect to continue to incur substantial expenses and operating losses, as we continue to develop our current and future product candidates. In addition, we expect to incur significant sales, marketing, and manufacturing expenses related to the commercialization of Auvelity, Sunosi, Symbravo, and any other product candidate which the FDA may approve or which we may in-license. We anticipate that our expenses will increase substantially as we:</w:t>
      </w:r>
    </w:p>
    <w:p>
      <w:pPr>
        <w:spacing w:after="0" w:line="176" w:lineRule="exact"/>
        <w:rPr>
          <w:sz w:val="20"/>
          <w:szCs w:val="20"/>
          <w:color w:val="auto"/>
        </w:rPr>
      </w:pPr>
    </w:p>
    <w:p>
      <w:pPr>
        <w:ind w:left="760" w:hanging="378"/>
        <w:spacing w:after="0"/>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regulatory approval for additional product candidates;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additional commercial, clinical, medical, quality, regulatory, and scientific personnel;</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operational, financial, and management information systems and personnel;</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our sales, marketing, and distribution infrastructure;</w:t>
      </w:r>
    </w:p>
    <w:p>
      <w:pPr>
        <w:spacing w:after="0" w:line="225" w:lineRule="exact"/>
        <w:rPr>
          <w:rFonts w:ascii="Times New Roman" w:cs="Times New Roman" w:eastAsia="Times New Roman" w:hAnsi="Times New Roman"/>
          <w:sz w:val="18"/>
          <w:szCs w:val="18"/>
          <w:color w:val="auto"/>
        </w:rPr>
      </w:pPr>
    </w:p>
    <w:p>
      <w:pPr>
        <w:ind w:left="760" w:right="580" w:hanging="378"/>
        <w:spacing w:after="0" w:line="282" w:lineRule="auto"/>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external manufacturing capabilities and production to commercialize any additional products for which we may obtain regulatory approval and that we choose not to license to a third party;</w:t>
      </w:r>
    </w:p>
    <w:p>
      <w:pPr>
        <w:spacing w:after="0" w:line="1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undertake additional manufacturing activities of our product candidates to satisfy FDA requirements for marketing application submissions;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evaluate, plan for, and conduct clinical trials for AXS-05 as an aid to smoking cessation treatment and other CNS disorders;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evaluate, plan for, and conduct clinical trials for solriamfetol in additional indications;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evaluate, plan for, and potentially submit NDAs for other pipeline products;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expand commercial sales of Auvelity, Sunosi, and Symbravo;</w:t>
      </w:r>
    </w:p>
    <w:p>
      <w:pPr>
        <w:spacing w:after="0" w:line="184" w:lineRule="exact"/>
        <w:rPr>
          <w:rFonts w:ascii="Times New Roman" w:cs="Times New Roman" w:eastAsia="Times New Roman" w:hAnsi="Times New Roman"/>
          <w:sz w:val="18"/>
          <w:szCs w:val="18"/>
          <w:color w:val="auto"/>
        </w:rPr>
      </w:pPr>
    </w:p>
    <w:p>
      <w:pPr>
        <w:ind w:left="760" w:hanging="378"/>
        <w:spacing w:after="0" w:line="207" w:lineRule="exact"/>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in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license, or acquire additional product candidates;</w:t>
      </w:r>
    </w:p>
    <w:p>
      <w:pPr>
        <w:spacing w:after="0" w:line="225" w:lineRule="exact"/>
        <w:rPr>
          <w:rFonts w:ascii="Times New Roman" w:cs="Times New Roman" w:eastAsia="Times New Roman" w:hAnsi="Times New Roman"/>
          <w:sz w:val="18"/>
          <w:szCs w:val="18"/>
          <w:color w:val="auto"/>
        </w:rPr>
      </w:pPr>
    </w:p>
    <w:p>
      <w:pPr>
        <w:ind w:left="760" w:hanging="378"/>
        <w:spacing w:after="0" w:line="207" w:lineRule="exact"/>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late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stage clinical trials for any product candidates that successfully complete early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stage clinical trials;</w:t>
      </w:r>
    </w:p>
    <w:p>
      <w:pPr>
        <w:spacing w:after="0" w:line="225" w:lineRule="exact"/>
        <w:rPr>
          <w:rFonts w:ascii="Times New Roman" w:cs="Times New Roman" w:eastAsia="Times New Roman" w:hAnsi="Times New Roman"/>
          <w:sz w:val="18"/>
          <w:szCs w:val="18"/>
          <w:color w:val="auto"/>
        </w:rPr>
      </w:pPr>
    </w:p>
    <w:p>
      <w:pPr>
        <w:ind w:left="760" w:hanging="378"/>
        <w:spacing w:after="0" w:line="207" w:lineRule="exact"/>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additional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clinical studies with any product candidates; and</w:t>
      </w:r>
    </w:p>
    <w:p>
      <w:pPr>
        <w:spacing w:after="0" w:line="26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expand, and protect our intellectual property portfolio.</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firstLine="749"/>
        <w:spacing w:after="0" w:line="255" w:lineRule="auto"/>
        <w:rPr>
          <w:sz w:val="20"/>
          <w:szCs w:val="20"/>
          <w:color w:val="auto"/>
        </w:rPr>
      </w:pPr>
      <w:r>
        <w:rPr>
          <w:rFonts w:ascii="Times New Roman" w:cs="Times New Roman" w:eastAsia="Times New Roman" w:hAnsi="Times New Roman"/>
          <w:sz w:val="18"/>
          <w:szCs w:val="18"/>
          <w:color w:val="auto"/>
        </w:rPr>
        <w:t>To become and remain profitable, we must succeed in developing (or in-licensing) and commercializing products that generate significant revenue. This will require us to be successful in a range of challenging activities, which may include completing preclinical testing and clinical trials of our product candidates, discovering additional product candidates, potentially entering into collaboration and license agreements, obtaining regulatory approval for product candidates and manufacturing, marketing, and selling any products for which we may obtain regulatory approval, achieving market acceptance of our products, satisfying any post-marketing requirements, maintaining appropriate distribution, setting prices, and obtaining reimbursement for our products from private insurance or government payors. We are only in the preliminary stages of some of these activities with respect to certain products and product candidates. We may never succeed in some of these activities and, even if we do, may never achieve profitability.</w:t>
      </w:r>
    </w:p>
    <w:p>
      <w:pPr>
        <w:spacing w:after="0" w:line="189" w:lineRule="exact"/>
        <w:rPr>
          <w:sz w:val="20"/>
          <w:szCs w:val="20"/>
          <w:color w:val="auto"/>
        </w:rPr>
      </w:pPr>
    </w:p>
    <w:p>
      <w:pPr>
        <w:ind w:right="80" w:firstLine="749"/>
        <w:spacing w:after="0" w:line="261" w:lineRule="auto"/>
        <w:rPr>
          <w:sz w:val="20"/>
          <w:szCs w:val="20"/>
          <w:color w:val="auto"/>
        </w:rPr>
      </w:pPr>
      <w:r>
        <w:rPr>
          <w:rFonts w:ascii="Times New Roman" w:cs="Times New Roman" w:eastAsia="Times New Roman" w:hAnsi="Times New Roman"/>
          <w:sz w:val="18"/>
          <w:szCs w:val="18"/>
          <w:color w:val="auto"/>
        </w:rPr>
        <w:t>Because of the numerous risks and uncertainties associated with pharmaceutical product development, we are unable to accurately predict the timing or amount of increased expenses we may incur or when, or if, we will be able to achieve profitability. If we are required by the FDA or comparable foreign regulatory authorities to perform studies in addition to those currently expected, or if there are any delays in completing our clinical trials or the development of any of our product candidates, our expenses could increase.</w:t>
      </w:r>
    </w:p>
    <w:p>
      <w:pPr>
        <w:spacing w:after="0" w:line="180" w:lineRule="exact"/>
        <w:rPr>
          <w:sz w:val="20"/>
          <w:szCs w:val="20"/>
          <w:color w:val="auto"/>
        </w:rPr>
      </w:pPr>
    </w:p>
    <w:p>
      <w:pPr>
        <w:ind w:right="40" w:firstLine="749"/>
        <w:spacing w:after="0" w:line="261" w:lineRule="auto"/>
        <w:rPr>
          <w:sz w:val="20"/>
          <w:szCs w:val="20"/>
          <w:color w:val="auto"/>
        </w:rPr>
      </w:pPr>
      <w:r>
        <w:rPr>
          <w:rFonts w:ascii="Times New Roman" w:cs="Times New Roman" w:eastAsia="Times New Roman" w:hAnsi="Times New Roman"/>
          <w:sz w:val="18"/>
          <w:szCs w:val="18"/>
          <w:color w:val="auto"/>
        </w:rPr>
        <w:t>Even if we do achieve profitability, we may not be able to sustain or increase profitability on a quarterly or annual basis. Our failure to become and remain profitable would depress the value of our company and could impair our ability to raise capital, expand our business, maintain our research and development efforts, diversify our product offerings, continue the commercialization of our products, or even continue our operations. A decline in the value of our company could also cause you to lose all or part of your investment.</w:t>
      </w:r>
    </w:p>
    <w:p>
      <w:pPr>
        <w:spacing w:after="0" w:line="176" w:lineRule="exact"/>
        <w:rPr>
          <w:sz w:val="20"/>
          <w:szCs w:val="20"/>
          <w:color w:val="auto"/>
        </w:rPr>
      </w:pPr>
    </w:p>
    <w:p>
      <w:pPr>
        <w:jc w:val="both"/>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need additional funding to conduct our future clinical trials and to complete development and commercialization of our product candidates. If we are unable to raise capital when needed, we would be forced to delay, reduce, or eliminate our product development programs or commercialization efforts.</w:t>
      </w:r>
    </w:p>
    <w:p>
      <w:pPr>
        <w:spacing w:after="0" w:line="175" w:lineRule="exact"/>
        <w:rPr>
          <w:sz w:val="20"/>
          <w:szCs w:val="20"/>
          <w:color w:val="auto"/>
        </w:rPr>
      </w:pPr>
    </w:p>
    <w:p>
      <w:pPr>
        <w:ind w:right="180" w:firstLine="749"/>
        <w:spacing w:after="0" w:line="222" w:lineRule="exact"/>
        <w:rPr>
          <w:sz w:val="20"/>
          <w:szCs w:val="20"/>
          <w:color w:val="auto"/>
        </w:rPr>
      </w:pPr>
      <w:r>
        <w:rPr>
          <w:rFonts w:ascii="Times New Roman" w:cs="Times New Roman" w:eastAsia="Times New Roman" w:hAnsi="Times New Roman"/>
          <w:sz w:val="18"/>
          <w:szCs w:val="18"/>
          <w:color w:val="auto"/>
        </w:rPr>
        <w:t>Conducting clinical trials, pursuing regulatory approvals, establishing outsourced manufacturing relationships, and successfully manufacturing and commercializing our product candidates is a time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consuming, expensive, and uncertain process that takes years to complete. We may need to raise additional capital to:</w:t>
      </w:r>
    </w:p>
    <w:p>
      <w:pPr>
        <w:spacing w:after="0" w:line="199" w:lineRule="exact"/>
        <w:rPr>
          <w:sz w:val="20"/>
          <w:szCs w:val="20"/>
          <w:color w:val="auto"/>
        </w:rPr>
      </w:pPr>
    </w:p>
    <w:p>
      <w:pPr>
        <w:ind w:left="760" w:right="180" w:hanging="378"/>
        <w:spacing w:after="0" w:line="282" w:lineRule="auto"/>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fund our future clinical trials for our current product candidates, especially if we encounter any unforeseen delays or difficulties in our planned development activities;</w:t>
      </w:r>
    </w:p>
    <w:p>
      <w:pPr>
        <w:spacing w:after="0" w:line="1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fund our operations and continue to commercialize our products;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qualify and outsource the commercial scale manufacturing of our products under cGMP;</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additional product candidates; and</w:t>
      </w:r>
    </w:p>
    <w:p>
      <w:pPr>
        <w:spacing w:after="0" w:line="184" w:lineRule="exact"/>
        <w:rPr>
          <w:rFonts w:ascii="Times New Roman" w:cs="Times New Roman" w:eastAsia="Times New Roman" w:hAnsi="Times New Roman"/>
          <w:sz w:val="18"/>
          <w:szCs w:val="18"/>
          <w:color w:val="auto"/>
        </w:rPr>
      </w:pPr>
    </w:p>
    <w:p>
      <w:pPr>
        <w:ind w:left="760" w:hanging="378"/>
        <w:spacing w:after="0" w:line="207" w:lineRule="exact"/>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license other product candidates.</w:t>
      </w:r>
    </w:p>
    <w:p>
      <w:pPr>
        <w:spacing w:after="0" w:line="266" w:lineRule="exact"/>
        <w:rPr>
          <w:sz w:val="20"/>
          <w:szCs w:val="20"/>
          <w:color w:val="auto"/>
        </w:rPr>
      </w:pPr>
    </w:p>
    <w:p>
      <w:pPr>
        <w:ind w:right="280" w:firstLine="749"/>
        <w:spacing w:after="0" w:line="289" w:lineRule="auto"/>
        <w:rPr>
          <w:sz w:val="20"/>
          <w:szCs w:val="20"/>
          <w:color w:val="auto"/>
        </w:rPr>
      </w:pPr>
      <w:r>
        <w:rPr>
          <w:rFonts w:ascii="Times New Roman" w:cs="Times New Roman" w:eastAsia="Times New Roman" w:hAnsi="Times New Roman"/>
          <w:sz w:val="17"/>
          <w:szCs w:val="17"/>
          <w:color w:val="auto"/>
        </w:rPr>
        <w:t>We believe that our current cash is sufficient to fund anticipated operations into cash flow positivity, based on the current operating plan. Our assumptions may prove to be wrong, and we could spend our available financial resources faster than we currently expect. Further, we may not have sufficient financial resources to meet all of our objectives. Our future funding requirements will depend on many factors, including, but not limited to:</w:t>
      </w:r>
    </w:p>
    <w:p>
      <w:pPr>
        <w:spacing w:after="0" w:line="158" w:lineRule="exact"/>
        <w:rPr>
          <w:sz w:val="20"/>
          <w:szCs w:val="20"/>
          <w:color w:val="auto"/>
        </w:rPr>
      </w:pPr>
    </w:p>
    <w:p>
      <w:pPr>
        <w:ind w:left="760" w:right="620" w:hanging="378"/>
        <w:spacing w:after="0" w:line="282" w:lineRule="auto"/>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of progress and costs related to the development of our product candidates, including the costs of preparing filings for regulatory approval;</w:t>
      </w:r>
    </w:p>
    <w:p>
      <w:pPr>
        <w:spacing w:after="0" w:line="1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conducting additional clinical and non-clinical studies with any of our product candidates;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for delays in our efforts to seek regulatory approval for our product candidates, and any costs associated with such delays;</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760" w:hanging="378"/>
        <w:spacing w:after="0"/>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selling, marketing, and distributing our approved products;</w:t>
      </w:r>
    </w:p>
    <w:p>
      <w:pPr>
        <w:spacing w:after="0" w:line="225" w:lineRule="exact"/>
        <w:rPr>
          <w:rFonts w:ascii="Times New Roman" w:cs="Times New Roman" w:eastAsia="Times New Roman" w:hAnsi="Times New Roman"/>
          <w:sz w:val="18"/>
          <w:szCs w:val="18"/>
          <w:color w:val="auto"/>
        </w:rPr>
      </w:pPr>
    </w:p>
    <w:p>
      <w:pPr>
        <w:ind w:left="760" w:right="380" w:hanging="378"/>
        <w:spacing w:after="0" w:line="282" w:lineRule="auto"/>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filing, prosecuting, defending, and enforcing any patent claims and other intellectual property rights associated with our product candidates;</w:t>
      </w:r>
    </w:p>
    <w:p>
      <w:pPr>
        <w:spacing w:after="0" w:line="161" w:lineRule="exact"/>
        <w:rPr>
          <w:rFonts w:ascii="Times New Roman" w:cs="Times New Roman" w:eastAsia="Times New Roman" w:hAnsi="Times New Roman"/>
          <w:sz w:val="18"/>
          <w:szCs w:val="18"/>
          <w:color w:val="auto"/>
        </w:rPr>
      </w:pPr>
    </w:p>
    <w:p>
      <w:pPr>
        <w:ind w:left="760" w:right="580" w:hanging="378"/>
        <w:spacing w:after="0" w:line="282" w:lineRule="auto"/>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and timing of manufacturing, or having third parties manufacture, sufficient supplies of our product candidates in preparation for commercialization;</w:t>
      </w:r>
    </w:p>
    <w:p>
      <w:pPr>
        <w:spacing w:after="0" w:line="1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competing technological and market developments;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revenues from commercial sales of our approved products;</w:t>
      </w:r>
    </w:p>
    <w:p>
      <w:pPr>
        <w:spacing w:after="0" w:line="184" w:lineRule="exact"/>
        <w:rPr>
          <w:rFonts w:ascii="Times New Roman" w:cs="Times New Roman" w:eastAsia="Times New Roman" w:hAnsi="Times New Roman"/>
          <w:sz w:val="18"/>
          <w:szCs w:val="18"/>
          <w:color w:val="auto"/>
        </w:rPr>
      </w:pPr>
    </w:p>
    <w:p>
      <w:pPr>
        <w:ind w:left="760" w:hanging="378"/>
        <w:spacing w:after="0" w:line="207" w:lineRule="exact"/>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timing of any collaborative, licensing, co</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promotion, or other arrangements that we may establish; and</w:t>
      </w:r>
    </w:p>
    <w:p>
      <w:pPr>
        <w:spacing w:after="0" w:line="26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the commercialization of any of our current products and, if approved, any of our product candidates.</w:t>
      </w:r>
    </w:p>
    <w:p>
      <w:pPr>
        <w:spacing w:after="0" w:line="225" w:lineRule="exact"/>
        <w:rPr>
          <w:sz w:val="20"/>
          <w:szCs w:val="20"/>
          <w:color w:val="auto"/>
        </w:rPr>
      </w:pPr>
    </w:p>
    <w:p>
      <w:pPr>
        <w:ind w:right="160" w:firstLine="749"/>
        <w:spacing w:after="0" w:line="258" w:lineRule="auto"/>
        <w:rPr>
          <w:sz w:val="20"/>
          <w:szCs w:val="20"/>
          <w:color w:val="auto"/>
        </w:rPr>
      </w:pPr>
      <w:r>
        <w:rPr>
          <w:rFonts w:ascii="Times New Roman" w:cs="Times New Roman" w:eastAsia="Times New Roman" w:hAnsi="Times New Roman"/>
          <w:sz w:val="18"/>
          <w:szCs w:val="18"/>
          <w:color w:val="auto"/>
        </w:rPr>
        <w:t>Future capital requirements will also depend on the extent to which we acquire or invest in additional businesses, products, and technologies. Until we can generate a sufficient amount of product revenue, if ever, we may finance future cash needs through public or private equity offerings, debt financings, royalties, and corporate collaboration and licensing arrangements, as well as through interest income earned on cash and investment balances. We cannot be certain that additional funding will be available on acceptable terms, or at all. If adequate funds are not available, we may be required to delay, reduce the scope of, or eliminate one or more of our development programs or our commercialization efforts.</w:t>
      </w:r>
    </w:p>
    <w:p>
      <w:pPr>
        <w:spacing w:after="0" w:line="179"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operating activities may be restricted as a result of covenants related to the outstanding indebtedness under our loan facility with Blackstone, and we may be required to repay the outstanding indebtedness in an event of default, which could have a materially adverse effect on our business.</w:t>
      </w:r>
    </w:p>
    <w:p>
      <w:pPr>
        <w:spacing w:after="0" w:line="159" w:lineRule="exact"/>
        <w:rPr>
          <w:sz w:val="20"/>
          <w:szCs w:val="20"/>
          <w:color w:val="auto"/>
        </w:rPr>
      </w:pPr>
    </w:p>
    <w:p>
      <w:pPr>
        <w:ind w:firstLine="749"/>
        <w:spacing w:after="0" w:line="252" w:lineRule="auto"/>
        <w:rPr>
          <w:sz w:val="20"/>
          <w:szCs w:val="20"/>
          <w:color w:val="auto"/>
        </w:rPr>
      </w:pPr>
      <w:r>
        <w:rPr>
          <w:rFonts w:ascii="Times New Roman" w:cs="Times New Roman" w:eastAsia="Times New Roman" w:hAnsi="Times New Roman"/>
          <w:sz w:val="18"/>
          <w:szCs w:val="18"/>
          <w:color w:val="auto"/>
        </w:rPr>
        <w:t>On May 8, 2025 (the “Closing Date”), we entered into a loan agreement (the “Blackstone Loan Agreement”) with Blackstone Alternative Credit Advisors LP and Blackstone Life Sciences Advisors L.L.C. (collectively, the “Blackstone Representative” and referred to herein as “Blackstone”), certain subsidiaries party thereto as guarantors, Wilmington Trust, National Association, as agent, and the lenders from time to time party thereto (collectively, the “Lenders”), providing for loans in an aggregate principal amount of up to $570.0 million, consisting of (i) a first lien senior secured term loan in an aggregate principal amount of $120.0 million funded to us on the Closing Date, (ii) a $180.0 million senior secured term loan which is available to us at the Company’s option, of which $90.0 million is available to us until May 31, 2026, and of which the remaining $90.0 million is available until May 31, 2027 (the “Term Loans”) and (iii) a super senior revolving credit facility in an aggregate principal amount of up to $70.0 million available at our option (the “Revolver” and collectively with the Term Loans, the “Loans”). The Blackstone Loan Agreement also permits us, subject to the consent of the Lenders, to request incremental term loans in an aggregate principal amount of up to $200.0 million at any time and on the same terms as the initial Term Loans, except that any call protection will be determined at the time the incremental term loans are incurred. The proceeds of the Term Loans were used, together with cash on hand, to repay in full our obligations under the Hercules Loan Agreement, which resulted in a recording of a loss on debt extinguishment of approximately $10.4 million in the Company’s consolidated statement of operations. The Term Loans bear interest at a variable SOFR plus 4.75%. The Revolver bears interest at SOFR plus 4.0%. The maturity date of the Loans is May 8, 2030. The Blackstone Loan Agreement provides for additional drawdowns at our option, subject to certain conditions, and includes customary covenants and a minimum liquidity covenant of $30.0 million. The obligations under the Blackstone Loan Agreement are secured by a first lien on certain assets of ours and our subsidiaries.</w:t>
      </w:r>
    </w:p>
    <w:p>
      <w:pPr>
        <w:spacing w:after="0" w:line="200" w:lineRule="exact"/>
        <w:rPr>
          <w:sz w:val="20"/>
          <w:szCs w:val="20"/>
          <w:color w:val="auto"/>
        </w:rPr>
      </w:pPr>
    </w:p>
    <w:p>
      <w:pPr>
        <w:spacing w:after="0" w:line="2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120" w:firstLine="749"/>
        <w:spacing w:after="0" w:line="258" w:lineRule="auto"/>
        <w:rPr>
          <w:sz w:val="20"/>
          <w:szCs w:val="20"/>
          <w:color w:val="auto"/>
        </w:rPr>
      </w:pPr>
      <w:r>
        <w:rPr>
          <w:rFonts w:ascii="Times New Roman" w:cs="Times New Roman" w:eastAsia="Times New Roman" w:hAnsi="Times New Roman"/>
          <w:sz w:val="18"/>
          <w:szCs w:val="18"/>
          <w:color w:val="auto"/>
        </w:rPr>
        <w:t>The Blackstone Loan Agreement contains various covenants that limit our ability to engage in specified types of transactions. These covenants limit our ability to, among other things, sell, transfer, lease or dispose of certain assets; incur indebtedness; encumber or permit liens on certain assets; make certain investments; make certain restricted payments, including paying dividends on, or repurchasing or making distributions with respect to, our common stock; and enter into certain transactions with affiliates. Our business may be adversely affected by these restrictions on our ability to operate our business.</w:t>
      </w:r>
    </w:p>
    <w:p>
      <w:pPr>
        <w:spacing w:after="0" w:line="183"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The covenants under the Blackstone Loan Agreement also require maintaining a minimum amount of cash in an account or accounts in which the Lenders have a first priority security interest.</w:t>
      </w:r>
    </w:p>
    <w:p>
      <w:pPr>
        <w:spacing w:after="0" w:line="162" w:lineRule="exact"/>
        <w:rPr>
          <w:sz w:val="20"/>
          <w:szCs w:val="20"/>
          <w:color w:val="auto"/>
        </w:rPr>
      </w:pPr>
    </w:p>
    <w:p>
      <w:pPr>
        <w:jc w:val="both"/>
        <w:ind w:right="20" w:firstLine="749"/>
        <w:spacing w:after="0" w:line="266" w:lineRule="auto"/>
        <w:rPr>
          <w:sz w:val="20"/>
          <w:szCs w:val="20"/>
          <w:color w:val="auto"/>
        </w:rPr>
      </w:pPr>
      <w:r>
        <w:rPr>
          <w:rFonts w:ascii="Times New Roman" w:cs="Times New Roman" w:eastAsia="Times New Roman" w:hAnsi="Times New Roman"/>
          <w:sz w:val="18"/>
          <w:szCs w:val="18"/>
          <w:color w:val="auto"/>
        </w:rPr>
        <w:t>A breach of any of the covenants under the Blackstone Loan Agreement could result in a default. Upon the occurrence of an event of default, the Lenders could elect to declare all amounts outstanding, if any, to be immediately due and payable and terminate all commitments to extend further credit. If there are any amounts outstanding that we are unable to repay, the Lenders could proceed against the collateral granted to it to secure such indebtedness.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a limited operating history of commercializing products, which may make it difficult to evaluate our business and prospects.</w:t>
      </w:r>
    </w:p>
    <w:p>
      <w:pPr>
        <w:spacing w:after="0" w:line="229" w:lineRule="exact"/>
        <w:rPr>
          <w:sz w:val="20"/>
          <w:szCs w:val="20"/>
          <w:color w:val="auto"/>
        </w:rPr>
      </w:pPr>
    </w:p>
    <w:p>
      <w:pPr>
        <w:ind w:right="60" w:firstLine="749"/>
        <w:spacing w:after="0" w:line="261" w:lineRule="auto"/>
        <w:rPr>
          <w:sz w:val="20"/>
          <w:szCs w:val="20"/>
          <w:color w:val="auto"/>
        </w:rPr>
      </w:pPr>
      <w:r>
        <w:rPr>
          <w:rFonts w:ascii="Times New Roman" w:cs="Times New Roman" w:eastAsia="Times New Roman" w:hAnsi="Times New Roman"/>
          <w:sz w:val="18"/>
          <w:szCs w:val="18"/>
          <w:color w:val="auto"/>
        </w:rPr>
        <w:t>We are a commercial-stage company. Prior to our commercialization of Auvelity and Sunosi in 2022, and the approval of Symbravo earlier this year, we had not obtained marketing approvals for any product candidates, manufactured products on a commercial scale or arranged for a third party to do so on our behalf, or conducted sales and marketing activities necessary for successful commercialization. Consequently, predictions about our future success or viability may not be as accurate as they would be if we had a longer history of successfully developing and commercializing products.</w:t>
      </w:r>
    </w:p>
    <w:p>
      <w:pPr>
        <w:spacing w:after="0" w:line="180" w:lineRule="exact"/>
        <w:rPr>
          <w:sz w:val="20"/>
          <w:szCs w:val="20"/>
          <w:color w:val="auto"/>
        </w:rPr>
      </w:pPr>
    </w:p>
    <w:p>
      <w:pPr>
        <w:ind w:right="380" w:firstLine="749"/>
        <w:spacing w:after="0" w:line="261" w:lineRule="auto"/>
        <w:rPr>
          <w:sz w:val="20"/>
          <w:szCs w:val="20"/>
          <w:color w:val="auto"/>
        </w:rPr>
      </w:pPr>
      <w:r>
        <w:rPr>
          <w:rFonts w:ascii="Times New Roman" w:cs="Times New Roman" w:eastAsia="Times New Roman" w:hAnsi="Times New Roman"/>
          <w:sz w:val="18"/>
          <w:szCs w:val="18"/>
          <w:color w:val="auto"/>
        </w:rPr>
        <w:t>We expect our financial condition and operating results to continue to fluctuate from quarter to quarter and year to year due to a variety of factors, many of which are beyond our control. We have transitioned from a company with solely a research and development focus to a company also undertaking commercial activities. We may continue to encounter unforeseen expenses, difficulties, complications and delays, and this may not be a successful transition.</w:t>
      </w:r>
    </w:p>
    <w:p>
      <w:pPr>
        <w:spacing w:after="0" w:line="176" w:lineRule="exact"/>
        <w:rPr>
          <w:sz w:val="20"/>
          <w:szCs w:val="20"/>
          <w:color w:val="auto"/>
        </w:rPr>
      </w:pPr>
    </w:p>
    <w:p>
      <w:pPr>
        <w:jc w:val="both"/>
        <w:ind w:right="20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are currently operating in a period of economic uncertainty and capital markets disruption, which has been significantly impacted by geopolitical instability, ongoing military conflicts between Russia and Ukraine and between Israel and Hamas, Hezbollah, and the Houthis, and record inflation. Our business, financial condition, and results of operations could be materially adversely affected by any negative impact on the global economy and capital markets resulting from the conflicts in Ukraine and the Middle East, geopolitical tensions, or record inflation.</w:t>
      </w:r>
    </w:p>
    <w:p>
      <w:pPr>
        <w:spacing w:after="0" w:line="180" w:lineRule="exact"/>
        <w:rPr>
          <w:sz w:val="20"/>
          <w:szCs w:val="20"/>
          <w:color w:val="auto"/>
        </w:rPr>
      </w:pPr>
    </w:p>
    <w:p>
      <w:pPr>
        <w:ind w:right="100" w:firstLine="749"/>
        <w:spacing w:after="0" w:line="258" w:lineRule="auto"/>
        <w:rPr>
          <w:sz w:val="20"/>
          <w:szCs w:val="20"/>
          <w:color w:val="auto"/>
        </w:rPr>
      </w:pPr>
      <w:r>
        <w:rPr>
          <w:rFonts w:ascii="Times New Roman" w:cs="Times New Roman" w:eastAsia="Times New Roman" w:hAnsi="Times New Roman"/>
          <w:sz w:val="18"/>
          <w:szCs w:val="18"/>
          <w:color w:val="auto"/>
        </w:rPr>
        <w:t>U.S. and global markets are experiencing volatility and disruption following the escalation of geopolitical tensions and the start of the military conflict between Russia and Ukraine. On February 24, 2022, a full-scale military invasion of Ukraine by Russian troops was reported. Although the length and impact of the ongoing military conflict is highly unpredictable, the conflict in Ukraine could lead to market disruptions, including significant volatility in commodity prices, credit and capital markets, as well as supply chain interruptions. We are continuing to monitor the situation in Ukraine and globally and assessing its potential impact on our business.</w:t>
      </w:r>
    </w:p>
    <w:p>
      <w:pPr>
        <w:spacing w:after="0" w:line="183" w:lineRule="exact"/>
        <w:rPr>
          <w:sz w:val="20"/>
          <w:szCs w:val="20"/>
          <w:color w:val="auto"/>
        </w:rPr>
      </w:pPr>
    </w:p>
    <w:p>
      <w:pPr>
        <w:ind w:right="340" w:firstLine="749"/>
        <w:spacing w:after="0" w:line="261" w:lineRule="auto"/>
        <w:rPr>
          <w:sz w:val="20"/>
          <w:szCs w:val="20"/>
          <w:color w:val="auto"/>
        </w:rPr>
      </w:pPr>
      <w:r>
        <w:rPr>
          <w:rFonts w:ascii="Times New Roman" w:cs="Times New Roman" w:eastAsia="Times New Roman" w:hAnsi="Times New Roman"/>
          <w:sz w:val="18"/>
          <w:szCs w:val="18"/>
          <w:color w:val="auto"/>
        </w:rPr>
        <w:t>Additionally, the military conflict in Ukraine has led to sanctions and other penalties being levied by the United States, European Union and other countries against Russia. Additional potential sanctions and penalties have also been proposed and/or threatened. Russian military actions and the resulting sanctions could adversely affect the global economy and financial markets and lead to instability and lack of liquidity in capital markets, potentially making it more difficult for us to obtain additional funds.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In addition, on October 7, 2023, Hamas militants and members of other terrorist organizations infiltrated Israel’s southern border from the Gaza Strip and conducted a series of terror attacks on civilian and military targets. Shortly following the attack, Israel’s security cabinet declared war against Hamas, and Israel launched an aerial bombardment of various targets within the Gaza Strip and then also began ground operations in the Gaza Strip, which remain ongoing. Other terrorist and/or regional organizations have joined the hostilities as well, including Hezbollah in Lebanon, and the Houthis in Yemen, and it is possible that other countries in the Middle East, including Iran, will become further involved in hostilities with Israel, resulting in a further widening of the conflict. In March 2025, the United States launched a campaign of air and naval strikes against Houthi targets in Yemen, and although the US-Houthi conflict has now ceased, Yemen remains a volatile region with ongoing violence from multiple parties. The intensity and duration of the current wars in the Middle East are difficult to predict as are such wars’ implications for the global economy.</w:t>
      </w:r>
    </w:p>
    <w:p>
      <w:pPr>
        <w:spacing w:after="0" w:line="192" w:lineRule="exact"/>
        <w:rPr>
          <w:sz w:val="20"/>
          <w:szCs w:val="20"/>
          <w:color w:val="auto"/>
        </w:rPr>
      </w:pPr>
    </w:p>
    <w:p>
      <w:pPr>
        <w:ind w:right="140" w:firstLine="749"/>
        <w:spacing w:after="0" w:line="261" w:lineRule="auto"/>
        <w:rPr>
          <w:sz w:val="20"/>
          <w:szCs w:val="20"/>
          <w:color w:val="auto"/>
        </w:rPr>
      </w:pPr>
      <w:r>
        <w:rPr>
          <w:rFonts w:ascii="Times New Roman" w:cs="Times New Roman" w:eastAsia="Times New Roman" w:hAnsi="Times New Roman"/>
          <w:sz w:val="18"/>
          <w:szCs w:val="18"/>
          <w:color w:val="auto"/>
        </w:rPr>
        <w:t>Although our business has not been materially impacted by these geopolitical issues, or the U.S. domestic political climate, to date, it is impossible to predict the extent to which our operations, or those of our suppliers and manufacturers, will be impacted in the short and long term, or the ways in which conflicts may impact our business. The extent and duration of military action, sanctions, and resulting market disruptions are impossible to predict, but could be substantial. Any such disruptions may also magnify the impact of other risks described herein.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Political uncertainty may have an adverse impact on our operating performance and results of operations.</w:t>
      </w:r>
    </w:p>
    <w:p>
      <w:pPr>
        <w:spacing w:after="0" w:line="229"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General political uncertainty may have an adverse impact on our operating performance and results of operations. In particular, the U.S. continues to experience significant political events that cast uncertainty on global financial and economic markets, especially following the recent presidential election. For example, in April 2025, the U.S. administration imposed increased tariffs on all countries and individualized “reciprocal” higher tariffs on certain countries with which the U.S. has the largest trade deficits. Certain countries responded by announcing retaliatory tariffs on U.S. imports. A few days later, the U.S. administration reduced the tariffs imposed on most countries to 10 percent for a period of 90 days to allow trade negotiations with those countries. This pause was initially set to expire on July 9, 2025, but was extended thereafter, providing additional time to finalize deals with certain countries. It is presently unclear exactly what actions the U.S. administration will implement, and if implemented, how these actions may impact the biopharmaceutical industry in the U.S. Any actions taken by the U.S. administration, including the many recent executive orders and tariff increases, may have a negative impact on the U.S. economy, global markets and on our business, financial condition, and results of operations.</w:t>
      </w:r>
    </w:p>
    <w:p>
      <w:pPr>
        <w:spacing w:after="0" w:line="188" w:lineRule="exact"/>
        <w:rPr>
          <w:sz w:val="20"/>
          <w:szCs w:val="20"/>
          <w:color w:val="auto"/>
        </w:rPr>
      </w:pPr>
    </w:p>
    <w:p>
      <w:pPr>
        <w:ind w:right="20" w:firstLine="749"/>
        <w:spacing w:after="0" w:line="253" w:lineRule="auto"/>
        <w:rPr>
          <w:sz w:val="20"/>
          <w:szCs w:val="20"/>
          <w:color w:val="auto"/>
        </w:rPr>
      </w:pPr>
      <w:r>
        <w:rPr>
          <w:rFonts w:ascii="Times New Roman" w:cs="Times New Roman" w:eastAsia="Times New Roman" w:hAnsi="Times New Roman"/>
          <w:sz w:val="18"/>
          <w:szCs w:val="18"/>
          <w:color w:val="auto"/>
        </w:rPr>
        <w:t>The new U.S. administration may also enact other new regulations or policies that affect trade with China or otherwise impact the pharmaceutical industry by enacting laws to restrict U.S. pharmaceutical companies from contracting with Chinese companies on the development, research or manufacturing of pharmaceutical products. In April 2025, the U.S. Department of Commerce initiated national security investigations into the importation of pharmaceuticals and pharmaceutical ingredients pursuant to Section 232 of the Trade Expansion Act of 1962, which could result in the imposition of new tariffs on imports within the pharmaceutical industry. Further, executive orders were signed to implement Most Favored Nation drug pricing policies designed to align certain prescription drug prices in the U.S. to lower prices available in other countries. Investigations are being conducted to examine price differentials and consider policy approaches for implementation, including through administrative action. If such Most Favored Nation policies are implemented, changes to drug pricing are expected to affect the profitability of pharmaceutical and biotech companies in the U.S. as well as in other countries, as a price referencing policy to the U.S. market could make it commercially unviable to commercialize a drug product in a price constrained market. The details of such proposed regulations and policies are unclear and the final terms and impact remain uncertain, and may pose long-term risks to our business and our future commercialization plans of our drug candidates.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Climate change or legal, regulatory or market measures to address climate change may negatively affect our business, results of operations, cash flows and prospects.</w:t>
      </w:r>
    </w:p>
    <w:p>
      <w:pPr>
        <w:spacing w:after="0" w:line="159" w:lineRule="exact"/>
        <w:rPr>
          <w:sz w:val="20"/>
          <w:szCs w:val="20"/>
          <w:color w:val="auto"/>
        </w:rPr>
      </w:pPr>
    </w:p>
    <w:p>
      <w:pPr>
        <w:ind w:right="60" w:firstLine="749"/>
        <w:spacing w:after="0" w:line="261" w:lineRule="auto"/>
        <w:rPr>
          <w:sz w:val="20"/>
          <w:szCs w:val="20"/>
          <w:color w:val="auto"/>
        </w:rPr>
      </w:pPr>
      <w:r>
        <w:rPr>
          <w:rFonts w:ascii="Times New Roman" w:cs="Times New Roman" w:eastAsia="Times New Roman" w:hAnsi="Times New Roman"/>
          <w:sz w:val="18"/>
          <w:szCs w:val="18"/>
          <w:color w:val="auto"/>
        </w:rPr>
        <w:t>We believe that climate change has the potential to negatively affect our business and results of operations, cash flows and prospects. We are exposed to physical risks (such as extreme weather conditions or rising sea levels), risks in transitioning to a low-carbon economy (such as additional legal or regulatory requirements, changes in technology, market risk, and reputational risk) and social and human effects (such as population dislocations and harm to health and well-being) associated with climate change. These risks can be either acute (short-term) or chronic (long-term).</w:t>
      </w:r>
    </w:p>
    <w:p>
      <w:pPr>
        <w:spacing w:after="0" w:line="180"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The adverse impacts of climate change include increased frequency and severity of natural disasters and extreme weather events such as hurricanes, tornados, wildfires (exacerbated by drought), flooding, and extreme heat. Extreme weather and sea-level rise pose physical risks to our facilities as well as those of our suppliers. Such risks include losses incurred as a result of physical damage to facilities, loss or spoilage of inventory, and business interruption caused by such natural disasters and extreme weather events. Other potential physical impacts due to climate change include reduced access to high-quality water in certain regions and the loss of biodiversity, which could impact future product development. These risks could disrupt our operations and its supply chain, which may result in increased costs.</w:t>
      </w:r>
    </w:p>
    <w:p>
      <w:pPr>
        <w:spacing w:after="0" w:line="187" w:lineRule="exact"/>
        <w:rPr>
          <w:sz w:val="20"/>
          <w:szCs w:val="20"/>
          <w:color w:val="auto"/>
        </w:rPr>
      </w:pPr>
    </w:p>
    <w:p>
      <w:pPr>
        <w:ind w:right="60" w:firstLine="749"/>
        <w:spacing w:after="0" w:line="256" w:lineRule="auto"/>
        <w:rPr>
          <w:sz w:val="20"/>
          <w:szCs w:val="20"/>
          <w:color w:val="auto"/>
        </w:rPr>
      </w:pPr>
      <w:r>
        <w:rPr>
          <w:rFonts w:ascii="Times New Roman" w:cs="Times New Roman" w:eastAsia="Times New Roman" w:hAnsi="Times New Roman"/>
          <w:sz w:val="18"/>
          <w:szCs w:val="18"/>
          <w:color w:val="auto"/>
        </w:rPr>
        <w:t>New legal or regulatory requirements may be enacted to prevent, mitigate, or adapt to the implications of a changing climate and its effects on the environment. These regulations, which may differ across jurisdictions, could result in us being subject to new or expanded carbon pricing or taxes, increased compliance costs, restrictions on greenhouse gas emissions, investment in new technologies, increased carbon disclosure and transparency, upgrade of facilities to meet new building codes, and the redesign of utility systems, which could increase our operating costs, including the cost of electricity and energy used by us. Our supply chain would likely be subject to these same transitional risks and would likely pass along any increased costs to us.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THE DEVELOPMENT OF OUR PRODUCT CANDIDATES</w:t>
      </w:r>
    </w:p>
    <w:p>
      <w:pPr>
        <w:spacing w:after="0" w:line="225"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substantially dependent on the success of our products and cannot guarantee that any of our product candidates will successfully complete any planned or ongoing clinical trials, receive regulatory approval, or be successfully commercialized.</w:t>
      </w:r>
    </w:p>
    <w:p>
      <w:pPr>
        <w:spacing w:after="0" w:line="159" w:lineRule="exact"/>
        <w:rPr>
          <w:sz w:val="20"/>
          <w:szCs w:val="20"/>
          <w:color w:val="auto"/>
        </w:rPr>
      </w:pPr>
    </w:p>
    <w:p>
      <w:pPr>
        <w:ind w:right="120" w:firstLine="749"/>
        <w:spacing w:after="0" w:line="254" w:lineRule="auto"/>
        <w:rPr>
          <w:sz w:val="20"/>
          <w:szCs w:val="20"/>
          <w:color w:val="auto"/>
        </w:rPr>
      </w:pPr>
      <w:r>
        <w:rPr>
          <w:rFonts w:ascii="Times New Roman" w:cs="Times New Roman" w:eastAsia="Times New Roman" w:hAnsi="Times New Roman"/>
          <w:sz w:val="18"/>
          <w:szCs w:val="18"/>
          <w:color w:val="auto"/>
        </w:rPr>
        <w:t>We currently have three products approved for commercial distribution. We have invested a significant portion of our efforts and financial resources in the development of our product candidates. Our business, including our ability to generate revenue, depends entirely on the successful commercialization of Auvelity, Sunosi, and Symbravo, and the successful development and commercialization of our product candidates and/or future in-licensing activities, which may never occur. Furthermore, given the nature of our business, the biopharmaceutical industry in general and the uncertainty and costs associated with developing and commercializing our products within a complicated and costly regulatory regime, our goals, plans and assumptions with respect to our products may evolve or change. For example, we may not continue to emphasize, focus our research and development efforts on or direct resources to certain of our product candidates, and we may shift our focus and resources to our other current or future products. Any such change in our business strategy could harm our business, cause uncertainty or confusion in the marketplace or harm the clinical prospects of our products.</w:t>
      </w:r>
    </w:p>
    <w:p>
      <w:pPr>
        <w:spacing w:after="0" w:line="188" w:lineRule="exact"/>
        <w:rPr>
          <w:sz w:val="20"/>
          <w:szCs w:val="20"/>
          <w:color w:val="auto"/>
        </w:rPr>
      </w:pPr>
    </w:p>
    <w:p>
      <w:pPr>
        <w:ind w:right="180" w:firstLine="749"/>
        <w:spacing w:after="0" w:line="261" w:lineRule="auto"/>
        <w:rPr>
          <w:sz w:val="20"/>
          <w:szCs w:val="20"/>
          <w:color w:val="auto"/>
        </w:rPr>
      </w:pPr>
      <w:r>
        <w:rPr>
          <w:rFonts w:ascii="Times New Roman" w:cs="Times New Roman" w:eastAsia="Times New Roman" w:hAnsi="Times New Roman"/>
          <w:sz w:val="18"/>
          <w:szCs w:val="18"/>
          <w:color w:val="auto"/>
        </w:rPr>
        <w:t>Our product candidates will require additional clinical and non-clinical development, regulatory approval, commercial manufacturing arrangements, significant marketing efforts, and further investment before we generate any revenues from the sale of such product candidates. Multiple clinical trials are ongoing. As a result of one or more risks discussed in this section, we cannot assure you that we will meet projected timelines related to these trials.</w:t>
      </w: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200" w:firstLine="749"/>
        <w:spacing w:after="0" w:line="254" w:lineRule="auto"/>
        <w:rPr>
          <w:sz w:val="20"/>
          <w:szCs w:val="20"/>
          <w:color w:val="auto"/>
        </w:rPr>
      </w:pPr>
      <w:r>
        <w:rPr>
          <w:rFonts w:ascii="Times New Roman" w:cs="Times New Roman" w:eastAsia="Times New Roman" w:hAnsi="Times New Roman"/>
          <w:sz w:val="18"/>
          <w:szCs w:val="18"/>
          <w:color w:val="auto"/>
        </w:rPr>
        <w:t>We are not permitted to market or promote any of our product candidates before we receive regulatory approval from the FDA or comparable foreign regulatory authorities, and we may never receive such regulatory approval for any of our product candidates. Even if our product candidates are approved, they may be subject to limitations on the indicated uses for which they may be marketed, distribution restrictions, or to other conditions of approval, may contain significant safety warnings, including boxed warnings, contraindications, and precautions, may not be approved with label statements necessary or desirable for successful commercialization, or may contain requirements for costly post-market testing and surveillance, or other requirements, including the submission of a REMS to monitor the safety or efficacy of the products. If we do not receive regulatory approval for, and successfully commercialize, our product candidates, we will not be able to generate revenue from these product candidates in the foreseeable future, or at all. Any significant delays in obtaining approval for and commercializing our product candidates will have a material adverse impact on our business and financial condition.</w:t>
      </w:r>
    </w:p>
    <w:p>
      <w:pPr>
        <w:spacing w:after="0" w:line="188" w:lineRule="exact"/>
        <w:rPr>
          <w:sz w:val="20"/>
          <w:szCs w:val="20"/>
          <w:color w:val="auto"/>
        </w:rPr>
      </w:pPr>
    </w:p>
    <w:p>
      <w:pPr>
        <w:ind w:right="40" w:firstLine="749"/>
        <w:spacing w:after="0" w:line="261" w:lineRule="auto"/>
        <w:rPr>
          <w:sz w:val="20"/>
          <w:szCs w:val="20"/>
          <w:color w:val="auto"/>
        </w:rPr>
      </w:pPr>
      <w:r>
        <w:rPr>
          <w:rFonts w:ascii="Times New Roman" w:cs="Times New Roman" w:eastAsia="Times New Roman" w:hAnsi="Times New Roman"/>
          <w:sz w:val="18"/>
          <w:szCs w:val="18"/>
          <w:color w:val="auto"/>
        </w:rPr>
        <w:t>Although we submitted NDAs to the FDA for Auvelity (which was approved) and for Symbravo (which received a CRL and has now been approved) and for AXS-14 (which received a Refuse to File letter from the FDA, and which we plan to resubmit), we have not otherwise submitted an NDA to the FDA, or similar drug approval filings to comparable foreign authorities, for any product candidate, and we cannot be certain that our current or future product candidates will be successful in clinical trials or receive regulatory approval.</w:t>
      </w:r>
    </w:p>
    <w:p>
      <w:pPr>
        <w:spacing w:after="0" w:line="180"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Our product candidates are susceptible to the risks of failure inherent at any stage of product development, including the appearance of unexpected adverse events or failure to achieve its primary endpoints in subsequent clinical trials, including our initiated and planned Phase 3 clinical trials. We conducted one interim analysis for the Phase 2/3 trial of AXS-05 in TRD and one interim analysis for the Phase 2/3 trial of AXS-05 for the treatment of AD agitation. We may elect to conduct interim analyses for our other clinical trials. Interim results of a clinical trial do not necessarily predict final results, and interim results may result in early stoppage of our clinical trials for futility or modifications to our clinical trials, including the addition of additional subjects. Further, our product candidates may not receive regulatory approval even if they are successful in clinical trials.</w:t>
      </w:r>
    </w:p>
    <w:p>
      <w:pPr>
        <w:spacing w:after="0" w:line="18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7"/>
          <w:szCs w:val="17"/>
          <w:color w:val="auto"/>
        </w:rPr>
        <w:t>If approved for marketing by applicable regulatory authorities, our ability to generate revenues from our product candidates depend on our ability</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w:t>
      </w:r>
    </w:p>
    <w:p>
      <w:pPr>
        <w:spacing w:after="0" w:line="207" w:lineRule="exact"/>
        <w:rPr>
          <w:sz w:val="20"/>
          <w:szCs w:val="20"/>
          <w:color w:val="auto"/>
        </w:rPr>
      </w:pPr>
    </w:p>
    <w:p>
      <w:pPr>
        <w:ind w:left="760" w:right="220" w:hanging="378"/>
        <w:spacing w:after="0" w:line="282" w:lineRule="auto"/>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market demand for our product candidates through our own marketing and sales activities, and any other arrangements to promote these product candidates that we may otherwise establish;</w:t>
      </w:r>
    </w:p>
    <w:p>
      <w:pPr>
        <w:spacing w:after="0" w:line="1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 regulatory approval for claims that are necessary or desirable for successful marketing;</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train, and deploy a sales force to commercialize our product candidates;</w:t>
      </w:r>
    </w:p>
    <w:p>
      <w:pPr>
        <w:spacing w:after="0" w:line="225" w:lineRule="exact"/>
        <w:rPr>
          <w:rFonts w:ascii="Times New Roman" w:cs="Times New Roman" w:eastAsia="Times New Roman" w:hAnsi="Times New Roman"/>
          <w:sz w:val="18"/>
          <w:szCs w:val="18"/>
          <w:color w:val="auto"/>
        </w:rPr>
      </w:pPr>
    </w:p>
    <w:p>
      <w:pPr>
        <w:ind w:left="760" w:right="160" w:hanging="378"/>
        <w:spacing w:after="0" w:line="282" w:lineRule="auto"/>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manufacture (or have manufactured by third parties) our product candidates in sufficient quantities and at acceptable quality and manufacturing cost to meet commercial demand at launch and thereafter;</w:t>
      </w:r>
    </w:p>
    <w:p>
      <w:pPr>
        <w:spacing w:after="0" w:line="1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and maintain agreements with wholesalers, distributors, and group purchasing organizations on commercially reasonable terms;</w:t>
      </w:r>
    </w:p>
    <w:p>
      <w:pPr>
        <w:spacing w:after="0" w:line="225" w:lineRule="exact"/>
        <w:rPr>
          <w:rFonts w:ascii="Times New Roman" w:cs="Times New Roman" w:eastAsia="Times New Roman" w:hAnsi="Times New Roman"/>
          <w:sz w:val="18"/>
          <w:szCs w:val="18"/>
          <w:color w:val="auto"/>
        </w:rPr>
      </w:pPr>
    </w:p>
    <w:p>
      <w:pPr>
        <w:ind w:left="760" w:right="600" w:hanging="378"/>
        <w:spacing w:after="0" w:line="282" w:lineRule="auto"/>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partnerships with, or offer licenses to, third parties to promote and sell our product candidates in foreign markets where we receive marketing approval;</w:t>
      </w:r>
    </w:p>
    <w:p>
      <w:pPr>
        <w:spacing w:after="0" w:line="1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patent and trade secret protection and regulatory exclusivity for our product candidates;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launch commercial sales of our product candidates, whether alone or in collaboration with others;</w:t>
      </w:r>
    </w:p>
    <w:p>
      <w:pPr>
        <w:spacing w:after="0" w:line="184" w:lineRule="exact"/>
        <w:rPr>
          <w:rFonts w:ascii="Times New Roman" w:cs="Times New Roman" w:eastAsia="Times New Roman" w:hAnsi="Times New Roman"/>
          <w:sz w:val="18"/>
          <w:szCs w:val="18"/>
          <w:color w:val="auto"/>
        </w:rPr>
      </w:pPr>
    </w:p>
    <w:p>
      <w:pPr>
        <w:ind w:left="760" w:hanging="378"/>
        <w:spacing w:after="0" w:line="207" w:lineRule="exact"/>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achieve market acceptance of our product candidates by patients, the medical community, and government and private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payors;</w:t>
      </w:r>
    </w:p>
    <w:p>
      <w:pPr>
        <w:spacing w:after="0" w:line="26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achieve appropriate reimbursement for our product candidates;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760" w:hanging="378"/>
        <w:spacing w:after="0"/>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effectively compete with other therapies; and</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a continued acceptable safety profile of our product candidates following launch.</w:t>
      </w:r>
    </w:p>
    <w:p>
      <w:pPr>
        <w:spacing w:after="0" w:line="221"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Potential conflicts of interest exist with respect to the intellectual property rights that we license from an entity owned by our Chief Executive Officer and Chairman of the Board, and it is possible that our interests and their interests may diverge.</w:t>
      </w:r>
    </w:p>
    <w:p>
      <w:pPr>
        <w:spacing w:after="0" w:line="159" w:lineRule="exact"/>
        <w:rPr>
          <w:sz w:val="20"/>
          <w:szCs w:val="20"/>
          <w:color w:val="auto"/>
        </w:rPr>
      </w:pPr>
    </w:p>
    <w:p>
      <w:pPr>
        <w:ind w:right="40" w:firstLine="749"/>
        <w:spacing w:after="0" w:line="252" w:lineRule="auto"/>
        <w:rPr>
          <w:sz w:val="20"/>
          <w:szCs w:val="20"/>
          <w:color w:val="auto"/>
        </w:rPr>
      </w:pPr>
      <w:r>
        <w:rPr>
          <w:rFonts w:ascii="Times New Roman" w:cs="Times New Roman" w:eastAsia="Times New Roman" w:hAnsi="Times New Roman"/>
          <w:sz w:val="18"/>
          <w:szCs w:val="18"/>
          <w:color w:val="auto"/>
        </w:rPr>
        <w:t>In 2012, we entered into three exclusive license agreements with Antecip, an entity owned by our Chief Executive Officer and Chairman of the Board, Herriot Tabuteau, M.D., in which we were granted exclusive licenses to develop, manufacture, and commercialize Antecip’s patents and applications related to the development of certain of the Company’s then current product candidates. The patents licensed from Antecip include certain intellectual property pertaining to the Company’s Auvelity product / AXS-05 portfolio product. Although Dr. Tabuteau dedicates all of his working time to us, because Antecip is an inactive intellectual property holding company, he may face potential conflicts of interest regarding these licensing transactions as a result of his ownership of Antecip. The license agreements provide that, subject to the reasonable consent of Antecip, we have the right to control the prosecution or defense, as the case may require, of a patent infringement claim involving the licensed intellectual property. Our interests with respect to pleadings and settlements in such cases may be at odds with those of Antecip. If there is a dispute between us and Antecip, Dr. Tabuteau will have a conflict of interest because he may, at the time of a prospective dispute, simultaneously have a financial interest in and owe a fiduciary duty to Antecip and simultaneously have a financial interest in and owe a fiduciary duty to us. For example, if a contractual dispute arises between us and Antecip under any of the license agreements we have with Antecip, Dr. Tabuteau may be in a position where he would benefit if Antecip prevails, to the detriment of our business or our investors, even though he is an officer and director of our Company, because he is the sole owner of Antecip. Similarly, if we have a claim of any kind against Antecip, Dr. Tabuteau may be, even as our Chief Executive Officer and Chairman of the Board, reluctant to assert a claim by us against Antecip because of his financial interest in Antecip. We cannot assure you that any conflicts will be resolved in our favor, and as a result, our business could be impeded or materially harmed.</w:t>
      </w:r>
    </w:p>
    <w:p>
      <w:pPr>
        <w:spacing w:after="0" w:line="192"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expend our limited resources to pursue a particular product candidate or indication and fail to capitalize on product candidates or indications that may be more profitable or for which there is a greater likelihood of success.</w:t>
      </w:r>
    </w:p>
    <w:p>
      <w:pPr>
        <w:spacing w:after="0" w:line="159"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Because we have limited financial and managerial resources, we focus on developing product candidates for specific indications that we identify as most likely to succeed, in terms of both its regulatory approval and commercialization. As such, we are currently primarily focused on the development of solriamfetol for additional indications, AXS-05 for the treatment of agitation associated with AD and smoking cessation, AXS-12 for the treatment of narcolepsy, and AXS-14 for the treatment of fibromyalgia. As a result, we may forego or delay pursuit of opportunities with other product candidates or for other indications that may prove to have greater commercial potential. Additionally, as more fully described in Note 14, we are required to pay to an entity owned by our Chief Executive Officer and Chairman of the Board certain royalty payments related to any sales of the Company’s Auvelity product / AXS-05 portfolio product, as well as two product candidates that are not currently in active development. This may influence management’s decision concerning which product candidates or indications to pursue and/or the manner in which our products are commercialized. Our resource allocation decisions may cause us to fail to capitalize on viable commercial products or profitable market opportunities. Our spending on current and future research and development programs and product candidates for specific indications may not yield any commercially viable products.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such product candidate.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future growth may depend on our ability to identify and develop product candidates, and if we do not successfully identify and develop product candidates or integrate them into our operations, we may have limited growth opportunities.</w:t>
      </w:r>
    </w:p>
    <w:p>
      <w:pPr>
        <w:spacing w:after="0" w:line="159" w:lineRule="exact"/>
        <w:rPr>
          <w:sz w:val="20"/>
          <w:szCs w:val="20"/>
          <w:color w:val="auto"/>
        </w:rPr>
      </w:pPr>
    </w:p>
    <w:p>
      <w:pPr>
        <w:ind w:right="340" w:firstLine="749"/>
        <w:spacing w:after="0" w:line="282" w:lineRule="auto"/>
        <w:rPr>
          <w:sz w:val="20"/>
          <w:szCs w:val="20"/>
          <w:color w:val="auto"/>
        </w:rPr>
      </w:pPr>
      <w:r>
        <w:rPr>
          <w:rFonts w:ascii="Times New Roman" w:cs="Times New Roman" w:eastAsia="Times New Roman" w:hAnsi="Times New Roman"/>
          <w:sz w:val="18"/>
          <w:szCs w:val="18"/>
          <w:color w:val="auto"/>
        </w:rPr>
        <w:t>A component of our business strategy is to continue to develop a pipeline of product candidates by developing products that we believe are a strategic fit with our focus on CNS therapies. However, these business activities may entail numerous operational and financial risks, including:</w:t>
      </w:r>
    </w:p>
    <w:p>
      <w:pPr>
        <w:spacing w:after="0" w:line="162" w:lineRule="exact"/>
        <w:rPr>
          <w:sz w:val="20"/>
          <w:szCs w:val="20"/>
          <w:color w:val="auto"/>
        </w:rPr>
      </w:pPr>
    </w:p>
    <w:p>
      <w:pPr>
        <w:ind w:left="760" w:hanging="378"/>
        <w:spacing w:after="0"/>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or inability to secure financing to fund business activities for such development;</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 of our business and diversion of our management’s time and attention;</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than expected development costs;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exposure to unknown liabilities;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in managing multiple product development programs; and</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successfully develop new products or clinical failure.</w:t>
      </w:r>
    </w:p>
    <w:p>
      <w:pPr>
        <w:spacing w:after="0" w:line="225"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For instance, our prior efforts have resulted in our decision not to further develop certain product candidates that, at one time, appeared to be promising. Likewise, we received a Refuse to File from the FDA relating to the Company’s product candidate AXS-14 for the management of fibromyalgia in June 2025. Moreover, we may devote resources to potential development that are never completed, or we may fail to realize the anticipated benefits of such efforts. If we do not successfully develop and commercialize product candidates, we may not be able to obtain revenues from such product candidates in future periods.</w:t>
      </w:r>
    </w:p>
    <w:p>
      <w:pPr>
        <w:spacing w:after="0" w:line="179"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safety and efficacy data for our product candidates, a reference drug, or published literature does not satisfactorily demonstrate safety and efficacy to the FDA, or if the FDA and other regulators do not permit us to rely on the data of a reference drug or published literature, we may incur additional costs or experience delays in completing, or ultimately be unable to complete, the development and commercialization of our product candidates.</w:t>
      </w:r>
    </w:p>
    <w:p>
      <w:pPr>
        <w:spacing w:after="0" w:line="175" w:lineRule="exact"/>
        <w:rPr>
          <w:sz w:val="20"/>
          <w:szCs w:val="20"/>
          <w:color w:val="auto"/>
        </w:rPr>
      </w:pPr>
    </w:p>
    <w:p>
      <w:pPr>
        <w:ind w:right="340" w:firstLine="749"/>
        <w:spacing w:after="0" w:line="266" w:lineRule="auto"/>
        <w:rPr>
          <w:sz w:val="20"/>
          <w:szCs w:val="20"/>
          <w:color w:val="auto"/>
        </w:rPr>
      </w:pPr>
      <w:r>
        <w:rPr>
          <w:rFonts w:ascii="Times New Roman" w:cs="Times New Roman" w:eastAsia="Times New Roman" w:hAnsi="Times New Roman"/>
          <w:sz w:val="18"/>
          <w:szCs w:val="18"/>
          <w:color w:val="auto"/>
        </w:rPr>
        <w:t>We are not permitted to commercialize, market, promote, or sell any product candidate in the United States without obtaining marketing approval from the FDA. In the EU, we are not permitted to commercialize, market, promote, or sell any product candidate without obtaining marketing approval from the EC or national competent authorities at the EU member state level.</w:t>
      </w:r>
    </w:p>
    <w:p>
      <w:pPr>
        <w:spacing w:after="0" w:line="176" w:lineRule="exact"/>
        <w:rPr>
          <w:sz w:val="20"/>
          <w:szCs w:val="20"/>
          <w:color w:val="auto"/>
        </w:rPr>
      </w:pPr>
    </w:p>
    <w:p>
      <w:pPr>
        <w:jc w:val="both"/>
        <w:ind w:right="140" w:firstLine="749"/>
        <w:spacing w:after="0" w:line="258" w:lineRule="auto"/>
        <w:rPr>
          <w:sz w:val="20"/>
          <w:szCs w:val="20"/>
          <w:color w:val="auto"/>
        </w:rPr>
      </w:pPr>
      <w:r>
        <w:rPr>
          <w:rFonts w:ascii="Times New Roman" w:cs="Times New Roman" w:eastAsia="Times New Roman" w:hAnsi="Times New Roman"/>
          <w:sz w:val="18"/>
          <w:szCs w:val="18"/>
          <w:color w:val="auto"/>
        </w:rPr>
        <w:t>In the United States, we currently plan to, at least initially, seek approval of some of our product candidates using the 505(b)(2) pathway. These 505(b)(2) product candidates include additional indications for AXS-05. The FDA interprets Section 505(b)(2) of the FDCA for purposes of approving an NDA, to permit the applicant to rely, in part, upon published literature or the FDA’s previous findings of safety and efficacy for an approved product. The FDA, though, requires companies to perform additional clinical trials or preclinical studies to support any deviation from the previously approved product and to support reliance on the FDA’s prior findings of safety and efficacy or published literature.</w:t>
      </w:r>
    </w:p>
    <w:p>
      <w:pPr>
        <w:spacing w:after="0" w:line="183" w:lineRule="exact"/>
        <w:rPr>
          <w:sz w:val="20"/>
          <w:szCs w:val="20"/>
          <w:color w:val="auto"/>
        </w:rPr>
      </w:pPr>
    </w:p>
    <w:p>
      <w:pPr>
        <w:ind w:right="20" w:firstLine="749"/>
        <w:spacing w:after="0" w:line="226" w:lineRule="exact"/>
        <w:rPr>
          <w:sz w:val="20"/>
          <w:szCs w:val="20"/>
          <w:color w:val="auto"/>
        </w:rPr>
      </w:pPr>
      <w:r>
        <w:rPr>
          <w:rFonts w:ascii="Times New Roman" w:cs="Times New Roman" w:eastAsia="Times New Roman" w:hAnsi="Times New Roman"/>
          <w:sz w:val="18"/>
          <w:szCs w:val="18"/>
          <w:color w:val="auto"/>
        </w:rPr>
        <w:t>Under the 505(b)(2) pathway, the FDA may approve our product candidates for all or some of the label indications for which the referenced product has been approved, as well as for any new indication sought pursuant to the Section 505(b)(2) process. The label, however, may require all or some of the limitations, contraindications, warnings, or precautions included in the reference product’s label, including a box warning (commonly referred to as a “black box warning”), or may require additional limitations, contraindications, warnings, or precautions, including class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wide warnings. For instance, antidepressants, including Auvelity, include a class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wide black box warning regarding the increased risk of suicidal thoughts and behavior.</w:t>
      </w: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40" w:firstLine="749"/>
        <w:spacing w:after="0" w:line="254" w:lineRule="auto"/>
        <w:rPr>
          <w:sz w:val="20"/>
          <w:szCs w:val="20"/>
          <w:color w:val="auto"/>
        </w:rPr>
      </w:pPr>
      <w:r>
        <w:rPr>
          <w:rFonts w:ascii="Times New Roman" w:cs="Times New Roman" w:eastAsia="Times New Roman" w:hAnsi="Times New Roman"/>
          <w:sz w:val="18"/>
          <w:szCs w:val="18"/>
          <w:color w:val="auto"/>
        </w:rPr>
        <w:t>In addition, because we plan to file certain product candidates under an NDA submitted pursuant to 505(b)(2), we will rely, at least in part, upon a reference drug and published literature. For example, we have and/or intend to rely on third-party studies in the published literature as well as FDA findings of safety and efficacy for approved drug products containing the same active molecules in AXS-05. If the FDA disagrees with our conclusions regarding the appropriateness of our reliance on a reference drug or published literature, we could be required to conduct additional clinical trials or other studies to support our NDA, which could lead to unanticipated costs and delays or to the termination of our development program. If we are unable to obtain approval for our pharmaceutical formulations through the 505(b)(2) NDA process, we may be required to pursue the more expensive and time consuming 505(b)(1) approval process, which consists of full reports of investigations of safety and effectiveness conducted by or for the applicant. In addition, because we submitted NDAs for Auvelity and Symbravo pursuant to the 505(b)(2) process, we have not conducted certain additional clinical trials for these products and, as such, we will have less experience with actual testing of these products.</w:t>
      </w:r>
    </w:p>
    <w:p>
      <w:pPr>
        <w:spacing w:after="0" w:line="188"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There may also be circumstances under which the FDA would not allow us to pursue a 505(b)(2) application. For instance, should the FDA approve a pharmaceutically equivalent product to our product candidates before we obtain approval, we would no longer be able to use the 505(b)(2) pathway. In that case, it is the FDA’s policy that the appropriate submission would be an ANDA, for a generic version of the approved product. We may, however, not be able to immediately submit an ANDA or have an ANDA approval made effective, as we could be blocked by others’ periods of patent and regulatory exclusivity protection.</w:t>
      </w:r>
    </w:p>
    <w:p>
      <w:pPr>
        <w:spacing w:after="0" w:line="183"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Notwithstanding the approval of a number of products by the FDA under 505(b)(2) over the last few years, pharmaceutical companies and others have objected to the FDA’s interpretation of Section 505(b)(2). If the FDA’s interpretation of Section 505(b)(2) is successfully challenged, the FDA may change its policies and practices with respect to Section 505(b)(2) regulatory approvals, which could delay or even prevent the FDA from approving any NDA that we submit pursuant to the 505(b)(2) process. Moreover, our inability to pursue a 505(b)(2) application could result in new competitive products reaching the market more quickly than our product candidates, which could hurt our competitive position and our business prospects.</w:t>
      </w:r>
    </w:p>
    <w:p>
      <w:pPr>
        <w:spacing w:after="0" w:line="179" w:lineRule="exact"/>
        <w:rPr>
          <w:sz w:val="20"/>
          <w:szCs w:val="20"/>
          <w:color w:val="auto"/>
        </w:rPr>
      </w:pPr>
    </w:p>
    <w:p>
      <w:pPr>
        <w:ind w:right="1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regulatory approval timelines and processes of the FDA and comparable foreign authorities are lengthy, time consuming, and inherently unpredictable. If we are not able to obtain, or if there are delays in obtaining, required regulatory approvals, we will not be able to commercialize our product candidates as expected, and our ability to generate revenue will be materially impaired.</w:t>
      </w:r>
    </w:p>
    <w:p>
      <w:pPr>
        <w:spacing w:after="0" w:line="175" w:lineRule="exact"/>
        <w:rPr>
          <w:sz w:val="20"/>
          <w:szCs w:val="20"/>
          <w:color w:val="auto"/>
        </w:rPr>
      </w:pPr>
    </w:p>
    <w:p>
      <w:pPr>
        <w:ind w:right="20" w:firstLine="749"/>
        <w:spacing w:after="0" w:line="253" w:lineRule="auto"/>
        <w:rPr>
          <w:sz w:val="20"/>
          <w:szCs w:val="20"/>
          <w:color w:val="auto"/>
        </w:rPr>
      </w:pPr>
      <w:r>
        <w:rPr>
          <w:rFonts w:ascii="Times New Roman" w:cs="Times New Roman" w:eastAsia="Times New Roman" w:hAnsi="Times New Roman"/>
          <w:sz w:val="18"/>
          <w:szCs w:val="18"/>
          <w:color w:val="auto"/>
        </w:rPr>
        <w:t>The timeline for review and time required to obtain approval by the FDA and comparable foreign authorities is unpredictable but typically takes many years following the commencement of clinical trials and depends upon numerous factors, including the substantial discretion of the regulatory authorities and the availability and prioritization of regulatory agency resources. The timeline for regulatory approval can be affected by a variety of factors, including budget and funding levels, agency staffing, and statutory, regulatory, and policy changes. In addition, approval policies, regulations, or the type and amount of clinical data necessary to gain approval may change during the course of a product candidate’s clinical development, vary among jurisdictions, and/or require us to amend our clinical trial protocols or conduct additional studies that require regulatory or IRB approval, or otherwise cause delays in the approval or rejection of an application. To date, we have submitted two NDAs to the FDA and have obtained regulatory approval for both of our product candidates, Auvelity and Symbravo. It is possible that none of our other existing product candidates, or any product candidates we may seek to develop in the future, will ever obtain regulatory approval. Any delay in obtaining or failure to obtain required approvals or uncertainty in the timing of regulatory action could materially adversely impact our development efforts and affect our ability or that of any of our collaborators to generate revenue from the particular product candidate, which likely would result in significant harm to our financial position and adversely impact our stock price.</w:t>
      </w: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4" w:right="37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Our products and the activities associated with their development and commercialization, including their design, testing, manufacture, safety, efficacy, recordkeeping, labeling, storage, approval, advertising, promotion, sale, and distribution, are subject to comprehensive regulation by the FDA and other regulatory agencies in the United States, and by the EMA and/or national competent authorities in Europe, and similar regulatory authorities outside the United States and Europe. Failure to obtain marketing approval for a product candidate will prevent us from commercializing the product candidate. We have limited experience in filing and supporting the applications necessary to gain marketing approvals and rely on third party contract research organizations, or CROs, and consultants to assist us in this process. Securing marketing approval requires the submission of extensive preclinical and clinical data and supporting information to regulatory authorities for each therapeutic indication to establish the product candidate’s safety and efficacy for that indication and the submission of information about the product manufacturing process to, and inspection of manufacturing facilities and clinical trial sites by, the regulatory authorities.</w:t>
      </w:r>
    </w:p>
    <w:p>
      <w:pPr>
        <w:spacing w:after="0" w:line="188" w:lineRule="exact"/>
        <w:rPr>
          <w:sz w:val="20"/>
          <w:szCs w:val="20"/>
          <w:color w:val="auto"/>
        </w:rPr>
      </w:pPr>
    </w:p>
    <w:p>
      <w:pPr>
        <w:ind w:firstLine="749"/>
        <w:spacing w:after="0" w:line="219" w:lineRule="exact"/>
        <w:rPr>
          <w:sz w:val="20"/>
          <w:szCs w:val="20"/>
          <w:color w:val="auto"/>
        </w:rPr>
      </w:pPr>
      <w:r>
        <w:rPr>
          <w:rFonts w:ascii="Times New Roman" w:cs="Times New Roman" w:eastAsia="Times New Roman" w:hAnsi="Times New Roman"/>
          <w:sz w:val="18"/>
          <w:szCs w:val="18"/>
          <w:color w:val="auto"/>
        </w:rPr>
        <w:t>Clinical testing is expensive and can take many years to complete, and its outcome is inherently uncertain. Failure can occur at any time during the clinical trial process. The results of preclinical studies; our product candidates’ mechanism of action; studies conducted by third parties in different patient populations, using different products, or using different study designs; and early clinical trials of our product candidates may not be predictive of the results of later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stage clinical trials. Product candidates in later stages of clinical trials may fail to show the desired safety and efficacy traits despite having progressed through preclinical studies and initial clinical trials. Preclinical studies may also reveal unfavorable product candidate characteristics, including safety concerns. A number of companies in the pharmaceutical industry have suffered significant setbacks in advanced clinical trials due to lack of efficacy or adverse safety profiles, notwithstanding promising results in earlier trials. Our future clinical trial results may not be successful. Moreover, should there be a flaw in a clinical trial, it may not become apparent until the clinical trial is well advanced.</w:t>
      </w:r>
    </w:p>
    <w:p>
      <w:pPr>
        <w:spacing w:after="0" w:line="198" w:lineRule="exact"/>
        <w:rPr>
          <w:sz w:val="20"/>
          <w:szCs w:val="20"/>
          <w:color w:val="auto"/>
        </w:rPr>
      </w:pPr>
    </w:p>
    <w:p>
      <w:pPr>
        <w:ind w:right="20" w:firstLine="749"/>
        <w:spacing w:after="0" w:line="282" w:lineRule="auto"/>
        <w:rPr>
          <w:sz w:val="20"/>
          <w:szCs w:val="20"/>
          <w:color w:val="auto"/>
        </w:rPr>
      </w:pPr>
      <w:r>
        <w:rPr>
          <w:rFonts w:ascii="Times New Roman" w:cs="Times New Roman" w:eastAsia="Times New Roman" w:hAnsi="Times New Roman"/>
          <w:sz w:val="18"/>
          <w:szCs w:val="18"/>
          <w:color w:val="auto"/>
        </w:rPr>
        <w:t>We may also experience numerous unforeseen events during, or as a result of, clinical trials and in the course of our preparation, submission, and review of NDA filings that could delay or prevent our ability to receive marketing approval or commercialize our product candidates, including:</w:t>
      </w:r>
    </w:p>
    <w:p>
      <w:pPr>
        <w:spacing w:after="0" w:line="162" w:lineRule="exact"/>
        <w:rPr>
          <w:sz w:val="20"/>
          <w:szCs w:val="20"/>
          <w:color w:val="auto"/>
        </w:rPr>
      </w:pPr>
    </w:p>
    <w:p>
      <w:pPr>
        <w:ind w:left="760" w:right="280" w:hanging="378"/>
        <w:spacing w:after="0" w:line="282" w:lineRule="auto"/>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or IRBs may not authorize us or our investigators to commence a clinical trial or conduct a clinical trial at a prospective trial site or amend trial protocols;</w:t>
      </w:r>
    </w:p>
    <w:p>
      <w:pPr>
        <w:spacing w:after="0" w:line="161" w:lineRule="exact"/>
        <w:rPr>
          <w:rFonts w:ascii="Times New Roman" w:cs="Times New Roman" w:eastAsia="Times New Roman" w:hAnsi="Times New Roman"/>
          <w:sz w:val="18"/>
          <w:szCs w:val="18"/>
          <w:color w:val="auto"/>
        </w:rPr>
      </w:pPr>
    </w:p>
    <w:p>
      <w:pPr>
        <w:ind w:left="760" w:right="60" w:hanging="378"/>
        <w:spacing w:after="0" w:line="282" w:lineRule="auto"/>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experience delays in reaching, or fail to reach, agreement on acceptable clinical trial contracts or clinical trial protocols with prospective trial sites and our CROs;</w:t>
      </w:r>
    </w:p>
    <w:p>
      <w:pPr>
        <w:spacing w:after="0" w:line="161" w:lineRule="exact"/>
        <w:rPr>
          <w:rFonts w:ascii="Times New Roman" w:cs="Times New Roman" w:eastAsia="Times New Roman" w:hAnsi="Times New Roman"/>
          <w:sz w:val="18"/>
          <w:szCs w:val="18"/>
          <w:color w:val="auto"/>
        </w:rPr>
      </w:pPr>
    </w:p>
    <w:p>
      <w:pPr>
        <w:jc w:val="both"/>
        <w:ind w:left="760" w:right="440" w:hanging="378"/>
        <w:spacing w:after="0" w:line="266" w:lineRule="auto"/>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trials of our product candidates may produce negative or inconclusive results, or our studies may fail to reach the necessary level of statistical or clinical significance, and we may decide, or regulators may require us, to conduct additional clinical trials or abandon product development programs;</w:t>
      </w:r>
    </w:p>
    <w:p>
      <w:pPr>
        <w:spacing w:after="0" w:line="175" w:lineRule="exact"/>
        <w:rPr>
          <w:rFonts w:ascii="Times New Roman" w:cs="Times New Roman" w:eastAsia="Times New Roman" w:hAnsi="Times New Roman"/>
          <w:sz w:val="18"/>
          <w:szCs w:val="18"/>
          <w:color w:val="auto"/>
        </w:rPr>
      </w:pPr>
    </w:p>
    <w:p>
      <w:pPr>
        <w:ind w:left="760" w:right="340" w:hanging="378"/>
        <w:spacing w:after="0" w:line="282" w:lineRule="auto"/>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interim analyses may result in our clinical trials being discontinued for safety or futility reasons or may result in modifications to our clinical trials that prolong the trials or make them difficult and more expensive to complete, such as increases in the number of subjects;</w:t>
      </w:r>
    </w:p>
    <w:p>
      <w:pPr>
        <w:spacing w:after="0" w:line="161" w:lineRule="exact"/>
        <w:rPr>
          <w:rFonts w:ascii="Times New Roman" w:cs="Times New Roman" w:eastAsia="Times New Roman" w:hAnsi="Times New Roman"/>
          <w:sz w:val="18"/>
          <w:szCs w:val="18"/>
          <w:color w:val="auto"/>
        </w:rPr>
      </w:pPr>
    </w:p>
    <w:p>
      <w:pPr>
        <w:ind w:left="760" w:right="280" w:hanging="378"/>
        <w:spacing w:after="0" w:line="282" w:lineRule="auto"/>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patients required for clinical trials of our product candidates may be larger than we anticipate, enrollment in these clinical trials may be slower than we anticipate, or participants may drop out of these clinical trials at a higher rate than we anticipate;</w:t>
      </w:r>
    </w:p>
    <w:p>
      <w:pPr>
        <w:spacing w:after="0" w:line="120" w:lineRule="exact"/>
        <w:rPr>
          <w:rFonts w:ascii="Times New Roman" w:cs="Times New Roman" w:eastAsia="Times New Roman" w:hAnsi="Times New Roman"/>
          <w:sz w:val="18"/>
          <w:szCs w:val="18"/>
          <w:color w:val="auto"/>
        </w:rPr>
      </w:pPr>
    </w:p>
    <w:p>
      <w:pPr>
        <w:ind w:left="760" w:right="140" w:hanging="378"/>
        <w:spacing w:after="0" w:line="245" w:lineRule="exact"/>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contractors may fail to comply with regulatory requirements or the clinical trial protocol, or meet their contractual obligations to us in a timely manner, or at all, or we may be required to engage in additional clinical trial site monitoring;</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760" w:right="240" w:hanging="378"/>
        <w:spacing w:after="0" w:line="261" w:lineRule="auto"/>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the regulators, or IRBs may require that we or our investigators suspend or terminate clinical research for various reasons, including noncompliance with regulatory requirements or a finding that the participants are being exposed to unacceptable health risks, undesirable side effects, or other unexpected characteristics of the product candidate, or due to findings of undesirable effects caused by a chemically or mechanistically similar drug or drug candidate. We may also discontinue clinical research and programs due to changing business priorities;</w:t>
      </w:r>
    </w:p>
    <w:p>
      <w:pPr>
        <w:spacing w:after="0" w:line="17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marketing approval policies during the development period rendering our data insufficient to obtain marketing approval;</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or the enactment of additional statutes or regulations;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regulatory review for each submitted product application;</w:t>
      </w:r>
    </w:p>
    <w:p>
      <w:pPr>
        <w:spacing w:after="0" w:line="225" w:lineRule="exact"/>
        <w:rPr>
          <w:rFonts w:ascii="Times New Roman" w:cs="Times New Roman" w:eastAsia="Times New Roman" w:hAnsi="Times New Roman"/>
          <w:sz w:val="18"/>
          <w:szCs w:val="18"/>
          <w:color w:val="auto"/>
        </w:rPr>
      </w:pPr>
    </w:p>
    <w:p>
      <w:pPr>
        <w:ind w:left="760" w:right="180" w:hanging="378"/>
        <w:spacing w:after="0" w:line="282" w:lineRule="auto"/>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clinical trials of our product candidates may be greater than we anticipate, or we may have insufficient funds for a clinical trial or to pay the substantial user fees required by the FDA upon the filing of an NDA;</w:t>
      </w:r>
    </w:p>
    <w:p>
      <w:pPr>
        <w:spacing w:after="0" w:line="161" w:lineRule="exact"/>
        <w:rPr>
          <w:rFonts w:ascii="Times New Roman" w:cs="Times New Roman" w:eastAsia="Times New Roman" w:hAnsi="Times New Roman"/>
          <w:sz w:val="18"/>
          <w:szCs w:val="18"/>
          <w:color w:val="auto"/>
        </w:rPr>
      </w:pPr>
    </w:p>
    <w:p>
      <w:pPr>
        <w:ind w:left="760" w:right="820" w:hanging="378"/>
        <w:spacing w:after="0" w:line="282" w:lineRule="auto"/>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supply or quality of our product candidates or other materials necessary to conduct clinical trials of our product candidates may be insufficient or inadequate;</w:t>
      </w:r>
    </w:p>
    <w:p>
      <w:pPr>
        <w:spacing w:after="0" w:line="161" w:lineRule="exact"/>
        <w:rPr>
          <w:rFonts w:ascii="Times New Roman" w:cs="Times New Roman" w:eastAsia="Times New Roman" w:hAnsi="Times New Roman"/>
          <w:sz w:val="18"/>
          <w:szCs w:val="18"/>
          <w:color w:val="auto"/>
        </w:rPr>
      </w:pPr>
    </w:p>
    <w:p>
      <w:pPr>
        <w:ind w:left="760" w:right="40" w:hanging="378"/>
        <w:spacing w:after="0" w:line="255" w:lineRule="auto"/>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decide, or regulators may require us, to conduct additional clinical trials, analyses, reports, data, or preclinical/nonclinical studies than we currently plan, or we may abandon product development programs. For instance, we relied on the completed Phase 2 trial and Phase 3 trial to support an NDA for AXS-14 for the management of fibromyalgia; however, we received a Refuse to File from the FDA. We plan to conduct an additional Phase 3 trial to address FDA’s feedback. Furthermore, although we believe that we are able to rely on the Phase 2 CONCERT trial, Phase 3 SYMPHONY trial, and Phase 3 ENCORE trial to support an NDA for AXS-12 for the treatment of cataplexy and narcolepsy, the FDA could still require additional studies to support the approval of an NDA for this and other product candidates. The outcome of our studies may further necessitate additional clinical or preclinical work;</w:t>
      </w:r>
    </w:p>
    <w:p>
      <w:pPr>
        <w:spacing w:after="0" w:line="18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fail to reach an agreement with regulators regarding the scope or design of our clinical trials;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have delays in adding new investigators or clinical trial sites, or we may experience a withdrawal of clinical trial sites;</w:t>
      </w:r>
    </w:p>
    <w:p>
      <w:pPr>
        <w:spacing w:after="0" w:line="225" w:lineRule="exact"/>
        <w:rPr>
          <w:rFonts w:ascii="Times New Roman" w:cs="Times New Roman" w:eastAsia="Times New Roman" w:hAnsi="Times New Roman"/>
          <w:sz w:val="18"/>
          <w:szCs w:val="18"/>
          <w:color w:val="auto"/>
        </w:rPr>
      </w:pPr>
    </w:p>
    <w:p>
      <w:pPr>
        <w:ind w:left="760" w:hanging="378"/>
        <w:spacing w:after="0" w:line="266" w:lineRule="auto"/>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patients that enroll in our studies may misrepresent their eligibility or may otherwise not comply with the clinical trial protocol, resulting in the need to drop the patients from the study or clinical trial, increase the needed enrollment size for the study or clinical trial, or extend the study’s or clinical trial’s duration;</w:t>
      </w:r>
    </w:p>
    <w:p>
      <w:pPr>
        <w:spacing w:after="0" w:line="175" w:lineRule="exact"/>
        <w:rPr>
          <w:rFonts w:ascii="Times New Roman" w:cs="Times New Roman" w:eastAsia="Times New Roman" w:hAnsi="Times New Roman"/>
          <w:sz w:val="18"/>
          <w:szCs w:val="18"/>
          <w:color w:val="auto"/>
        </w:rPr>
      </w:pPr>
    </w:p>
    <w:p>
      <w:pPr>
        <w:ind w:left="760" w:right="820" w:hanging="378"/>
        <w:spacing w:after="0" w:line="282" w:lineRule="auto"/>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may be regulatory questions regarding interpretations of data and results, or new information may emerge regarding our product candidates;</w:t>
      </w:r>
    </w:p>
    <w:p>
      <w:pPr>
        <w:spacing w:after="0" w:line="161" w:lineRule="exact"/>
        <w:rPr>
          <w:rFonts w:ascii="Times New Roman" w:cs="Times New Roman" w:eastAsia="Times New Roman" w:hAnsi="Times New Roman"/>
          <w:sz w:val="18"/>
          <w:szCs w:val="18"/>
          <w:color w:val="auto"/>
        </w:rPr>
      </w:pPr>
    </w:p>
    <w:p>
      <w:pPr>
        <w:ind w:left="760" w:hanging="378"/>
        <w:spacing w:after="0" w:line="258" w:lineRule="auto"/>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disagree with our study design or our interpretation of data from preclinical studies and clinical trials or find that a product candidate’s benefits do not outweigh its safety risks. For instance, in our communications with the FDA, the FDA has raised questions and had comments regarding our preclinical studies and clinical trials, such as comments on the acceptability of the proposed trial designs for our product candidates, the number of patients planned for our studies, our data analysis plans, the species and doses used in our preclinical studies, and the results of our preclinical studies;</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760" w:right="80" w:hanging="378"/>
        <w:spacing w:after="0" w:line="258" w:lineRule="auto"/>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disagree with our belief that certain product attributes are advantageous or may require further study of product attributes that are different than our reference listed drugs. Pharmacokinetic differences between our product candidates and the reference listed drugs, may also make bridging studies more difficult or may prevent us from using the 505(b)(2) pathway. If we are prevented from using the 505(b)(2) pathway, we will need to use the more time consuming and expensive NDA pathway to receive product approval;</w:t>
      </w:r>
    </w:p>
    <w:p>
      <w:pPr>
        <w:spacing w:after="0" w:line="18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not accept data from studies with clinical trial sites in foreign countries;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disagree with our intended indications;</w:t>
      </w:r>
    </w:p>
    <w:p>
      <w:pPr>
        <w:spacing w:after="0" w:line="225" w:lineRule="exact"/>
        <w:rPr>
          <w:rFonts w:ascii="Times New Roman" w:cs="Times New Roman" w:eastAsia="Times New Roman" w:hAnsi="Times New Roman"/>
          <w:sz w:val="18"/>
          <w:szCs w:val="18"/>
          <w:color w:val="auto"/>
        </w:rPr>
      </w:pPr>
    </w:p>
    <w:p>
      <w:pPr>
        <w:ind w:left="760" w:right="320" w:hanging="378"/>
        <w:spacing w:after="0" w:line="282" w:lineRule="auto"/>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fail to approve or subsequently find fault with the manufacturing processes or our manufacturing facilities for clinical and future commercial supplies;</w:t>
      </w:r>
    </w:p>
    <w:p>
      <w:pPr>
        <w:spacing w:after="0" w:line="161" w:lineRule="exact"/>
        <w:rPr>
          <w:rFonts w:ascii="Times New Roman" w:cs="Times New Roman" w:eastAsia="Times New Roman" w:hAnsi="Times New Roman"/>
          <w:sz w:val="18"/>
          <w:szCs w:val="18"/>
          <w:color w:val="auto"/>
        </w:rPr>
      </w:pPr>
    </w:p>
    <w:p>
      <w:pPr>
        <w:ind w:left="760" w:right="60" w:hanging="378"/>
        <w:spacing w:after="0" w:line="282" w:lineRule="auto"/>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CMC data necessary for our NDA filing and approval, we will need to conduct stability studies and provide stability data to establish appropriate retest or expiration dating periods;</w:t>
      </w:r>
    </w:p>
    <w:p>
      <w:pPr>
        <w:spacing w:after="0" w:line="161" w:lineRule="exact"/>
        <w:rPr>
          <w:rFonts w:ascii="Times New Roman" w:cs="Times New Roman" w:eastAsia="Times New Roman" w:hAnsi="Times New Roman"/>
          <w:sz w:val="18"/>
          <w:szCs w:val="18"/>
          <w:color w:val="auto"/>
        </w:rPr>
      </w:pPr>
    </w:p>
    <w:p>
      <w:pPr>
        <w:ind w:left="760" w:right="160" w:hanging="378"/>
        <w:spacing w:after="0" w:line="282" w:lineRule="auto"/>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 candidates may not demonstrate sufficient long-term stability to support an NDA filing or obtain approval, or the product shelf life may be limited by stability results;</w:t>
      </w:r>
    </w:p>
    <w:p>
      <w:pPr>
        <w:spacing w:after="0" w:line="161" w:lineRule="exact"/>
        <w:rPr>
          <w:rFonts w:ascii="Times New Roman" w:cs="Times New Roman" w:eastAsia="Times New Roman" w:hAnsi="Times New Roman"/>
          <w:sz w:val="18"/>
          <w:szCs w:val="18"/>
          <w:color w:val="auto"/>
        </w:rPr>
      </w:pPr>
    </w:p>
    <w:p>
      <w:pPr>
        <w:ind w:left="760" w:right="220" w:hanging="378"/>
        <w:spacing w:after="0" w:line="282" w:lineRule="auto"/>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may be delays in the FDA’s ability to conduct necessary Pre-Approval Inspections, or PAIs, and more generally the FDA or comparable foreign regulatory authorities may take longer than we anticipate to make a decision on our product candidates; and</w:t>
      </w:r>
    </w:p>
    <w:p>
      <w:pPr>
        <w:spacing w:after="0" w:line="161"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demonstrate that a product candidate provides an advantage over current standards of care or current or future competitive therapies in development.</w:t>
      </w:r>
    </w:p>
    <w:p>
      <w:pPr>
        <w:spacing w:after="0" w:line="162" w:lineRule="exact"/>
        <w:rPr>
          <w:sz w:val="20"/>
          <w:szCs w:val="20"/>
          <w:color w:val="auto"/>
        </w:rPr>
      </w:pPr>
    </w:p>
    <w:p>
      <w:pPr>
        <w:ind w:right="160" w:firstLine="749"/>
        <w:spacing w:after="0" w:line="266" w:lineRule="auto"/>
        <w:rPr>
          <w:sz w:val="20"/>
          <w:szCs w:val="20"/>
          <w:color w:val="auto"/>
        </w:rPr>
      </w:pPr>
      <w:r>
        <w:rPr>
          <w:rFonts w:ascii="Times New Roman" w:cs="Times New Roman" w:eastAsia="Times New Roman" w:hAnsi="Times New Roman"/>
          <w:sz w:val="18"/>
          <w:szCs w:val="18"/>
          <w:color w:val="auto"/>
        </w:rPr>
        <w:t>Moreover, if we are required to conduct additional clinical trials or other testing of our product candidates beyond that which we currently contemplate, if we are unable to successfully complete clinical trials or other testing of our product candidates, if the results of these trials or tests are not positive, or are only modestly positive, or if there are safety concerns, we may:</w:t>
      </w:r>
    </w:p>
    <w:p>
      <w:pPr>
        <w:spacing w:after="0" w:line="176" w:lineRule="exact"/>
        <w:rPr>
          <w:sz w:val="20"/>
          <w:szCs w:val="20"/>
          <w:color w:val="auto"/>
        </w:rPr>
      </w:pPr>
    </w:p>
    <w:p>
      <w:pPr>
        <w:ind w:left="760" w:hanging="378"/>
        <w:spacing w:after="0"/>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delayed in obtaining marketing approval for our product candidates;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obtain marketing approval at all;</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approval for indications or patient populations that are not as broad as intended or desired or are not covered by our intellectual property;</w:t>
      </w:r>
    </w:p>
    <w:p>
      <w:pPr>
        <w:spacing w:after="0" w:line="225" w:lineRule="exact"/>
        <w:rPr>
          <w:rFonts w:ascii="Times New Roman" w:cs="Times New Roman" w:eastAsia="Times New Roman" w:hAnsi="Times New Roman"/>
          <w:sz w:val="18"/>
          <w:szCs w:val="18"/>
          <w:color w:val="auto"/>
        </w:rPr>
      </w:pPr>
    </w:p>
    <w:p>
      <w:pPr>
        <w:ind w:left="760" w:hanging="378"/>
        <w:spacing w:after="0" w:line="266" w:lineRule="auto"/>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approval with labeling that includes significant use or distribution restrictions, including restrictions on the intended patient population, or safety warnings, including boxed warnings, contraindications, and precautions, or may not include label statements necessary or desirable for successful commercialization;</w:t>
      </w:r>
    </w:p>
    <w:p>
      <w:pPr>
        <w:spacing w:after="0" w:line="135" w:lineRule="exact"/>
        <w:rPr>
          <w:rFonts w:ascii="Times New Roman" w:cs="Times New Roman" w:eastAsia="Times New Roman" w:hAnsi="Times New Roman"/>
          <w:sz w:val="18"/>
          <w:szCs w:val="18"/>
          <w:color w:val="auto"/>
        </w:rPr>
      </w:pPr>
    </w:p>
    <w:p>
      <w:pPr>
        <w:ind w:left="760" w:hanging="378"/>
        <w:spacing w:after="0" w:line="207" w:lineRule="exact"/>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subject to additional post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marketing testing and surveillance requirements, including REMS; or</w:t>
      </w:r>
    </w:p>
    <w:p>
      <w:pPr>
        <w:spacing w:after="0" w:line="26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the product removed from the market after obtaining marketing approval.</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4" w:right="37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20" w:firstLine="749"/>
        <w:spacing w:after="0" w:line="253" w:lineRule="auto"/>
        <w:rPr>
          <w:sz w:val="20"/>
          <w:szCs w:val="20"/>
          <w:color w:val="auto"/>
        </w:rPr>
      </w:pPr>
      <w:r>
        <w:rPr>
          <w:rFonts w:ascii="Times New Roman" w:cs="Times New Roman" w:eastAsia="Times New Roman" w:hAnsi="Times New Roman"/>
          <w:sz w:val="18"/>
          <w:szCs w:val="18"/>
          <w:color w:val="auto"/>
        </w:rPr>
        <w:t>In addition, the FDA’s and other regulatory authorities’ policies with respect to clinical trials may change and additional government regulations may be enacted. If we are slow or unable to adapt to changes in existing requirements or the adoption of new requirements or policies governing clinical trials, our product development plans may be impacted. For example, in December 2022, with the passage of the Food and Drug Omnibus Reform Act (FDORA), Congress required sponsors to develop and submit a diversity action plan for each phase 3 clinical trial or any other “pivotal study” of a new drug or biological product. These plans are meant to encourage the enrollment of more diverse patient populations in late-stage clinical trials of FDA-regulated products. Specifically, diversity action plans must include the sponsor’s goals for enrollment, the underlying rationale for those goals, and an explanation of how the sponsor intends to meet them. In terms of the compliance deadline, the requirement to submit a diversity action plan applies to clinical studies for which enrollment begins 180 days after the final guidance is published, which was originally anticipated to occur in June 2025. In January 2025, the previously-published draft guidance was temporarily removed from the FDA website following an executive order, but was restored and reinstated the following month per a court order. However, it remains in draft form, which impacts the eventual publication date of the final guidance, and as a result, may delay the compliance deadline.</w:t>
      </w:r>
    </w:p>
    <w:p>
      <w:pPr>
        <w:spacing w:after="0" w:line="192"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Our product candidate development costs will also increase if we experience delays in testing or approvals and we may not have sufficient funding to complete the testing and approval process for any of our product candidates. We may be required to obtain additional funds to complete clinical trials and prepare for possible commercialization of our product candidates. We do not know whether any additional preclinical tests or clinical trials will be required, will begin as planned, will need to be restructured, or will be completed on schedule, or at all. Significant delays relating to any preclinical studies or clinical trials also could shorten any periods during which we may have the exclusive right to commercialize our product candidates or allow our competitors, or the competitors of our collaborators, to bring products to market before we do and impair our ability to successfully commercialize our product candidates and may harm our business and results of operations. In addition, many of the factors that cause, or lead to, such delays may ultimately lead to the denial of marketing approval of any of our product candidates. If any of this occurs, our business, financial condition, results of operations, and prospects may be materially harmed.</w:t>
      </w:r>
    </w:p>
    <w:p>
      <w:pPr>
        <w:spacing w:after="0" w:line="188" w:lineRule="exact"/>
        <w:rPr>
          <w:sz w:val="20"/>
          <w:szCs w:val="20"/>
          <w:color w:val="auto"/>
        </w:rPr>
      </w:pPr>
    </w:p>
    <w:p>
      <w:pPr>
        <w:ind w:right="60" w:firstLine="749"/>
        <w:spacing w:after="0" w:line="253" w:lineRule="auto"/>
        <w:rPr>
          <w:sz w:val="20"/>
          <w:szCs w:val="20"/>
          <w:color w:val="auto"/>
        </w:rPr>
      </w:pPr>
      <w:r>
        <w:rPr>
          <w:rFonts w:ascii="Times New Roman" w:cs="Times New Roman" w:eastAsia="Times New Roman" w:hAnsi="Times New Roman"/>
          <w:sz w:val="18"/>
          <w:szCs w:val="18"/>
          <w:color w:val="auto"/>
        </w:rPr>
        <w:t>Regulatory authorities have substantial discretion in the approval process and may refuse to accept any application or may decide that our data are insufficient for approval and require additional preclinical studies, clinical trials, or other studies. In addition, varying interpretations of the data obtained from preclinical and clinical testing could delay, limit, or prevent marketing approval of a product candidate. During the course of review, the FDA may also request or require additional CMC, or other data and information, and the development and provision of these data and information may be time consuming and expensive. For example, in the CRL with respect to our NDA for Symbravo, the FDA noted the need for additional CMC data. Symbravo was subsequently approved by the FDA. With respect to our NDA for AXS-14 for the management of fibromyalgia, the FDA stated that upon preliminary review, it found that our NDA was not sufficiently complete to permit a substantive review. To address the FDA’s feedback, we plan to conduct an additional controlled trial, which will use a fixed-dose paradigm and a 12-week primary endpoint as requested by the FDA. Furthermore, there is the possibility that the FDA or comparable foreign regulatory authorities have not previously reviewed product candidates for the indications we are pursuing, such as AD agitation or smoking cessation. As a result, we may experience delays in regulatory approval due to uncertainties in the approval process.</w:t>
      </w:r>
    </w:p>
    <w:p>
      <w:pPr>
        <w:spacing w:after="0" w:line="192" w:lineRule="exact"/>
        <w:rPr>
          <w:sz w:val="20"/>
          <w:szCs w:val="20"/>
          <w:color w:val="auto"/>
        </w:rPr>
      </w:pPr>
    </w:p>
    <w:p>
      <w:pPr>
        <w:ind w:right="20" w:firstLine="749"/>
        <w:spacing w:after="0" w:line="258" w:lineRule="auto"/>
        <w:rPr>
          <w:sz w:val="20"/>
          <w:szCs w:val="20"/>
          <w:color w:val="auto"/>
        </w:rPr>
      </w:pPr>
      <w:r>
        <w:rPr>
          <w:rFonts w:ascii="Times New Roman" w:cs="Times New Roman" w:eastAsia="Times New Roman" w:hAnsi="Times New Roman"/>
          <w:sz w:val="18"/>
          <w:szCs w:val="18"/>
          <w:color w:val="auto"/>
        </w:rPr>
        <w:t>If we experience delays in obtaining approval, if we fail to obtain approval of a product candidate or if the label for a product candidate does not include the labeling claims necessary or desirable for the successful commercialization of that product candidate, the commercial prospects for such product candidate may be harmed and our ability to generate revenues from that product candidate will be materially impaired. Furthermore, there is the possibility that the FDA or comparable foreign regulatory authorities have not previously reviewed product candidates for the indications we are pursuing, such as AD agitation or smoking cessation. As a result, we may experience delays in regulatory approval due to uncertainties in the approval process.</w:t>
      </w:r>
    </w:p>
    <w:p>
      <w:pPr>
        <w:spacing w:after="0" w:line="39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4" w:right="39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cannot demonstrate an acceptable safety and toxicity profile for our product candidates, we will not be able to continue our clinical trials of or obtain approval for those product candidates.</w:t>
      </w:r>
    </w:p>
    <w:p>
      <w:pPr>
        <w:spacing w:after="0" w:line="159" w:lineRule="exact"/>
        <w:rPr>
          <w:sz w:val="20"/>
          <w:szCs w:val="20"/>
          <w:color w:val="auto"/>
        </w:rPr>
      </w:pPr>
    </w:p>
    <w:p>
      <w:pPr>
        <w:ind w:right="20" w:firstLine="749"/>
        <w:spacing w:after="0" w:line="256" w:lineRule="auto"/>
        <w:rPr>
          <w:sz w:val="20"/>
          <w:szCs w:val="20"/>
          <w:color w:val="auto"/>
        </w:rPr>
      </w:pPr>
      <w:r>
        <w:rPr>
          <w:rFonts w:ascii="Times New Roman" w:cs="Times New Roman" w:eastAsia="Times New Roman" w:hAnsi="Times New Roman"/>
          <w:sz w:val="18"/>
          <w:szCs w:val="18"/>
          <w:color w:val="auto"/>
        </w:rPr>
        <w:t>In order to obtain approval of a product candidate we must demonstrate safety in various nonclinical tests (including, for example, carcinogenicity studies, drug-drug interaction studies, and toxicity studies), in addition to human clinical trials. At the time of initiating human clinical trials, we may not have conducted or may not conduct all the types of nonclinical testing ultimately required by regulatory authorities, or future nonclinical tests may indicate safety concerns regarding our product candidates. Nonclinical testing and clinical testing are both expensive and time-consuming and have uncertain outcomes. Even if initial tests appear favorable, later testing may have unfavorable results. We may experience numerous unforeseen events during, or as a result of, the testing process, which could delay or prevent our ability to develop or commercialize our product candidates, including:</w:t>
      </w:r>
    </w:p>
    <w:p>
      <w:pPr>
        <w:spacing w:after="0" w:line="187" w:lineRule="exact"/>
        <w:rPr>
          <w:sz w:val="20"/>
          <w:szCs w:val="20"/>
          <w:color w:val="auto"/>
        </w:rPr>
      </w:pPr>
    </w:p>
    <w:p>
      <w:pPr>
        <w:ind w:left="760" w:right="40" w:hanging="378"/>
        <w:spacing w:after="0" w:line="282" w:lineRule="auto"/>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preclinical or nonclinical testing may produce inconclusive or negative safety results, which may require us to conduct additional nonclinical testing or to abandon product candidates;</w:t>
      </w:r>
    </w:p>
    <w:p>
      <w:pPr>
        <w:spacing w:after="0" w:line="1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 candidates may have unfavorable pharmacology or toxicity characteristics or suggest possible drug-drug interaction;</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 candidates may cause undesirable side effects; and</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other regulatory authorities may determine that additional safety testing is required.</w:t>
      </w:r>
    </w:p>
    <w:p>
      <w:pPr>
        <w:spacing w:after="0" w:line="225" w:lineRule="exact"/>
        <w:rPr>
          <w:sz w:val="20"/>
          <w:szCs w:val="20"/>
          <w:color w:val="auto"/>
        </w:rPr>
      </w:pPr>
    </w:p>
    <w:p>
      <w:pPr>
        <w:ind w:right="20" w:firstLine="749"/>
        <w:spacing w:after="0" w:line="282" w:lineRule="auto"/>
        <w:rPr>
          <w:sz w:val="20"/>
          <w:szCs w:val="20"/>
          <w:color w:val="auto"/>
        </w:rPr>
      </w:pPr>
      <w:r>
        <w:rPr>
          <w:rFonts w:ascii="Times New Roman" w:cs="Times New Roman" w:eastAsia="Times New Roman" w:hAnsi="Times New Roman"/>
          <w:sz w:val="18"/>
          <w:szCs w:val="18"/>
          <w:color w:val="auto"/>
        </w:rPr>
        <w:t>Any such events would increase our costs and could delay or prevent our ability to commercialize our product candidates, which could adversely impact our business, financial condition and results of operation.</w:t>
      </w:r>
    </w:p>
    <w:p>
      <w:pPr>
        <w:spacing w:after="0" w:line="158"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FDA may determine that any of our current or future product candidates have undesirable side effects that could delay or prevent their regulatory approval or commercialization.</w:t>
      </w:r>
    </w:p>
    <w:p>
      <w:pPr>
        <w:spacing w:after="0" w:line="159" w:lineRule="exact"/>
        <w:rPr>
          <w:sz w:val="20"/>
          <w:szCs w:val="20"/>
          <w:color w:val="auto"/>
        </w:rPr>
      </w:pPr>
    </w:p>
    <w:p>
      <w:pPr>
        <w:ind w:right="20" w:firstLine="749"/>
        <w:spacing w:after="0" w:line="258" w:lineRule="auto"/>
        <w:rPr>
          <w:sz w:val="20"/>
          <w:szCs w:val="20"/>
          <w:color w:val="auto"/>
        </w:rPr>
      </w:pPr>
      <w:r>
        <w:rPr>
          <w:rFonts w:ascii="Times New Roman" w:cs="Times New Roman" w:eastAsia="Times New Roman" w:hAnsi="Times New Roman"/>
          <w:sz w:val="18"/>
          <w:szCs w:val="18"/>
          <w:color w:val="auto"/>
        </w:rPr>
        <w:t>Undesirable side effects caused by our product candidates could cause us, IRBs, and other reviewing entities or regulatory authorities to interrupt, delay, or halt clinical trials and could result in a more restrictive label or the delay or denial of regulatory approval by the FDA or other comparable foreign authorities. For example, if concerns are raised regarding the safety of a new drug as a result of undesirable side effects identified during clinical or preclinical testing, the FDA may order us to cease further development, decline to approve the drug, or issue a letter requesting additional data or information prior to making a final decision regarding whether or not to approve the drug.</w:t>
      </w:r>
    </w:p>
    <w:p>
      <w:pPr>
        <w:spacing w:after="0" w:line="183" w:lineRule="exact"/>
        <w:rPr>
          <w:sz w:val="20"/>
          <w:szCs w:val="20"/>
          <w:color w:val="auto"/>
        </w:rPr>
      </w:pPr>
    </w:p>
    <w:p>
      <w:pPr>
        <w:ind w:firstLine="749"/>
        <w:spacing w:after="0" w:line="219" w:lineRule="exact"/>
        <w:rPr>
          <w:sz w:val="20"/>
          <w:szCs w:val="20"/>
          <w:color w:val="auto"/>
        </w:rPr>
      </w:pPr>
      <w:r>
        <w:rPr>
          <w:rFonts w:ascii="Times New Roman" w:cs="Times New Roman" w:eastAsia="Times New Roman" w:hAnsi="Times New Roman"/>
          <w:sz w:val="18"/>
          <w:szCs w:val="18"/>
          <w:color w:val="auto"/>
        </w:rPr>
        <w:t>The number of requests for additional data or information issued by the FDA in recent years has increased and resulted in substantial delays in the approval of several new drugs. Undesirable side effects caused by any of our current or future product candidates could also result in denial of regulatory approval by the FDA or other comparable foreign authorities for any or all targeted indications or the inclusion of unfavorable information in our product labeling, such as limitations on the indicated uses for which the products may be marketed or distributed, a label with significant safety warnings, including boxed warnings, contraindications, and precautions, a label without statements necessary or desirable for successful commercialization, or may result in requirements for costly post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marketing testing and surveillance, or other requirements, including REMS, to monitor the safety or efficacy of the products, and in turn prevent us from commercializing and generating revenues from the sale of any of our current or future product candidates.</w:t>
      </w:r>
    </w:p>
    <w:p>
      <w:pPr>
        <w:spacing w:after="0" w:line="198" w:lineRule="exact"/>
        <w:rPr>
          <w:sz w:val="20"/>
          <w:szCs w:val="20"/>
          <w:color w:val="auto"/>
        </w:rPr>
      </w:pPr>
    </w:p>
    <w:p>
      <w:pPr>
        <w:ind w:right="160" w:firstLine="749"/>
        <w:spacing w:after="0" w:line="260" w:lineRule="auto"/>
        <w:rPr>
          <w:sz w:val="20"/>
          <w:szCs w:val="20"/>
          <w:color w:val="auto"/>
        </w:rPr>
      </w:pPr>
      <w:r>
        <w:rPr>
          <w:rFonts w:ascii="Times New Roman" w:cs="Times New Roman" w:eastAsia="Times New Roman" w:hAnsi="Times New Roman"/>
          <w:sz w:val="18"/>
          <w:szCs w:val="18"/>
          <w:color w:val="auto"/>
        </w:rPr>
        <w:t>Based on the side effects disclosed in the EMA required product label for marketed drugs that contain the same active molecule as our product candidates, AXS-12 and AXS-14 may result in decreased appetite, insomnia, agitation, anxiety, dizziness, headache, paresthesia, akathisia, dysgeusia, accommodation disorder, mydriasis, glaucoma, vertigo, tachycardia, palpitations, vasodilation, hypotension, hypertension, dry mouth, vomiting, hyperhidrosis, rash, sensation of incomplete bladder emptying, urinary tract infection, dysuria, urinary retention, erectile dysfunction, ejaculatory pain, ejaculatory delay, chills, or other adverse events or potential adverse events reported or discussed in the product labels for reboxetine containing products including Edronax</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w:t>
      </w: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120" w:firstLine="749"/>
        <w:spacing w:after="0" w:line="261" w:lineRule="auto"/>
        <w:rPr>
          <w:sz w:val="20"/>
          <w:szCs w:val="20"/>
          <w:color w:val="auto"/>
        </w:rPr>
      </w:pPr>
      <w:r>
        <w:rPr>
          <w:rFonts w:ascii="Times New Roman" w:cs="Times New Roman" w:eastAsia="Times New Roman" w:hAnsi="Times New Roman"/>
          <w:sz w:val="18"/>
          <w:szCs w:val="18"/>
          <w:color w:val="auto"/>
        </w:rPr>
        <w:t>Known side effects for Auvelity, Sunosi, and Symbravo are described on the approved labels for those products. In relation to further development efforts with respect to these compounds, different patient populations may react to these compounds differently. For example, AD agitation patients in the case of AXS-05 or ADHD patients in the case of solriamfetol may experience different side effects than patients taking these products for their currently approved indications. This is particularly true where different dosing, formulations or methods of administration are implicated.</w:t>
      </w:r>
    </w:p>
    <w:p>
      <w:pPr>
        <w:spacing w:after="0" w:line="180" w:lineRule="exact"/>
        <w:rPr>
          <w:sz w:val="20"/>
          <w:szCs w:val="20"/>
          <w:color w:val="auto"/>
        </w:rPr>
      </w:pPr>
    </w:p>
    <w:p>
      <w:pPr>
        <w:ind w:right="240" w:firstLine="749"/>
        <w:spacing w:after="0" w:line="220" w:lineRule="exact"/>
        <w:rPr>
          <w:sz w:val="20"/>
          <w:szCs w:val="20"/>
          <w:color w:val="auto"/>
        </w:rPr>
      </w:pPr>
      <w:r>
        <w:rPr>
          <w:rFonts w:ascii="Times New Roman" w:cs="Times New Roman" w:eastAsia="Times New Roman" w:hAnsi="Times New Roman"/>
          <w:sz w:val="18"/>
          <w:szCs w:val="18"/>
          <w:color w:val="auto"/>
        </w:rPr>
        <w:t>If any of our other product candidates are associated with serious adverse events or undesirable side effects or have properties that are unexpected, we may need to abandon development or limit development of that product candidate to certain uses or subpopulations in which the undesirable side effects or other characteristics are less prevalent, less severe, or more acceptable from a risk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benefit perspective. The drug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related side effects could affect patient recruitment or the ability of enrolled patients to complete the trial or result in potential product liability claims. Any of these occurrences may significantly harm our business, financial condition, results of operations, and prospects.</w:t>
      </w:r>
    </w:p>
    <w:p>
      <w:pPr>
        <w:spacing w:after="0" w:line="197"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experience delays or difficulties in the enrollment of patients in clinical trials, our receipt of necessary regulatory approvals could be delayed or prevented.</w:t>
      </w:r>
    </w:p>
    <w:p>
      <w:pPr>
        <w:spacing w:after="0" w:line="159"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We may not be able to initiate or continue conducting clinical trials for our product candidates if we are unable to locate and enroll a sufficient number of eligible patients to participate in these trials as required by the FDA or similar regulatory authorities outside the United States. Some of our competitors have ongoing clinical trials for product candidates that treat the same indications as our product candidates, and patients who would otherwise be eligible for our clinical trials may instead enroll in clinical trials of our competitors’ product candidates. Patient enrollment is affected by other factors, including:</w:t>
      </w:r>
    </w:p>
    <w:p>
      <w:pPr>
        <w:spacing w:after="0" w:line="183" w:lineRule="exact"/>
        <w:rPr>
          <w:sz w:val="20"/>
          <w:szCs w:val="20"/>
          <w:color w:val="auto"/>
        </w:rPr>
      </w:pPr>
    </w:p>
    <w:p>
      <w:pPr>
        <w:ind w:left="760" w:hanging="378"/>
        <w:spacing w:after="0"/>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and nature of the patient population;</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severity of the disease under investigation;</w:t>
      </w:r>
    </w:p>
    <w:p>
      <w:pPr>
        <w:spacing w:after="0" w:line="225" w:lineRule="exact"/>
        <w:rPr>
          <w:rFonts w:ascii="Times New Roman" w:cs="Times New Roman" w:eastAsia="Times New Roman" w:hAnsi="Times New Roman"/>
          <w:sz w:val="18"/>
          <w:szCs w:val="18"/>
          <w:color w:val="auto"/>
        </w:rPr>
      </w:pPr>
    </w:p>
    <w:p>
      <w:pPr>
        <w:ind w:left="760" w:right="100" w:hanging="378"/>
        <w:spacing w:after="0" w:line="282" w:lineRule="auto"/>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eligibility criteria for, and design of, the clinical trial in question, including factors such as frequency of required assessments, length of the study, and ongoing monitoring requirements;</w:t>
      </w:r>
    </w:p>
    <w:p>
      <w:pPr>
        <w:spacing w:after="0" w:line="161" w:lineRule="exact"/>
        <w:rPr>
          <w:rFonts w:ascii="Times New Roman" w:cs="Times New Roman" w:eastAsia="Times New Roman" w:hAnsi="Times New Roman"/>
          <w:sz w:val="18"/>
          <w:szCs w:val="18"/>
          <w:color w:val="auto"/>
        </w:rPr>
      </w:pPr>
    </w:p>
    <w:p>
      <w:pPr>
        <w:ind w:left="760" w:right="580" w:hanging="378"/>
        <w:spacing w:after="0" w:line="282" w:lineRule="auto"/>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perceived risks and benefits of the product candidate under study, including the potential advantages or disadvantages of the product candidate being studied in relation to other available therapies;</w:t>
      </w:r>
    </w:p>
    <w:p>
      <w:pPr>
        <w:spacing w:after="0" w:line="1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in recruiting and enrolling patients in clinical trials;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efforts to facilitate timely enrollment in clinical trials;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patient referral practices of physicians;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effectiveness of publicity created by clinical trial sites regarding the trial;</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patients’ ability to comply with the specific instructions related to the trial protocol, proper documentation, and use of the drug product;</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obtain or maintain patient informed consents;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that enrolled patients will drop out before completion;</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identify patients for enrollment and maintain a sufficient level of patient participants in our clinical studies;</w:t>
      </w:r>
    </w:p>
    <w:p>
      <w:pPr>
        <w:spacing w:after="0" w:line="200" w:lineRule="exact"/>
        <w:rPr>
          <w:sz w:val="20"/>
          <w:szCs w:val="20"/>
          <w:color w:val="auto"/>
        </w:rPr>
      </w:pPr>
    </w:p>
    <w:p>
      <w:pPr>
        <w:spacing w:after="0" w:line="24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14" w:right="4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760" w:hanging="378"/>
        <w:spacing w:after="0"/>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monitor patients adequately during and after treatment; and</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proximity and availability of clinical trial sites for prospective patients.</w:t>
      </w:r>
    </w:p>
    <w:p>
      <w:pPr>
        <w:spacing w:after="0" w:line="225" w:lineRule="exact"/>
        <w:rPr>
          <w:sz w:val="20"/>
          <w:szCs w:val="20"/>
          <w:color w:val="auto"/>
        </w:rPr>
      </w:pPr>
    </w:p>
    <w:p>
      <w:pPr>
        <w:ind w:right="60" w:firstLine="749"/>
        <w:spacing w:after="0" w:line="255" w:lineRule="auto"/>
        <w:rPr>
          <w:sz w:val="20"/>
          <w:szCs w:val="20"/>
          <w:color w:val="auto"/>
        </w:rPr>
      </w:pPr>
      <w:r>
        <w:rPr>
          <w:rFonts w:ascii="Times New Roman" w:cs="Times New Roman" w:eastAsia="Times New Roman" w:hAnsi="Times New Roman"/>
          <w:sz w:val="18"/>
          <w:szCs w:val="18"/>
          <w:color w:val="auto"/>
        </w:rPr>
        <w:t>Our inability to enroll a sufficient number of patients for our clinical trials would result in significant delays which would cause us to miss our projected timelines and could require us to abandon one or more clinical trials altogether. For instance, because we are seeking regulatory approval for certain indications that may have a narrow or small patient population, it may be difficult to find patients eligible to participate in our clinical studies at a sufficient rate or in a sufficient quantity. We may be required by the FDA to modify the entry criteria for our planned Phase 3 clinical trials and these changes may make it more difficult to enroll patients in our clinical trials. Moreover, patients in our clinical trials, especially patients in our control groups, may be at risk for dropping out of our studies if they are not experiencing relief of their symptoms. A significant number of withdrawn patients would compromise the quality of our data.</w:t>
      </w:r>
    </w:p>
    <w:p>
      <w:pPr>
        <w:spacing w:after="0" w:line="189" w:lineRule="exact"/>
        <w:rPr>
          <w:sz w:val="20"/>
          <w:szCs w:val="20"/>
          <w:color w:val="auto"/>
        </w:rPr>
      </w:pPr>
    </w:p>
    <w:p>
      <w:pPr>
        <w:ind w:right="140" w:firstLine="749"/>
        <w:spacing w:after="0" w:line="266" w:lineRule="auto"/>
        <w:rPr>
          <w:sz w:val="20"/>
          <w:szCs w:val="20"/>
          <w:color w:val="auto"/>
        </w:rPr>
      </w:pPr>
      <w:r>
        <w:rPr>
          <w:rFonts w:ascii="Times New Roman" w:cs="Times New Roman" w:eastAsia="Times New Roman" w:hAnsi="Times New Roman"/>
          <w:sz w:val="18"/>
          <w:szCs w:val="18"/>
          <w:color w:val="auto"/>
        </w:rPr>
        <w:t>Enrollment delays or slower periods of enrollment in our clinical trials may result in increased development costs for our product candidates, or the inability to complete development of our product candidates, which would cause the value of our company to decline, limit our ability to obtain additional financing, and materially impair our ability to generate revenues.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Development of combination product candidates may present more or different challenges than development of single agent product candidates.</w:t>
      </w:r>
    </w:p>
    <w:p>
      <w:pPr>
        <w:spacing w:after="0" w:line="229" w:lineRule="exact"/>
        <w:rPr>
          <w:sz w:val="20"/>
          <w:szCs w:val="20"/>
          <w:color w:val="auto"/>
        </w:rPr>
      </w:pPr>
    </w:p>
    <w:p>
      <w:pPr>
        <w:ind w:firstLine="749"/>
        <w:spacing w:after="0" w:line="255" w:lineRule="auto"/>
        <w:rPr>
          <w:sz w:val="20"/>
          <w:szCs w:val="20"/>
          <w:color w:val="auto"/>
        </w:rPr>
      </w:pPr>
      <w:r>
        <w:rPr>
          <w:rFonts w:ascii="Times New Roman" w:cs="Times New Roman" w:eastAsia="Times New Roman" w:hAnsi="Times New Roman"/>
          <w:sz w:val="18"/>
          <w:szCs w:val="18"/>
          <w:color w:val="auto"/>
        </w:rPr>
        <w:t>Certain product candidates of ours, including AXS-05, are combination therapies. A combination therapy is a single drug product that consists of two or more active ingredients, with each component making a contribution to the claimed effect of the drug. The development of combination drugs may be more complex than the development of single agent products and generally requires that sponsors demonstrate the contribution of each component to the claimed effect and the safety and efficacy of the product as a whole. This requirement may make the design and conduct of clinical trials more complex, requiring more clinical trial subjects. We also may not be able to meet the FDA’s approval standards required for combination products. The FDA’s requirements concerning combination products may change in the future. Moreover, the applicable requirements for approval may differ from country to country.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product candidate manufacturing or formulation may result in additional costs or delay.</w:t>
      </w:r>
    </w:p>
    <w:p>
      <w:pPr>
        <w:spacing w:after="0" w:line="229" w:lineRule="exact"/>
        <w:rPr>
          <w:sz w:val="20"/>
          <w:szCs w:val="20"/>
          <w:color w:val="auto"/>
        </w:rPr>
      </w:pPr>
    </w:p>
    <w:p>
      <w:pPr>
        <w:ind w:right="140" w:firstLine="749"/>
        <w:spacing w:after="0" w:line="254" w:lineRule="auto"/>
        <w:rPr>
          <w:sz w:val="20"/>
          <w:szCs w:val="20"/>
          <w:color w:val="auto"/>
        </w:rPr>
      </w:pPr>
      <w:r>
        <w:rPr>
          <w:rFonts w:ascii="Times New Roman" w:cs="Times New Roman" w:eastAsia="Times New Roman" w:hAnsi="Times New Roman"/>
          <w:sz w:val="18"/>
          <w:szCs w:val="18"/>
          <w:color w:val="auto"/>
        </w:rPr>
        <w:t>As product candidates are developed through preclinical studies to late-stage clinical trials towards approval and commercialization, it is common that various aspects of the development program, such as manufacturing methods and formulation, are altered along the way in an effort to optimize processes and results. For instance, as we begin scale-up efforts for commercial-size manufacturing batches, formulation changes may be necessary to improve tablet robustness. Such changes carry the risk that they will not achieve these intended objectives. Any of these changes could cause our product candidates to perform differently and affect the results of planned clinical trials or other future clinical trials conducted with the altered materials. Such changes may also require additional testing, FDA notification, or FDA approval. This could delay completion of clinical trials; require the conduct of bridging clinical trials or studies, or the repetition of one or more clinical trials; increase clinical trial costs; delay approval of our product candidates; and jeopardize our ability to commence product sales and generate revenue.</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Failure to obtain marketing approval in international jurisdictions would prevent our products from being marketed abroad.</w:t>
      </w:r>
    </w:p>
    <w:p>
      <w:pPr>
        <w:spacing w:after="0" w:line="188" w:lineRule="exact"/>
        <w:rPr>
          <w:sz w:val="20"/>
          <w:szCs w:val="20"/>
          <w:color w:val="auto"/>
        </w:rPr>
      </w:pPr>
    </w:p>
    <w:p>
      <w:pPr>
        <w:ind w:right="140" w:firstLine="749"/>
        <w:spacing w:after="0" w:line="222" w:lineRule="exact"/>
        <w:rPr>
          <w:sz w:val="20"/>
          <w:szCs w:val="20"/>
          <w:color w:val="auto"/>
        </w:rPr>
      </w:pPr>
      <w:r>
        <w:rPr>
          <w:rFonts w:ascii="Times New Roman" w:cs="Times New Roman" w:eastAsia="Times New Roman" w:hAnsi="Times New Roman"/>
          <w:sz w:val="18"/>
          <w:szCs w:val="18"/>
          <w:color w:val="auto"/>
        </w:rPr>
        <w:t>In order to market and sell our products in the EU, and many other jurisdictions, we or our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collaborators must obtain separate marketing approvals and comply with numerous and varying regulatory requirements. The approval procedure varies among countries and can involve additional testing. The time required to obtain approval may differ substantially from that required to obtain FDA approval. The regulatory approval process outside the United States generally includes all of the risks associated with obtaining FDA approval. In addition, in many countries outside the United States, it is required that the product be approved for reimbursement before the product can be approved for sale in that country. We or these third parties may not obtain approvals from regulatory authorities outside the United States on a timely basis, if at all. Approval by the FDA does not ensure approval by regulatory authorities in other countries or jurisdictions, and approval by one regulatory authority outside the United States does not ensure approval by regulatory authorities in other countries or jurisdictions or by the FDA. However, the failure to obtain approval in one jurisdiction may compromise our ability to obtain approval elsewhere. We may not be able to file for marketing approvals and may not receive necessary approvals to commercialize our products in any market.</w:t>
      </w:r>
    </w:p>
    <w:p>
      <w:pPr>
        <w:spacing w:after="0" w:line="196" w:lineRule="exact"/>
        <w:rPr>
          <w:sz w:val="20"/>
          <w:szCs w:val="20"/>
          <w:color w:val="auto"/>
        </w:rPr>
      </w:pPr>
    </w:p>
    <w:p>
      <w:pPr>
        <w:ind w:right="20"/>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Although Breakthrough Therapy, Fast Track, and other designations are designed to expedite the development and review of drugs, they may not ultimately lead to a faster approval process or faster development of regulatory review, and they will not increase the likelihood that our product candidates will receive marketing approval, for example, Breakthrough Therapy designation by the FDA for AXS-05 for the treatment of AD agitation.</w:t>
      </w:r>
    </w:p>
    <w:p>
      <w:pPr>
        <w:spacing w:after="0" w:line="157" w:lineRule="exact"/>
        <w:rPr>
          <w:sz w:val="20"/>
          <w:szCs w:val="20"/>
          <w:color w:val="auto"/>
        </w:rPr>
      </w:pPr>
    </w:p>
    <w:p>
      <w:pPr>
        <w:ind w:right="20" w:firstLine="749"/>
        <w:spacing w:after="0" w:line="254" w:lineRule="auto"/>
        <w:rPr>
          <w:sz w:val="20"/>
          <w:szCs w:val="20"/>
          <w:color w:val="auto"/>
        </w:rPr>
      </w:pPr>
      <w:r>
        <w:rPr>
          <w:rFonts w:ascii="Times New Roman" w:cs="Times New Roman" w:eastAsia="Times New Roman" w:hAnsi="Times New Roman"/>
          <w:sz w:val="18"/>
          <w:szCs w:val="18"/>
          <w:color w:val="auto"/>
        </w:rPr>
        <w:t>We have received a Fast Track product designation for AXS-05 for both the treatment of TRD as well as for the treatment of AD agitation, and we may seek Fast Track designation for our other current or future product candidates. The FDA may designate a product for Fast Track review if it is intended, whether alone or in combination with one or more other products, for the treatment of a serious or life-threatening disease or condition, and it demonstrates the potential to address unmet medical needs for such a disease or condition. For Fast Track products, sponsors may have greater interactions with the FDA, and the FDA may initiate review of sections of a Fast Track product’s application before the application is complete. This rolling review may be available if the FDA determines, after preliminary evaluation of clinical data submitted by the sponsor, that a Fast Track product may be effective. The sponsor must also provide, and the FDA must approve, a schedule for the submission of the remaining information, and the sponsor must pay applicable user fees.</w:t>
      </w:r>
    </w:p>
    <w:p>
      <w:pPr>
        <w:spacing w:after="0" w:line="192" w:lineRule="exact"/>
        <w:rPr>
          <w:sz w:val="20"/>
          <w:szCs w:val="20"/>
          <w:color w:val="auto"/>
        </w:rPr>
      </w:pPr>
    </w:p>
    <w:p>
      <w:pPr>
        <w:ind w:right="20" w:firstLine="749"/>
        <w:spacing w:after="0" w:line="253" w:lineRule="auto"/>
        <w:rPr>
          <w:sz w:val="20"/>
          <w:szCs w:val="20"/>
          <w:color w:val="auto"/>
        </w:rPr>
      </w:pPr>
      <w:r>
        <w:rPr>
          <w:rFonts w:ascii="Times New Roman" w:cs="Times New Roman" w:eastAsia="Times New Roman" w:hAnsi="Times New Roman"/>
          <w:sz w:val="18"/>
          <w:szCs w:val="18"/>
          <w:color w:val="auto"/>
        </w:rPr>
        <w:t>We also received Breakthrough Therapy designation for AXS-05 for both the treatment of MDD and the treatment of AD agitation, and we may seek Breakthrough Therapy designation for other current or future product candidates. A Breakthrough Therapy is defined as a product candidate that is intended, alone or in combination with one or more other drugs, to treat a serious or life-threatening disease or condition, and preliminary clinical evidence indicates that the product candidate may demonstrate substantial improvement over existing therapies on one or more clinically significant endpoints, such as substantial treatment effects observed early in clinical development. For product candidates that have been designated as breakthrough therapies, interaction and communication between the FDA and the sponsor of the trial can help to identify the most efficient path for clinical development while minimizing the number of patients placed in ineffective control regimens. Breakthrough Therapy designation also allows the sponsor to request a Priority Review or file sections of the NDA on an ongoing basis for rolling review where the FDA may consider beginning review portions of a marketing application before the full submission is complete. Product candidates designated as Breakthrough Therapies by the FDA are also eligible for Priority Review if supported by clinical data at the time of the submission of the NDA.</w:t>
      </w:r>
    </w:p>
    <w:p>
      <w:pPr>
        <w:spacing w:after="0" w:line="194"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Breakthrough Therapy or Fast Track designation is within the discretion of the FDA. The receipt of a Breakthrough Therapy or Fast Track designation for a product candidate may not ultimately result in a faster development process or review, and it does not in any way assure approval of product candidates by the FDA. In addition, the FDA may later decide to rescind the Breakthrough Therapy or Fast Track designation for one or more of our applicable product candidates if such product candidates no longer meet the conditions for qualification of this program. For example, we were initially granted Breakthrough Therapy designation for AXS-12 for the treatment of cataplexy in patients with narcolepsy in August 2020. In July 2021, the FDA rescinded our Breakthrough Therapy designation due to the FDA approving an additional drug product for the treatment of cataplexy in narcolepsy.</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4" w:right="37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right="20"/>
        <w:spacing w:after="0" w:line="232" w:lineRule="exact"/>
        <w:rPr>
          <w:sz w:val="20"/>
          <w:szCs w:val="20"/>
          <w:color w:val="auto"/>
        </w:rPr>
      </w:pPr>
      <w:r>
        <w:rPr>
          <w:rFonts w:ascii="Times New Roman" w:cs="Times New Roman" w:eastAsia="Times New Roman" w:hAnsi="Times New Roman"/>
          <w:sz w:val="18"/>
          <w:szCs w:val="18"/>
          <w:b w:val="1"/>
          <w:bCs w:val="1"/>
          <w:i w:val="1"/>
          <w:iCs w:val="1"/>
          <w:color w:val="auto"/>
        </w:rPr>
        <w:t>Regulatory approval is limited by the FDA or comparable foreign regulatory authorities to those specific indications and conditions for which clinical safety and efficacy have been demonstrated, and we may be subject to fines, penalties, injunctions, or other enforcement actions if we are determined to be promoting the use of our products for unapproved or “off</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b w:val="1"/>
          <w:bCs w:val="1"/>
          <w:i w:val="1"/>
          <w:iCs w:val="1"/>
          <w:color w:val="auto"/>
        </w:rPr>
        <w:t>label” uses, resulting in damage to our reputation and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2847975</wp:posOffset>
            </wp:positionH>
            <wp:positionV relativeFrom="paragraph">
              <wp:posOffset>-103505</wp:posOffset>
            </wp:positionV>
            <wp:extent cx="64135" cy="3937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4135" cy="39370"/>
                    </a:xfrm>
                    <a:prstGeom prst="rect">
                      <a:avLst/>
                    </a:prstGeom>
                    <a:noFill/>
                  </pic:spPr>
                </pic:pic>
              </a:graphicData>
            </a:graphic>
          </wp:anchor>
        </w:drawing>
      </w:r>
    </w:p>
    <w:p>
      <w:pPr>
        <w:spacing w:after="0" w:line="152"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We, and any of our collaborators, must comply with requirements concerning advertising and promotion for any of our products for which we or they obtain marketing approval. Promotional communications with respect to prescription drugs are subject to a variety of legal and regulatory restrictions and continuing review by the FDA, Department of Justice, HHS’s OIG, state attorneys general, members of Congress, and the public. When the FDA or comparable foreign regulatory authorities issue regulatory approval for a product candidate, the regulatory approval is limited to those specific uses and indications for which a product is approved. If we are not able to obtain FDA or comparable foreign regulatory authorities’ approval for any desired uses or indications for our products and product candidates, we may not market or promote our products for those indications and uses, referred to as off label uses, and our business may be adversely affected. We further must be able to sufficiently substantiate any claims that we make for our products including claims comparing our products to other companies’ products.</w:t>
      </w:r>
    </w:p>
    <w:p>
      <w:pPr>
        <w:spacing w:after="0" w:line="192" w:lineRule="exact"/>
        <w:rPr>
          <w:sz w:val="20"/>
          <w:szCs w:val="20"/>
          <w:color w:val="auto"/>
        </w:rPr>
      </w:pPr>
    </w:p>
    <w:p>
      <w:pPr>
        <w:ind w:right="60" w:firstLine="749"/>
        <w:spacing w:after="0" w:line="224" w:lineRule="exact"/>
        <w:rPr>
          <w:sz w:val="20"/>
          <w:szCs w:val="20"/>
          <w:color w:val="auto"/>
        </w:rPr>
      </w:pPr>
      <w:r>
        <w:rPr>
          <w:rFonts w:ascii="Times New Roman" w:cs="Times New Roman" w:eastAsia="Times New Roman" w:hAnsi="Times New Roman"/>
          <w:sz w:val="18"/>
          <w:szCs w:val="18"/>
          <w:color w:val="auto"/>
        </w:rPr>
        <w:t>While physicians may choose to prescribe drugs for uses that are not described in the product’s labeling and for uses that differ from those tested in clinical studies and approved by the regulatory authorities, we are prohibited from marketing and promoting the products for indications and uses that are not specifically approved by the FDA or comparable foreign regulatory authorities. These off</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label uses are common across medical specialties and may constitute an appropriate treatment for some patients in varied circumstances. Regulatory authorities in the United States and in many other major markets do not generally restrict or regulate the behavior of physicians in their choice of treatment within the practice of medicine. Regulatory authorities do, however, restrict communications by pharmaceutical companies concerning off</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label use.</w:t>
      </w:r>
    </w:p>
    <w:p>
      <w:pPr>
        <w:spacing w:after="0" w:line="172" w:lineRule="exact"/>
        <w:rPr>
          <w:sz w:val="20"/>
          <w:szCs w:val="20"/>
          <w:color w:val="auto"/>
        </w:rPr>
      </w:pPr>
    </w:p>
    <w:p>
      <w:pPr>
        <w:ind w:right="100" w:firstLine="749"/>
        <w:spacing w:after="0" w:line="219" w:lineRule="exact"/>
        <w:rPr>
          <w:sz w:val="20"/>
          <w:szCs w:val="20"/>
          <w:color w:val="auto"/>
        </w:rPr>
      </w:pPr>
      <w:r>
        <w:rPr>
          <w:rFonts w:ascii="Times New Roman" w:cs="Times New Roman" w:eastAsia="Times New Roman" w:hAnsi="Times New Roman"/>
          <w:sz w:val="18"/>
          <w:szCs w:val="18"/>
          <w:color w:val="auto"/>
        </w:rPr>
        <w:t>If we are found to have impermissibly promoted any of our products, we may become subject to significant liability and government fines. The FDA and other agencies actively enforce the laws and regulations regarding product promotion, particularly those prohibiting the promotion of off</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label uses, and a company that is found to have improperly promoted a product may be subject to significant sanctions. The federal government has levied large civil and criminal fines against companies for alleged improper promotion and has enjoined several companies from engaging in off</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label promotion. The FDA has also requested that companies enter into consent decrees of permanent injunctions under which specified promotional conduct is changed or curtailed. Thus, we and any of our collaborators will not be able to promote any products we develop for indications or uses for which they are not approved.</w:t>
      </w: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firstLine="749"/>
        <w:spacing w:after="0" w:line="252" w:lineRule="auto"/>
        <w:rPr>
          <w:sz w:val="20"/>
          <w:szCs w:val="20"/>
          <w:color w:val="auto"/>
        </w:rPr>
      </w:pPr>
      <w:r>
        <w:rPr>
          <w:rFonts w:ascii="Times New Roman" w:cs="Times New Roman" w:eastAsia="Times New Roman" w:hAnsi="Times New Roman"/>
          <w:sz w:val="18"/>
          <w:szCs w:val="18"/>
          <w:color w:val="auto"/>
        </w:rPr>
        <w:t>In the United States, engaging in the impermissible promotion of our products, following approval, for off-label uses can also subject us to false claims and other litigation under federal and state statutes, including fraud and abuse and consumer protection laws, which can lead to civil and criminal penalties and fines, agreements with governmental authorities that materially restrict the manner in which we promote or distribute drug products and do business through, for example, corporate integrity agreements, suspension or exclusion from participation in federal and state healthcare programs, and debarment from government contracts and refusal of future orders under existing contracts. Recent court decisions have impacted the FDA’s enforcement activity regarding off-label promotion in light of First Amendment considerations; however, there are still significant risks in this area in part due to the potential FCA exposure. The FCA allows any individual to bring a lawsuit against a pharmaceutical company on behalf of the federal government alleging submission of false or fraudulent claims or causing others to present such false or fraudulent claims, for payment by a federal program such as Medicare or Medicaid. If the government decides to intervene and prevails in the qui tam lawsuit, the individual will share in the proceeds from any fines or settlement funds. If the government declines to intervene, the individual may pursue the case alone. Under the FCA, a penalty may be imposed for each false claim, for example, a claim for payment for each prescription for the product, and, when aggregated, these penalties often total millions of dollars and incentivize qui tam lawsuits. These FCA lawsuits against pharmaceutical companies have increased significantly in volume and breadth, leading to several substantial civil and criminal settlements, pertaining to certain sales practices and promoting off-label drug uses. This growth in litigation has increased the risk that a pharmaceutical company will have to defend a false claim action; pay settlement fines or restitution, as well as criminal and civil penalties; agree to comply with burdensome reporting and compliance obligations; and be excluded from Medicare, Medicaid, or other federal and state healthcare programs. If we or our collaborators do not lawfully promote our approved products, if any, we may become subject to such litigation and other actions and, if we do not successfully defend against such actions, those actions may have a material adverse effect on our business, financial condition, results of operations, and prospects.</w:t>
      </w:r>
    </w:p>
    <w:p>
      <w:pPr>
        <w:spacing w:after="0" w:line="192" w:lineRule="exact"/>
        <w:rPr>
          <w:sz w:val="20"/>
          <w:szCs w:val="20"/>
          <w:color w:val="auto"/>
        </w:rPr>
      </w:pPr>
    </w:p>
    <w:p>
      <w:pPr>
        <w:ind w:right="60" w:firstLine="749"/>
        <w:spacing w:after="0" w:line="256" w:lineRule="auto"/>
        <w:rPr>
          <w:sz w:val="20"/>
          <w:szCs w:val="20"/>
          <w:color w:val="auto"/>
        </w:rPr>
      </w:pPr>
      <w:r>
        <w:rPr>
          <w:rFonts w:ascii="Times New Roman" w:cs="Times New Roman" w:eastAsia="Times New Roman" w:hAnsi="Times New Roman"/>
          <w:sz w:val="18"/>
          <w:szCs w:val="18"/>
          <w:color w:val="auto"/>
        </w:rPr>
        <w:t>In the United States, the distribution of product samples to physicians must further comply with the requirements of the U.S. PDMA. If the FDA determines that our promotional materials or activities violate its regulations and policies pertaining to product promotion, it could request that we modify our promotional materials or activities or subject us to regulatory or other enforcement actions, including issuance of warning letters or untitled letters, suspension or withdrawal of an approved product from the market, requests for recalls, payment of civil fines, disgorgement of money, imposition of operating restrictions, injunctions, or criminal prosecution. These regulatory and enforcement actions could significantly harm our business, financial condition, results of operations, and prospects.</w:t>
      </w:r>
    </w:p>
    <w:p>
      <w:pPr>
        <w:spacing w:after="0" w:line="183" w:lineRule="exact"/>
        <w:rPr>
          <w:sz w:val="20"/>
          <w:szCs w:val="20"/>
          <w:color w:val="auto"/>
        </w:rPr>
      </w:pPr>
    </w:p>
    <w:p>
      <w:pPr>
        <w:jc w:val="both"/>
        <w:ind w:right="2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and will continue to be subject to, ongoing obligations and continued regulatory review, which may result in significant additional expense. Additionally, any of our products, could be subject to labeling and other restrictions and market withdrawal and we may be subject to penalties if we fail to comply with regulatory requirements or experience unanticipated problems with our products.</w:t>
      </w:r>
    </w:p>
    <w:p>
      <w:pPr>
        <w:spacing w:after="0" w:line="175" w:lineRule="exact"/>
        <w:rPr>
          <w:sz w:val="20"/>
          <w:szCs w:val="20"/>
          <w:color w:val="auto"/>
        </w:rPr>
      </w:pPr>
    </w:p>
    <w:p>
      <w:pPr>
        <w:ind w:right="140" w:firstLine="749"/>
        <w:spacing w:after="0" w:line="255" w:lineRule="auto"/>
        <w:rPr>
          <w:sz w:val="20"/>
          <w:szCs w:val="20"/>
          <w:color w:val="auto"/>
        </w:rPr>
      </w:pPr>
      <w:r>
        <w:rPr>
          <w:rFonts w:ascii="Times New Roman" w:cs="Times New Roman" w:eastAsia="Times New Roman" w:hAnsi="Times New Roman"/>
          <w:sz w:val="18"/>
          <w:szCs w:val="18"/>
          <w:color w:val="auto"/>
        </w:rPr>
        <w:t>Our product(s) are subject to extensive and ongoing requirements of and review by the FDA and other regulatory authorities, including requirements related to the manufacturing processes, post-approval clinical data, labeling, packaging, distribution, adverse event reporting, storage, recordkeeping, export, import, advertising, marketing, and promotional activities for such product. These requirements further include submissions of safety and other post-marketing information, including manufacturing deviations and reports; registration and listing requirements; the payment of annual program fees for our products; continued compliance with cGMP requirements relating to manufacturing, quality control, quality assurance, and corresponding maintenance of records and documents; requirements regarding the distribution of samples to physicians and recordkeeping; and GCP, for any clinical trials that we conduct post-approval.</w:t>
      </w:r>
    </w:p>
    <w:p>
      <w:pPr>
        <w:spacing w:after="0" w:line="189" w:lineRule="exact"/>
        <w:rPr>
          <w:sz w:val="20"/>
          <w:szCs w:val="20"/>
          <w:color w:val="auto"/>
        </w:rPr>
      </w:pPr>
    </w:p>
    <w:p>
      <w:pPr>
        <w:ind w:right="100" w:firstLine="749"/>
        <w:spacing w:after="0" w:line="266" w:lineRule="auto"/>
        <w:rPr>
          <w:sz w:val="20"/>
          <w:szCs w:val="20"/>
          <w:color w:val="auto"/>
        </w:rPr>
      </w:pPr>
      <w:r>
        <w:rPr>
          <w:rFonts w:ascii="Times New Roman" w:cs="Times New Roman" w:eastAsia="Times New Roman" w:hAnsi="Times New Roman"/>
          <w:sz w:val="18"/>
          <w:szCs w:val="18"/>
          <w:color w:val="auto"/>
        </w:rPr>
        <w:t>We and any of our collaborators, including our contract manufacturers, could be subject to periodic unannounced inspections by the FDA to monitor and ensure compliance with cGMP and GCP. Application holders must further notify the FDA, and depending on the nature of the change, obtain FDA pre-approval for product and manufacturing changes. Application fees may apply to certain changes.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firstLine="749"/>
        <w:spacing w:after="0" w:line="266" w:lineRule="auto"/>
        <w:rPr>
          <w:sz w:val="20"/>
          <w:szCs w:val="20"/>
          <w:color w:val="auto"/>
        </w:rPr>
      </w:pPr>
      <w:r>
        <w:rPr>
          <w:rFonts w:ascii="Times New Roman" w:cs="Times New Roman" w:eastAsia="Times New Roman" w:hAnsi="Times New Roman"/>
          <w:sz w:val="18"/>
          <w:szCs w:val="18"/>
          <w:color w:val="auto"/>
        </w:rPr>
        <w:t>In addition, later discovery of previously unknown adverse events or that the drug is less effective than previously thought or other problems with our products, manufacturers, or manufacturing processes, or failure to comply with regulatory requirements both before and after approval, may yield various results, including:</w:t>
      </w:r>
    </w:p>
    <w:p>
      <w:pPr>
        <w:spacing w:after="0" w:line="176" w:lineRule="exact"/>
        <w:rPr>
          <w:sz w:val="20"/>
          <w:szCs w:val="20"/>
          <w:color w:val="auto"/>
        </w:rPr>
      </w:pPr>
    </w:p>
    <w:p>
      <w:pPr>
        <w:ind w:left="760" w:hanging="378"/>
        <w:spacing w:after="0"/>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manufacturing or distribution, or marketing of such products;</w:t>
      </w:r>
    </w:p>
    <w:p>
      <w:pPr>
        <w:spacing w:after="0" w:line="225" w:lineRule="exact"/>
        <w:rPr>
          <w:rFonts w:ascii="Times New Roman" w:cs="Times New Roman" w:eastAsia="Times New Roman" w:hAnsi="Times New Roman"/>
          <w:sz w:val="18"/>
          <w:szCs w:val="18"/>
          <w:color w:val="auto"/>
        </w:rPr>
      </w:pPr>
    </w:p>
    <w:p>
      <w:pPr>
        <w:ind w:left="760" w:right="100" w:hanging="378"/>
        <w:spacing w:after="0" w:line="282" w:lineRule="auto"/>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labeling, including required additional warnings, such as black box warnings, contraindications, precautions, and restrictions on the approved indication or use;</w:t>
      </w:r>
    </w:p>
    <w:p>
      <w:pPr>
        <w:spacing w:after="0" w:line="1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modifications to promotional pieces;</w:t>
      </w:r>
    </w:p>
    <w:p>
      <w:pPr>
        <w:spacing w:after="0" w:line="184" w:lineRule="exact"/>
        <w:rPr>
          <w:rFonts w:ascii="Times New Roman" w:cs="Times New Roman" w:eastAsia="Times New Roman" w:hAnsi="Times New Roman"/>
          <w:sz w:val="18"/>
          <w:szCs w:val="18"/>
          <w:color w:val="auto"/>
        </w:rPr>
      </w:pPr>
    </w:p>
    <w:p>
      <w:pPr>
        <w:ind w:left="760" w:hanging="378"/>
        <w:spacing w:after="0" w:line="207" w:lineRule="exact"/>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to conduct post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marketing studies or clinical trials;</w:t>
      </w:r>
    </w:p>
    <w:p>
      <w:pPr>
        <w:spacing w:after="0" w:line="26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holds or termination of clinical trials;</w:t>
      </w:r>
    </w:p>
    <w:p>
      <w:pPr>
        <w:spacing w:after="0" w:line="225" w:lineRule="exact"/>
        <w:rPr>
          <w:rFonts w:ascii="Times New Roman" w:cs="Times New Roman" w:eastAsia="Times New Roman" w:hAnsi="Times New Roman"/>
          <w:sz w:val="18"/>
          <w:szCs w:val="18"/>
          <w:color w:val="auto"/>
        </w:rPr>
      </w:pPr>
    </w:p>
    <w:p>
      <w:pPr>
        <w:ind w:left="760" w:right="20" w:hanging="378"/>
        <w:spacing w:after="0" w:line="289" w:lineRule="auto"/>
        <w:tabs>
          <w:tab w:leader="none" w:pos="76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requirements to establish or modify a REMS or a comparable foreign authority may require that we establish or modify a similar strategy, that may, for instance, require us to create or modify a medication guide outlining the risks of the previously unidentified side effects for distribution to patients, or restrict distribution of the product, if and when approved, and impose burdensome implementation requirements on us;</w:t>
      </w:r>
    </w:p>
    <w:p>
      <w:pPr>
        <w:spacing w:after="0" w:line="157"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the way the drug is administered;</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liability for harm caused to patients or subjects;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reputational harm;</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drug becoming less competitive;</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warning or untitled letters;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of marketing or withdrawal of the products from the market;</w:t>
      </w:r>
    </w:p>
    <w:p>
      <w:pPr>
        <w:spacing w:after="0" w:line="225" w:lineRule="exact"/>
        <w:rPr>
          <w:rFonts w:ascii="Times New Roman" w:cs="Times New Roman" w:eastAsia="Times New Roman" w:hAnsi="Times New Roman"/>
          <w:sz w:val="18"/>
          <w:szCs w:val="18"/>
          <w:color w:val="auto"/>
        </w:rPr>
      </w:pPr>
    </w:p>
    <w:p>
      <w:pPr>
        <w:ind w:left="760" w:right="140" w:hanging="378"/>
        <w:spacing w:after="0" w:line="282" w:lineRule="auto"/>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authority issuance of safety alerts, Dear Healthcare Provider letters, press releases, or other communications containing warnings or other safety information about the drug;</w:t>
      </w:r>
    </w:p>
    <w:p>
      <w:pPr>
        <w:spacing w:after="0" w:line="1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approve pending applications or supplements to approved applications that we submit;</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recall of products;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damages, restitution, or disgorgement of profits or revenues;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or withdrawal of marketing approvals;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permit the import or export of our products;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 detention;</w:t>
      </w:r>
    </w:p>
    <w:p>
      <w:pPr>
        <w:spacing w:after="0" w:line="225" w:lineRule="exact"/>
        <w:rPr>
          <w:rFonts w:ascii="Times New Roman" w:cs="Times New Roman" w:eastAsia="Times New Roman" w:hAnsi="Times New Roman"/>
          <w:sz w:val="18"/>
          <w:szCs w:val="18"/>
          <w:color w:val="auto"/>
        </w:rPr>
      </w:pPr>
    </w:p>
    <w:p>
      <w:pPr>
        <w:ind w:left="760" w:right="80" w:hanging="378"/>
        <w:spacing w:after="0" w:line="282" w:lineRule="auto"/>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FDA debarment, debarment from government contracts, and refusal of future orders under existing contracts, exclusion from federal healthcare programs, consent decrees, or corporate integrity agreements; or</w:t>
      </w:r>
    </w:p>
    <w:p>
      <w:pPr>
        <w:spacing w:after="0" w:line="1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 including imprisonment.</w:t>
      </w:r>
    </w:p>
    <w:p>
      <w:pPr>
        <w:spacing w:after="0" w:line="200" w:lineRule="exact"/>
        <w:rPr>
          <w:sz w:val="20"/>
          <w:szCs w:val="20"/>
          <w:color w:val="auto"/>
        </w:rPr>
      </w:pPr>
    </w:p>
    <w:p>
      <w:pPr>
        <w:spacing w:after="0" w:line="24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4" w:right="41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40" w:firstLine="749"/>
        <w:spacing w:after="0" w:line="261" w:lineRule="auto"/>
        <w:rPr>
          <w:sz w:val="20"/>
          <w:szCs w:val="20"/>
          <w:color w:val="auto"/>
        </w:rPr>
      </w:pPr>
      <w:r>
        <w:rPr>
          <w:rFonts w:ascii="Times New Roman" w:cs="Times New Roman" w:eastAsia="Times New Roman" w:hAnsi="Times New Roman"/>
          <w:sz w:val="18"/>
          <w:szCs w:val="18"/>
          <w:color w:val="auto"/>
        </w:rPr>
        <w:t>Any of these events could prevent us from achieving or maintaining market acceptance of the particular product, or could substantially increase the costs and expenses of commercializing such product, which in turn could delay or prevent us from generating significant revenues from its sale. Any of these events could further have other material and adverse effects on our operations and business and could adversely impact our stock price and could significantly harm our business, financial condition, results of operations, and prospects.</w:t>
      </w:r>
    </w:p>
    <w:p>
      <w:pPr>
        <w:spacing w:after="0" w:line="180" w:lineRule="exact"/>
        <w:rPr>
          <w:sz w:val="20"/>
          <w:szCs w:val="20"/>
          <w:color w:val="auto"/>
        </w:rPr>
      </w:pPr>
    </w:p>
    <w:p>
      <w:pPr>
        <w:ind w:right="20" w:firstLine="749"/>
        <w:spacing w:after="0" w:line="261" w:lineRule="auto"/>
        <w:rPr>
          <w:sz w:val="20"/>
          <w:szCs w:val="20"/>
          <w:color w:val="auto"/>
        </w:rPr>
      </w:pPr>
      <w:r>
        <w:rPr>
          <w:rFonts w:ascii="Times New Roman" w:cs="Times New Roman" w:eastAsia="Times New Roman" w:hAnsi="Times New Roman"/>
          <w:sz w:val="18"/>
          <w:szCs w:val="18"/>
          <w:color w:val="auto"/>
        </w:rPr>
        <w:t>The FDA’s policies may change and additional government regulations may be enacted that could prevent, limit, or delay regulatory approval of our product candidates or that could impose additional regulatory obligations on our products. If we are slow or unable to adapt to changes in existing requirements or the adoption of new requirements or policies, or if we are not able to maintain regulatory compliance, we may lose any marketing approval that we may have obtained and be subject to regulatory enforcement action.</w:t>
      </w:r>
    </w:p>
    <w:p>
      <w:pPr>
        <w:spacing w:after="0" w:line="178" w:lineRule="exact"/>
        <w:rPr>
          <w:sz w:val="20"/>
          <w:szCs w:val="20"/>
          <w:color w:val="auto"/>
        </w:rPr>
      </w:pPr>
    </w:p>
    <w:p>
      <w:pPr>
        <w:ind w:right="160" w:firstLine="749"/>
        <w:spacing w:after="0" w:line="253" w:lineRule="auto"/>
        <w:rPr>
          <w:sz w:val="20"/>
          <w:szCs w:val="20"/>
          <w:color w:val="auto"/>
        </w:rPr>
      </w:pPr>
      <w:r>
        <w:rPr>
          <w:rFonts w:ascii="Times New Roman" w:cs="Times New Roman" w:eastAsia="Times New Roman" w:hAnsi="Times New Roman"/>
          <w:sz w:val="18"/>
          <w:szCs w:val="18"/>
          <w:color w:val="auto"/>
        </w:rPr>
        <w:t xml:space="preserve">In addition, there is a great degree of uncertainty regarding how recent U.S. Supreme Court decisions, including </w:t>
      </w:r>
      <w:r>
        <w:rPr>
          <w:rFonts w:ascii="Times New Roman" w:cs="Times New Roman" w:eastAsia="Times New Roman" w:hAnsi="Times New Roman"/>
          <w:sz w:val="18"/>
          <w:szCs w:val="18"/>
          <w:i w:val="1"/>
          <w:iCs w:val="1"/>
          <w:color w:val="auto"/>
        </w:rPr>
        <w:t>Loper Bright Enterprises v.</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Raimondo</w:t>
      </w:r>
      <w:r>
        <w:rPr>
          <w:rFonts w:ascii="Times New Roman" w:cs="Times New Roman" w:eastAsia="Times New Roman" w:hAnsi="Times New Roman"/>
          <w:sz w:val="18"/>
          <w:szCs w:val="18"/>
          <w:color w:val="auto"/>
        </w:rPr>
        <w:t>, 603 U.S. 369 (2024) and</w:t>
      </w:r>
      <w:r>
        <w:rPr>
          <w:rFonts w:ascii="Times New Roman" w:cs="Times New Roman" w:eastAsia="Times New Roman" w:hAnsi="Times New Roman"/>
          <w:sz w:val="18"/>
          <w:szCs w:val="18"/>
          <w:i w:val="1"/>
          <w:iCs w:val="1"/>
          <w:color w:val="auto"/>
        </w:rPr>
        <w:t xml:space="preserve"> Corner Post, Inc. v. Board of Governors of the Federal Reserve System</w:t>
      </w:r>
      <w:r>
        <w:rPr>
          <w:rFonts w:ascii="Times New Roman" w:cs="Times New Roman" w:eastAsia="Times New Roman" w:hAnsi="Times New Roman"/>
          <w:sz w:val="18"/>
          <w:szCs w:val="18"/>
          <w:color w:val="auto"/>
        </w:rPr>
        <w:t>, 603 U.S. 799 (2024), will impact the FDA’s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enforcement and decision-making authority. </w:t>
      </w:r>
      <w:r>
        <w:rPr>
          <w:rFonts w:ascii="Times New Roman" w:cs="Times New Roman" w:eastAsia="Times New Roman" w:hAnsi="Times New Roman"/>
          <w:sz w:val="18"/>
          <w:szCs w:val="18"/>
          <w:i w:val="1"/>
          <w:iCs w:val="1"/>
          <w:color w:val="auto"/>
        </w:rPr>
        <w:t>Loper Bright</w:t>
      </w:r>
      <w:r>
        <w:rPr>
          <w:rFonts w:ascii="Times New Roman" w:cs="Times New Roman" w:eastAsia="Times New Roman" w:hAnsi="Times New Roman"/>
          <w:sz w:val="18"/>
          <w:szCs w:val="18"/>
          <w:color w:val="auto"/>
        </w:rPr>
        <w:t xml:space="preserve"> explicitly overturned </w:t>
      </w:r>
      <w:r>
        <w:rPr>
          <w:rFonts w:ascii="Times New Roman" w:cs="Times New Roman" w:eastAsia="Times New Roman" w:hAnsi="Times New Roman"/>
          <w:sz w:val="18"/>
          <w:szCs w:val="18"/>
          <w:i w:val="1"/>
          <w:iCs w:val="1"/>
          <w:color w:val="auto"/>
        </w:rPr>
        <w:t>Chevron</w:t>
      </w:r>
      <w:r>
        <w:rPr>
          <w:rFonts w:ascii="Times New Roman" w:cs="Times New Roman" w:eastAsia="Times New Roman" w:hAnsi="Times New Roman"/>
          <w:sz w:val="18"/>
          <w:szCs w:val="18"/>
          <w:color w:val="auto"/>
        </w:rPr>
        <w:t xml:space="preserve"> deference, which previously gave judicial deference to administrative action by agencies in the executive branch. Furthermore, the Supreme Court’s decision in </w:t>
      </w:r>
      <w:r>
        <w:rPr>
          <w:rFonts w:ascii="Times New Roman" w:cs="Times New Roman" w:eastAsia="Times New Roman" w:hAnsi="Times New Roman"/>
          <w:sz w:val="18"/>
          <w:szCs w:val="18"/>
          <w:i w:val="1"/>
          <w:iCs w:val="1"/>
          <w:color w:val="auto"/>
        </w:rPr>
        <w:t>Corner Post</w:t>
      </w:r>
      <w:r>
        <w:rPr>
          <w:rFonts w:ascii="Times New Roman" w:cs="Times New Roman" w:eastAsia="Times New Roman" w:hAnsi="Times New Roman"/>
          <w:sz w:val="18"/>
          <w:szCs w:val="18"/>
          <w:color w:val="auto"/>
        </w:rPr>
        <w:t xml:space="preserve"> may result in challenges to FDA decisions by new litigants long into the future. These decisions could result in additional legal challenges to regulations and guidance issued by federal agencies, including the FDA, on which we rely. Any such legal challenges, if successful, could have a material impact on our business. Additionally, the </w:t>
      </w:r>
      <w:r>
        <w:rPr>
          <w:rFonts w:ascii="Times New Roman" w:cs="Times New Roman" w:eastAsia="Times New Roman" w:hAnsi="Times New Roman"/>
          <w:sz w:val="18"/>
          <w:szCs w:val="18"/>
          <w:i w:val="1"/>
          <w:iCs w:val="1"/>
          <w:color w:val="auto"/>
        </w:rPr>
        <w:t xml:space="preserve">Loper </w:t>
      </w:r>
      <w:r>
        <w:rPr>
          <w:rFonts w:ascii="Times New Roman" w:cs="Times New Roman" w:eastAsia="Times New Roman" w:hAnsi="Times New Roman"/>
          <w:sz w:val="18"/>
          <w:szCs w:val="18"/>
          <w:color w:val="auto"/>
        </w:rPr>
        <w:t>decision may result in increased regulatory uncertainty, inconsistent judicial interpretations, and could impact various aspects of the agency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rulemaking process, any of which could adversely impact our business and operations. We cannot predict the likelihood, nature or extent of government regulation that may arise from future legislation or administrative action or as a result of legal challenges, either in the United States or abroad. If we are slow or unable to adapt to changes in existing requirements or the adoption of new requirements or policies, or if we are not able to maintain regulatory compliance, our business could be materially harmed.</w:t>
      </w:r>
    </w:p>
    <w:p>
      <w:pPr>
        <w:spacing w:after="0" w:line="194" w:lineRule="exact"/>
        <w:rPr>
          <w:sz w:val="20"/>
          <w:szCs w:val="20"/>
          <w:color w:val="auto"/>
        </w:rPr>
      </w:pPr>
    </w:p>
    <w:p>
      <w:pPr>
        <w:ind w:right="680" w:firstLine="749"/>
        <w:spacing w:after="0" w:line="239" w:lineRule="exact"/>
        <w:rPr>
          <w:sz w:val="20"/>
          <w:szCs w:val="20"/>
          <w:color w:val="auto"/>
        </w:rPr>
      </w:pPr>
      <w:r>
        <w:rPr>
          <w:rFonts w:ascii="Times New Roman" w:cs="Times New Roman" w:eastAsia="Times New Roman" w:hAnsi="Times New Roman"/>
          <w:sz w:val="18"/>
          <w:szCs w:val="18"/>
          <w:color w:val="auto"/>
        </w:rPr>
        <w:t>Should any of the above actions take place, they could adversely affect our ability to achieve or sustain profitability. Further, the cost of compliance with post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approval regulations may have a negative effect on our operating results and financial condition.</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variety of risks associated with international operations could materially adversely affect our business.</w:t>
      </w:r>
    </w:p>
    <w:p>
      <w:pPr>
        <w:spacing w:after="0" w:line="229" w:lineRule="exact"/>
        <w:rPr>
          <w:sz w:val="20"/>
          <w:szCs w:val="20"/>
          <w:color w:val="auto"/>
        </w:rPr>
      </w:pPr>
    </w:p>
    <w:p>
      <w:pPr>
        <w:jc w:val="both"/>
        <w:ind w:right="80" w:firstLine="749"/>
        <w:spacing w:after="0" w:line="266" w:lineRule="auto"/>
        <w:rPr>
          <w:sz w:val="20"/>
          <w:szCs w:val="20"/>
          <w:color w:val="auto"/>
        </w:rPr>
      </w:pPr>
      <w:r>
        <w:rPr>
          <w:rFonts w:ascii="Times New Roman" w:cs="Times New Roman" w:eastAsia="Times New Roman" w:hAnsi="Times New Roman"/>
          <w:sz w:val="18"/>
          <w:szCs w:val="18"/>
          <w:color w:val="auto"/>
        </w:rPr>
        <w:t>We are, and may become party to further agreements, pursuant to which we out-license our products outside of the United States. The Company also currently markets Sunosi in Canada. We expect that we will be subject to additional risks related to entering into international business relationships, including:</w:t>
      </w:r>
    </w:p>
    <w:p>
      <w:pPr>
        <w:spacing w:after="0" w:line="176" w:lineRule="exact"/>
        <w:rPr>
          <w:sz w:val="20"/>
          <w:szCs w:val="20"/>
          <w:color w:val="auto"/>
        </w:rPr>
      </w:pPr>
    </w:p>
    <w:p>
      <w:pPr>
        <w:ind w:left="760" w:hanging="378"/>
        <w:spacing w:after="0"/>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different regulatory requirements for approval of drugs in foreign countries;</w:t>
      </w:r>
    </w:p>
    <w:p>
      <w:pPr>
        <w:spacing w:after="0" w:line="184" w:lineRule="exact"/>
        <w:rPr>
          <w:rFonts w:ascii="Times New Roman" w:cs="Times New Roman" w:eastAsia="Times New Roman" w:hAnsi="Times New Roman"/>
          <w:sz w:val="18"/>
          <w:szCs w:val="18"/>
          <w:color w:val="auto"/>
        </w:rPr>
      </w:pPr>
    </w:p>
    <w:p>
      <w:pPr>
        <w:ind w:left="760" w:hanging="378"/>
        <w:spacing w:after="0" w:line="236" w:lineRule="exact"/>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for so</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called parallel importing, particularly within Europe, which is what happens when a local seller, faced with high or higher local prices, opts to import goods from a foreign market (with low or lower prices) rather than buying them locally with EU laws supporting such “free movement of goods” within the EU;</w:t>
      </w:r>
    </w:p>
    <w:p>
      <w:pPr>
        <w:spacing w:after="0" w:line="198" w:lineRule="exact"/>
        <w:rPr>
          <w:rFonts w:ascii="Times New Roman" w:cs="Times New Roman" w:eastAsia="Times New Roman" w:hAnsi="Times New Roman"/>
          <w:sz w:val="18"/>
          <w:szCs w:val="18"/>
          <w:color w:val="auto"/>
        </w:rPr>
      </w:pPr>
    </w:p>
    <w:p>
      <w:pPr>
        <w:ind w:left="760" w:hanging="378"/>
        <w:spacing w:after="0" w:line="266" w:lineRule="auto"/>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stricter harmonized EU rules on data privacy particularly in relation to personal data, including health data, than is the case in the United States which are being further toughened with the EU General Data Protection Regulation, or the GDPR, which became enforceable beginning May 25, 2018;</w:t>
      </w:r>
    </w:p>
    <w:p>
      <w:pPr>
        <w:spacing w:after="0" w:line="175" w:lineRule="exact"/>
        <w:rPr>
          <w:rFonts w:ascii="Times New Roman" w:cs="Times New Roman" w:eastAsia="Times New Roman" w:hAnsi="Times New Roman"/>
          <w:sz w:val="18"/>
          <w:szCs w:val="18"/>
          <w:color w:val="auto"/>
        </w:rPr>
      </w:pPr>
    </w:p>
    <w:p>
      <w:pPr>
        <w:ind w:left="760" w:right="680" w:hanging="378"/>
        <w:spacing w:after="0" w:line="282" w:lineRule="auto"/>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enforcing our contractual and intellectual property rights, especially in those foreign countries that do not respect and protect intellectual property rights to the same extent as the United States;</w:t>
      </w:r>
    </w:p>
    <w:p>
      <w:pPr>
        <w:spacing w:after="0" w:line="1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changes in tariffs, trade barriers, and regulatory requirements and in the health care policies of foreign jurisdictions;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weakness, including inflation, or political instability in particular foreign economies and markets;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760" w:hanging="378"/>
        <w:spacing w:after="0"/>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tax, employment, immigration, and labor laws for employees living or traveling abroad;</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taxes, including withholding of payroll taxes;</w:t>
      </w:r>
    </w:p>
    <w:p>
      <w:pPr>
        <w:spacing w:after="0" w:line="225" w:lineRule="exact"/>
        <w:rPr>
          <w:rFonts w:ascii="Times New Roman" w:cs="Times New Roman" w:eastAsia="Times New Roman" w:hAnsi="Times New Roman"/>
          <w:sz w:val="18"/>
          <w:szCs w:val="18"/>
          <w:color w:val="auto"/>
        </w:rPr>
      </w:pPr>
    </w:p>
    <w:p>
      <w:pPr>
        <w:ind w:left="760" w:right="120" w:hanging="378"/>
        <w:spacing w:after="0" w:line="282" w:lineRule="auto"/>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fluctuations, which could result in increased operating expenses and reduced revenues, and other obligations incident to doing business in another country;</w:t>
      </w:r>
    </w:p>
    <w:p>
      <w:pPr>
        <w:spacing w:after="0" w:line="1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staffing and managing foreign operations;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workforce uncertainty in countries where labor unrest is more common than in the United States and worker rights tend to be stronger;</w:t>
      </w:r>
    </w:p>
    <w:p>
      <w:pPr>
        <w:spacing w:after="0" w:line="225" w:lineRule="exact"/>
        <w:rPr>
          <w:rFonts w:ascii="Times New Roman" w:cs="Times New Roman" w:eastAsia="Times New Roman" w:hAnsi="Times New Roman"/>
          <w:sz w:val="18"/>
          <w:szCs w:val="18"/>
          <w:color w:val="auto"/>
        </w:rPr>
      </w:pPr>
    </w:p>
    <w:p>
      <w:pPr>
        <w:ind w:left="760" w:right="100" w:hanging="378"/>
        <w:spacing w:after="0" w:line="282" w:lineRule="auto"/>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compliance with U.S. laws and regulations for foreign operations, including the FCPA or comparable foreign regulations, and the risks and costs of noncompliance;</w:t>
      </w:r>
    </w:p>
    <w:p>
      <w:pPr>
        <w:spacing w:after="0" w:line="1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production shortages resulting from any events affecting raw material supply or manufacturing capabilities abroad; and</w:t>
      </w:r>
    </w:p>
    <w:p>
      <w:pPr>
        <w:spacing w:after="0" w:line="225" w:lineRule="exact"/>
        <w:rPr>
          <w:rFonts w:ascii="Times New Roman" w:cs="Times New Roman" w:eastAsia="Times New Roman" w:hAnsi="Times New Roman"/>
          <w:sz w:val="18"/>
          <w:szCs w:val="18"/>
          <w:color w:val="auto"/>
        </w:rPr>
      </w:pPr>
    </w:p>
    <w:p>
      <w:pPr>
        <w:ind w:left="760" w:right="360" w:hanging="378"/>
        <w:spacing w:after="0" w:line="282" w:lineRule="auto"/>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interruptions resulting from geopolitical actions, including war and terrorism, or natural disasters including earthquakes, typhoons, floods, and fires.</w:t>
      </w:r>
    </w:p>
    <w:p>
      <w:pPr>
        <w:spacing w:after="0" w:line="162" w:lineRule="exact"/>
        <w:rPr>
          <w:sz w:val="20"/>
          <w:szCs w:val="20"/>
          <w:color w:val="auto"/>
        </w:rPr>
      </w:pPr>
    </w:p>
    <w:p>
      <w:pPr>
        <w:ind w:right="360" w:firstLine="749"/>
        <w:spacing w:after="0" w:line="282" w:lineRule="auto"/>
        <w:rPr>
          <w:sz w:val="20"/>
          <w:szCs w:val="20"/>
          <w:color w:val="auto"/>
        </w:rPr>
      </w:pPr>
      <w:r>
        <w:rPr>
          <w:rFonts w:ascii="Times New Roman" w:cs="Times New Roman" w:eastAsia="Times New Roman" w:hAnsi="Times New Roman"/>
          <w:sz w:val="18"/>
          <w:szCs w:val="18"/>
          <w:color w:val="auto"/>
        </w:rPr>
        <w:t>These and other risks associated with our international operations may materially adversely affect our ability to attain or maintain profitable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exposed to market risk from fluctuations in currency exchange rates and interest rates.</w:t>
      </w:r>
    </w:p>
    <w:p>
      <w:pPr>
        <w:spacing w:after="0" w:line="229" w:lineRule="exact"/>
        <w:rPr>
          <w:sz w:val="20"/>
          <w:szCs w:val="20"/>
          <w:color w:val="auto"/>
        </w:rPr>
      </w:pPr>
    </w:p>
    <w:p>
      <w:pPr>
        <w:jc w:val="both"/>
        <w:ind w:right="20" w:firstLine="749"/>
        <w:spacing w:after="0" w:line="282" w:lineRule="auto"/>
        <w:rPr>
          <w:sz w:val="20"/>
          <w:szCs w:val="20"/>
          <w:color w:val="auto"/>
        </w:rPr>
      </w:pPr>
      <w:r>
        <w:rPr>
          <w:rFonts w:ascii="Times New Roman" w:cs="Times New Roman" w:eastAsia="Times New Roman" w:hAnsi="Times New Roman"/>
          <w:sz w:val="18"/>
          <w:szCs w:val="18"/>
          <w:color w:val="auto"/>
        </w:rPr>
        <w:t>We operate in multiple jurisdictions, and virtually all sales are denominated in currencies of the local jurisdiction. Additionally, we have entered and may enter into business development transactions, borrowings, or other financial transactions that may give rise to currency and interest rate exposure.</w:t>
      </w:r>
    </w:p>
    <w:p>
      <w:pPr>
        <w:spacing w:after="0" w:line="162" w:lineRule="exact"/>
        <w:rPr>
          <w:sz w:val="20"/>
          <w:szCs w:val="20"/>
          <w:color w:val="auto"/>
        </w:rPr>
      </w:pPr>
    </w:p>
    <w:p>
      <w:pPr>
        <w:ind w:right="200" w:firstLine="749"/>
        <w:spacing w:after="0" w:line="282" w:lineRule="auto"/>
        <w:rPr>
          <w:sz w:val="20"/>
          <w:szCs w:val="20"/>
          <w:color w:val="auto"/>
        </w:rPr>
      </w:pPr>
      <w:r>
        <w:rPr>
          <w:rFonts w:ascii="Times New Roman" w:cs="Times New Roman" w:eastAsia="Times New Roman" w:hAnsi="Times New Roman"/>
          <w:sz w:val="18"/>
          <w:szCs w:val="18"/>
          <w:color w:val="auto"/>
        </w:rPr>
        <w:t>Since we cannot, with certainty, foresee and mitigate against such adverse changes, fluctuations in currency exchange rates, interest rates, and inflation could negatively affect our business, cash flow, results of operations, financial condition, and prospects.</w:t>
      </w:r>
    </w:p>
    <w:p>
      <w:pPr>
        <w:spacing w:after="0" w:line="162" w:lineRule="exact"/>
        <w:rPr>
          <w:sz w:val="20"/>
          <w:szCs w:val="20"/>
          <w:color w:val="auto"/>
        </w:rPr>
      </w:pPr>
    </w:p>
    <w:p>
      <w:pPr>
        <w:ind w:right="320" w:firstLine="749"/>
        <w:spacing w:after="0" w:line="266" w:lineRule="auto"/>
        <w:rPr>
          <w:sz w:val="20"/>
          <w:szCs w:val="20"/>
          <w:color w:val="auto"/>
        </w:rPr>
      </w:pPr>
      <w:r>
        <w:rPr>
          <w:rFonts w:ascii="Times New Roman" w:cs="Times New Roman" w:eastAsia="Times New Roman" w:hAnsi="Times New Roman"/>
          <w:sz w:val="18"/>
          <w:szCs w:val="18"/>
          <w:color w:val="auto"/>
        </w:rPr>
        <w:t>In order to mitigate against the adverse impact of these market fluctuations, we may from time to time enter into hedging agreements. While hedging agreements, such as currency options and forwards and interest rate swaps, may limit some of the exposure to exchange rate and interest rate fluctuations, such attempts to mitigate these risks may be costly and not always successful.</w:t>
      </w:r>
    </w:p>
    <w:p>
      <w:pPr>
        <w:spacing w:after="0" w:line="172"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need to obtain FDA approval (and that of comparable foreign regulatory authorities) of any proposed product names, and any failure or delay associated with such approval may adversely affect our business.</w:t>
      </w:r>
    </w:p>
    <w:p>
      <w:pPr>
        <w:spacing w:after="0" w:line="159"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Any name we intend to use for our product candidates will require approval from the FDA regardless of whether we have secured a formal trademark registration from the U.S. Patent and Trademark Office, or USPTO. The FDA typically conducts a review of proposed product names, including an evaluation of the potential for confusion with other product names. The FDA may also object to a product name if it believes the name inappropriately implies medical claims or contributes to an overstatement of efficacy. If the FDA objects to any of our proposed product names, we may be required to adopt alternative names for our product candidates. If we adopt alternative names, we would lose the benefit of any existing trademark applications for such product candidate and may be required to expend significant additional resources in an effort to identify a suitable product name that would qualify under applicable trademark laws, not infringe the existing rights of third parties, and be acceptable to the FDA. We may be unable to build a successful brand identity for a new trademark in a timely manner, or at all, which would limit our ability to commercialize our product candidates.</w:t>
      </w:r>
    </w:p>
    <w:p>
      <w:pPr>
        <w:spacing w:after="0" w:line="200" w:lineRule="exact"/>
        <w:rPr>
          <w:sz w:val="20"/>
          <w:szCs w:val="20"/>
          <w:color w:val="auto"/>
        </w:rPr>
      </w:pPr>
    </w:p>
    <w:p>
      <w:pPr>
        <w:spacing w:after="0" w:line="20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4" w:right="39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COMMERCIALIZATION OF OUR PRODUCTS</w:t>
      </w:r>
    </w:p>
    <w:p>
      <w:pPr>
        <w:spacing w:after="0" w:line="225"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significant competition from other pharmaceutical and biotechnology companies, academic institutions, government agencies, and other research organizations. Our operating results will suffer if we fail to compete effectively.</w:t>
      </w:r>
    </w:p>
    <w:p>
      <w:pPr>
        <w:spacing w:after="0" w:line="159" w:lineRule="exact"/>
        <w:rPr>
          <w:sz w:val="20"/>
          <w:szCs w:val="20"/>
          <w:color w:val="auto"/>
        </w:rPr>
      </w:pPr>
    </w:p>
    <w:p>
      <w:pPr>
        <w:ind w:right="40" w:firstLine="749"/>
        <w:spacing w:after="0" w:line="256" w:lineRule="auto"/>
        <w:rPr>
          <w:sz w:val="20"/>
          <w:szCs w:val="20"/>
          <w:color w:val="auto"/>
        </w:rPr>
      </w:pPr>
      <w:r>
        <w:rPr>
          <w:rFonts w:ascii="Times New Roman" w:cs="Times New Roman" w:eastAsia="Times New Roman" w:hAnsi="Times New Roman"/>
          <w:sz w:val="18"/>
          <w:szCs w:val="18"/>
          <w:color w:val="auto"/>
        </w:rPr>
        <w:t>The development and commercialization of new drug products is highly competitive. We face competition with respect to our current products and product candidates and will face competition with respect to any product candidates that we may seek to develop or commercialize in the future, from major pharmaceutical companies, specialty pharmaceutical companies, and biotechnology companies worldwide. There are a number of large pharmaceutical and biotechnology companies that currently market and sell products or are pursuing the development of products for the treatment of CNS disorders. Potential competitors also include academic institutions, government agencies, and other public and private research organizations that conduct research, seek patent protection, and establish collaborative arrangements for research, development, manufacturing, and commercialization.</w:t>
      </w:r>
    </w:p>
    <w:p>
      <w:pPr>
        <w:spacing w:after="0" w:line="187"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Specifically, there are a large number of companies developing or marketing therapies for CNS disorders, including many major pharmaceutical and biotechnology companies. Among the companies that currently market or are developing therapies that, if approved, our product candidates would potentially compete with include: AbbVie Inc.; Amgen Inc.; Avadel Pharmaceuticals plc; Biogen Inc.; Eli Lilly and Company; H. Lundbeck A/S; Harmony Biosciences LLC; Intra-Cellular Therapies, Inc.; Janssen; Jazz; Otsuka Pharmaceutical Co. Ltd.; Pfizer; and Takeda Pharmaceutical Company Limited.</w:t>
      </w:r>
    </w:p>
    <w:p>
      <w:pPr>
        <w:spacing w:after="0" w:line="180" w:lineRule="exact"/>
        <w:rPr>
          <w:sz w:val="20"/>
          <w:szCs w:val="20"/>
          <w:color w:val="auto"/>
        </w:rPr>
      </w:pPr>
    </w:p>
    <w:p>
      <w:pPr>
        <w:ind w:right="100" w:firstLine="749"/>
        <w:spacing w:after="0" w:line="255" w:lineRule="auto"/>
        <w:rPr>
          <w:sz w:val="20"/>
          <w:szCs w:val="20"/>
          <w:color w:val="auto"/>
        </w:rPr>
      </w:pPr>
      <w:r>
        <w:rPr>
          <w:rFonts w:ascii="Times New Roman" w:cs="Times New Roman" w:eastAsia="Times New Roman" w:hAnsi="Times New Roman"/>
          <w:sz w:val="18"/>
          <w:szCs w:val="18"/>
          <w:color w:val="auto"/>
        </w:rPr>
        <w:t>Our commercial opportunities could be reduced or eliminated if our competitors develop and commercialize products that are safer, more effective, have fewer or less severe side effects, more convenient, or less expensive than any products that we may develop. Our competitors also may obtain FDA or other regulatory approval for their products more rapidly than we may obtain approval for ours, which could result in our competitors establishing a strong market position before we are able to enter the market. In addition, our ability to compete may be affected in many cases by insurers or other third-party payors seeking to encourage the use of generic products or therapeutically similar lower cost brands. If our product candidates achieve marketing approval, we expect that they will be priced at a significant premium over competitive generic products, which would further impact our commercialization efforts.</w:t>
      </w:r>
    </w:p>
    <w:p>
      <w:pPr>
        <w:spacing w:after="0" w:line="189" w:lineRule="exact"/>
        <w:rPr>
          <w:sz w:val="20"/>
          <w:szCs w:val="20"/>
          <w:color w:val="auto"/>
        </w:rPr>
      </w:pPr>
    </w:p>
    <w:p>
      <w:pPr>
        <w:ind w:right="80" w:firstLine="749"/>
        <w:spacing w:after="0" w:line="258" w:lineRule="auto"/>
        <w:rPr>
          <w:sz w:val="20"/>
          <w:szCs w:val="20"/>
          <w:color w:val="auto"/>
        </w:rPr>
      </w:pPr>
      <w:r>
        <w:rPr>
          <w:rFonts w:ascii="Times New Roman" w:cs="Times New Roman" w:eastAsia="Times New Roman" w:hAnsi="Times New Roman"/>
          <w:sz w:val="18"/>
          <w:szCs w:val="18"/>
          <w:color w:val="auto"/>
        </w:rPr>
        <w:t>Generic forms of the active ingredients of our product candidates, including dextromethorphan, bupropion, meloxicam, rizatriptan, and reboxetine, are available in the United States and abroad and could be used off-label. Any such off-label use could adversely affect our profitability and have a negative effect on our operating results and financial condition. For example, even though meloxicam is not currently approved for the treatment of acute migraine, we would not be able to prevent a physician from prescribing it for such treatment. Nor could we prevent a payor from offering favorable coverage for such product and disadvantaging our product candidates, even if the generics would be used off-label.</w:t>
      </w:r>
    </w:p>
    <w:p>
      <w:pPr>
        <w:spacing w:after="0" w:line="183" w:lineRule="exact"/>
        <w:rPr>
          <w:sz w:val="20"/>
          <w:szCs w:val="20"/>
          <w:color w:val="auto"/>
        </w:rPr>
      </w:pPr>
    </w:p>
    <w:p>
      <w:pPr>
        <w:ind w:right="140" w:firstLine="749"/>
        <w:spacing w:after="0" w:line="255" w:lineRule="auto"/>
        <w:rPr>
          <w:sz w:val="20"/>
          <w:szCs w:val="20"/>
          <w:color w:val="auto"/>
        </w:rPr>
      </w:pPr>
      <w:r>
        <w:rPr>
          <w:rFonts w:ascii="Times New Roman" w:cs="Times New Roman" w:eastAsia="Times New Roman" w:hAnsi="Times New Roman"/>
          <w:sz w:val="18"/>
          <w:szCs w:val="18"/>
          <w:color w:val="auto"/>
        </w:rPr>
        <w:t>Many of the companies against which we are competing or against which we may compete in the future have significantly greater financial resources and expertise in research and development, manufacturing, preclinical testing, conducting clinical trials, obtaining regulatory approvals, and marketing approved products than we do. Mergers and acquisitions in the pharmaceutical and biotechnology industries may result in even more resources being concentrated among a smaller number of our competitors. Early-stage companies may also prove to be significant competitors, particularly through collaborative arrangements with, or acquisition by large and established companies. These third parties compete with us in recruiting and retaining qualified scientific and management personnel and establishing clinical trial sites and patient registration for clinical trials, as well as in acquiring technologies complementary to, or necessary for, our programs.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the FDA or comparable foreign regulatory authorities approve generic or similar versions of any of our products that receive marketing approval, or such authorities do not grant our products appropriate periods of exclusivity before approving generic or similar versions of our products, the sales of our products could be adversely affected.</w:t>
      </w:r>
    </w:p>
    <w:p>
      <w:pPr>
        <w:spacing w:after="0" w:line="175"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Once an NDA is approved, the covered product becomes a “reference listed drug” in the FDA’s Orange Book. Manufacturers may seek approval of generic versions of reference listed drugs through submission of ANDAs in the United States. In support of an ANDA, a generic manufacturer need not conduct full clinical studies. Rather, the applicant generally must show that its product has the same active ingredient(s), dosage form, strength, route of administration, and conditions of use or labeling, among other commonalities, as the reference listed drug and that the generic version is bioequivalent to the reference listed drug, meaning it is absorbed in the body at the same rate and to the same extent. For example, in February 2023, we received a paragraph IV certification notice letter from Teva providing notification to the Company that Teva has submitted an ANDA to the FDA seeking approval to manufacture, use, or sell a generic version of Auvelity. We settled the ensuing litigation in February 2025. Additionally, beginning in August 2023, we received paragraph IV certification notice letters from six other pharmaceutical companies providing notification to the Company that each such filer has submitted an ANDA to the FDA seeking approval to manufacture, use, or sell a generic version of Sunosi. We have reached settlement agreements in the ensuing litigation with four of the six filers. We remain in ongoing litigation with the remaining two filers in the U.S. District Court for the District of New Jersey.</w:t>
      </w:r>
    </w:p>
    <w:p>
      <w:pPr>
        <w:spacing w:after="0" w:line="192" w:lineRule="exact"/>
        <w:rPr>
          <w:sz w:val="20"/>
          <w:szCs w:val="20"/>
          <w:color w:val="auto"/>
        </w:rPr>
      </w:pPr>
    </w:p>
    <w:p>
      <w:pPr>
        <w:ind w:right="120" w:firstLine="749"/>
        <w:spacing w:after="0" w:line="220" w:lineRule="exact"/>
        <w:rPr>
          <w:sz w:val="20"/>
          <w:szCs w:val="20"/>
          <w:color w:val="auto"/>
        </w:rPr>
      </w:pPr>
      <w:r>
        <w:rPr>
          <w:rFonts w:ascii="Times New Roman" w:cs="Times New Roman" w:eastAsia="Times New Roman" w:hAnsi="Times New Roman"/>
          <w:sz w:val="18"/>
          <w:szCs w:val="18"/>
          <w:color w:val="auto"/>
        </w:rPr>
        <w:t>Recently, the FDA and Congress have also taken steps to encourage increased generic drug competition in the market. Generic products may be significantly less costly to bring to market than the reference listed drug and companies that produce generic products are generally able to offer them at lower prices and are generally preferred by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payors. Thus, following the introduction of a generic drug, a significant percentage of the sales of any branded product or reference listed drug is typically lost to the generic product.</w:t>
      </w:r>
    </w:p>
    <w:p>
      <w:pPr>
        <w:spacing w:after="0" w:line="200"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Moreover, in addition to generic competition, we could face competition from other companies seeking approval of drug products that are similar to ours using the 505(b)(2) pathway. Such applicants may be able to rely on our products, or other approved drug products or published literature to develop drug products that are similar to ours. The introduction of a drug product similar to our product candidates could expose us to increased competition.</w:t>
      </w:r>
    </w:p>
    <w:p>
      <w:pPr>
        <w:spacing w:after="0" w:line="180" w:lineRule="exact"/>
        <w:rPr>
          <w:sz w:val="20"/>
          <w:szCs w:val="20"/>
          <w:color w:val="auto"/>
        </w:rPr>
      </w:pPr>
    </w:p>
    <w:p>
      <w:pPr>
        <w:ind w:right="240" w:firstLine="749"/>
        <w:spacing w:after="0" w:line="219" w:lineRule="exact"/>
        <w:rPr>
          <w:sz w:val="20"/>
          <w:szCs w:val="20"/>
          <w:color w:val="auto"/>
        </w:rPr>
      </w:pPr>
      <w:r>
        <w:rPr>
          <w:rFonts w:ascii="Times New Roman" w:cs="Times New Roman" w:eastAsia="Times New Roman" w:hAnsi="Times New Roman"/>
          <w:sz w:val="18"/>
          <w:szCs w:val="18"/>
          <w:color w:val="auto"/>
        </w:rPr>
        <w:t>Further, if we do not file a patent infringement lawsuit against a generic manufacturer within 45 days of receiving notice of its paragraph IV certification, the ANDA or 505(b)(2) applicant may not be subject to a 30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month stay. Litigation or other proceedings to enforce or defend intellectual property rights are often very complex in nature, may be expensive and time consuming, may divert our management’s attention from our core business, and may result in unfavorable results that could adversely impact our ability to prevent third parties from competing with our products. Accordingly, we may be subject to generic competition or competition from similar products, or may need to commence patent infringement proceedings, which would divert our resources.</w:t>
      </w:r>
    </w:p>
    <w:p>
      <w:pPr>
        <w:spacing w:after="0" w:line="203" w:lineRule="exact"/>
        <w:rPr>
          <w:sz w:val="20"/>
          <w:szCs w:val="20"/>
          <w:color w:val="auto"/>
        </w:rPr>
      </w:pPr>
    </w:p>
    <w:p>
      <w:pPr>
        <w:ind w:right="460" w:firstLine="749"/>
        <w:spacing w:after="0" w:line="282" w:lineRule="auto"/>
        <w:rPr>
          <w:sz w:val="20"/>
          <w:szCs w:val="20"/>
          <w:color w:val="auto"/>
        </w:rPr>
      </w:pPr>
      <w:r>
        <w:rPr>
          <w:rFonts w:ascii="Times New Roman" w:cs="Times New Roman" w:eastAsia="Times New Roman" w:hAnsi="Times New Roman"/>
          <w:sz w:val="18"/>
          <w:szCs w:val="18"/>
          <w:color w:val="auto"/>
        </w:rPr>
        <w:t>Competition that our products may face from generic or similar versions of our products could materially and adversely impact our future revenue, profitability, and cash flows and substantially limit our ability to obtain a return on the investments we have made in our product candidates.</w:t>
      </w:r>
    </w:p>
    <w:p>
      <w:pPr>
        <w:spacing w:after="0" w:line="158" w:lineRule="exact"/>
        <w:rPr>
          <w:sz w:val="20"/>
          <w:szCs w:val="20"/>
          <w:color w:val="auto"/>
        </w:rPr>
      </w:pPr>
    </w:p>
    <w:p>
      <w:pPr>
        <w:ind w:right="3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AXS-12 received Orphan Drug Designation from the FDA. However, there is no guarantee that we will receive this designation for any of our other product candidates or receive or maintain any corresponding benefits for any of our other product candidates that may receive Orphan Drug Designation in the future, including periods of exclusivity.</w:t>
      </w:r>
    </w:p>
    <w:p>
      <w:pPr>
        <w:spacing w:after="0" w:line="175" w:lineRule="exact"/>
        <w:rPr>
          <w:sz w:val="20"/>
          <w:szCs w:val="20"/>
          <w:color w:val="auto"/>
        </w:rPr>
      </w:pPr>
    </w:p>
    <w:p>
      <w:pPr>
        <w:ind w:right="400" w:firstLine="749"/>
        <w:spacing w:after="0" w:line="282" w:lineRule="auto"/>
        <w:rPr>
          <w:sz w:val="20"/>
          <w:szCs w:val="20"/>
          <w:color w:val="auto"/>
        </w:rPr>
      </w:pPr>
      <w:r>
        <w:rPr>
          <w:rFonts w:ascii="Times New Roman" w:cs="Times New Roman" w:eastAsia="Times New Roman" w:hAnsi="Times New Roman"/>
          <w:sz w:val="18"/>
          <w:szCs w:val="18"/>
          <w:color w:val="auto"/>
        </w:rPr>
        <w:t>AXS-12 received Orphan Drug Designation from FDA for the treatment of narcolepsy. We may also seek Orphan Drug Designation for our other products, as appropriate.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80" w:firstLine="749"/>
        <w:spacing w:after="0" w:line="255" w:lineRule="auto"/>
        <w:rPr>
          <w:sz w:val="20"/>
          <w:szCs w:val="20"/>
          <w:color w:val="auto"/>
        </w:rPr>
      </w:pPr>
      <w:r>
        <w:rPr>
          <w:rFonts w:ascii="Times New Roman" w:cs="Times New Roman" w:eastAsia="Times New Roman" w:hAnsi="Times New Roman"/>
          <w:sz w:val="18"/>
          <w:szCs w:val="18"/>
          <w:color w:val="auto"/>
        </w:rPr>
        <w:t>Orphan Drug Designation, however, may be lost if the indications for which we develop any of our future product candidates do not meet the orphan drug criteria. Moreover, following product approval, orphan drug exclusivity may be lost if the FDA determines, among other reasons, that the request for designation was materially defective or if the manufacturer is unable to assure sufficient quantity of the product to meet the needs of patients with the rare disease or condition. Even if we obtain orphan drug exclusivity for any of our current or future product candidates, that exclusivity may not effectively protect the product from competition because different products can be approved for the same condition. Even after an orphan product is approved, the FDA can subsequently approve a product containing the same principal molecular features for the same condition if the FDA concludes that the later product is clinically superior in that it is shown to be safer or more effective or makes a major contribution to patient care.</w:t>
      </w:r>
    </w:p>
    <w:p>
      <w:pPr>
        <w:spacing w:after="0" w:line="189" w:lineRule="exact"/>
        <w:rPr>
          <w:sz w:val="20"/>
          <w:szCs w:val="20"/>
          <w:color w:val="auto"/>
        </w:rPr>
      </w:pPr>
    </w:p>
    <w:p>
      <w:pPr>
        <w:ind w:right="20" w:firstLine="749"/>
        <w:spacing w:after="0" w:line="256" w:lineRule="auto"/>
        <w:rPr>
          <w:sz w:val="20"/>
          <w:szCs w:val="20"/>
          <w:color w:val="auto"/>
        </w:rPr>
      </w:pPr>
      <w:r>
        <w:rPr>
          <w:rFonts w:ascii="Times New Roman" w:cs="Times New Roman" w:eastAsia="Times New Roman" w:hAnsi="Times New Roman"/>
          <w:sz w:val="18"/>
          <w:szCs w:val="18"/>
          <w:color w:val="auto"/>
        </w:rPr>
        <w:t>The FDA or the EMA may grant orphan exclusivity to two different sponsors for the same compound or active molecule and for the same indication. For example, if another sponsor receives FDA approval for a reboxetine containing product for the treatment of narcolepsy before we obtain FDA approval for AXS-12 for the treatment of narcolepsy, we would be prevented from launching our product in the United States for this indication for a period of at least 7 years. If another sponsor receives EMA approval for a reboxetine containing product for the treatment of narcolepsy before we obtain EMA approval for AXS-12 for the treatment of narcolepsy, we would be prevented from launching our product in the EU for this indication for a period of at least 10 to 12 years.</w:t>
      </w:r>
    </w:p>
    <w:p>
      <w:pPr>
        <w:spacing w:after="0" w:line="187"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The FDA may undertake a reevaluation of aspects of its orphan drug regulations and policies at any time and may possibly do so in response to a recent court decision regarding the plain meaning of the exclusivity provision of the Orphan Drug Act. We do not know if, when, or how the FDA may change the orphan drug regulations and policies, and it is uncertain how any changes might affect our business. Depending on what changes the FDA may make to its orphan drug regulations and policies, our business, financial condition, results of operations, and prospects could be harmed.</w:t>
      </w:r>
    </w:p>
    <w:p>
      <w:pPr>
        <w:spacing w:after="0" w:line="176"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establish effective marketing, sales and distribution capabilities or enter into agreements with third parties to market, sell and distribute our products, we may be unable to generate significant product awareness and that lack of awareness may limit the product revenues that we generate.</w:t>
      </w:r>
    </w:p>
    <w:p>
      <w:pPr>
        <w:spacing w:after="0" w:line="175" w:lineRule="exact"/>
        <w:rPr>
          <w:sz w:val="20"/>
          <w:szCs w:val="20"/>
          <w:color w:val="auto"/>
        </w:rPr>
      </w:pPr>
    </w:p>
    <w:p>
      <w:pPr>
        <w:ind w:right="100" w:firstLine="749"/>
        <w:spacing w:after="0" w:line="261" w:lineRule="auto"/>
        <w:rPr>
          <w:sz w:val="20"/>
          <w:szCs w:val="20"/>
          <w:color w:val="auto"/>
        </w:rPr>
      </w:pPr>
      <w:r>
        <w:rPr>
          <w:rFonts w:ascii="Times New Roman" w:cs="Times New Roman" w:eastAsia="Times New Roman" w:hAnsi="Times New Roman"/>
          <w:sz w:val="18"/>
          <w:szCs w:val="18"/>
          <w:color w:val="auto"/>
        </w:rPr>
        <w:t>We recently expanded our commercial infrastructure for the marketing, sale, and distribution of pharmaceutical products, which included the creation of a sales force to launch our commercial stage products throughout the United States. This effort requires additional compliance with a range of federal and state laws. Additionally, we currently commercialize Sunosi outside the United States. Each global market we commercialize Sunosi in has its own set of applicable laws.</w:t>
      </w:r>
    </w:p>
    <w:p>
      <w:pPr>
        <w:spacing w:after="0" w:line="180" w:lineRule="exact"/>
        <w:rPr>
          <w:sz w:val="20"/>
          <w:szCs w:val="20"/>
          <w:color w:val="auto"/>
        </w:rPr>
      </w:pPr>
    </w:p>
    <w:p>
      <w:pPr>
        <w:ind w:right="60" w:firstLine="749"/>
        <w:spacing w:after="0" w:line="258" w:lineRule="auto"/>
        <w:rPr>
          <w:sz w:val="20"/>
          <w:szCs w:val="20"/>
          <w:color w:val="auto"/>
        </w:rPr>
      </w:pPr>
      <w:r>
        <w:rPr>
          <w:rFonts w:ascii="Times New Roman" w:cs="Times New Roman" w:eastAsia="Times New Roman" w:hAnsi="Times New Roman"/>
          <w:sz w:val="18"/>
          <w:szCs w:val="18"/>
          <w:color w:val="auto"/>
        </w:rPr>
        <w:t>We have limited experience in the marketing, sale, and distribution of pharmaceutical products, and there are significant risks involved in the building and managing of a commercial infrastructure. We have to compete with other pharmaceutical and biotechnology companies to recruit, hire, train, manage, and retain marketing and sales personnel. In the event we are unable to maintain our marketing and sales infrastructure, we may not be able to successfully commercialize any of our existing commercial stage products or future product candidates, which would limit our ability to generate revenue. Factors that may inhibit our efforts to commercialize any of our products on our own include:</w:t>
      </w:r>
    </w:p>
    <w:p>
      <w:pPr>
        <w:spacing w:after="0" w:line="183" w:lineRule="exact"/>
        <w:rPr>
          <w:sz w:val="20"/>
          <w:szCs w:val="20"/>
          <w:color w:val="auto"/>
        </w:rPr>
      </w:pPr>
    </w:p>
    <w:p>
      <w:pPr>
        <w:ind w:left="760" w:hanging="378"/>
        <w:spacing w:after="0"/>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recruit, train, manage, and retain adequate numbers of effective sales and marketing personnel;</w:t>
      </w:r>
    </w:p>
    <w:p>
      <w:pPr>
        <w:spacing w:after="0" w:line="225" w:lineRule="exact"/>
        <w:rPr>
          <w:rFonts w:ascii="Times New Roman" w:cs="Times New Roman" w:eastAsia="Times New Roman" w:hAnsi="Times New Roman"/>
          <w:sz w:val="18"/>
          <w:szCs w:val="18"/>
          <w:color w:val="auto"/>
        </w:rPr>
      </w:pPr>
    </w:p>
    <w:p>
      <w:pPr>
        <w:ind w:left="760" w:right="160" w:hanging="378"/>
        <w:spacing w:after="0" w:line="282" w:lineRule="auto"/>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of sales personnel to obtain access to physicians or appropriately persuade adequate numbers of physicians to prescribe any of our current or future product candidates;</w:t>
      </w:r>
    </w:p>
    <w:p>
      <w:pPr>
        <w:spacing w:after="0" w:line="1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effectively oversee a geographically dispersed sales and marketing team;</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application of federal and state drug distribution and supply chain requirements to our business;</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4" w:right="37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760" w:hanging="378"/>
        <w:spacing w:after="0"/>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training sales and marketing personnel on legal and regulatory compliance matters and monitoring their actions;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inability to secure adequate or any coverage and reimbursement by government and private health plans or other payers;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clinical indications and labeled claims for which the product is approved;</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or warnings, including distribution or use restrictions, contained in the product’s approved labeling;</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distribution and use restrictions imposed by the FDA or to which we agree as part of a mandatory REMS or voluntary risk management plan;</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liability for sales or marketing personnel who fail to comply with the applicable legal and regulatory requirements;</w:t>
      </w:r>
    </w:p>
    <w:p>
      <w:pPr>
        <w:spacing w:after="0" w:line="225" w:lineRule="exact"/>
        <w:rPr>
          <w:rFonts w:ascii="Times New Roman" w:cs="Times New Roman" w:eastAsia="Times New Roman" w:hAnsi="Times New Roman"/>
          <w:sz w:val="18"/>
          <w:szCs w:val="18"/>
          <w:color w:val="auto"/>
        </w:rPr>
      </w:pPr>
    </w:p>
    <w:p>
      <w:pPr>
        <w:ind w:left="760" w:right="80" w:hanging="378"/>
        <w:spacing w:after="0" w:line="282" w:lineRule="auto"/>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lack of complementary products to be offered by sales personnel, which may put us at a competitive disadvantage relative to companies with more extensive product lines; and</w:t>
      </w:r>
    </w:p>
    <w:p>
      <w:pPr>
        <w:spacing w:after="0" w:line="161" w:lineRule="exact"/>
        <w:rPr>
          <w:rFonts w:ascii="Times New Roman" w:cs="Times New Roman" w:eastAsia="Times New Roman" w:hAnsi="Times New Roman"/>
          <w:sz w:val="18"/>
          <w:szCs w:val="18"/>
          <w:color w:val="auto"/>
        </w:rPr>
      </w:pPr>
    </w:p>
    <w:p>
      <w:pPr>
        <w:ind w:left="760" w:right="920" w:hanging="378"/>
        <w:spacing w:after="0" w:line="282" w:lineRule="auto"/>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costs and expenses associated with creating an independent sales and marketing organization or engaging a contract sales organization.</w:t>
      </w:r>
    </w:p>
    <w:p>
      <w:pPr>
        <w:spacing w:after="0" w:line="162" w:lineRule="exact"/>
        <w:rPr>
          <w:sz w:val="20"/>
          <w:szCs w:val="20"/>
          <w:color w:val="auto"/>
        </w:rPr>
      </w:pPr>
    </w:p>
    <w:p>
      <w:pPr>
        <w:ind w:right="160" w:firstLine="749"/>
        <w:spacing w:after="0" w:line="261" w:lineRule="auto"/>
        <w:rPr>
          <w:sz w:val="20"/>
          <w:szCs w:val="20"/>
          <w:color w:val="auto"/>
        </w:rPr>
      </w:pPr>
      <w:r>
        <w:rPr>
          <w:rFonts w:ascii="Times New Roman" w:cs="Times New Roman" w:eastAsia="Times New Roman" w:hAnsi="Times New Roman"/>
          <w:sz w:val="18"/>
          <w:szCs w:val="18"/>
          <w:color w:val="auto"/>
        </w:rPr>
        <w:t>If additional product candidates are approved, we may incur expenses prior to product launch in expanding our sales force and compliant marketing and sales infrastructure. If a commercial launch is delayed as a result of FDA requirements or other reasons, we may incur these expenses prior to being able to realize any revenue from sales of such product candidate(s). Furthermore, our sales force and marketing teams may not be successful in commercializing any of our current or future product candidates.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any of our products do not achieve broad market acceptance, the revenues that we generate from their sales will be limited.</w:t>
      </w:r>
    </w:p>
    <w:p>
      <w:pPr>
        <w:spacing w:after="0" w:line="229" w:lineRule="exact"/>
        <w:rPr>
          <w:sz w:val="20"/>
          <w:szCs w:val="20"/>
          <w:color w:val="auto"/>
        </w:rPr>
      </w:pPr>
    </w:p>
    <w:p>
      <w:pPr>
        <w:ind w:right="120" w:firstLine="749"/>
        <w:spacing w:after="0" w:line="253" w:lineRule="auto"/>
        <w:rPr>
          <w:sz w:val="20"/>
          <w:szCs w:val="20"/>
          <w:color w:val="auto"/>
        </w:rPr>
      </w:pPr>
      <w:r>
        <w:rPr>
          <w:rFonts w:ascii="Times New Roman" w:cs="Times New Roman" w:eastAsia="Times New Roman" w:hAnsi="Times New Roman"/>
          <w:sz w:val="18"/>
          <w:szCs w:val="18"/>
          <w:color w:val="auto"/>
        </w:rPr>
        <w:t>Our products, and, if approved, our product candidates, may not gain acceptance among physicians, patients, third-party payors, or others in the medical community. If any of our products or product candidates, for which we obtain regulatory approval, do not gain an adequate level of market acceptance, we may not generate significant product revenues or become profitable. Market acceptance of any of our products by the medical community, patients, and third-party payors will depend on a number of factors, some of which are beyond our control. For example, physicians are often reluctant to switch their patients from existing therapies even when new and potentially more effective or convenient treatments enter the market. Physicians and their patients may likewise make decisions about therapies based on cost and insurance coverage and reimbursement. Further, patients often acclimate to the therapy that they are currently taking. While they may switch if their physicians recommend switching products, there is no guarantee. Additionally, they may also switch therapies due to lack of reimbursement for existing therapies or for other reasons. Even if physicians prescribe our products, third-party payors may not provide coverage or may not consider them cost effective without a significant price concession, which could negatively impact our revenue. Third-party payors may also implement onerous access controls, which could further impede our efforts to effectively transition eligible patients to our therapies.</w:t>
      </w:r>
    </w:p>
    <w:p>
      <w:pPr>
        <w:spacing w:after="0" w:line="192" w:lineRule="exact"/>
        <w:rPr>
          <w:sz w:val="20"/>
          <w:szCs w:val="20"/>
          <w:color w:val="auto"/>
        </w:rPr>
      </w:pPr>
    </w:p>
    <w:p>
      <w:pPr>
        <w:jc w:val="both"/>
        <w:ind w:right="200" w:firstLine="749"/>
        <w:spacing w:after="0" w:line="289" w:lineRule="auto"/>
        <w:rPr>
          <w:sz w:val="20"/>
          <w:szCs w:val="20"/>
          <w:color w:val="auto"/>
        </w:rPr>
      </w:pPr>
      <w:r>
        <w:rPr>
          <w:rFonts w:ascii="Times New Roman" w:cs="Times New Roman" w:eastAsia="Times New Roman" w:hAnsi="Times New Roman"/>
          <w:sz w:val="17"/>
          <w:szCs w:val="17"/>
          <w:color w:val="auto"/>
        </w:rPr>
        <w:t>Efforts to educate the medical community and third-party payors on the benefits of our products may require significant resources and may not be successful. If any of our product candidates are approved but do not achieve an adequate level of market acceptance, we may not generate significant revenues, and we may not become profitable. The degree of market acceptance of any of our products will depend on a number of factors, including:</w:t>
      </w:r>
    </w:p>
    <w:p>
      <w:pPr>
        <w:spacing w:after="0" w:line="158" w:lineRule="exact"/>
        <w:rPr>
          <w:sz w:val="20"/>
          <w:szCs w:val="20"/>
          <w:color w:val="auto"/>
        </w:rPr>
      </w:pPr>
    </w:p>
    <w:p>
      <w:pPr>
        <w:ind w:left="760" w:hanging="378"/>
        <w:spacing w:after="0"/>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of our products;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adverse events associated with such product;</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760" w:hanging="378"/>
        <w:spacing w:after="0"/>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clinical indications for which the product is approved and the approved claims that we may make for the product;</w:t>
      </w:r>
    </w:p>
    <w:p>
      <w:pPr>
        <w:spacing w:after="0" w:line="184" w:lineRule="exact"/>
        <w:rPr>
          <w:rFonts w:ascii="Times New Roman" w:cs="Times New Roman" w:eastAsia="Times New Roman" w:hAnsi="Times New Roman"/>
          <w:sz w:val="18"/>
          <w:szCs w:val="18"/>
          <w:color w:val="auto"/>
        </w:rPr>
      </w:pPr>
    </w:p>
    <w:p>
      <w:pPr>
        <w:ind w:left="760" w:right="680" w:hanging="378"/>
        <w:spacing w:after="0" w:line="245" w:lineRule="exact"/>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or warnings contained in the product’s FDA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approved labeling, including potential limitations or warnings for such product candidate, that may be more restrictive than other competitive products;</w:t>
      </w:r>
    </w:p>
    <w:p>
      <w:pPr>
        <w:spacing w:after="0" w:line="198" w:lineRule="exact"/>
        <w:rPr>
          <w:rFonts w:ascii="Times New Roman" w:cs="Times New Roman" w:eastAsia="Times New Roman" w:hAnsi="Times New Roman"/>
          <w:sz w:val="18"/>
          <w:szCs w:val="18"/>
          <w:color w:val="auto"/>
        </w:rPr>
      </w:pPr>
    </w:p>
    <w:p>
      <w:pPr>
        <w:ind w:left="760" w:right="180" w:hanging="378"/>
        <w:spacing w:after="0" w:line="282" w:lineRule="auto"/>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standard of care for the targeted indications for such product candidate, which could reduce the marketing impact of any claims that we could make following FDA approval, if obtained;</w:t>
      </w:r>
    </w:p>
    <w:p>
      <w:pPr>
        <w:spacing w:after="0" w:line="1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relative convenience and ease of administration of such product;</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 of treatment versus economic and clinical benefit in relation to alternative treatments or therapies;</w:t>
      </w:r>
    </w:p>
    <w:p>
      <w:pPr>
        <w:spacing w:after="0" w:line="225" w:lineRule="exact"/>
        <w:rPr>
          <w:rFonts w:ascii="Times New Roman" w:cs="Times New Roman" w:eastAsia="Times New Roman" w:hAnsi="Times New Roman"/>
          <w:sz w:val="18"/>
          <w:szCs w:val="18"/>
          <w:color w:val="auto"/>
        </w:rPr>
      </w:pPr>
    </w:p>
    <w:p>
      <w:pPr>
        <w:ind w:left="760" w:right="560" w:hanging="378"/>
        <w:spacing w:after="0" w:line="282" w:lineRule="auto"/>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adequate coverage or reimbursement by third parties, such as insurance companies and other healthcare payors, and by government healthcare programs, including Medicare and Medicaid;</w:t>
      </w:r>
    </w:p>
    <w:p>
      <w:pPr>
        <w:spacing w:after="0" w:line="1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third-party payors to prefer other products, even if not approved for our product’s indication;</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and strength of our marketing and distribution of such product;</w:t>
      </w:r>
    </w:p>
    <w:p>
      <w:pPr>
        <w:spacing w:after="0" w:line="225"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safety, efficacy, and other potential advantages over, and availability of, alternative treatments already used or that may later be approved for any of our intended indications;</w:t>
      </w:r>
    </w:p>
    <w:p>
      <w:pPr>
        <w:spacing w:after="0" w:line="161" w:lineRule="exact"/>
        <w:rPr>
          <w:rFonts w:ascii="Times New Roman" w:cs="Times New Roman" w:eastAsia="Times New Roman" w:hAnsi="Times New Roman"/>
          <w:sz w:val="18"/>
          <w:szCs w:val="18"/>
          <w:color w:val="auto"/>
        </w:rPr>
      </w:pPr>
    </w:p>
    <w:p>
      <w:pPr>
        <w:ind w:left="760" w:right="600" w:hanging="378"/>
        <w:spacing w:after="0" w:line="282" w:lineRule="auto"/>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 and use restrictions imposed by the FDA with respect to such product or to which we agree as part of a mandatory REMS or voluntary risk management plan;</w:t>
      </w:r>
    </w:p>
    <w:p>
      <w:pPr>
        <w:spacing w:after="0" w:line="1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market introduction of such product, as well as competitive products;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offer such product candidate for sale at competitive prices, including prices that are competitive with generic products;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the target patient population to try new therapies and of physicians to prescribe these therapies;</w:t>
      </w:r>
    </w:p>
    <w:p>
      <w:pPr>
        <w:spacing w:after="0" w:line="184" w:lineRule="exact"/>
        <w:rPr>
          <w:rFonts w:ascii="Times New Roman" w:cs="Times New Roman" w:eastAsia="Times New Roman" w:hAnsi="Times New Roman"/>
          <w:sz w:val="18"/>
          <w:szCs w:val="18"/>
          <w:color w:val="auto"/>
        </w:rPr>
      </w:pPr>
    </w:p>
    <w:p>
      <w:pPr>
        <w:ind w:left="760" w:hanging="378"/>
        <w:spacing w:after="0" w:line="207" w:lineRule="exact"/>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and strength of our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manufacturer and supplier support;</w:t>
      </w:r>
    </w:p>
    <w:p>
      <w:pPr>
        <w:spacing w:after="0" w:line="26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of other new products for the same indications;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publicity about the product or favorable publicity about competitive products; and</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product liability claims.</w:t>
      </w:r>
    </w:p>
    <w:p>
      <w:pPr>
        <w:spacing w:after="0" w:line="225" w:lineRule="exact"/>
        <w:rPr>
          <w:sz w:val="20"/>
          <w:szCs w:val="20"/>
          <w:color w:val="auto"/>
        </w:rPr>
      </w:pPr>
    </w:p>
    <w:p>
      <w:pPr>
        <w:ind w:right="20" w:firstLine="749"/>
        <w:spacing w:after="0" w:line="256" w:lineRule="auto"/>
        <w:rPr>
          <w:sz w:val="20"/>
          <w:szCs w:val="20"/>
          <w:color w:val="auto"/>
        </w:rPr>
      </w:pPr>
      <w:r>
        <w:rPr>
          <w:rFonts w:ascii="Times New Roman" w:cs="Times New Roman" w:eastAsia="Times New Roman" w:hAnsi="Times New Roman"/>
          <w:sz w:val="18"/>
          <w:szCs w:val="18"/>
          <w:color w:val="auto"/>
        </w:rPr>
        <w:t>Our efforts to educate the medical community and third-party payors on the benefits of our products may require significant resources and may never be successful. Even if the medical community accepts that one of our product candidates is safe and effective for its approved indications and third-party payors provide coverage and reimbursement for the same, physicians and patients may not immediately be receptive to such product candidate and may be slow to adopt it as an accepted treatment of the approved indication or may not accept it at all. It is unlikely that any labeling approved by the FDA will contain claims that one of our product candidates is safer or more effective than competitive products or will permit us to promote such product candidate as being superior to competing products.</w:t>
      </w:r>
    </w:p>
    <w:p>
      <w:pPr>
        <w:spacing w:after="0" w:line="200" w:lineRule="exact"/>
        <w:rPr>
          <w:sz w:val="20"/>
          <w:szCs w:val="20"/>
          <w:color w:val="auto"/>
        </w:rPr>
      </w:pPr>
    </w:p>
    <w:p>
      <w:pPr>
        <w:spacing w:after="0" w:line="20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4" w:right="39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160" w:firstLine="749"/>
        <w:spacing w:after="0" w:line="219" w:lineRule="exact"/>
        <w:rPr>
          <w:sz w:val="20"/>
          <w:szCs w:val="20"/>
          <w:color w:val="auto"/>
        </w:rPr>
      </w:pPr>
      <w:r>
        <w:rPr>
          <w:rFonts w:ascii="Times New Roman" w:cs="Times New Roman" w:eastAsia="Times New Roman" w:hAnsi="Times New Roman"/>
          <w:sz w:val="18"/>
          <w:szCs w:val="18"/>
          <w:color w:val="auto"/>
        </w:rPr>
        <w:t>The potential market opportunities for our products and/or product candidates are difficult to precisely estimate. Our estimates of the potential market opportunities are predicated on many assumptions including industry knowledge and publications,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research reports, and other surveys. While we believe that our internal assumptions are reasonable, these assumptions involve the exercise of significant judgment on the part of our management and are inherently uncertain, and the reasonableness of these assumptions has not been assessed by an independent source. If any of the assumptions proves to be inaccurate, the actual markets for our product candidates could be smaller than our estimates of the potential market opportunities.</w:t>
      </w:r>
    </w:p>
    <w:p>
      <w:pPr>
        <w:spacing w:after="0" w:line="199"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potential product liability exposure, and if successful claims are brought against us, we may incur substantial liability and may have to limit our products’ commercialization.</w:t>
      </w:r>
    </w:p>
    <w:p>
      <w:pPr>
        <w:spacing w:after="0" w:line="159"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The use of any of our current or future product candidates in clinical trials, and the sale of any of our products exposes us to the risk of product liability claims. We face inherent risk of product liability related to the testing of our product candidates in human clinical trials and face an even greater risk for our commercialized products. For example, we may be sued if any products we develop allegedly cause injury or are found to be otherwise unsuitable during clinical testing, manufacturing, marketing, or sale. Any such product liability claims may include allegations of defects in manufacturing, defects in design, a failure to warn of dangers inherent in the product, negligence, strict liability or a breach of warranties. Claims could also be asserted under state consumer protection acts. Product liability claims might be brought against us by consumers, healthcare providers, or others using, administering, or selling our products. If we cannot successfully defend ourselves against these claims, we will incur substantial liabilities or be required to limit commercialization of our products. Even successful defense would require significant financial and management resources. Regardless of merit or eventual outcome, liability claims may result in loss of revenue, including from:</w:t>
      </w:r>
    </w:p>
    <w:p>
      <w:pPr>
        <w:spacing w:after="0" w:line="188" w:lineRule="exact"/>
        <w:rPr>
          <w:sz w:val="20"/>
          <w:szCs w:val="20"/>
          <w:color w:val="auto"/>
        </w:rPr>
      </w:pPr>
    </w:p>
    <w:p>
      <w:pPr>
        <w:ind w:left="760" w:hanging="378"/>
        <w:spacing w:after="0"/>
        <w:tabs>
          <w:tab w:leader="none" w:pos="76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decreased demand for our products;</w:t>
      </w:r>
    </w:p>
    <w:p>
      <w:pPr>
        <w:spacing w:after="0" w:line="225"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 of our business reputation or financial stability;</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related litigation;</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monetary awards to patients or other claimants;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 attention;</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revenues;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clinical trial participants and potential termination of clinical trial sites or entire clinical programs;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commercialize our product candidates;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negative media attention;</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 in our stock price;</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initiation of investigations and enforcement actions by regulators; and</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recalls, withdrawals, or labeling, marketing, or promotional restrictions.</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4" w:right="37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220" w:firstLine="749"/>
        <w:spacing w:after="0" w:line="255" w:lineRule="auto"/>
        <w:rPr>
          <w:sz w:val="20"/>
          <w:szCs w:val="20"/>
          <w:color w:val="auto"/>
        </w:rPr>
      </w:pPr>
      <w:r>
        <w:rPr>
          <w:rFonts w:ascii="Times New Roman" w:cs="Times New Roman" w:eastAsia="Times New Roman" w:hAnsi="Times New Roman"/>
          <w:sz w:val="18"/>
          <w:szCs w:val="18"/>
          <w:color w:val="auto"/>
        </w:rPr>
        <w:t>We have obtained limited product liability insurance coverage for our products and our clinical trials. We have also obtained local policies in those foreign jurisdictions where it was appropriate. However, our insurance coverage may not reimburse us or may not be sufficient to reimburse us for any expenses or losses we may suffer. Moreover, insurance coverage is becoming increasingly expensive, and, in the future, we may not be able to maintain insurance coverage at a reasonable cost or in sufficient amounts to protect us against losses due to liability. On occasion, large judgments have been awarded in class action lawsuits based on drugs that had unanticipated side effects. A successful product liability claim or series of claims brought against us could cause our stock price to fall and, if judgments exceed our insurance coverage, could decrease our cash and adversely affect our business and our prospects.</w:t>
      </w:r>
    </w:p>
    <w:p>
      <w:pPr>
        <w:spacing w:after="0" w:line="185"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Sunosi is a controlled substance and may be subject to U.S. federal and state controlled substance laws and regulations, and our failure to comply with these laws and regulations, or the cost of compliance with these laws and regulations, could materially and adversely affect our business, results of operations, financial condition and growth prospects.</w:t>
      </w:r>
    </w:p>
    <w:p>
      <w:pPr>
        <w:spacing w:after="0" w:line="175"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Sunosi contains controlled substances as defined in the Federal Controlled Substances Act, or CSA. Controlled substances are subject to a number of requirements and restrictions under the CSA and implementing regulations, including certain registration, security, recordkeeping, reporting, import, export and other requirements administered by the U.S. Drug Enforcement Administration, or DEA. The DEA classifies controlled substances into five schedules: Schedule I, II, III, IV or V substances. Schedule I substances by definition have a high potential for abuse, have no currently “accepted medical use” in the U.S., lack accepted safety for use under medical supervision, and may not be prescribed, marketed or sold in the U.S. Pharmaceutical products approved for use in the U.S. which contain a controlled substance are listed as Schedule II, III, IV or V, with Schedule II substances considered to present the highest potential for abuse or dependence and Schedule V substances the lowest relative risk of abuse among such substances. Schedule I and II drugs are subject to the strictest controls under the CSA, including manufacturing and procurement quotas, heightened security requirements and additional criteria for importation. In addition, dispensing of Schedule II drugs is further restricted. For example, they may not be refilled without a new prescription. Sunosi is a Schedule IV controlled substance.</w:t>
      </w:r>
    </w:p>
    <w:p>
      <w:pPr>
        <w:spacing w:after="0" w:line="194" w:lineRule="exact"/>
        <w:rPr>
          <w:sz w:val="20"/>
          <w:szCs w:val="20"/>
          <w:color w:val="auto"/>
        </w:rPr>
      </w:pPr>
    </w:p>
    <w:p>
      <w:pPr>
        <w:ind w:right="60" w:firstLine="749"/>
        <w:spacing w:after="0" w:line="258" w:lineRule="auto"/>
        <w:rPr>
          <w:sz w:val="20"/>
          <w:szCs w:val="20"/>
          <w:color w:val="auto"/>
        </w:rPr>
      </w:pPr>
      <w:r>
        <w:rPr>
          <w:rFonts w:ascii="Times New Roman" w:cs="Times New Roman" w:eastAsia="Times New Roman" w:hAnsi="Times New Roman"/>
          <w:sz w:val="18"/>
          <w:szCs w:val="18"/>
          <w:color w:val="auto"/>
        </w:rPr>
        <w:t>Individual states have also established controlled substance laws and regulations. Though state-controlled substances laws often mirror federal law, they may separately schedule our products or our product candidates as well. We, or our partners, may also be required to obtain separate state registrations, permits or licenses in order to be able to manufacture, distribute, administer or prescribe controlled substances for clinical trials or commercial sale, and failure to meet applicable regulatory requirements could lead to enforcement and sanctions by the states in addition to those from the DEA or otherwise arising under federal law.</w:t>
      </w:r>
    </w:p>
    <w:p>
      <w:pPr>
        <w:spacing w:after="0" w:line="183" w:lineRule="exact"/>
        <w:rPr>
          <w:sz w:val="20"/>
          <w:szCs w:val="20"/>
          <w:color w:val="auto"/>
        </w:rPr>
      </w:pPr>
    </w:p>
    <w:p>
      <w:pPr>
        <w:ind w:right="40" w:firstLine="749"/>
        <w:spacing w:after="0" w:line="253" w:lineRule="auto"/>
        <w:rPr>
          <w:sz w:val="20"/>
          <w:szCs w:val="20"/>
          <w:color w:val="auto"/>
        </w:rPr>
      </w:pPr>
      <w:r>
        <w:rPr>
          <w:rFonts w:ascii="Times New Roman" w:cs="Times New Roman" w:eastAsia="Times New Roman" w:hAnsi="Times New Roman"/>
          <w:sz w:val="18"/>
          <w:szCs w:val="18"/>
          <w:color w:val="auto"/>
        </w:rPr>
        <w:t>U.S facilities conducting research, manufacturing, distributing, importing or exporting, or dispensing controlled substances must be registered (licensed) to perform these activities and must comply with the security, control, recordkeeping and reporting obligations under the CSA, DEA regulations and corresponding state requirements. DEA and state regulatory bodies conduct periodic inspections of certain registered establishments that handle controlled substances. Obtaining and maintaining the necessary registrations and complying with the regulatory obligations may result in delay of the importation, manufacturing, distribution or clinical research of our products and product candidates. Furthermore, failure to maintain compliance with the CSA and DEA and state regulations by us or any of our contractors, distributors or pharmacies can result in regulatory action that could have a material adverse effect on our business, financial condition and results of operations. DEA and state regulatory bodies may seek civil penalties, refuse to renew necessary registrations, or initiate proceedings to restrict, suspend or revoke those registrations. In certain circumstances, violations could lead to criminal penalties. Any penalties imposed by the DEA to us or our third-party manufacturers could have a material adverse effect on our business, results of operations, financial condition and growth prospects.</w:t>
      </w: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4" w:right="37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DEPENDENCE ON THIRD PARTIES</w:t>
      </w:r>
    </w:p>
    <w:p>
      <w:pPr>
        <w:spacing w:after="0" w:line="225"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We rely, and expect to continue to rely, on third parties to perform many essential services for our products and product candidates, including services related to our preclinical studies and clinical trials, warehousing and inventory control, distribution, government price reporting, customer service, and adverse event reporting. If these third parties fail to perform satisfactorily, including by failing to meet deadlines for the completion of our preclinical studies and clinical trials, or fail to comply with legal and regulatory requirements, our ability to commercialize any of our products will be significantly impacted and we may be subject to regulatory sanctions.</w:t>
      </w:r>
    </w:p>
    <w:p>
      <w:pPr>
        <w:spacing w:after="0" w:line="142" w:lineRule="exact"/>
        <w:rPr>
          <w:sz w:val="20"/>
          <w:szCs w:val="20"/>
          <w:color w:val="auto"/>
        </w:rPr>
      </w:pPr>
    </w:p>
    <w:p>
      <w:pPr>
        <w:ind w:firstLine="749"/>
        <w:spacing w:after="0" w:line="224" w:lineRule="exact"/>
        <w:rPr>
          <w:sz w:val="20"/>
          <w:szCs w:val="20"/>
          <w:color w:val="auto"/>
        </w:rPr>
      </w:pPr>
      <w:r>
        <w:rPr>
          <w:rFonts w:ascii="Times New Roman" w:cs="Times New Roman" w:eastAsia="Times New Roman" w:hAnsi="Times New Roman"/>
          <w:sz w:val="18"/>
          <w:szCs w:val="18"/>
          <w:color w:val="auto"/>
        </w:rPr>
        <w:t>We rely on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parties to conduct, supervise, and monitor our preclinical studies and certain clinical trials for our product candidates and do not currently plan to independently conduct preclinical studies or clinical trials of any other potential product candidates. We expect to continue to rely on third parties, such as CROs, clinical data management organizations, medical institutions, and clinical investigators, to conduct our preclinical studies and clinical trials. While we have agreements governing their activities, we have limited influence over their actual performance and control only certain aspects of their activities. The failure of these third parties to successfully carry out their contractual duties or meet expected deadlines could substantially harm our business because we may not obtain marketing approval for or commercialize our product candidates in a timely manner, or at all. Moreover, these agreements might terminate for a variety of reasons, including a failure to perform by the third parties. If we need to enter into alternative arrangements, that could delay our product development activities and adversely affect our business.</w:t>
      </w:r>
    </w:p>
    <w:p>
      <w:pPr>
        <w:spacing w:after="0" w:line="198" w:lineRule="exact"/>
        <w:rPr>
          <w:sz w:val="20"/>
          <w:szCs w:val="20"/>
          <w:color w:val="auto"/>
        </w:rPr>
      </w:pPr>
    </w:p>
    <w:p>
      <w:pPr>
        <w:ind w:right="80" w:firstLine="749"/>
        <w:spacing w:after="0" w:line="253" w:lineRule="auto"/>
        <w:rPr>
          <w:sz w:val="20"/>
          <w:szCs w:val="20"/>
          <w:color w:val="auto"/>
        </w:rPr>
      </w:pPr>
      <w:r>
        <w:rPr>
          <w:rFonts w:ascii="Times New Roman" w:cs="Times New Roman" w:eastAsia="Times New Roman" w:hAnsi="Times New Roman"/>
          <w:sz w:val="18"/>
          <w:szCs w:val="18"/>
          <w:color w:val="auto"/>
        </w:rPr>
        <w:t>Our reliance on these third parties for development activities will reduce our control over these activities. Nevertheless, we are responsible for ensuring that each of our studies is conducted in accordance with applicable protocol, legal, regulatory, and scientific standards, and our reliance on third parties does not relieve us of our regulatory responsibilities. For example, we will remain responsible for ensuring that each of our clinical trials is conducted in accordance with the general investigational plan and protocols for the trial and for ensuring that our preclinical trials are conducted in accordance with GLP as appropriate. Moreover, the FDA and comparable foreign regulatory authorities require us to comply with standards, such as GCP for conducting, monitoring, recording, and reporting the results of clinical trials to assure that data and reported results are credible and accurate and that the rights, integrity, and confidentiality of trial participants are protected. As a clinical trial sponsor, we also have regulatory requirements that directly apply to us. Regulatory authorities enforce these requirements through periodic inspections of trial sponsors, clinical investigators, and trial sites. If we or any of the third parties we engage fail to comply with applicable GCP, we, or those third parties, may be subject to enforcement or other legal actions, the clinical data generated in our clinical trials may be deemed unreliable and the FDA or comparable foreign regulatory authorities may require us to perform additional clinical trials.</w:t>
      </w:r>
    </w:p>
    <w:p>
      <w:pPr>
        <w:spacing w:after="0" w:line="151" w:lineRule="exact"/>
        <w:rPr>
          <w:sz w:val="20"/>
          <w:szCs w:val="20"/>
          <w:color w:val="auto"/>
        </w:rPr>
      </w:pPr>
    </w:p>
    <w:p>
      <w:pPr>
        <w:ind w:right="160" w:firstLine="749"/>
        <w:spacing w:after="0" w:line="228" w:lineRule="exact"/>
        <w:rPr>
          <w:sz w:val="20"/>
          <w:szCs w:val="20"/>
          <w:color w:val="auto"/>
        </w:rPr>
      </w:pPr>
      <w:r>
        <w:rPr>
          <w:rFonts w:ascii="Times New Roman" w:cs="Times New Roman" w:eastAsia="Times New Roman" w:hAnsi="Times New Roman"/>
          <w:sz w:val="18"/>
          <w:szCs w:val="18"/>
          <w:color w:val="auto"/>
        </w:rPr>
        <w:t>In addition, when we submit an NDA for review, we are required to report certain financial interests of our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investigators if these relationships exceed certain financial thresholds or meet other criteria. The FDA and comparable foreign regulatory authorities may question the integrity of the data from those clinical trials conducted by investigators who previously served or currently serve as scientific advisors or consultants to us from time to time and receive cash compensation in connection with such services or otherwise receive compensation from us that could be deemed to impact study outcome, proprietary interests in a product candidate, certain company equity interests, or significant payments of other sorts.</w:t>
      </w:r>
    </w:p>
    <w:p>
      <w:pPr>
        <w:spacing w:after="0" w:line="198" w:lineRule="exact"/>
        <w:rPr>
          <w:sz w:val="20"/>
          <w:szCs w:val="20"/>
          <w:color w:val="auto"/>
        </w:rPr>
      </w:pPr>
    </w:p>
    <w:p>
      <w:pPr>
        <w:ind w:right="40" w:firstLine="749"/>
        <w:spacing w:after="0" w:line="256" w:lineRule="auto"/>
        <w:rPr>
          <w:sz w:val="20"/>
          <w:szCs w:val="20"/>
          <w:color w:val="auto"/>
        </w:rPr>
      </w:pPr>
      <w:r>
        <w:rPr>
          <w:rFonts w:ascii="Times New Roman" w:cs="Times New Roman" w:eastAsia="Times New Roman" w:hAnsi="Times New Roman"/>
          <w:sz w:val="18"/>
          <w:szCs w:val="18"/>
          <w:color w:val="auto"/>
        </w:rPr>
        <w:t>We cannot assure you that upon inspection by a given regulatory authority, such regulatory authority will determine that any of our clinical trials comply with GCP regulations. In addition, our clinical trials must be conducted with product candidates that were produced under cGMP regulations. Our failure to comply with these regulations may require us to repeat clinical trials, which would delay the regulatory approval process. We also are required to register certain clinical trials and post the results of certain completed clinical trials on a government sponsored database, ClinicalTrials.gov, within specified timeframes. Failure to do so or to meet the related submission requirements can result in enforcement actions, including civil monetary penalties and adverse publicity.</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40" w:firstLine="749"/>
        <w:spacing w:after="0" w:line="253" w:lineRule="auto"/>
        <w:rPr>
          <w:sz w:val="20"/>
          <w:szCs w:val="20"/>
          <w:color w:val="auto"/>
        </w:rPr>
      </w:pPr>
      <w:r>
        <w:rPr>
          <w:rFonts w:ascii="Times New Roman" w:cs="Times New Roman" w:eastAsia="Times New Roman" w:hAnsi="Times New Roman"/>
          <w:sz w:val="18"/>
          <w:szCs w:val="18"/>
          <w:color w:val="auto"/>
        </w:rPr>
        <w:t>Third parties we engage to conduct research may also have relationships with other entities, some of which may be our competitors, for whom they may also be conducting clinical trials or other drug development activities that could harm our competitive position. In addition, these third parties are not our employees, and except for remedies available to us under our agreements with such third parties, we cannot control whether or not they devote sufficient time and resources to our ongoing clinical, non-clinical, and preclinical programs. If these third parties do not successfully carry out their contractual duties, meet expected deadlines or conduct our preclinical studies or clinical trials in accordance with regulatory requirements or our stated protocols, if they need to be replaced or if the quality or accuracy of the clinical data they obtain is compromised due to the failure to adhere to our clinical protocols or regulatory requirements or for other reasons, our clinical trials may be extended, delayed, or terminated and we may not be able to obtain, or may be delayed in obtaining, marketing approvals for our product candidates and will not be able to, or may be delayed in our efforts to, successfully commercialize our product candidates, or we or they may be subject to regulatory enforcement actions. As a result, our results of operations and the commercial prospects for our product candidates would be harmed, our costs could increase and our ability to generate revenues could be delayed. To the extent we are unable to successfully identify and manage the performance of third-party service providers in the future, our business may be materially and adversely affected.</w:t>
      </w:r>
    </w:p>
    <w:p>
      <w:pPr>
        <w:spacing w:after="0" w:line="190"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If any of our relationships with these third parties terminate, we may not be able to enter into arrangements with alternative resources or to do so on commercially reasonable terms. Switching or adding additional third parties involves additional cost and requires management time and focus. In addition, there is a natural transition period when a new third party commences work. As a result, delays could occur, which could compromise our ability to meet our desired development timelines. Though we carefully manage our relationships with these third-party vendors, there can be no assurance that we will not encounter similar challenges or delays in the future or that these delays or challenges will not have a material adverse impact on our business, financial condition and prospects, and results of operations.</w:t>
      </w:r>
    </w:p>
    <w:p>
      <w:pPr>
        <w:spacing w:after="0" w:line="183" w:lineRule="exact"/>
        <w:rPr>
          <w:sz w:val="20"/>
          <w:szCs w:val="20"/>
          <w:color w:val="auto"/>
        </w:rPr>
      </w:pPr>
    </w:p>
    <w:p>
      <w:pPr>
        <w:ind w:right="1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the manufacturers upon whom we rely fail to produce our products in the volumes that we require on a timely basis, or to comply with stringent regulations applicable to pharmaceutical drug manufacturers, we may face delays in the development and commercialization of, or be unable to meet demand for, our products and may lose potential revenues.</w:t>
      </w:r>
    </w:p>
    <w:p>
      <w:pPr>
        <w:spacing w:after="0" w:line="175" w:lineRule="exact"/>
        <w:rPr>
          <w:sz w:val="20"/>
          <w:szCs w:val="20"/>
          <w:color w:val="auto"/>
        </w:rPr>
      </w:pPr>
    </w:p>
    <w:p>
      <w:pPr>
        <w:ind w:right="60" w:firstLine="749"/>
        <w:spacing w:after="0" w:line="256" w:lineRule="auto"/>
        <w:rPr>
          <w:sz w:val="20"/>
          <w:szCs w:val="20"/>
          <w:color w:val="auto"/>
        </w:rPr>
      </w:pPr>
      <w:r>
        <w:rPr>
          <w:rFonts w:ascii="Times New Roman" w:cs="Times New Roman" w:eastAsia="Times New Roman" w:hAnsi="Times New Roman"/>
          <w:sz w:val="18"/>
          <w:szCs w:val="18"/>
          <w:color w:val="auto"/>
        </w:rPr>
        <w:t>We do not manufacture any of our products, and we do not currently plan to develop any capacity to do so. We currently outsource all manufacturing of our products to third parties typically without any guarantee that there will be sufficient supplies to fulfill our requirements or that we may obtain such supplies on acceptable terms. Any delays in obtaining adequate supplies with respect to our products may delay or disrupt the development or commercialization of our products. Moreover, we do not yet in all cases have agreements established regarding commercial supply of our product candidates, and we may not be able to establish or maintain commercial manufacturing arrangements on commercially reasonable terms for any of our current or future product candidates for which we obtain approval in the future.</w:t>
      </w:r>
    </w:p>
    <w:p>
      <w:pPr>
        <w:spacing w:after="0" w:line="187" w:lineRule="exact"/>
        <w:rPr>
          <w:sz w:val="20"/>
          <w:szCs w:val="20"/>
          <w:color w:val="auto"/>
        </w:rPr>
      </w:pPr>
    </w:p>
    <w:p>
      <w:pPr>
        <w:ind w:right="20" w:firstLine="749"/>
        <w:spacing w:after="0" w:line="222" w:lineRule="exact"/>
        <w:rPr>
          <w:sz w:val="20"/>
          <w:szCs w:val="20"/>
          <w:color w:val="auto"/>
        </w:rPr>
      </w:pPr>
      <w:r>
        <w:rPr>
          <w:rFonts w:ascii="Times New Roman" w:cs="Times New Roman" w:eastAsia="Times New Roman" w:hAnsi="Times New Roman"/>
          <w:sz w:val="18"/>
          <w:szCs w:val="18"/>
          <w:color w:val="auto"/>
        </w:rPr>
        <w:t>We may not succeed in our efforts to establish manufacturing relationships or other alternative arrangements for any of our existing or future products and programs. Our products may compete with other products and product candidates for access to manufacturing facilities. There are a limited number of manufacturers that operate under cGMP regulations and that are both capable of manufacturing for us and willing to do so. If our existing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manufacturers, or the third parties that we engage in the future to manufacture a product for commercial sale or for our clinical trials, should cease to continue to do so for any reason, we likely would experience delays in obtaining sufficient quantities of our product for us to meet commercial demand or to advance our clinical trials while we identify and qualify replacement suppliers. If, for any reason we are unable to obtain adequate supplies of our products or the drug substances used to manufacture them, it will be more difficult for us to develop our products and compete effectively. Further, even if we do establish such collaborations or arrangements, our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manufacturers may breach, terminate, or not renew these agreements.</w:t>
      </w: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right="40" w:firstLine="749"/>
        <w:spacing w:after="0" w:line="223" w:lineRule="exact"/>
        <w:rPr>
          <w:sz w:val="20"/>
          <w:szCs w:val="20"/>
          <w:color w:val="auto"/>
        </w:rPr>
      </w:pPr>
      <w:r>
        <w:rPr>
          <w:rFonts w:ascii="Times New Roman" w:cs="Times New Roman" w:eastAsia="Times New Roman" w:hAnsi="Times New Roman"/>
          <w:sz w:val="18"/>
          <w:szCs w:val="18"/>
          <w:color w:val="auto"/>
        </w:rPr>
        <w:t>Any problems or delays we experience in preparing for commercial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scale manufacturing of a product candidate may result in a delay in FDA approval of the product candidate or may impair our ability to manufacture commercial quantities or such quantities at an acceptable cost, which could result in the delay, prevention, or impairment of clinical development and commercialization of our product candidates and could adversely affect our business. For example, our manufacturers will need to produce specific batches of our product candidates to demonstrate acceptable stability under various conditions and for commercially viable lengths of time. We and our contract manufacturers will need to demonstrate to the FDA and other regulatory authorities that this is acceptable stability data for our product candidates, as well as validate methods and manufacturing processes, in order to receive regulatory approval to commercialize any of our current or future product candidates. Furthermore, if our commercial manufacturers fail to deliver the required commercial quantities of bulk drug substance or finished product on a timely basis and at commercially reasonable prices, we would likely be unable to meet demand for our products and we would lose potential revenues.</w:t>
      </w:r>
    </w:p>
    <w:p>
      <w:pPr>
        <w:spacing w:after="0" w:line="198" w:lineRule="exact"/>
        <w:rPr>
          <w:sz w:val="20"/>
          <w:szCs w:val="20"/>
          <w:color w:val="auto"/>
        </w:rPr>
      </w:pPr>
    </w:p>
    <w:p>
      <w:pPr>
        <w:ind w:right="140" w:firstLine="749"/>
        <w:spacing w:after="0" w:line="219" w:lineRule="exact"/>
        <w:rPr>
          <w:sz w:val="20"/>
          <w:szCs w:val="20"/>
          <w:color w:val="auto"/>
        </w:rPr>
      </w:pPr>
      <w:r>
        <w:rPr>
          <w:rFonts w:ascii="Times New Roman" w:cs="Times New Roman" w:eastAsia="Times New Roman" w:hAnsi="Times New Roman"/>
          <w:sz w:val="18"/>
          <w:szCs w:val="18"/>
          <w:color w:val="auto"/>
        </w:rPr>
        <w:t>We have a limited number of contract manufacturers for our products. At times, we may have only one manufacturer for a product. In addition, we do not have any 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commitments from our suppliers of clinical trial material or guaranteed prices for our product candidates. The manufacture of pharmaceutical products requires significant expertise and capital investment, including the development of advanced manufacturing techniques and process controls. Manufacturers of pharmaceutical products often encounter difficulties in production, particularly in scaling up initial production. These problems include difficulties with production costs and yields; quality control, including stability of the product candidate and quality assurance testing; shortages of qualified personnel; and compliance with strictly enforced federal, state, and foreign regulations. Our manufacturers may not perform as agreed. If our manufacturers were to encounter any of these difficulties, our ability to provide product candidates to patients in our clinical trials and for commercial use, if approved, would be jeopardized.</w:t>
      </w:r>
    </w:p>
    <w:p>
      <w:pPr>
        <w:spacing w:after="0" w:line="198" w:lineRule="exact"/>
        <w:rPr>
          <w:sz w:val="20"/>
          <w:szCs w:val="20"/>
          <w:color w:val="auto"/>
        </w:rPr>
      </w:pPr>
    </w:p>
    <w:p>
      <w:pPr>
        <w:ind w:firstLine="749"/>
        <w:spacing w:after="0" w:line="252" w:lineRule="auto"/>
        <w:rPr>
          <w:sz w:val="20"/>
          <w:szCs w:val="20"/>
          <w:color w:val="auto"/>
        </w:rPr>
      </w:pPr>
      <w:r>
        <w:rPr>
          <w:rFonts w:ascii="Times New Roman" w:cs="Times New Roman" w:eastAsia="Times New Roman" w:hAnsi="Times New Roman"/>
          <w:sz w:val="18"/>
          <w:szCs w:val="18"/>
          <w:color w:val="auto"/>
        </w:rPr>
        <w:t>In addition, all manufacturers of our products must comply with cGMP requirements enforced by the FDA and comparable foreign regulatory authorities that are applicable to both finished drug products and active pharmaceutical ingredients used both for clinical and commercial supply, through its facilities inspection program. The FDA must verify our contract manufacturers’ compliance with cGMP requirements and comparable foreign regulatory authorities will similarly inspect our contract manufacturers’ facilities after we submit our marketing applications to the agency and comparable foreign regulatory authorities. The cGMP requirements include quality control, quality assurance, and the maintenance of records and documentation. Manufacturers of our products may be unable to comply with our specifications, these cGMP requirements and with other FDA, state, and foreign regulatory requirements. If our contract manufacturers cannot successfully manufacture material that conforms to our specifications and the strict regulatory requirements of the FDA or other regulatory authorities, they will not be able to secure or maintain regulatory approval for their manufacturing facilities. While we are ultimately responsible for the manufacture of our products, other than through our contractual arrangements, we have little control over our manufacturers’ compliance with these regulations and standards. If the FDA or a comparable foreign regulatory authority does not approve these facilities for the manufacture of our products or if it withdraws any such approval in the future, we may need to find alternative manufacturing facilities, which would significantly impact our ability to develop or market our products, or obtain regulatory approval for, our product candidates. A failure to comply with these requirements may result in regulatory enforcement actions against our manufacturers or us, including fines and civil and criminal penalties, including imprisonment; suspension or restrictions on production; suspension, delay, or denial of product approval or supplements to approved products; clinical holds or termination of clinical studies; warning or untitled letters; regulatory authority communications warning the public about safety issues with the drug; refusal to permit the import or export of the products; product seizure, detention, or recall; suits under the civil FCA; corporate integrity agreements; consent decrees; or withdrawal of product approval. If the safety of any quantities supplied is compromised due to our manufacturers’ failure to adhere to applicable laws or for other reasons, we may not be able to obtain regulatory approval for our product candidates or successfully commercialize our products.</w:t>
      </w:r>
    </w:p>
    <w:p>
      <w:pPr>
        <w:spacing w:after="0" w:line="191" w:lineRule="exact"/>
        <w:rPr>
          <w:sz w:val="20"/>
          <w:szCs w:val="20"/>
          <w:color w:val="auto"/>
        </w:rPr>
      </w:pPr>
    </w:p>
    <w:p>
      <w:pPr>
        <w:ind w:right="140" w:firstLine="749"/>
        <w:spacing w:after="0" w:line="261" w:lineRule="auto"/>
        <w:rPr>
          <w:sz w:val="20"/>
          <w:szCs w:val="20"/>
          <w:color w:val="auto"/>
        </w:rPr>
      </w:pPr>
      <w:r>
        <w:rPr>
          <w:rFonts w:ascii="Times New Roman" w:cs="Times New Roman" w:eastAsia="Times New Roman" w:hAnsi="Times New Roman"/>
          <w:sz w:val="18"/>
          <w:szCs w:val="18"/>
          <w:color w:val="auto"/>
        </w:rPr>
        <w:t>Any failure or refusal to supply our products or components for our current or future product candidates that we may develop could delay, prevent, or impair our clinical development or commercialization efforts. Any change in our manufacturers could be costly because the commercial terms of any new arrangement could be less favorable and because the expenses relating to the transfer of necessary technology and processes could be significant.</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right="1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As an NDA applicant and commercial “virtual manufacturer,” we may rely in many cases on third parties to perform many essential services for our products, including services related to warehousing and inventory control, distribution, government price reporting, customer service, and adverse event reporting. If these third parties fail to perform as expected or to comply with legal and regulatory requirements, our ability to commercialize any of our products will be significantly impacted and we may be subject to regulatory sanctions.</w:t>
      </w:r>
    </w:p>
    <w:p>
      <w:pPr>
        <w:spacing w:after="0" w:line="180"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We have retained third-party service providers to perform a variety of functions related to the sale and distribution of our products, key aspects of which are out of our direct control. These service providers provide key services related to warehousing and inventory control, distribution, government price reporting, and customer service, and, as a result, much of our inventory is stored at a single warehouse maintained by one such service provider. We substantially rely on this service provider as well as other third-party providers that perform services for us, including entrusting our inventories of products to their care and handling. If these third-party service providers fail to comply with applicable laws and regulations, fail to meet expected deadlines, or otherwise do not carry out their contractual duties to us, or encounter physical or natural damage at their facilities, our ability to deliver product to meet commercial demand would be significantly impaired and we may be subject to regulatory enforcement action. Moreover, these agreements might terminate for a variety of reasons. If we fail to enter into alternative arrangements, this could further delay the commercialization of our products and adversely affect our business.</w:t>
      </w:r>
    </w:p>
    <w:p>
      <w:pPr>
        <w:spacing w:after="0" w:line="188" w:lineRule="exact"/>
        <w:rPr>
          <w:sz w:val="20"/>
          <w:szCs w:val="20"/>
          <w:color w:val="auto"/>
        </w:rPr>
      </w:pPr>
    </w:p>
    <w:p>
      <w:pPr>
        <w:ind w:right="80" w:firstLine="749"/>
        <w:spacing w:after="0" w:line="261" w:lineRule="auto"/>
        <w:rPr>
          <w:sz w:val="20"/>
          <w:szCs w:val="20"/>
          <w:color w:val="auto"/>
        </w:rPr>
      </w:pPr>
      <w:r>
        <w:rPr>
          <w:rFonts w:ascii="Times New Roman" w:cs="Times New Roman" w:eastAsia="Times New Roman" w:hAnsi="Times New Roman"/>
          <w:sz w:val="18"/>
          <w:szCs w:val="18"/>
          <w:color w:val="auto"/>
        </w:rPr>
        <w:t>In addition, we may engage third parties to perform various other services for us relating to adverse event reporting, safety database management, fulfillment of requests for medical information regarding our products and related services. If the quality or accuracy of the data maintained by these service providers is insufficient, or these third parties otherwise fail to comply with regulatory requirements related to adverse event reporting, we could be subject to regulatory sanctions.</w:t>
      </w:r>
    </w:p>
    <w:p>
      <w:pPr>
        <w:spacing w:after="0" w:line="180" w:lineRule="exact"/>
        <w:rPr>
          <w:sz w:val="20"/>
          <w:szCs w:val="20"/>
          <w:color w:val="auto"/>
        </w:rPr>
      </w:pPr>
    </w:p>
    <w:p>
      <w:pPr>
        <w:ind w:right="180" w:firstLine="749"/>
        <w:spacing w:after="0" w:line="266" w:lineRule="auto"/>
        <w:rPr>
          <w:sz w:val="20"/>
          <w:szCs w:val="20"/>
          <w:color w:val="auto"/>
        </w:rPr>
      </w:pPr>
      <w:r>
        <w:rPr>
          <w:rFonts w:ascii="Times New Roman" w:cs="Times New Roman" w:eastAsia="Times New Roman" w:hAnsi="Times New Roman"/>
          <w:sz w:val="18"/>
          <w:szCs w:val="18"/>
          <w:color w:val="auto"/>
        </w:rPr>
        <w:t>Additionally, if a third party errs in calculating government pricing information from transactional data in our financial records, it could impact our discount and rebate liability and potentially cause government programs to overpay providers for our products, which could expose us to significant FCA liability and other civil monetary penalties.</w:t>
      </w:r>
    </w:p>
    <w:p>
      <w:pPr>
        <w:spacing w:after="0" w:line="172"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collaboration arrangements that we are a party to or may enter into in the future may not be successful, which could adversely affect our ability to develop and commercialize our product candidates.</w:t>
      </w:r>
    </w:p>
    <w:p>
      <w:pPr>
        <w:spacing w:after="0" w:line="159" w:lineRule="exact"/>
        <w:rPr>
          <w:sz w:val="20"/>
          <w:szCs w:val="20"/>
          <w:color w:val="auto"/>
        </w:rPr>
      </w:pPr>
    </w:p>
    <w:p>
      <w:pPr>
        <w:ind w:right="200" w:firstLine="749"/>
        <w:spacing w:after="0" w:line="253" w:lineRule="auto"/>
        <w:rPr>
          <w:sz w:val="20"/>
          <w:szCs w:val="20"/>
          <w:color w:val="auto"/>
        </w:rPr>
      </w:pPr>
      <w:r>
        <w:rPr>
          <w:rFonts w:ascii="Times New Roman" w:cs="Times New Roman" w:eastAsia="Times New Roman" w:hAnsi="Times New Roman"/>
          <w:sz w:val="18"/>
          <w:szCs w:val="18"/>
          <w:color w:val="auto"/>
        </w:rPr>
        <w:t>Our business model is to commercialize our product candidates in the United States, and we may either commercialize products outside the United States ourselves or collaborate with pharmaceutical or biotechnology companies, or academic institutions, for the development or commercialization of our product candidates in the rest of the world. For example, we currently commercialize Sunosi in Canada. In February 2023, we announced a licensing transaction with Pharmanovia to market Sunosi in Europe and certain countries in the Middle East / North Africa. Our current and future collaboration arrangements may not be successful, and the success of them will depend heavily on the efforts and activities of our collaborators. Collaborators generally have significant discretion in determining the efforts and resources that they will apply to these collaboration arrangements. For clinical trials of our product candidates being conducted by our collaborators, for example, the Phase 2 clinical trial of AXS-05 for smoking cessation in collaboration with Duke University, we relied on timeline estimates provided by our collaborators for these trials. Such timeline estimates may differ materially from actual trial completion dates. Disagreements between parties to a collaboration arrangement regarding clinical development and commercialization matters can lead to delays in the development process or commercializing the applicable product candidate and, in some cases, termination of the collaboration arrangement. These disagreements can be difficult to resolve if neither of the parties has final decision-making authority.</w:t>
      </w:r>
    </w:p>
    <w:p>
      <w:pPr>
        <w:spacing w:after="0" w:line="192" w:lineRule="exact"/>
        <w:rPr>
          <w:sz w:val="20"/>
          <w:szCs w:val="20"/>
          <w:color w:val="auto"/>
        </w:rPr>
      </w:pPr>
    </w:p>
    <w:p>
      <w:pPr>
        <w:ind w:right="340" w:firstLine="749"/>
        <w:spacing w:after="0" w:line="266" w:lineRule="auto"/>
        <w:rPr>
          <w:sz w:val="20"/>
          <w:szCs w:val="20"/>
          <w:color w:val="auto"/>
        </w:rPr>
      </w:pPr>
      <w:r>
        <w:rPr>
          <w:rFonts w:ascii="Times New Roman" w:cs="Times New Roman" w:eastAsia="Times New Roman" w:hAnsi="Times New Roman"/>
          <w:sz w:val="18"/>
          <w:szCs w:val="18"/>
          <w:color w:val="auto"/>
        </w:rPr>
        <w:t>We may license the right to market and sell our products under our collaborators’ labeler codes. Alternatively, we may enter into agreements with collaborators to market and sell our products under our own labeler code, in which case errors and omissions by collaborators in capturing and transmitting transactional data may impact the accuracy of our government price reporting.</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80" w:firstLine="749"/>
        <w:spacing w:after="0" w:line="266" w:lineRule="auto"/>
        <w:rPr>
          <w:sz w:val="20"/>
          <w:szCs w:val="20"/>
          <w:color w:val="auto"/>
        </w:rPr>
      </w:pPr>
      <w:r>
        <w:rPr>
          <w:rFonts w:ascii="Times New Roman" w:cs="Times New Roman" w:eastAsia="Times New Roman" w:hAnsi="Times New Roman"/>
          <w:sz w:val="18"/>
          <w:szCs w:val="18"/>
          <w:color w:val="auto"/>
        </w:rPr>
        <w:t>Collaborations with pharmaceutical companies and other third parties often are terminated or allowed to expire by the other party. Any such termination or expiration would adversely affect us financially and could harm our business reputation. Any future collaborations we might enter into may pose a number of risks, including:</w:t>
      </w:r>
    </w:p>
    <w:p>
      <w:pPr>
        <w:spacing w:after="0" w:line="176" w:lineRule="exact"/>
        <w:rPr>
          <w:sz w:val="20"/>
          <w:szCs w:val="20"/>
          <w:color w:val="auto"/>
        </w:rPr>
      </w:pPr>
    </w:p>
    <w:p>
      <w:pPr>
        <w:ind w:left="760" w:hanging="378"/>
        <w:spacing w:after="0"/>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perform their obligations as expected;</w:t>
      </w:r>
    </w:p>
    <w:p>
      <w:pPr>
        <w:spacing w:after="0" w:line="225" w:lineRule="exact"/>
        <w:rPr>
          <w:rFonts w:ascii="Times New Roman" w:cs="Times New Roman" w:eastAsia="Times New Roman" w:hAnsi="Times New Roman"/>
          <w:sz w:val="18"/>
          <w:szCs w:val="18"/>
          <w:color w:val="auto"/>
        </w:rPr>
      </w:pPr>
    </w:p>
    <w:p>
      <w:pPr>
        <w:ind w:left="760" w:right="60" w:hanging="378"/>
        <w:spacing w:after="0" w:line="266" w:lineRule="auto"/>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pursue development and commercialization of any product candidates which achieve regulatory approval or may elect not to continue or renew development or commercialization programs based on clinical trial results, changes in the collaborators’ strategic focus or available funding, or external factors, such as an acquisition, that divert resources or create competing priorities;</w:t>
      </w:r>
    </w:p>
    <w:p>
      <w:pPr>
        <w:spacing w:after="0" w:line="175" w:lineRule="exact"/>
        <w:rPr>
          <w:rFonts w:ascii="Times New Roman" w:cs="Times New Roman" w:eastAsia="Times New Roman" w:hAnsi="Times New Roman"/>
          <w:sz w:val="18"/>
          <w:szCs w:val="18"/>
          <w:color w:val="auto"/>
        </w:rPr>
      </w:pPr>
    </w:p>
    <w:p>
      <w:pPr>
        <w:ind w:left="760" w:right="720" w:hanging="378"/>
        <w:spacing w:after="0" w:line="282" w:lineRule="auto"/>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1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could fail to make timely regulatory submissions for a product candidate;</w:t>
      </w:r>
    </w:p>
    <w:p>
      <w:pPr>
        <w:spacing w:after="0" w:line="225" w:lineRule="exact"/>
        <w:rPr>
          <w:rFonts w:ascii="Times New Roman" w:cs="Times New Roman" w:eastAsia="Times New Roman" w:hAnsi="Times New Roman"/>
          <w:sz w:val="18"/>
          <w:szCs w:val="18"/>
          <w:color w:val="auto"/>
        </w:rPr>
      </w:pPr>
    </w:p>
    <w:p>
      <w:pPr>
        <w:ind w:left="760" w:right="440" w:hanging="378"/>
        <w:spacing w:after="0" w:line="282" w:lineRule="auto"/>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comply with all applicable regulatory requirements or may fail to report safety data in accordance with all applicable regulatory requirements;</w:t>
      </w:r>
    </w:p>
    <w:p>
      <w:pPr>
        <w:spacing w:after="0" w:line="161" w:lineRule="exact"/>
        <w:rPr>
          <w:rFonts w:ascii="Times New Roman" w:cs="Times New Roman" w:eastAsia="Times New Roman" w:hAnsi="Times New Roman"/>
          <w:sz w:val="18"/>
          <w:szCs w:val="18"/>
          <w:color w:val="auto"/>
        </w:rPr>
      </w:pPr>
    </w:p>
    <w:p>
      <w:pPr>
        <w:ind w:left="760" w:right="120" w:hanging="378"/>
        <w:spacing w:after="0" w:line="266" w:lineRule="auto"/>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could independently develop, or develop with third parties, products that compete directly or indirectly with our products or product candidates if the collaborators believe that competitive products are more likely to be successfully developed or can be commercialized under terms that are more economically attractive than ours;</w:t>
      </w:r>
    </w:p>
    <w:p>
      <w:pPr>
        <w:spacing w:after="0" w:line="175" w:lineRule="exact"/>
        <w:rPr>
          <w:rFonts w:ascii="Times New Roman" w:cs="Times New Roman" w:eastAsia="Times New Roman" w:hAnsi="Times New Roman"/>
          <w:sz w:val="18"/>
          <w:szCs w:val="18"/>
          <w:color w:val="auto"/>
        </w:rPr>
      </w:pPr>
    </w:p>
    <w:p>
      <w:pPr>
        <w:ind w:left="760" w:right="140" w:hanging="378"/>
        <w:spacing w:after="0" w:line="282" w:lineRule="auto"/>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candidates discovered in collaboration with us may be viewed by our collaborators as competitive with their own product candidates or products, which may cause collaborators to cease to devote resources to the commercialization of our product candidates;</w:t>
      </w:r>
    </w:p>
    <w:p>
      <w:pPr>
        <w:spacing w:after="0" w:line="161" w:lineRule="exact"/>
        <w:rPr>
          <w:rFonts w:ascii="Times New Roman" w:cs="Times New Roman" w:eastAsia="Times New Roman" w:hAnsi="Times New Roman"/>
          <w:sz w:val="18"/>
          <w:szCs w:val="18"/>
          <w:color w:val="auto"/>
        </w:rPr>
      </w:pPr>
    </w:p>
    <w:p>
      <w:pPr>
        <w:ind w:left="760" w:right="120" w:hanging="378"/>
        <w:spacing w:after="0" w:line="282" w:lineRule="auto"/>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collaborator with marketing and distribution rights to one or more of our product candidates that achieve regulatory approval may not commit sufficient resources to the marketing and distribution of such product candidate or product;</w:t>
      </w:r>
    </w:p>
    <w:p>
      <w:pPr>
        <w:spacing w:after="0" w:line="161" w:lineRule="exact"/>
        <w:rPr>
          <w:rFonts w:ascii="Times New Roman" w:cs="Times New Roman" w:eastAsia="Times New Roman" w:hAnsi="Times New Roman"/>
          <w:sz w:val="18"/>
          <w:szCs w:val="18"/>
          <w:color w:val="auto"/>
        </w:rPr>
      </w:pPr>
    </w:p>
    <w:p>
      <w:pPr>
        <w:ind w:left="760" w:right="320" w:hanging="378"/>
        <w:spacing w:after="0" w:line="261" w:lineRule="auto"/>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disagreements with collaborators, including disagreements over proprietary rights, contract interpretation, or the preferred course of development, might cause delays or termination of the research, development, or commercialization of product candidates, lead to additional responsibilities for us with respect to product candidates, or result in litigation or arbitration, any of which would be time consuming and expensive;</w:t>
      </w:r>
    </w:p>
    <w:p>
      <w:pPr>
        <w:spacing w:after="0" w:line="179" w:lineRule="exact"/>
        <w:rPr>
          <w:rFonts w:ascii="Times New Roman" w:cs="Times New Roman" w:eastAsia="Times New Roman" w:hAnsi="Times New Roman"/>
          <w:sz w:val="18"/>
          <w:szCs w:val="18"/>
          <w:color w:val="auto"/>
        </w:rPr>
      </w:pPr>
    </w:p>
    <w:p>
      <w:pPr>
        <w:jc w:val="both"/>
        <w:ind w:left="760" w:right="280" w:hanging="378"/>
        <w:spacing w:after="0" w:line="312" w:lineRule="auto"/>
        <w:tabs>
          <w:tab w:leader="none" w:pos="76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collaborators may not properly maintain or defend our intellectual property rights or may use our proprietary information in such a way as to invite litigation that could jeopardize or invalidate our intellectual property or proprietary information or expose us to potential litigation; and</w:t>
      </w:r>
    </w:p>
    <w:p>
      <w:pPr>
        <w:spacing w:after="0" w:line="139"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infringe the intellectual property rights of third parties, which may expose us to litigation and potential liability.</w:t>
      </w:r>
    </w:p>
    <w:p>
      <w:pPr>
        <w:spacing w:after="0" w:line="225"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If any collaborations we might enter into in the future do not result in the successful development and commercialization of products, or if one of our collaborators subsequently terminates its agreement with us, we may not receive any future research funding or milestone or royalty payments under the collaboration. If we do not receive the funding we expect under the agreements, our development of our product candidates could be delayed and we may need additional resources to develop our product candidates and our product platform.</w:t>
      </w:r>
    </w:p>
    <w:p>
      <w:pPr>
        <w:spacing w:after="0" w:line="180" w:lineRule="exact"/>
        <w:rPr>
          <w:sz w:val="20"/>
          <w:szCs w:val="20"/>
          <w:color w:val="auto"/>
        </w:rPr>
      </w:pPr>
    </w:p>
    <w:p>
      <w:pPr>
        <w:ind w:firstLine="749"/>
        <w:spacing w:after="0" w:line="266" w:lineRule="auto"/>
        <w:rPr>
          <w:sz w:val="20"/>
          <w:szCs w:val="20"/>
          <w:color w:val="auto"/>
        </w:rPr>
      </w:pPr>
      <w:r>
        <w:rPr>
          <w:rFonts w:ascii="Times New Roman" w:cs="Times New Roman" w:eastAsia="Times New Roman" w:hAnsi="Times New Roman"/>
          <w:sz w:val="18"/>
          <w:szCs w:val="18"/>
          <w:color w:val="auto"/>
        </w:rPr>
        <w:t>Additionally, if any future collaborator of ours is involved in a business combination, the collaborator might deemphasize or terminate development or commercialization of any product candidate licensed to it by us. If one of our collaborators terminates its agreement with us, we may find it more difficult to attract new collaborators and our reputation in the business and financial communities could be adversely affected.</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INTELLECTUAL PROPERTY</w:t>
      </w:r>
    </w:p>
    <w:p>
      <w:pPr>
        <w:spacing w:after="0" w:line="225"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It is difficult and costly to protect our proprietary rights, and, as a result, we may not be able to ensure their protection. In addition, patents have a limited lifespan and will eventually expire.</w:t>
      </w:r>
    </w:p>
    <w:p>
      <w:pPr>
        <w:spacing w:after="0" w:line="159" w:lineRule="exact"/>
        <w:rPr>
          <w:sz w:val="20"/>
          <w:szCs w:val="20"/>
          <w:color w:val="auto"/>
        </w:rPr>
      </w:pPr>
    </w:p>
    <w:p>
      <w:pPr>
        <w:ind w:right="20" w:firstLine="749"/>
        <w:spacing w:after="0" w:line="254" w:lineRule="auto"/>
        <w:rPr>
          <w:sz w:val="20"/>
          <w:szCs w:val="20"/>
          <w:color w:val="auto"/>
        </w:rPr>
      </w:pPr>
      <w:r>
        <w:rPr>
          <w:rFonts w:ascii="Times New Roman" w:cs="Times New Roman" w:eastAsia="Times New Roman" w:hAnsi="Times New Roman"/>
          <w:sz w:val="18"/>
          <w:szCs w:val="18"/>
          <w:color w:val="auto"/>
        </w:rPr>
        <w:t>Market exclusivity awarded by the FDA upon the approval of an NDA is limited in scope and duration. For example, our New Chemical Entity exclusivity for Sunosi expired on June 17, 2024 with an Orphan Drug Exclusivity relating to the product’s narcolepsy indication expiring on June 17, 2026. For Auvelity, the New Product Exclusivity expires on August 18, 2025. Neither of these expiry dates take into account the effect of the statutory 30-month stay should we timely commence litigation against any generic filer. A generic filer may be permitted to launch a generic version of either of our products following expiry of these exclusivities if our patents do not preclude a generic launch. Patent litigation is inherently uncertain, and we cannot guarantee the outcome of any such proceedings, that we would succeed in stopping the “at risk” launch of a generic version of either of our currently commercialized products during the pendency of litigation following expiry of the 30-month stay, or that we would commence such proceedings. Such a generic launch could materially impact our commercial success.</w:t>
      </w:r>
    </w:p>
    <w:p>
      <w:pPr>
        <w:spacing w:after="0" w:line="192" w:lineRule="exact"/>
        <w:rPr>
          <w:sz w:val="20"/>
          <w:szCs w:val="20"/>
          <w:color w:val="auto"/>
        </w:rPr>
      </w:pPr>
    </w:p>
    <w:p>
      <w:pPr>
        <w:ind w:right="40" w:firstLine="749"/>
        <w:spacing w:after="0" w:line="252" w:lineRule="auto"/>
        <w:rPr>
          <w:sz w:val="20"/>
          <w:szCs w:val="20"/>
          <w:color w:val="auto"/>
        </w:rPr>
      </w:pPr>
      <w:r>
        <w:rPr>
          <w:rFonts w:ascii="Times New Roman" w:cs="Times New Roman" w:eastAsia="Times New Roman" w:hAnsi="Times New Roman"/>
          <w:sz w:val="18"/>
          <w:szCs w:val="18"/>
          <w:color w:val="auto"/>
        </w:rPr>
        <w:t>We seek to protect intellectual property relating to our products and portfolio products by prosecuting patents in the United States and elsewhere. The patent prosecution process is expensive and time consuming, and we may not be able to and/or may choose not to file, prosecute, and maintain all necessary or desirable patent applications at a reasonable cost or in a timely manner. It is also possible that we will fail to identify patentable aspects of our research and development output before it is too late to obtain patent protection, or that we may choose not to pursue patent protection for all patentable aspects identified. Moreover, should we enter into additional collaborations we may be required to consult with or cede control to collaborators regarding the prosecution, maintenance, and enforcement of our patent applications and patents. Therefore, these patents and patent applications may not be prosecuted, maintained, and enforced in a manner consistent with the best interests of our business. The patent positions of pharmaceutical and biotechnology companies can be highly uncertain and involve complex legal and factual questions for which important legal principles remain unresolved. No consistent policy regarding the breadth of claims allowed in pharmaceutical or biotechnology patents has emerged to date in the United States. The patent situation outside the United States is even more uncertain. Changes in either the patent laws or in interpretations of patent laws in the United States and other countries may diminish the value of our intellectual property. Accordingly, we cannot reliably or accurately predict the breadth of claims that may be allowed or enforced in our patents and patent applications or in third party patents and patent applications. Further, the degree of future protection for our proprietary rights is uncertain, for example, because legal means afford only limited protection and may not adequately protect our rights or permit us to gain or keep our competitive advantage. Moreover, the patent application process is also subject to numerous risks and uncertainties, and there can be no assurance that we or any of our future development partners will be successful in protecting any of our current or future product candidates that we may develop, license, or acquire by obtaining and defending patents. For example:</w:t>
      </w:r>
    </w:p>
    <w:p>
      <w:pPr>
        <w:spacing w:after="0" w:line="195" w:lineRule="exact"/>
        <w:rPr>
          <w:sz w:val="20"/>
          <w:szCs w:val="20"/>
          <w:color w:val="auto"/>
        </w:rPr>
      </w:pPr>
    </w:p>
    <w:p>
      <w:pPr>
        <w:ind w:left="760" w:hanging="378"/>
        <w:spacing w:after="0" w:line="282" w:lineRule="auto"/>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have been the first to conceive of and reduce to practice the inventions covered by each of our pending patent applications and issued patents;</w:t>
      </w:r>
    </w:p>
    <w:p>
      <w:pPr>
        <w:spacing w:after="0" w:line="1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have been the first to file patent applications for these inventions;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independently develop similar or alternative technologies or duplicate any of our product candidates or technologies;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none of the pending patent applications will result in issued patents;</w:t>
      </w:r>
    </w:p>
    <w:p>
      <w:pPr>
        <w:spacing w:after="0" w:line="225" w:lineRule="exact"/>
        <w:rPr>
          <w:rFonts w:ascii="Times New Roman" w:cs="Times New Roman" w:eastAsia="Times New Roman" w:hAnsi="Times New Roman"/>
          <w:sz w:val="18"/>
          <w:szCs w:val="18"/>
          <w:color w:val="auto"/>
        </w:rPr>
      </w:pPr>
    </w:p>
    <w:p>
      <w:pPr>
        <w:ind w:left="760" w:right="500" w:hanging="378"/>
        <w:spacing w:after="0" w:line="266" w:lineRule="auto"/>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issued patents may not cover commercially viable active products, may not provide us with any competitive advantages, or may be successfully challenged by third parties, and we may not have a continuing application (e.g., divisional, continuation, continuation-in-part) pending that covers the relevant subject matter;</w:t>
      </w:r>
    </w:p>
    <w:p>
      <w:pPr>
        <w:spacing w:after="0" w:line="17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develop additional proprietary technologies that are patentable;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760" w:hanging="378"/>
        <w:spacing w:after="0"/>
        <w:tabs>
          <w:tab w:leader="none" w:pos="7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patents of others may have an adverse effect on our business;</w:t>
      </w:r>
    </w:p>
    <w:p>
      <w:pPr>
        <w:spacing w:after="0" w:line="225" w:lineRule="exact"/>
        <w:rPr>
          <w:rFonts w:ascii="Times New Roman" w:cs="Times New Roman" w:eastAsia="Times New Roman" w:hAnsi="Times New Roman"/>
          <w:sz w:val="18"/>
          <w:szCs w:val="18"/>
          <w:color w:val="auto"/>
        </w:rPr>
      </w:pPr>
    </w:p>
    <w:p>
      <w:pPr>
        <w:ind w:left="760" w:right="20" w:hanging="378"/>
        <w:spacing w:after="0" w:line="266" w:lineRule="auto"/>
        <w:tabs>
          <w:tab w:leader="none" w:pos="7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noncompliance with requirements of governmental patent agencies can result in abandonment or lapse of a patent or patent application, resulting in partial or complete loss of patent rights in the relevant jurisdiction, potentially allowing competitors to enter the market earlier than would otherwise have been the case;</w:t>
      </w:r>
    </w:p>
    <w:p>
      <w:pPr>
        <w:spacing w:after="0" w:line="175" w:lineRule="exact"/>
        <w:rPr>
          <w:rFonts w:ascii="Times New Roman" w:cs="Times New Roman" w:eastAsia="Times New Roman" w:hAnsi="Times New Roman"/>
          <w:sz w:val="18"/>
          <w:szCs w:val="18"/>
          <w:color w:val="auto"/>
        </w:rPr>
      </w:pPr>
    </w:p>
    <w:p>
      <w:pPr>
        <w:ind w:left="760" w:right="100" w:hanging="378"/>
        <w:spacing w:after="0" w:line="266" w:lineRule="auto"/>
        <w:tabs>
          <w:tab w:leader="none" w:pos="7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competitors, many of whom have substantially greater resources than we do and many of whom have made significant investments in competing technologies, may seek or may have already obtained patents that will limit, interfere with, or eliminate our ability to make, use, and sell our products and potential product candidates; or</w:t>
      </w:r>
    </w:p>
    <w:p>
      <w:pPr>
        <w:spacing w:after="0" w:line="175" w:lineRule="exact"/>
        <w:rPr>
          <w:rFonts w:ascii="Times New Roman" w:cs="Times New Roman" w:eastAsia="Times New Roman" w:hAnsi="Times New Roman"/>
          <w:sz w:val="18"/>
          <w:szCs w:val="18"/>
          <w:color w:val="auto"/>
        </w:rPr>
      </w:pPr>
    </w:p>
    <w:p>
      <w:pPr>
        <w:ind w:left="760" w:right="60" w:hanging="378"/>
        <w:spacing w:after="0" w:line="266" w:lineRule="auto"/>
        <w:tabs>
          <w:tab w:leader="none" w:pos="7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may be significant pressure on the U.S. government and international governmental bodies to limit the scope of available patent protection both inside and outside the United States for disease treatments that prove successful, as a matter of public policy regarding worldwide health concerns.</w:t>
      </w:r>
    </w:p>
    <w:p>
      <w:pPr>
        <w:spacing w:after="0" w:line="176"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Patents have a limited lifespan. In most countries, including the United States, the expiration of a utility patent is typically 20 years from the date that the application for the patent is filed or 20 years from the earliest non-provisional filing date to which priority is claimed if the patent is granted from a continuing application (e.g., continuation, divisional, or continuation-in-part). Various extensions of patent term may be available in particular countries; however, in all circumstances the life of a patent, and the protection it affords, has a limited term. If we encounter delays in obtaining regulatory approvals, the period of time during which we could market a product under patent protection could be reduced. We expect to seek extensions of patent terms where these are available in any countries where we are prosecuting patents. Such possible extensions include those permitted under the Drug Price Competition and Patent Term Restoration Act of 1984 in the United States, which permits a patent term extension of up to five years to cover an FDA-approved product. The actual length of the extension will depend on the amount of patent term lost while the product was in clinical trials and regulatory review. However, the applicable authorities, including the USPTO, and the FDA in the United States, and any equivalent regulatory authority in other countries, may not agree with our assessment of whether such extensions are available, and may refuse to grant extensions to our patents, or may grant more limited extensions than we request. If this occurs, our competitors may be able to take advantage of our investment in development and clinical trials by referencing our clinical and preclinical data, and then may be able to launch their product earlier than might otherwise be the case.</w:t>
      </w:r>
    </w:p>
    <w:p>
      <w:pPr>
        <w:spacing w:after="0" w:line="186"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Patent reform legislation could increase the uncertainties and costs surrounding the prosecution of our patent applications and the enforcement or defense of our issued patents.</w:t>
      </w:r>
    </w:p>
    <w:p>
      <w:pPr>
        <w:spacing w:after="0" w:line="159"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On September 16, 2011, the Leahy-Smith America Invents Act, or the Leahy-Smith Act, was signed into law. The Leahy-Smith Act includes a number of significant changes to U.S. patent law. These include provisions that affect the way patent applications are prosecuted and may also affect patent litigation. In particular, under the Leahy-Smith Act, the United States transitioned in March 2013 to a “first to file” system in which the first inventor to file a patent application will be entitled to the patent. Third parties are allowed to submit prior art before the issuance of a patent by the USPTO and may become involved in post-grant proceedings including reexamination, post-grant review, inter-partes review, or derivation or interference proceedings challenging our patent rights or the patent rights of others. An adverse determination in any such submission, proceeding, or litigation could reduce the scope or enforceability of, or invalidate, our patent rights, which could adversely affect our competitive position. Future patent reform legislation in the U.S. and/or in jurisdictions outside the U.S. could potentially further increase the uncertainties and costs surrounding the prosecution of our patent applications and the enforcement or defense of our issued patents.</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4" w:right="37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right="12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Obtaining and maintaining our patent protection depends on compliance with various procedural, documentary, fee payment, and other requirements imposed by governmental patent agencies, and our patent protection could be reduced or eliminated for noncompliance with these requirements.</w:t>
      </w:r>
    </w:p>
    <w:p>
      <w:pPr>
        <w:spacing w:after="0" w:line="136" w:lineRule="exact"/>
        <w:rPr>
          <w:sz w:val="20"/>
          <w:szCs w:val="20"/>
          <w:color w:val="auto"/>
        </w:rPr>
      </w:pPr>
    </w:p>
    <w:p>
      <w:pPr>
        <w:ind w:firstLine="749"/>
        <w:spacing w:after="0" w:line="218" w:lineRule="exact"/>
        <w:rPr>
          <w:sz w:val="20"/>
          <w:szCs w:val="20"/>
          <w:color w:val="auto"/>
        </w:rPr>
      </w:pPr>
      <w:r>
        <w:rPr>
          <w:rFonts w:ascii="Times New Roman" w:cs="Times New Roman" w:eastAsia="Times New Roman" w:hAnsi="Times New Roman"/>
          <w:sz w:val="18"/>
          <w:szCs w:val="18"/>
          <w:color w:val="auto"/>
        </w:rPr>
        <w:t>The USPTO and various foreign governmental patent agencies require compliance with a number of procedural, documentary, fee payment, and other similar provisions during the patent prosecution process. Periodic maintenance fees, renewal fees, annuity fees, and various other governmental fees on patents or patent applications will be due to be paid to the USPTO and various patent agencies outside of the United States in several stages over the lifetime of the patents and applications. We have systems in place to remind us to pay these fees, and we employ and rely on reputable law firms and other professionals to effect payment of these fees to the USPTO and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U.S. patent agencies for the patents and patent applications we own and those that we in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license. We also employ reputable law firms and other professionals to help us comply with the various documentary and other procedural requirements with respect to the patents and patent applications that we own and those that we in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license. In some cases, an inadvertent lapse can be cured by payment of a late fee or by other means in accordance with the applicable rules. However, there are situations in which noncompliance can result in abandonment or lapse of the patent or patent application, resulting in partial or complete loss of patent rights in the relevant jurisdiction. In such an event, our competitors might be able to enter the market and this circumstance would have a material adverse effect on our business.</w:t>
      </w:r>
    </w:p>
    <w:p>
      <w:pPr>
        <w:spacing w:after="0" w:line="199"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or any future collaboration partner are sued for infringing intellectual property rights of third parties, it will be costly and time consuming, and an unfavorable outcome in any litigation would harm our business.</w:t>
      </w:r>
    </w:p>
    <w:p>
      <w:pPr>
        <w:spacing w:after="0" w:line="159" w:lineRule="exact"/>
        <w:rPr>
          <w:sz w:val="20"/>
          <w:szCs w:val="20"/>
          <w:color w:val="auto"/>
        </w:rPr>
      </w:pPr>
    </w:p>
    <w:p>
      <w:pPr>
        <w:ind w:right="20" w:firstLine="749"/>
        <w:spacing w:after="0" w:line="253" w:lineRule="auto"/>
        <w:rPr>
          <w:sz w:val="20"/>
          <w:szCs w:val="20"/>
          <w:color w:val="auto"/>
        </w:rPr>
      </w:pPr>
      <w:r>
        <w:rPr>
          <w:rFonts w:ascii="Times New Roman" w:cs="Times New Roman" w:eastAsia="Times New Roman" w:hAnsi="Times New Roman"/>
          <w:sz w:val="18"/>
          <w:szCs w:val="18"/>
          <w:color w:val="auto"/>
        </w:rPr>
        <w:t>Our ability to develop, manufacture, market, and sell any of our products depends upon our ability to avoid infringing the proprietary rights of third parties, and our commercial success depends upon our ability, and the ability of our collaborators, to develop, manufacture, market, and/or sell our products and use our proprietary technologies without infringing the proprietary rights of third parties. There is considerable intellectual property litigation in the biotechnology and pharmaceutical industries. Numerous U.S. and foreign issued patents and pending patent applications owned by third parties exist in the general field of treatment and management of CNS disorders and cover the use of numerous compounds and formulations in our targeted markets. Third parties may assert infringement claims against us based on existing patents or patents that may be granted in the future. Because of the uncertainty inherent in any patent or other litigation involving proprietary rights, we and our licensors may not be successful in defending intellectual property claims by third parties, which could have a material adverse effect on our business, financial condition, results of operations, and prospects. Regardless of the outcome of any litigation, defending against litigation may be expensive, time consuming, and distracting to management. In addition, because patent applications take time to publish and can take many years to issue, and because there is no way to guarantee we are aware of all third party patents and applications, there may be currently pending applications, unknown to us, which may later result in issued patents that any of our current or future products may infringe. There could also be existing patents of which we are not aware that any of our current or future products may inadvertently infringe.</w:t>
      </w:r>
    </w:p>
    <w:p>
      <w:pPr>
        <w:spacing w:after="0" w:line="19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If a third party claims that we infringe their intellectual property rights, we could face a number of issues, including:</w:t>
      </w:r>
    </w:p>
    <w:p>
      <w:pPr>
        <w:spacing w:after="0" w:line="225" w:lineRule="exact"/>
        <w:rPr>
          <w:sz w:val="20"/>
          <w:szCs w:val="20"/>
          <w:color w:val="auto"/>
        </w:rPr>
      </w:pPr>
    </w:p>
    <w:p>
      <w:pPr>
        <w:ind w:left="760" w:right="160" w:hanging="378"/>
        <w:spacing w:after="0" w:line="282" w:lineRule="auto"/>
        <w:tabs>
          <w:tab w:leader="none" w:pos="7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infringement and other intellectual property claims which, whether meritorious or not, can be expensive and time consuming to litigate and can divert management’s attention from our core business;</w:t>
      </w:r>
    </w:p>
    <w:p>
      <w:pPr>
        <w:spacing w:after="0" w:line="1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damages for past infringement which we may have to pay if a court decides that our product infringes on a competitor’s patent;</w:t>
      </w:r>
    </w:p>
    <w:p>
      <w:pPr>
        <w:spacing w:after="0" w:line="225" w:lineRule="exact"/>
        <w:rPr>
          <w:rFonts w:ascii="Times New Roman" w:cs="Times New Roman" w:eastAsia="Times New Roman" w:hAnsi="Times New Roman"/>
          <w:sz w:val="18"/>
          <w:szCs w:val="18"/>
          <w:color w:val="auto"/>
        </w:rPr>
      </w:pPr>
    </w:p>
    <w:p>
      <w:pPr>
        <w:ind w:left="760" w:right="240" w:hanging="378"/>
        <w:spacing w:after="0" w:line="282" w:lineRule="auto"/>
        <w:tabs>
          <w:tab w:leader="none" w:pos="7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court prohibiting us from selling or licensing our product unless the patent holder licenses the patent to us, which it would not be required to do;</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760" w:hanging="378"/>
        <w:spacing w:after="0"/>
        <w:tabs>
          <w:tab w:leader="none" w:pos="7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license is available from a patent holder, we may have to pay substantial royalties or grant cross licenses to our patents; and</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redesigning our products and processes so they do not infringe, which may not be possible or could require substantial funds and time.</w:t>
      </w:r>
    </w:p>
    <w:p>
      <w:pPr>
        <w:spacing w:after="0" w:line="225" w:lineRule="exact"/>
        <w:rPr>
          <w:sz w:val="20"/>
          <w:szCs w:val="20"/>
          <w:color w:val="auto"/>
        </w:rPr>
      </w:pPr>
    </w:p>
    <w:p>
      <w:pPr>
        <w:ind w:firstLine="749"/>
        <w:spacing w:after="0" w:line="219" w:lineRule="exact"/>
        <w:rPr>
          <w:sz w:val="20"/>
          <w:szCs w:val="20"/>
          <w:color w:val="auto"/>
        </w:rPr>
      </w:pPr>
      <w:r>
        <w:rPr>
          <w:rFonts w:ascii="Times New Roman" w:cs="Times New Roman" w:eastAsia="Times New Roman" w:hAnsi="Times New Roman"/>
          <w:sz w:val="18"/>
          <w:szCs w:val="18"/>
          <w:color w:val="auto"/>
        </w:rPr>
        <w:t>If we are found to infringe a third party’s intellectual property rights, we could be required to obtain a license from such third party to continue developing and marketing our products and technology. However, we may not be able to obtain any required license on commercially reasonable terms, or at all. Even if we were able to obtain a license, it could be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exclusive, thereby giving our competitors access to the same technologies licensed to us. We could be forced, including by court order, to cease commercializing the infringing technology or product. In addition, we could be found liable for monetary damages, including treble damages and attorneys’ fees if we are found to have willfully infringed a patent. A finding of infringement could prevent us from commercializing our products or force us to cease some of our business operations, which could materially harm our business. Claims that we have misappropriated the confidential information or trade secrets of third parties could have a similar negative impact on our business, financial condition, results of operations, and prospects.</w:t>
      </w:r>
    </w:p>
    <w:p>
      <w:pPr>
        <w:spacing w:after="0" w:line="194" w:lineRule="exact"/>
        <w:rPr>
          <w:sz w:val="20"/>
          <w:szCs w:val="20"/>
          <w:color w:val="auto"/>
        </w:rPr>
      </w:pPr>
    </w:p>
    <w:p>
      <w:pPr>
        <w:ind w:right="6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involved in lawsuits to protect or enforce our patents or the patents of our licensors, which could be expensive, time consuming, and unsuccessful.</w:t>
      </w:r>
    </w:p>
    <w:p>
      <w:pPr>
        <w:spacing w:after="0" w:line="159" w:lineRule="exact"/>
        <w:rPr>
          <w:sz w:val="20"/>
          <w:szCs w:val="20"/>
          <w:color w:val="auto"/>
        </w:rPr>
      </w:pPr>
    </w:p>
    <w:p>
      <w:pPr>
        <w:ind w:right="40" w:firstLine="749"/>
        <w:spacing w:after="0" w:line="253" w:lineRule="auto"/>
        <w:rPr>
          <w:sz w:val="20"/>
          <w:szCs w:val="20"/>
          <w:color w:val="auto"/>
        </w:rPr>
      </w:pPr>
      <w:r>
        <w:rPr>
          <w:rFonts w:ascii="Times New Roman" w:cs="Times New Roman" w:eastAsia="Times New Roman" w:hAnsi="Times New Roman"/>
          <w:sz w:val="18"/>
          <w:szCs w:val="18"/>
          <w:color w:val="auto"/>
        </w:rPr>
        <w:t>Competitors may infringe our issued patents, our in-licensed patents, or other intellectual property that we own or in-license. Under the terms of our license agreements with Antecip, if we believe a third party is infringing on the patents subject to the licenses, we are obligated, at our own expense, to initiate suit against those third parties. To counter infringement or unauthorized use, we may be required to file infringement claims, which can be expensive and time consuming. Any claims we assert against perceived infringers could provoke these parties to assert counterclaims against us alleging that we infringe their patents and/or to challenge the validity of the asserted patent(s) before a court or the USPTO (e.g., in post-grant proceedings such as Inter Partes Review before the Patent Trial and Appeal Board (PTAB) of the USPTO). In addition, in a patent infringement or validity proceeding, a decision maker (e.g., a court or the PTAB) may decide that a patent of ours is invalid or unenforceable, in whole or in part; construe the patent’s claims narrowly; or refuse to stop the other party from using the technology at issue on the grounds that our patents do not cover the technology in question. Any litigation proceeding or related proceeding at the USPTO could have adverse results, putting one or more of our patents at risk of being invalidated or interpreted narrowly. Furthermore, because of the substantial amount of discovery required in connection with intellectual property litigation, there is a risk that some of our confidential information could be compromised by disclosure during this type of litigation.</w:t>
      </w:r>
    </w:p>
    <w:p>
      <w:pPr>
        <w:spacing w:after="0" w:line="192" w:lineRule="exact"/>
        <w:rPr>
          <w:sz w:val="20"/>
          <w:szCs w:val="20"/>
          <w:color w:val="auto"/>
        </w:rPr>
      </w:pPr>
    </w:p>
    <w:p>
      <w:pPr>
        <w:ind w:right="280" w:firstLine="749"/>
        <w:spacing w:after="0" w:line="261" w:lineRule="auto"/>
        <w:rPr>
          <w:sz w:val="20"/>
          <w:szCs w:val="20"/>
          <w:color w:val="auto"/>
        </w:rPr>
      </w:pPr>
      <w:r>
        <w:rPr>
          <w:rFonts w:ascii="Times New Roman" w:cs="Times New Roman" w:eastAsia="Times New Roman" w:hAnsi="Times New Roman"/>
          <w:sz w:val="18"/>
          <w:szCs w:val="18"/>
          <w:color w:val="auto"/>
        </w:rPr>
        <w:t>Many of our competitors are larger than we are and have substantially greater resources than we do. They are, therefore, likely to be able to sustain the costs of complex patent litigation longer than we could. In addition, the uncertainties associated with litigation could have a material adverse effect on our ability to raise the funds necessary to continue our clinical trials, continue our internal research programs, in-license needed technology, or enter into development partnerships that would help us bring our product candidates to market.</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both"/>
        <w:ind w:right="12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We have licensed and may need to license certain intellectual property from third parties in the future. Such licenses may not be available or may not be available on commercially reasonable terms. Our business may be materially harmed if the licenses are not available or terminated for any reason.</w:t>
      </w:r>
    </w:p>
    <w:p>
      <w:pPr>
        <w:spacing w:after="0" w:line="136"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We are a party to certain license agreements under which we are granted rights to intellectual property, including patent rights that are important to our business. We expect that we may need to enter into additional license agreements in the future to commercialize our products, in which case we would be required to obtain a license from additional third parties. Such licenses may not be available on commercially reasonable terms, or at all, which could materially harm our business, financial condition, results of operations, and prospects. We rely on these licenses to use intellectual property that may be material to our business and important or necessary to the development or commercialization of our products. Our existing license agreements impose, and we expect that future license agreements will impose on us, various exclusivity obligations. If we fail to comply with our obligations under these agreements, the applicable licensor may have the right to terminate our license, in which case we may not be able to develop or commercialize the products covered by such license.</w:t>
      </w:r>
    </w:p>
    <w:p>
      <w:pPr>
        <w:spacing w:after="0" w:line="192" w:lineRule="exact"/>
        <w:rPr>
          <w:sz w:val="20"/>
          <w:szCs w:val="20"/>
          <w:color w:val="auto"/>
        </w:rPr>
      </w:pPr>
    </w:p>
    <w:p>
      <w:pPr>
        <w:ind w:firstLine="749"/>
        <w:spacing w:after="0" w:line="252" w:lineRule="auto"/>
        <w:rPr>
          <w:sz w:val="20"/>
          <w:szCs w:val="20"/>
          <w:color w:val="auto"/>
        </w:rPr>
      </w:pPr>
      <w:r>
        <w:rPr>
          <w:rFonts w:ascii="Times New Roman" w:cs="Times New Roman" w:eastAsia="Times New Roman" w:hAnsi="Times New Roman"/>
          <w:sz w:val="18"/>
          <w:szCs w:val="18"/>
          <w:color w:val="auto"/>
        </w:rPr>
        <w:t>In January 2020, we entered into an agreement with Pfizer for an exclusive U.S. license to Pfizer’s clinical and nonclinical data, and intellectual property for reboxetine, the active pharmaceutical ingredient in AXS-12, which Axsome is developing for the treatment of narcolepsy. The agreement also provides Axsome exclusive rights to develop and commercialize esreboxetine, a new late-stage product candidate now referred to as AXS-14, in the U.S. for the treatment of fibromyalgia. Under the terms of the agreement, we received from Pfizer an exclusive U.S. license to Pfizer data for reboxetine and esreboxetine encompassing a full range of nonclinical studies, and short-term and long-term clinical trials involving more than five thousand patients. The licensed data includes results of a positive Phase 3 trial and a positive Phase 2 trial of esreboxetine in the treatment of fibromyalgia. We will have the exclusive right and sole responsibility of developing AXS-14 (esreboxetine) in the U.S. for the treatment of fibromyalgia and for other indications. Pfizer received 82,019 shares of our common stock having a value of $8.0 million, based on the average closing price of our common stock for the 10 prior trading days of $97.538, in consideration for the license and rights. Pfizer also received an upfront cash payment of $3.0 million and will receive up to $323 million in regulatory and sales milestones and tiered mid-single to low double-digit royalties on future sales. Pfizer will also have a right of first negotiation on any potential future strategic transactions involving AXS-12 and AXS-14. Under the agreement, we are obligated to use commercially reasonable efforts to develop, manufacture and commercialize the products in the United States and to seek and maintain regulatory approvals for the products. The agreement will expire on a product-by-product basis upon expiration of the last-to-expire royalty term for such product. On expiration (but not earlier termination), we will have a perpetual, non-exclusive, fully paid, royalty-free and irrevocable license under the licensed patent rights and related data to develop, manufacture, use, commercialize and otherwise exploit the compounds. Either party may terminate the agreement for the other party’s material breach following a cure period. Pfizer may immediately terminate the agreement upon certain insolvency events relating to us. We may terminate the agreement for any reason upon ninety days written notice to Pfizer at any time after the first anniversary of the agreement. If the license agreement with Pfizer is terminated for any reason, our business, financial condition, results of operations, and prospects will be materially harmed.</w:t>
      </w: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4" w:right="37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firstLine="749"/>
        <w:spacing w:after="0" w:line="252" w:lineRule="auto"/>
        <w:rPr>
          <w:sz w:val="20"/>
          <w:szCs w:val="20"/>
          <w:color w:val="auto"/>
        </w:rPr>
      </w:pPr>
      <w:r>
        <w:rPr>
          <w:rFonts w:ascii="Times New Roman" w:cs="Times New Roman" w:eastAsia="Times New Roman" w:hAnsi="Times New Roman"/>
          <w:sz w:val="18"/>
          <w:szCs w:val="18"/>
          <w:color w:val="auto"/>
        </w:rPr>
        <w:t>In 2012, we entered into three exclusive license agreements with Antecip an entity owned by our Chief Executive Officer and Chairman of the Board, Herriot Tabuteau, M.D., in which we were granted exclusive licenses to develop, manufacture, and commercialize Antecip’s patents and applications related to the development of AXS-05, as well as two product candidates that are not currently in development, anywhere in the world for human therapeutic, veterinary, and diagnostic use. The agreements were amended in August 2015 to update the schedule of patents and applications subject to the license agreements. Pursuant to the agreements, we are required to use commercially reasonable efforts to develop, obtain regulatory approval for, and commercialize AXS-05. Under the terms of the agreements, we are required to pay to Antecip a royalty equal to 3.0% for AXS-05, of net sales of products containing the licensed technology by us, our affiliates, or permitted sublicensees. These royalty payments are subject to reduction by an amount up to 50.0% of any required payments to third parties. Unless earlier terminated by a party for cause or by us for convenience, the agreements remain in effect on a product-by-product and country-by-country basis until the later to occur of (1) the applicable product is no longer covered by a valid claim in that country or (2) 10 years from the first commercial sale of the applicable product in that country. Upon expiration of the agreements with respect to a product in a country, our license grant for that product in that country will become a fully paid-up, royalty-free, perpetual non-exclusive license. If Antecip terminates any of the agreements for cause, or if we exercise our right to terminate any of the agreements for convenience, the rights granted to us under such terminated agreement will revert to Antecip. We are dependent upon the license agreements with Antecip and if any of the license agreements with Antecip are terminated for any reason, our business, financial condition, results of operations, and prospects will be materially harmed.</w:t>
      </w:r>
    </w:p>
    <w:p>
      <w:pPr>
        <w:spacing w:after="0" w:line="197" w:lineRule="exact"/>
        <w:rPr>
          <w:sz w:val="20"/>
          <w:szCs w:val="20"/>
          <w:color w:val="auto"/>
        </w:rPr>
      </w:pPr>
    </w:p>
    <w:p>
      <w:pPr>
        <w:ind w:right="140" w:firstLine="749"/>
        <w:spacing w:after="0" w:line="258" w:lineRule="auto"/>
        <w:rPr>
          <w:sz w:val="20"/>
          <w:szCs w:val="20"/>
          <w:color w:val="auto"/>
        </w:rPr>
      </w:pPr>
      <w:r>
        <w:rPr>
          <w:rFonts w:ascii="Times New Roman" w:cs="Times New Roman" w:eastAsia="Times New Roman" w:hAnsi="Times New Roman"/>
          <w:sz w:val="18"/>
          <w:szCs w:val="18"/>
          <w:color w:val="auto"/>
        </w:rPr>
        <w:t>In connection with the Acquisition, in addition to the upfront purchase price, we assumed certain liabilities in connection with the Acquisition and agreed to make non-refundable, non-creditable royalty payments to Jazz on U.S. net sales. There are no royalty payments due to Jazz for net sales outside of the U.S. In addition, we assumed all of the commitments of Jazz to SK and Aerial. The assumed commitments to SK and Aerial include single-digit tiered royalties and certain sales and development milestones. We are dependent on these agreements, and if we breach these agreements, our business, financial condition, results of operations, and prospects will be materially harmed.</w:t>
      </w:r>
    </w:p>
    <w:p>
      <w:pPr>
        <w:spacing w:after="0" w:line="179"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that our employees, independent contractors, or consultants have wrongfully used or disclosed alleged trade secrets of their former employers or other third parties.</w:t>
      </w:r>
    </w:p>
    <w:p>
      <w:pPr>
        <w:spacing w:after="0" w:line="159"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As is common in the biotechnology and pharmaceutical industry, we employ individuals who were previously employed at other biotechnology or pharmaceutical companies, including our competitors or potential competitors. Although no claims against us are currently pending, we may be subject to claims that these individuals or we have inadvertently or otherwise used or disclosed trade secrets or other proprietary information of their former employers. Litigation may be necessary to defend against these claims. Even if we are successful in defending against these claims, litigation could result in substantial costs and be a distraction to management.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unable to adequately prevent disclosure of trade secrets and other proprietary information.</w:t>
      </w:r>
    </w:p>
    <w:p>
      <w:pPr>
        <w:spacing w:after="0" w:line="229"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We rely on trade secrets to protect our proprietary technological advances and know how, especially where we do not believe patent protection is appropriate or obtainable. However, trade secrets are difficult to protect. We rely in part on confidentiality agreements with our employees, consultants, contractors, outside scientific collaborators, sponsored researchers, and other advisors, including the third parties we rely on to manufacture our products, to protect our trade secrets and other proprietary information. However, any party with whom we have executed such an agreement may breach that agreement and disclose our proprietary information, including our trade secrets. Accordingly, these agreements may not effectively prevent disclosure of proprietary information and may not provide an adequate remedy in the event of unauthorized disclosure of proprietary information. Costly and time consuming litigation could be necessary to enforce and determine the scope of our proprietary rights. In addition, others may independently discover our trade secrets and proprietary information. Further, the FDA, as part of its Transparency Initiative, a proposal to increase disclosure and make data more accessible to the public, is currently considering whether to make additional information publicly available on a routine basis, including information that we may consider to be trade secrets or other proprietary information, and it is not clear at the present time how the FDA’s disclosure policies may change in the future, if at all. Failure to obtain or maintain trade secret protection could enable competitors to use our proprietary information to develop products that compete with our products or cause additional, material adverse effects upon our competitive business position and financial results.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or our licensors, may not be able to protect our intellectual property rights throughout the world.</w:t>
      </w:r>
    </w:p>
    <w:p>
      <w:pPr>
        <w:spacing w:after="0" w:line="229"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Filing, prosecuting, enforcing, and defending patent applications and patents on products in all countries throughout the world would be prohibitively expensive, and our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where enforcement rights are not as strong as those in the United States. These products may compete with our products and our patents or other intellectual property rights may not be effective or sufficient to prevent them from competing.</w:t>
      </w:r>
    </w:p>
    <w:p>
      <w:pPr>
        <w:spacing w:after="0" w:line="192" w:lineRule="exact"/>
        <w:rPr>
          <w:sz w:val="20"/>
          <w:szCs w:val="20"/>
          <w:color w:val="auto"/>
        </w:rPr>
      </w:pPr>
    </w:p>
    <w:p>
      <w:pPr>
        <w:ind w:right="40" w:firstLine="749"/>
        <w:spacing w:after="0" w:line="254" w:lineRule="auto"/>
        <w:rPr>
          <w:sz w:val="20"/>
          <w:szCs w:val="20"/>
          <w:color w:val="auto"/>
        </w:rPr>
      </w:pPr>
      <w:r>
        <w:rPr>
          <w:rFonts w:ascii="Times New Roman" w:cs="Times New Roman" w:eastAsia="Times New Roman" w:hAnsi="Times New Roman"/>
          <w:sz w:val="18"/>
          <w:szCs w:val="18"/>
          <w:color w:val="auto"/>
        </w:rPr>
        <w:t>Many companies have encountered significant problems in protecting, enforcing, and defending intellectual property rights in foreign jurisdictions. The legal systems of certain countries do not favor the enforcement of patents and other intellectual property protection, which could make it difficult for us to stop the infringement of our patents generally. Proceedings to enforce our patent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and/or our licensors’ intellectual property rights around the world may be inadequate to obtain a significant commercial advantage from the intellectual property that we develop or license.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LEGAL AND COMPLIANCE MATTERS</w:t>
      </w:r>
    </w:p>
    <w:p>
      <w:pPr>
        <w:spacing w:after="0" w:line="225" w:lineRule="exact"/>
        <w:rPr>
          <w:sz w:val="20"/>
          <w:szCs w:val="20"/>
          <w:color w:val="auto"/>
        </w:rPr>
      </w:pPr>
    </w:p>
    <w:p>
      <w:pPr>
        <w:ind w:right="6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federal, state, and foreign healthcare laws, including laws governing fraud and abuse, transparency, health and data protection, information privacy and security, we could face substantial penalties and liabilities, and our business, financial condition, results of operations, and prospects could be adversely affected.</w:t>
      </w:r>
    </w:p>
    <w:p>
      <w:pPr>
        <w:spacing w:after="0" w:line="175" w:lineRule="exact"/>
        <w:rPr>
          <w:sz w:val="20"/>
          <w:szCs w:val="20"/>
          <w:color w:val="auto"/>
        </w:rPr>
      </w:pPr>
    </w:p>
    <w:p>
      <w:pPr>
        <w:ind w:right="60" w:firstLine="749"/>
        <w:spacing w:after="0" w:line="255" w:lineRule="auto"/>
        <w:rPr>
          <w:sz w:val="20"/>
          <w:szCs w:val="20"/>
          <w:color w:val="auto"/>
        </w:rPr>
      </w:pPr>
      <w:r>
        <w:rPr>
          <w:rFonts w:ascii="Times New Roman" w:cs="Times New Roman" w:eastAsia="Times New Roman" w:hAnsi="Times New Roman"/>
          <w:sz w:val="18"/>
          <w:szCs w:val="18"/>
          <w:color w:val="auto"/>
        </w:rPr>
        <w:t>As a pharmaceutical company, we are subject to many federal and state healthcare laws, including those described in the “Business— Government Regulation and Product Approval” section of our most recent Annual Report on Form 10-K, such as the federal Anti-Kickback Statute, the federal civil and criminal FCA, the civil monetary penalties statute, the Medicaid Drug Rebate Statute and other price reporting requirements, the Veterans Health Care Act of 1992, the Sunshine Act, HIPAA, the FCPA, the ACA, and other state and foreign laws. Even though we do not and will not control referrals of healthcare services or bill directly to Medicare, Medicaid, or other third-party payors, certain federal and state healthcare laws and regulations pertaining to fraud and abuse, disclosures, and patients’ rights are and will be applicable to our business. We are subject to healthcare laws by both the federal government and the states in which we conduct our business as well as by other third parties, such as patients.</w:t>
      </w:r>
    </w:p>
    <w:p>
      <w:pPr>
        <w:spacing w:after="0" w:line="189" w:lineRule="exact"/>
        <w:rPr>
          <w:sz w:val="20"/>
          <w:szCs w:val="20"/>
          <w:color w:val="auto"/>
        </w:rPr>
      </w:pPr>
    </w:p>
    <w:p>
      <w:pPr>
        <w:ind w:right="20" w:firstLine="749"/>
        <w:spacing w:after="0" w:line="253" w:lineRule="auto"/>
        <w:rPr>
          <w:sz w:val="20"/>
          <w:szCs w:val="20"/>
          <w:color w:val="auto"/>
        </w:rPr>
      </w:pPr>
      <w:r>
        <w:rPr>
          <w:rFonts w:ascii="Times New Roman" w:cs="Times New Roman" w:eastAsia="Times New Roman" w:hAnsi="Times New Roman"/>
          <w:sz w:val="18"/>
          <w:szCs w:val="18"/>
          <w:color w:val="auto"/>
        </w:rPr>
        <w:t>There are numerous other laws and legislative and regulatory initiatives at the federal and state levels addressing privacy and security concerns, and some state privacy and security laws apply in broader circumstances than HIPAA and its implementing regulations. For example, California enacted legislation – the CCPA, which went into effect in January 2020, as subsequently amended by the CPRA, passed on November 3, 2020. The CCPA, among other things, creates data privacy obligations for covered companies and provides new privacy rights to California residents, including the right to opt out of certain disclosures of their information. The CCPA also creates a private right of action with statutory damages for certain data breaches, thereby potentially increasing risks associated with a data breach. Further, many data privacy and security laws within the U.S. have concurrent jurisdiction, which could subject us to enforcement by multiple agencies under multiple statutes for the same conduct (e.g., FTC enforcement under Section 5, HHS-Office for Civil Rights enforcement under HIPAA, and actions by state Attorneys General for violation of applicable state laws). Since the passage of the CCPA, certain other states have passed similar laws that may also have similar impacts on our data processing practices and incurred costs. Some of these state laws have not taken effect, and we cannot predict if states will subsequently amend those laws, if other states will pass similar laws, or the costs and expenses that we will incur to comply with such laws.</w:t>
      </w:r>
    </w:p>
    <w:p>
      <w:pPr>
        <w:spacing w:after="0" w:line="192" w:lineRule="exact"/>
        <w:rPr>
          <w:sz w:val="20"/>
          <w:szCs w:val="20"/>
          <w:color w:val="auto"/>
        </w:rPr>
      </w:pPr>
    </w:p>
    <w:p>
      <w:pPr>
        <w:ind w:firstLine="749"/>
        <w:spacing w:after="0" w:line="252" w:lineRule="auto"/>
        <w:rPr>
          <w:sz w:val="20"/>
          <w:szCs w:val="20"/>
          <w:color w:val="auto"/>
        </w:rPr>
      </w:pPr>
      <w:r>
        <w:rPr>
          <w:rFonts w:ascii="Times New Roman" w:cs="Times New Roman" w:eastAsia="Times New Roman" w:hAnsi="Times New Roman"/>
          <w:sz w:val="18"/>
          <w:szCs w:val="18"/>
          <w:color w:val="auto"/>
        </w:rPr>
        <w:t>In addition, EU member states and other foreign jurisdictions, including Switzerland, have adopted data protection laws and regulations which impose significant compliance obligations. Moreover, the collection and use of personal data, including health data, relating to individuals located in the EU, which was formerly governed by the provisions of the EU Data Protection Directive 95/46, was replaced with the EU GDPR in May 2018. The GDPR, which is wide-ranging in scope, imposes several requirements relating to the legal basis of the processing of personal data, the information provided to the individuals, the security and confidentiality of the personal data, data breach notification and the use of third-party processors in connection with the processing of personal data. The GDPR also imposes strict rules on the transfer of personal data out of the EEA to the U.S. and other non-EEA countries that do not provide a level of protection to personal data in line with the GDPR standard, provides an enforcement authority in each EU member state and imposes large penalties for noncompliance, including the potential for fines of up to €20 million or 4% of the annual global turnover of the noncompliant company, whichever is greater. The GDPR requirements apply not only to third-party transactions, but also to transfers of information between us and our subsidiaries, including employee information. The coming into force of the GDPR has increased our responsibility and liability in relation to personal data that we process, including in clinical trials, and we may in the future be required to put in place additional mechanisms to ensure compliance with the GDPR, which could divert management’s attention and increase our cost of doing business. Moreover, new regulation or legislative actions regarding data privacy and security (together with applicable industry standards) may increase our costs of doing business. In this regard, we expect that there will continue to be new proposed laws, regulations and industry standards relating to privacy and data protection in the United States, the EU and other jurisdictions, and we cannot determine the impact such future laws, regulations and standards may have on our business.</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firstLine="749"/>
        <w:spacing w:after="0" w:line="266" w:lineRule="auto"/>
        <w:rPr>
          <w:sz w:val="20"/>
          <w:szCs w:val="20"/>
          <w:color w:val="auto"/>
        </w:rPr>
      </w:pPr>
      <w:r>
        <w:rPr>
          <w:rFonts w:ascii="Times New Roman" w:cs="Times New Roman" w:eastAsia="Times New Roman" w:hAnsi="Times New Roman"/>
          <w:sz w:val="18"/>
          <w:szCs w:val="18"/>
          <w:color w:val="auto"/>
        </w:rPr>
        <w:t>There are also federal and state laws on marketing and solicitation, such as CAN-SPAM. The CAN-SPAM Act, among other things, obligates the sender of commercial emails to provide recipients with the ability to opt out of receiving future commercial emails from the sender. Any failure by us to comply fully with the CAN-SPAM Act may leave us subject to substantial fines and penalties.</w:t>
      </w:r>
    </w:p>
    <w:p>
      <w:pPr>
        <w:spacing w:after="0" w:line="176" w:lineRule="exact"/>
        <w:rPr>
          <w:sz w:val="20"/>
          <w:szCs w:val="20"/>
          <w:color w:val="auto"/>
        </w:rPr>
      </w:pPr>
    </w:p>
    <w:p>
      <w:pPr>
        <w:ind w:right="140" w:firstLine="749"/>
        <w:spacing w:after="0" w:line="266" w:lineRule="auto"/>
        <w:rPr>
          <w:sz w:val="20"/>
          <w:szCs w:val="20"/>
          <w:color w:val="auto"/>
        </w:rPr>
      </w:pPr>
      <w:r>
        <w:rPr>
          <w:rFonts w:ascii="Times New Roman" w:cs="Times New Roman" w:eastAsia="Times New Roman" w:hAnsi="Times New Roman"/>
          <w:sz w:val="18"/>
          <w:szCs w:val="18"/>
          <w:color w:val="auto"/>
        </w:rPr>
        <w:t>In addition, foreign jurisdictions, such as Canada, have enacted laws that regulate our ability to send commercial messages via email. For example, Canada’s Anti-Spam Legislation (“CASL”) prohibits email marketing without the recipient’s consent, with limited exceptions. The penalties for non-compliance with CASL are considerable, including administrative monetary penalties of up to $10 million and a private right of action.</w:t>
      </w:r>
    </w:p>
    <w:p>
      <w:pPr>
        <w:spacing w:after="0" w:line="176" w:lineRule="exact"/>
        <w:rPr>
          <w:sz w:val="20"/>
          <w:szCs w:val="20"/>
          <w:color w:val="auto"/>
        </w:rPr>
      </w:pPr>
    </w:p>
    <w:p>
      <w:pPr>
        <w:ind w:right="20" w:firstLine="749"/>
        <w:spacing w:after="0" w:line="255" w:lineRule="auto"/>
        <w:rPr>
          <w:sz w:val="20"/>
          <w:szCs w:val="20"/>
          <w:color w:val="auto"/>
        </w:rPr>
      </w:pPr>
      <w:r>
        <w:rPr>
          <w:rFonts w:ascii="Times New Roman" w:cs="Times New Roman" w:eastAsia="Times New Roman" w:hAnsi="Times New Roman"/>
          <w:sz w:val="18"/>
          <w:szCs w:val="18"/>
          <w:color w:val="auto"/>
        </w:rPr>
        <w:t>If we, or our operations, are found to be in violation of any federal or state healthcare, data or information privacy law, or any other governmental regulations that apply to us, we may be subject to penalties, including civil, criminal, and administrative penalties, damages, fines, disgorgement, debarment from government contracts, refusal of orders under existing contracts, exclusion from participation in U.S. federal or state health care programs, corporate integrity agreements, and the curtailment or restructuring of our operations, any of which could materially adversely affect our ability to operate our business and our financial results. If any of the physicians or other healthcare providers or entities with whom we expect to do business, including our collaborators, is found not to be in compliance with applicable laws, it may be subject to criminal, civil, or administrative sanctions, including but not limited to, exclusions from participation in government healthcare programs, which could also materially affect our business.</w:t>
      </w:r>
    </w:p>
    <w:p>
      <w:pPr>
        <w:spacing w:after="0" w:line="189" w:lineRule="exact"/>
        <w:rPr>
          <w:sz w:val="20"/>
          <w:szCs w:val="20"/>
          <w:color w:val="auto"/>
        </w:rPr>
      </w:pPr>
    </w:p>
    <w:p>
      <w:pPr>
        <w:ind w:right="100" w:firstLine="749"/>
        <w:spacing w:after="0" w:line="261" w:lineRule="auto"/>
        <w:rPr>
          <w:sz w:val="20"/>
          <w:szCs w:val="20"/>
          <w:color w:val="auto"/>
        </w:rPr>
      </w:pPr>
      <w:r>
        <w:rPr>
          <w:rFonts w:ascii="Times New Roman" w:cs="Times New Roman" w:eastAsia="Times New Roman" w:hAnsi="Times New Roman"/>
          <w:sz w:val="18"/>
          <w:szCs w:val="18"/>
          <w:color w:val="auto"/>
        </w:rPr>
        <w:t>Although an effective compliance program can mitigate the risk of investigation and prosecution for violations of these laws, the risks cannot be entirely eliminated. Moreover, achieving and sustaining compliance with applicable federal and state fraud laws may prove costly. Any action against us for violation of these laws, even if we successfully defend against it, could cause us to incur significant legal expenses and divert our management’s attention from the operation of our business.</w:t>
      </w:r>
    </w:p>
    <w:p>
      <w:pPr>
        <w:spacing w:after="0" w:line="176" w:lineRule="exact"/>
        <w:rPr>
          <w:sz w:val="20"/>
          <w:szCs w:val="20"/>
          <w:color w:val="auto"/>
        </w:rPr>
      </w:pPr>
    </w:p>
    <w:p>
      <w:pPr>
        <w:ind w:righ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the government or third-party payors fail to provide adequate coverage and payment rates for any of our products, or if such payors and health care providers including health maintenance organizations (HMOs) and long-term care facilities choose to use therapies that are less expensive, our revenue and prospects for profitability may be limited.</w:t>
      </w:r>
    </w:p>
    <w:p>
      <w:pPr>
        <w:spacing w:after="0" w:line="175" w:lineRule="exact"/>
        <w:rPr>
          <w:sz w:val="20"/>
          <w:szCs w:val="20"/>
          <w:color w:val="auto"/>
        </w:rPr>
      </w:pPr>
    </w:p>
    <w:p>
      <w:pPr>
        <w:ind w:right="40" w:firstLine="749"/>
        <w:spacing w:after="0" w:line="253" w:lineRule="auto"/>
        <w:rPr>
          <w:sz w:val="20"/>
          <w:szCs w:val="20"/>
          <w:color w:val="auto"/>
        </w:rPr>
      </w:pPr>
      <w:r>
        <w:rPr>
          <w:rFonts w:ascii="Times New Roman" w:cs="Times New Roman" w:eastAsia="Times New Roman" w:hAnsi="Times New Roman"/>
          <w:sz w:val="18"/>
          <w:szCs w:val="18"/>
          <w:color w:val="auto"/>
        </w:rPr>
        <w:t>In both domestic and foreign markets, sales of our products depend in part upon the availability of coverage and reimbursement from third-party payors. Such third-party payors include government health programs, such as Medicare and Medicaid, managed care organizations, private health insurers, and other similar programs and organizations. Coverage decisions may depend upon clinical and economic standards that disfavor new drug products when more established or lower cost therapeutic alternatives are already available or subsequently become available. Many private payors employ “new-to-market blocks” for newly launched medications and other products until the payors have had the opportunity to make a coverage decision based upon their internal review of such products. When a medication or other product is not covered, the patient or other third party is responsible to pay the full price, which can significantly limit utilization. If reimbursement is not available, or is available only up to limited levels, our product candidates may be competitively disadvantaged, and we, or our collaborators, may not be able to successfully commercialize our product candidates. Even if coverage is provided, the approved reimbursement amount may not be high enough to allow us, or our collaborators, to establish or maintain a market share sufficient to realize a sufficient return on our or their investments. Alternatively, securing favorable reimbursement terms may require us to compromise pricing and prevent us from realizing an adequate margin over cost.</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firstLine="749"/>
        <w:spacing w:after="0" w:line="251" w:lineRule="auto"/>
        <w:rPr>
          <w:sz w:val="20"/>
          <w:szCs w:val="20"/>
          <w:color w:val="auto"/>
        </w:rPr>
      </w:pPr>
      <w:r>
        <w:rPr>
          <w:rFonts w:ascii="Times New Roman" w:cs="Times New Roman" w:eastAsia="Times New Roman" w:hAnsi="Times New Roman"/>
          <w:sz w:val="18"/>
          <w:szCs w:val="18"/>
          <w:color w:val="auto"/>
        </w:rPr>
        <w:t>There is significant uncertainty related to third-party payor coverage and reimbursement of newly approved drugs. Marketing approvals, pricing, and reimbursement for new drug products varies widely from country to country. Current and future legislation and/or administrative action may significantly change the approval requirements in ways that could involve additional costs and cause delays in obtaining approvals. For example, on September 20, 2024, the Centers for Medicare &amp; Medicaid Services issued a final rule titled “Medicaid Program; Misclassification of Drugs, Program Integrity Updates Under the Medicaid Drug Rebate Program,” which may impact our reimbursement and rebate strategy. Some countries require approval of the sale price of a drug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As a result, we might obtain marketing approval for a product in a particular country, but then be subject to price regulations that delay commercial launch of the product, possibly for lengthy time periods, which may negatively impact the revenues we are able to generate from the sale of the product in that country. Additionally, drug pricing is a key state and federal issue within the U.S., with recent legislation and additional proposals designed to bring more transparency to drug pricing, reduce the cost of prescription drugs under Medicare and Medicaid, review the relationship between pricing and manufacturer patient programs and reform government program reimbursement methodologies for drugs. We expect continued focus and pressure on drug pricing going forward. Adverse pricing limitations may hinder our ability or the ability of our collaborators to recoup our or their investment in one or more of our products or product candidates. Our ability, and the ability of our collaborators, to commercialize our product candidates will depend in part on the extent to which coverage and reimbursement for these products and related treatments will be available from government healthcare programs, private health insurers, and other organizations. Regulatory authorities and third-party payors, such as private health insurers and HMOs, decide which medications they will cover and establish reimbursement levels. The healthcare industry is acutely focused on cost containment, both in the United States and elsewhere. Several third-party payors are requiring that drug companies provide them with predetermined discounts from list prices, are using preferred drug lists to leverage greater discounts in competitive classes, are disregarding therapeutic differentiators within classes, and are challenging the prices charged for drugs. Brand drugs without generic equivalents are often included in therapeutic classes with other brands that have generic versions and may be similarly disadvantaged by the availability of low-cost alternatives within the class, particularly if a generic version of the same agent is available in another form.</w:t>
      </w:r>
    </w:p>
    <w:p>
      <w:pPr>
        <w:spacing w:after="0" w:line="206"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Third-party payors, whether foreign or domestic, or governmental or commercial, are developing increasingly sophisticated methods of controlling healthcare costs. In addition, in the United States, no uniform policy of coverage and reimbursement for drug products exists among third-party payors. Therefore, coverage and reimbursement for drug products can differ significantly from payor to payor. Further, we believe that future coverage and reimbursement will likely be subject to increased restrictions both in the United States and in international markets. Third-party coverage and reimbursement for our products or product candidates for which we receive regulatory approval may not be available or adequate in either the United States or international markets, which could have a negative effect on our business, financial condition, results of operations, and prospects.</w:t>
      </w:r>
    </w:p>
    <w:p>
      <w:pPr>
        <w:spacing w:after="0" w:line="187" w:lineRule="exact"/>
        <w:rPr>
          <w:sz w:val="20"/>
          <w:szCs w:val="20"/>
          <w:color w:val="auto"/>
        </w:rPr>
      </w:pPr>
    </w:p>
    <w:p>
      <w:pPr>
        <w:ind w:right="40" w:firstLine="749"/>
        <w:spacing w:after="0" w:line="254" w:lineRule="auto"/>
        <w:rPr>
          <w:sz w:val="20"/>
          <w:szCs w:val="20"/>
          <w:color w:val="auto"/>
        </w:rPr>
      </w:pPr>
      <w:r>
        <w:rPr>
          <w:rFonts w:ascii="Times New Roman" w:cs="Times New Roman" w:eastAsia="Times New Roman" w:hAnsi="Times New Roman"/>
          <w:sz w:val="18"/>
          <w:szCs w:val="18"/>
          <w:color w:val="auto"/>
        </w:rPr>
        <w:t>Assuming coverage is approved, the resulting reimbursement payment rates might not be adequate. If payors subject our products to maximum payment amounts or impose limitations that make it difficult to obtain reimbursement, providers may choose to use therapies which are less expensive or have fewer access restrictions when compared to our product candidates. Additionally, if payors require high copayments, beneficiaries may decline prescriptions and seek alternative therapies. We may need to conduct post-marketing studies in order to demonstrate the cost effectiveness of any of our products to the satisfaction of hospitals and other target customers and their third-party payors. Such studies might require us to commit a significant amount of management time and financial and other resources. Our products might not ultimately be considered cost effective. Adequate third-party coverage and reimbursement might not be available to enable us to maintain price levels sufficient to realize an appropriate return on investment in product development.</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In addition, federal programs impose penalties on manufacturers of drugs marketed under an NDA, including 505(b)(2) drugs, in the form of mandatory additional rebates and/or discounts if commercial prices increase at a rate greater than the Consumer Price Index Urban, and these rebates and/or discounts, which can be substantial, may impact our ability to raise commercial prices. Regulatory authorities and third-party payors have attempted to control costs by limiting coverage and the amount of reimbursement for particular medications, which could affect our ability or that of our collaborators to sell our product candidates profitably. These payors may not view our products, if any, as cost effective, and coverage and reimbursement may not be available to our customers, or those of our collaborators, or may not be sufficient to allow our products, if any, to be marketed on a competitive basis. Cost control initiatives could cause us, or our collaborators, to decrease, discount, or rebate a portion of the price we, or they, might establish for products, which could result in lower than anticipated product revenues. If the realized prices for our products, if any, decrease or if governmental and other third-party payors do not provide adequate coverage or reimbursement, our prospects for revenue and profitability will suffer.</w:t>
      </w:r>
    </w:p>
    <w:p>
      <w:pPr>
        <w:spacing w:after="0" w:line="188" w:lineRule="exact"/>
        <w:rPr>
          <w:sz w:val="20"/>
          <w:szCs w:val="20"/>
          <w:color w:val="auto"/>
        </w:rPr>
      </w:pPr>
    </w:p>
    <w:p>
      <w:pPr>
        <w:jc w:val="both"/>
        <w:ind w:right="440" w:firstLine="749"/>
        <w:spacing w:after="0" w:line="257" w:lineRule="auto"/>
        <w:rPr>
          <w:sz w:val="20"/>
          <w:szCs w:val="20"/>
          <w:color w:val="auto"/>
        </w:rPr>
      </w:pPr>
      <w:r>
        <w:rPr>
          <w:rFonts w:ascii="Times New Roman" w:cs="Times New Roman" w:eastAsia="Times New Roman" w:hAnsi="Times New Roman"/>
          <w:sz w:val="18"/>
          <w:szCs w:val="18"/>
          <w:color w:val="auto"/>
        </w:rPr>
        <w:t>There may also be delays in obtaining coverage and reimbursement for newly approved drugs, and coverage may be more limited than the indications for which the drug is approved by the FDA or comparable foreign regulatory authorities. Moreover, eligibility for reimbursement does not imply that any drug will be paid for in all cases or at a rate that covers our costs, including research, development, manufacture, sale, and distribution.</w:t>
      </w:r>
    </w:p>
    <w:p>
      <w:pPr>
        <w:spacing w:after="0" w:line="1"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8"/>
          <w:szCs w:val="18"/>
          <w:color w:val="auto"/>
        </w:rPr>
        <w:t>Interim reimbursement levels for new drugs, if applicable, may also not be sufficient to cover our costs and may only be temporary. Reimbursement rates may vary, by way of example, according to the use of the drug and the clinical setting in which it is used. Reimbursement rates may also be based on reimbursement levels already set for lower cost drugs or may be incorporated into existing payments for other services.</w:t>
      </w:r>
    </w:p>
    <w:p>
      <w:pPr>
        <w:spacing w:after="0" w:line="186" w:lineRule="exact"/>
        <w:rPr>
          <w:sz w:val="20"/>
          <w:szCs w:val="20"/>
          <w:color w:val="auto"/>
        </w:rPr>
      </w:pPr>
    </w:p>
    <w:p>
      <w:pPr>
        <w:ind w:right="100" w:firstLine="749"/>
        <w:spacing w:after="0" w:line="255" w:lineRule="auto"/>
        <w:rPr>
          <w:sz w:val="20"/>
          <w:szCs w:val="20"/>
          <w:color w:val="auto"/>
        </w:rPr>
      </w:pPr>
      <w:r>
        <w:rPr>
          <w:rFonts w:ascii="Times New Roman" w:cs="Times New Roman" w:eastAsia="Times New Roman" w:hAnsi="Times New Roman"/>
          <w:sz w:val="18"/>
          <w:szCs w:val="18"/>
          <w:color w:val="auto"/>
        </w:rPr>
        <w:t>Prices paid for a drug also vary depending on the class of trade. Prices charged to government customers are subject to price controls, including ceilings, and private institutions obtain discounts through group purchasing organizations. Net prices for drugs may be further reduced by mandatory discounts or rebates required by government healthcare programs and demanded by private payors. Drugs approved under NDAs, including 505(b)(2) drugs, are subject to greater discounts and reporting obligations under federal programs than drugs approved under ANDAs, and the inflation penalty applicable to these products can equal the selling price. It is also not uncommon for market conditions to warrant multiple discounts to different customers on the same unit, such as purchase discounts to institutional care providers and rebates to the health plans that pay them, which reduces the net realization on the original sale.</w:t>
      </w:r>
    </w:p>
    <w:p>
      <w:pPr>
        <w:spacing w:after="0" w:line="189" w:lineRule="exact"/>
        <w:rPr>
          <w:sz w:val="20"/>
          <w:szCs w:val="20"/>
          <w:color w:val="auto"/>
        </w:rPr>
      </w:pPr>
    </w:p>
    <w:p>
      <w:pPr>
        <w:ind w:right="40" w:firstLine="749"/>
        <w:spacing w:after="0" w:line="255" w:lineRule="auto"/>
        <w:rPr>
          <w:sz w:val="20"/>
          <w:szCs w:val="20"/>
          <w:color w:val="auto"/>
        </w:rPr>
      </w:pPr>
      <w:r>
        <w:rPr>
          <w:rFonts w:ascii="Times New Roman" w:cs="Times New Roman" w:eastAsia="Times New Roman" w:hAnsi="Times New Roman"/>
          <w:sz w:val="18"/>
          <w:szCs w:val="18"/>
          <w:color w:val="auto"/>
        </w:rPr>
        <w:t>In addition, increasingly, third-party payors are requiring higher levels of evidence of the benefits and clinical outcomes of new technologies and are challenging the prices charged. We, and our collaborators, cannot be sure that coverage will be available for any product that we, or they, commercialize and, if available, that the reimbursement rates will be adequate. Further, the net reimbursement for drug products may be subject to additional reductions if there are changes to laws that presently restrict imports of drugs from countries where they may be sold at lower prices than in the United States. An inability to promptly obtain coverage and adequate payment rates from both government funded and private payors for any of our product candidates for which we obtain marketing approval could have a material adverse effect on our operating results, ability to raise capital needed to commercialize products, and overall financial condition.</w:t>
      </w:r>
    </w:p>
    <w:p>
      <w:pPr>
        <w:spacing w:after="0" w:line="185"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new legislation, regulatory proposals, and healthcare payor initiatives that may increase our costs of compliance, and adversely affect our ability to market our products, obtain collaborators, and raise capital.</w:t>
      </w:r>
    </w:p>
    <w:p>
      <w:pPr>
        <w:spacing w:after="0" w:line="159" w:lineRule="exact"/>
        <w:rPr>
          <w:sz w:val="20"/>
          <w:szCs w:val="20"/>
          <w:color w:val="auto"/>
        </w:rPr>
      </w:pPr>
    </w:p>
    <w:p>
      <w:pPr>
        <w:ind w:right="60" w:firstLine="749"/>
        <w:spacing w:after="0" w:line="219" w:lineRule="exact"/>
        <w:rPr>
          <w:sz w:val="20"/>
          <w:szCs w:val="20"/>
          <w:color w:val="auto"/>
        </w:rPr>
      </w:pPr>
      <w:r>
        <w:rPr>
          <w:rFonts w:ascii="Times New Roman" w:cs="Times New Roman" w:eastAsia="Times New Roman" w:hAnsi="Times New Roman"/>
          <w:sz w:val="18"/>
          <w:szCs w:val="18"/>
          <w:color w:val="auto"/>
        </w:rPr>
        <w:t>In the United States and some foreign jurisdictions, there have been a number of legislative and regulatory changes and proposed changes regarding the healthcare system that could prevent or delay marketing approval of our product candidates, restrict or regulate post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approval activities, and affect our ability, or the ability of our collaborators, to profitably sell any products for which we obtain marketing approval. It is unclear what impact these various efforts have and will have on our business operations and resulting financial condition. We expect that current laws, as well as other healthcare reform measures that may be adopted in the future, may result in more rigorous coverage criteria and in additional downward pressure on the price that we, or our collaborators, may receive for any approved products.</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140" w:firstLine="749"/>
        <w:spacing w:after="0" w:line="266" w:lineRule="auto"/>
        <w:rPr>
          <w:sz w:val="20"/>
          <w:szCs w:val="20"/>
          <w:color w:val="auto"/>
        </w:rPr>
      </w:pPr>
      <w:r>
        <w:rPr>
          <w:rFonts w:ascii="Times New Roman" w:cs="Times New Roman" w:eastAsia="Times New Roman" w:hAnsi="Times New Roman"/>
          <w:sz w:val="18"/>
          <w:szCs w:val="18"/>
          <w:color w:val="auto"/>
        </w:rPr>
        <w:t>We are unable to predict the future course of federal or state healthcare legislation in the United States directed at broadening the availability of healthcare and containing or lowering the cost of healthcare, including drugs and biologics. Any further changes in the law or regulatory framework that reduce our revenue or increase our costs could also have a material and adverse effect on our business, financial condition and results of operations.</w:t>
      </w:r>
    </w:p>
    <w:p>
      <w:pPr>
        <w:spacing w:after="0" w:line="176" w:lineRule="exact"/>
        <w:rPr>
          <w:sz w:val="20"/>
          <w:szCs w:val="20"/>
          <w:color w:val="auto"/>
        </w:rPr>
      </w:pPr>
    </w:p>
    <w:p>
      <w:pPr>
        <w:ind w:right="20" w:firstLine="749"/>
        <w:spacing w:after="0" w:line="252" w:lineRule="auto"/>
        <w:rPr>
          <w:sz w:val="20"/>
          <w:szCs w:val="20"/>
          <w:color w:val="auto"/>
        </w:rPr>
      </w:pPr>
      <w:r>
        <w:rPr>
          <w:rFonts w:ascii="Times New Roman" w:cs="Times New Roman" w:eastAsia="Times New Roman" w:hAnsi="Times New Roman"/>
          <w:sz w:val="18"/>
          <w:szCs w:val="18"/>
          <w:color w:val="auto"/>
        </w:rPr>
        <w:t>We expect that federal and state healthcare reform measures that may be adopted in the future, may result in more rigorous coverage criteria, increased regulatory burdens and operating costs, decreased net revenue from our pharmaceutical products, decreased potential returns from our development efforts, and additional downward pressure on the price that we receive for any approved drug. There is also an increasing focus on the price of drugs, both at the state and federal levels, and it is likely that additional pricing controls will be enacted and could harm our business, financial condition and results of operations. For instance, states such as California have begun enacting transparency laws aimed at curbing drug price increases. We continue to monitor the potential impact of proposals and recently enacted legislation to lower prescription drug costs at the federal and state level. For example, the Inflation Reduction Act (“IRA”) was signed into law by President Biden in August 2022. The IRA makes significant changes to how drugs are covered and paid for under the Medicare program, including the creation of financial penalties for drugs whose prices rise faster than the rate of inflation, redesign of the Medicare Part D program to require manufacturers to bear more of the liability for certain drug benefits, and government price-setting for certain Medicare Part D drugs, starting in 2026, and Medicare Part B drugs starting in 2028. The IRA’s changes include, by way of example, capping Medicare beneficiary out-of-pocket spending at $2,000 for 2025 and providing for no beneficiary cost sharing above the annual out-of-pocket threshold. Additionally, as of January 1, 2025, the existing Medicare Coverage Gap Discount Program ended and was replaced by the Manufacturer Discount Program, through which a manufacturer provides discounts for brand-name drugs and biologics in the initial and catastrophic coverage phases under the Medicare Part D benefit. These changes eliminated the Medicare Part D coverage gap benefit phase (commonly referred to as the “donut hole”), in which a Medicare beneficiary was originally responsible for 100% of the costs of covered prescription drugs following an initial coverage phase until the costs initiated a catastrophic coverage phase, but which was gradually phased out through the end of 2024. We are evaluating what effect, if any, the IRA may have on our business. Any reduction in reimbursement from Medicare or other government healthcare programs may result in a similar reduction in payments from private payors. The implementation of cost containment measures or other healthcare reforms may prevent us from being able to generate revenue, attain profitability, or commercialize our drugs.</w:t>
      </w:r>
    </w:p>
    <w:p>
      <w:pPr>
        <w:spacing w:after="0" w:line="191" w:lineRule="exact"/>
        <w:rPr>
          <w:sz w:val="20"/>
          <w:szCs w:val="20"/>
          <w:color w:val="auto"/>
        </w:rPr>
      </w:pPr>
    </w:p>
    <w:p>
      <w:pPr>
        <w:ind w:firstLine="749"/>
        <w:spacing w:after="0" w:line="252" w:lineRule="auto"/>
        <w:rPr>
          <w:sz w:val="20"/>
          <w:szCs w:val="20"/>
          <w:color w:val="auto"/>
        </w:rPr>
      </w:pPr>
      <w:r>
        <w:rPr>
          <w:rFonts w:ascii="Times New Roman" w:cs="Times New Roman" w:eastAsia="Times New Roman" w:hAnsi="Times New Roman"/>
          <w:sz w:val="18"/>
          <w:szCs w:val="18"/>
          <w:color w:val="auto"/>
        </w:rPr>
        <w:t>On April 15, 2025, the Administration issued an executive order (the “April 2025 EO”) that, among other directives, directs the U.S. Department of Health and Human Services (HHS) to work with Congress to align the treatment of small molecule drugs and biologics in the Medicare price setting program under the IRA. It is currently unclear how such modifications would affect the timeframe in which Medicare price setting becomes applicable for selected drugs or biologics. The April 2025 EO also directs HHS to provide recommendations within 180 days to accelerate the approval of generics, biosimilars, combination products and second-in-class medications, as well as to address Medicaid drug rebates and Medicaid drug payment methodologies, and, within one year, to develop and implement a plan to test a payment model to enable Medicare to obtain pharmaceuticals at lower cost. Other Centers for Medicare &amp; Medicaid Services (CMS) policy changes and demonstration projects to test new care, delivery and payment models can also significantly affect how drugs, including our products, are covered and reimbursed. Legislative and regulatory proposals may also be made to expand post-approval requirements and restrict sales and promotional activities for drugs. To date, CMS has selected ten Medicare Part D drugs with prices to go into effect on January 1, 2026 and another 15 Part D drugs with prices to go into effect on January 1, 2027. Another 15 drugs from Medicare Part B or Medicare Part D will be selected by February 1, 2026, for the maximum price to be set and in effect by January 1, 2028. If any of our approved products are subject to price negotiations, it could, among other things, lead to lower revenues prior to the expiry of intellectual property protections. The Medicare drug price negotiation program is currently subject to legal challenges and, therefore, its outcome remains uncertain. We continue to evaluate the impact of the IRA on our business, operations and financial condition. We cannot be sure whether additional legislative changes will be enacted, or whether the FDA regulations, guidance, or interpretations will be changed, or what the impact of such changes on the marketing approvals of our product candidates, if any, may be. In addition, increased scrutiny by the U.S. Congress of the FDA’s approval process may significantly delay or prevent marketing approval, as well as subject us to more stringent product labeling and post-marketing testing and other requirements.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Further, the ACA expanded the 340B drug discount program to additional facilities for outpatient drugs. These facilities may purchase drugs at the discounted price provided to Medicaid and dispense drugs to people with commercial insurance coverage. This program has greatly expanded over time with qualifying facilities establishing relationships with contract pharmacies, which has continued to exert downward pressure on price and profitability of outpatient medicines. Any changes to Medicaid required rebates could also affect our 340B pricing. Other aspects of the 340B program are subject to ongoing litigation, the resolution of which could impact the scope of the 340B program.</w:t>
      </w:r>
    </w:p>
    <w:p>
      <w:pPr>
        <w:spacing w:after="0" w:line="183" w:lineRule="exact"/>
        <w:rPr>
          <w:sz w:val="20"/>
          <w:szCs w:val="20"/>
          <w:color w:val="auto"/>
        </w:rPr>
      </w:pPr>
    </w:p>
    <w:p>
      <w:pPr>
        <w:ind w:right="80" w:firstLine="749"/>
        <w:spacing w:after="0" w:line="254" w:lineRule="auto"/>
        <w:rPr>
          <w:sz w:val="20"/>
          <w:szCs w:val="20"/>
          <w:color w:val="auto"/>
        </w:rPr>
      </w:pPr>
      <w:r>
        <w:rPr>
          <w:rFonts w:ascii="Times New Roman" w:cs="Times New Roman" w:eastAsia="Times New Roman" w:hAnsi="Times New Roman"/>
          <w:sz w:val="18"/>
          <w:szCs w:val="18"/>
          <w:color w:val="auto"/>
        </w:rPr>
        <w:t>In addition, there have been a number of other legislative and regulatory proposals aimed at changing the pharmaceutical industry. For instance, the enacted DSCSA imposes obligations on manufacturers of prescription drug products for commercial distribution, regulating the distribution of the products at the federal level, and sets certain standards for federal or state registration and compliance of entities in the supply chain (manufacturers and repackagers, wholesale distributors, third-party logistics providers, and dispensers). The DSCSA preempts certain previously enacted state pedigree laws and the pedigree requirements of the PDMA. Trading partners within the drug supply chain must now ensure certain product tracing requirements are met; that they are doing business with other authorized trading partners; and they are required to exchange transaction information, transaction history, and transaction statements. Product identifier information (an aspect of the product tracing scheme) is also now required. The DSCSA requirements, development of standards, and the system for product tracing have been and will continue to be phased in over a period of years. The distribution of product samples continues to be regulated under the PDMA, and some states also impose regulations on drug sample distribution.</w:t>
      </w:r>
    </w:p>
    <w:p>
      <w:pPr>
        <w:spacing w:after="0" w:line="188" w:lineRule="exact"/>
        <w:rPr>
          <w:sz w:val="20"/>
          <w:szCs w:val="20"/>
          <w:color w:val="auto"/>
        </w:rPr>
      </w:pPr>
    </w:p>
    <w:p>
      <w:pPr>
        <w:ind w:right="100" w:firstLine="749"/>
        <w:spacing w:after="0" w:line="266" w:lineRule="auto"/>
        <w:rPr>
          <w:sz w:val="20"/>
          <w:szCs w:val="20"/>
          <w:color w:val="auto"/>
        </w:rPr>
      </w:pPr>
      <w:r>
        <w:rPr>
          <w:rFonts w:ascii="Times New Roman" w:cs="Times New Roman" w:eastAsia="Times New Roman" w:hAnsi="Times New Roman"/>
          <w:sz w:val="18"/>
          <w:szCs w:val="18"/>
          <w:color w:val="auto"/>
        </w:rPr>
        <w:t>Compliance with the federal track and trace requirements may increase our operational expenses and impose significant administrative burdens. As a result of these and other new proposals, we may determine to change our current manner of operation, provide additional benefits, or change our contract arrangements, any of which could have a material adverse effect on our business, financial condition, and results of operations.</w:t>
      </w:r>
    </w:p>
    <w:p>
      <w:pPr>
        <w:spacing w:after="0" w:line="176" w:lineRule="exact"/>
        <w:rPr>
          <w:sz w:val="20"/>
          <w:szCs w:val="20"/>
          <w:color w:val="auto"/>
        </w:rPr>
      </w:pPr>
    </w:p>
    <w:p>
      <w:pPr>
        <w:ind w:right="40" w:firstLine="749"/>
        <w:spacing w:after="0" w:line="255" w:lineRule="auto"/>
        <w:rPr>
          <w:sz w:val="20"/>
          <w:szCs w:val="20"/>
          <w:color w:val="auto"/>
        </w:rPr>
      </w:pPr>
      <w:r>
        <w:rPr>
          <w:rFonts w:ascii="Times New Roman" w:cs="Times New Roman" w:eastAsia="Times New Roman" w:hAnsi="Times New Roman"/>
          <w:sz w:val="18"/>
          <w:szCs w:val="18"/>
          <w:color w:val="auto"/>
        </w:rPr>
        <w:t>In the EU, recently adopted and pending legislation will impact regulatory procedures for medicinal products. Key developments include Regulation (EU) 2021/2282 on health technology assessment (HTA Regulation), which became applicable in the EU on 12 January 2025. Additionally, in April 2023, the EC adopted a proposal to revise the EU pharmaceutical legislation consisting of a new directive and a new regulation that would replace Directive 2001/83/EC and Regulation (EC) 726/2004, among others. In April 2024, the European Parliament introduced amendments to the EC’s proposal. The EU legislative process remains ongoing, with several stages still required before the reform can receive final approval. If approved, the reform would mark the most significant overhaul of EU pharmaceutical law since 2004, with a wide range of impacts including on approval procedures, regulatory data protection, or RDP, and the so-called “Bolar exemption,” among others.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a variety of U.S. and international laws and regulations.</w:t>
      </w:r>
    </w:p>
    <w:p>
      <w:pPr>
        <w:spacing w:after="0" w:line="229" w:lineRule="exact"/>
        <w:rPr>
          <w:sz w:val="20"/>
          <w:szCs w:val="20"/>
          <w:color w:val="auto"/>
        </w:rPr>
      </w:pPr>
    </w:p>
    <w:p>
      <w:pPr>
        <w:ind w:right="100" w:firstLine="749"/>
        <w:spacing w:after="0" w:line="253" w:lineRule="auto"/>
        <w:rPr>
          <w:sz w:val="20"/>
          <w:szCs w:val="20"/>
          <w:color w:val="auto"/>
        </w:rPr>
      </w:pPr>
      <w:r>
        <w:rPr>
          <w:rFonts w:ascii="Times New Roman" w:cs="Times New Roman" w:eastAsia="Times New Roman" w:hAnsi="Times New Roman"/>
          <w:sz w:val="18"/>
          <w:szCs w:val="18"/>
          <w:color w:val="auto"/>
        </w:rPr>
        <w:t>We are currently subject to a number of government laws and regulations, and, in the future, could become subject to new government laws and regulations. The costs of compliance with such laws and regulations, or the negative results of non-compliance, could adversely affect our business, cash flow, results of operations, financial condition, and prospects; these laws and regulations include (i) additional health care reform initiatives in the U.S. or in other countries, including additional mandatory discounts or fees; (ii) the FCPA or other anti-bribery and corruption laws; (iii) new laws, regulations, and judicial or other governmental decisions affecting pricing, drug reimbursement, and access or marketing within or across jurisdictions; (iv) changes in intellectual property laws; (v) changes in accounting standards; (vi) new and increasing data privacy regulations and enforcement, particularly in the EU, the U.S., and China; (vii) legislative mandates or preferences for local manufacturing of pharmaceutical products; (viii) emerging and new global regulatory requirements for reporting payments and other value transfers to healthcare professionals; (ix) environmental regulations, such as the EU’s Corporate Sustainability Reporting Directive; and (x) the potential impact of importation restrictions, embargoes, trade sanctions, and legislative and/or other regulatory changes.</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80" w:firstLine="749"/>
        <w:spacing w:after="0" w:line="258" w:lineRule="auto"/>
        <w:rPr>
          <w:sz w:val="20"/>
          <w:szCs w:val="20"/>
          <w:color w:val="auto"/>
        </w:rPr>
      </w:pPr>
      <w:r>
        <w:rPr>
          <w:rFonts w:ascii="Times New Roman" w:cs="Times New Roman" w:eastAsia="Times New Roman" w:hAnsi="Times New Roman"/>
          <w:sz w:val="18"/>
          <w:szCs w:val="18"/>
          <w:color w:val="auto"/>
        </w:rPr>
        <w:t>For example, the OBBBA reinstates the option to deduct domestic research and development expenditures in the year incurred, commencing with tax years beginning after December 31, 2024. Foreign research and development expenditures remain subject to the 15-year capitalization and amortization requirements. The OBBBA also includes other significant provisions, including tax cut extensions and modifications to the international tax framework. While we continue to evaluate the impact of these legislative changes as additional guidance becomes available, uncertainty remains regarding the timing and interpretation by tax authorities in affected jurisdictions.</w:t>
      </w:r>
    </w:p>
    <w:p>
      <w:pPr>
        <w:spacing w:after="0" w:line="183"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Further, OBBBA has enacted, among others, changes to eligibility requirements for premium tax credits, which are expected to result in less coverage in the ACA’s health insurance marketplace (“Marketplace”) over the next few years. The ACA premium tax credits will expire at the end of 2025, which is expected to result in an additional loss of coverage for approximately 24 million people currently enrolled in insurance plans obtained through the Marketplace. In addition, the OBBBA has made other changes to the enrollment and eligibility requirements for Medicaid, which is expected to result in the loss of coverage for certain individuals currently enrolled in Medicaid programs.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Governments outside the United States tend to impose strict price controls, which may adversely affect our revenues, if any.</w:t>
      </w:r>
    </w:p>
    <w:p>
      <w:pPr>
        <w:spacing w:after="0" w:line="229" w:lineRule="exact"/>
        <w:rPr>
          <w:sz w:val="20"/>
          <w:szCs w:val="20"/>
          <w:color w:val="auto"/>
        </w:rPr>
      </w:pPr>
    </w:p>
    <w:p>
      <w:pPr>
        <w:ind w:right="40" w:firstLine="749"/>
        <w:spacing w:after="0" w:line="219" w:lineRule="exact"/>
        <w:rPr>
          <w:sz w:val="20"/>
          <w:szCs w:val="20"/>
          <w:color w:val="auto"/>
        </w:rPr>
      </w:pPr>
      <w:r>
        <w:rPr>
          <w:rFonts w:ascii="Times New Roman" w:cs="Times New Roman" w:eastAsia="Times New Roman" w:hAnsi="Times New Roman"/>
          <w:sz w:val="18"/>
          <w:szCs w:val="18"/>
          <w:color w:val="auto"/>
        </w:rPr>
        <w:t>In international markets, reimbursement and health care payment systems vary significantly by country, and many countries have instituted price ceilings on specific products and therapies. In some countries, particularly the countries of the EU, the pricing of prescription pharmaceuticals is subject to governmental control. In these countries, pricing negotiations with governmental authorities can take considerable time after the receipt of marketing approval for a product. To obtain coverage and reimbursement or pricing approval in some countries, we may be required to conduct a clinical trial that compares the cost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effectiveness of our product candidate to other available therapies. There can be no assurance that our products will be considered cost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effective by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payors, that an adequate level of reimbursement will be available, or that the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payors’ reimbursement policies will not adversely affect our ability to sell our products profitably. If reimbursement of our products is unavailable or limited in scope or amount, or if pricing is set at unsatisfactory levels, our business could be harmed, possibly materially.</w:t>
      </w:r>
    </w:p>
    <w:p>
      <w:pPr>
        <w:spacing w:after="0" w:line="194" w:lineRule="exact"/>
        <w:rPr>
          <w:sz w:val="20"/>
          <w:szCs w:val="20"/>
          <w:color w:val="auto"/>
        </w:rPr>
      </w:pPr>
    </w:p>
    <w:p>
      <w:pPr>
        <w:ind w:right="8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Our employees, independent contractors, consultants, commercial partners, principal investigators, or CROs may engage in misconduct or other improper activities, including noncompliance with regulatory standards and requirements, which could have a material adverse effect on our business.</w:t>
      </w:r>
    </w:p>
    <w:p>
      <w:pPr>
        <w:spacing w:after="0" w:line="136" w:lineRule="exact"/>
        <w:rPr>
          <w:sz w:val="20"/>
          <w:szCs w:val="20"/>
          <w:color w:val="auto"/>
        </w:rPr>
      </w:pPr>
    </w:p>
    <w:p>
      <w:pPr>
        <w:ind w:right="20" w:firstLine="749"/>
        <w:spacing w:after="0" w:line="253" w:lineRule="auto"/>
        <w:rPr>
          <w:sz w:val="20"/>
          <w:szCs w:val="20"/>
          <w:color w:val="auto"/>
        </w:rPr>
      </w:pPr>
      <w:r>
        <w:rPr>
          <w:rFonts w:ascii="Times New Roman" w:cs="Times New Roman" w:eastAsia="Times New Roman" w:hAnsi="Times New Roman"/>
          <w:sz w:val="18"/>
          <w:szCs w:val="18"/>
          <w:color w:val="auto"/>
        </w:rPr>
        <w:t>We are exposed to the risk of employee fraud or other misconduct. Misconduct by employees, independent contractors, consultants, commercial partners, principal investigators, or CROs could include intentional, reckless, negligent, or unintentional failures to comply with FDA regulations, comply with applicable fraud and abuse laws, provide accurate information to the FDA, report financial information or data accurately, or disclose unauthorized activities to us. This misconduct could also involve the improper use or misrepresentation of information obtained in the course of clinical trials, which could result in regulatory sanctions and serious harm to our reputation. It is not always possible to identify and deter this type of misconduct,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If any such actions are instituted against us, and we are not successful in defending ourselves or asserting our rights, those actions could have a significant impact on our business, financial condition, and results of operations, including the imposition of significant fines or other sanctions. Further, even if we are successful in mounting a defense, we may incur substantial costs in preparing and maintaining our defense and any such action would be time- and resource-intensive and potentially divert management’s attention from the business, which could adversely affect our ability to operate our business and our results of operations.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right="260"/>
        <w:spacing w:after="0" w:line="245" w:lineRule="exact"/>
        <w:rPr>
          <w:sz w:val="20"/>
          <w:szCs w:val="20"/>
          <w:color w:val="auto"/>
        </w:rPr>
      </w:pPr>
      <w:r>
        <w:rPr>
          <w:rFonts w:ascii="Times New Roman" w:cs="Times New Roman" w:eastAsia="Times New Roman" w:hAnsi="Times New Roman"/>
          <w:sz w:val="18"/>
          <w:szCs w:val="18"/>
          <w:b w:val="1"/>
          <w:bCs w:val="1"/>
          <w:i w:val="1"/>
          <w:iCs w:val="1"/>
          <w:color w:val="auto"/>
        </w:rPr>
        <w:t>Our third</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b w:val="1"/>
          <w:bCs w:val="1"/>
          <w:i w:val="1"/>
          <w:iCs w:val="1"/>
          <w:color w:val="auto"/>
        </w:rPr>
        <w:t>party manufacturers may use hazardous materials in the production of our products and, if so, they must comply with environmental laws and regulations, which can be expensive and restrict how we or they do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451485</wp:posOffset>
            </wp:positionH>
            <wp:positionV relativeFrom="paragraph">
              <wp:posOffset>-223520</wp:posOffset>
            </wp:positionV>
            <wp:extent cx="64135" cy="3937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4135" cy="39370"/>
                    </a:xfrm>
                    <a:prstGeom prst="rect">
                      <a:avLst/>
                    </a:prstGeom>
                    <a:noFill/>
                  </pic:spPr>
                </pic:pic>
              </a:graphicData>
            </a:graphic>
          </wp:anchor>
        </w:drawing>
      </w:r>
    </w:p>
    <w:p>
      <w:pPr>
        <w:spacing w:after="0" w:line="179" w:lineRule="exact"/>
        <w:rPr>
          <w:sz w:val="20"/>
          <w:szCs w:val="20"/>
          <w:color w:val="auto"/>
        </w:rPr>
      </w:pPr>
    </w:p>
    <w:p>
      <w:pPr>
        <w:ind w:firstLine="749"/>
        <w:spacing w:after="0" w:line="219" w:lineRule="exact"/>
        <w:rPr>
          <w:sz w:val="20"/>
          <w:szCs w:val="20"/>
          <w:color w:val="auto"/>
        </w:rPr>
      </w:pPr>
      <w:r>
        <w:rPr>
          <w:rFonts w:ascii="Times New Roman" w:cs="Times New Roman" w:eastAsia="Times New Roman" w:hAnsi="Times New Roman"/>
          <w:sz w:val="18"/>
          <w:szCs w:val="18"/>
          <w:color w:val="auto"/>
        </w:rPr>
        <w:t>Manufacturing activities for the production of our products involve the controlled storage, use, and disposal of hazardous materials, including the components of our products, and other hazardous compounds. Our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manufacturers and we are subject to federal, state, and local laws and regulations governing the use, manufacture, storage, handling, release, and disposal of, and exposure to, these hazardous materials. Violation of these laws and regulations could lead to substantial fines and penalties. Although we believe that our safety procedures, and those of our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manufacturers, for handling and disposing of these materials comply with the standards prescribed by these laws and regulations, we cannot eliminate the risk of accidental contamination or injury from these materials. In the event of an accident, state or federal authorities may curtail our use of these materials and interrupt our business operations. In addition, we could become subject to potentially material liabilities relating to the investigation and cleanup of any contamination, whether currently unknown or caused by future releases.</w:t>
      </w:r>
    </w:p>
    <w:p>
      <w:pPr>
        <w:spacing w:after="0" w:line="198" w:lineRule="exact"/>
        <w:rPr>
          <w:sz w:val="20"/>
          <w:szCs w:val="20"/>
          <w:color w:val="auto"/>
        </w:rPr>
      </w:pPr>
    </w:p>
    <w:p>
      <w:pPr>
        <w:ind w:right="100" w:firstLine="749"/>
        <w:spacing w:after="0" w:line="261" w:lineRule="auto"/>
        <w:rPr>
          <w:sz w:val="20"/>
          <w:szCs w:val="20"/>
          <w:color w:val="auto"/>
        </w:rPr>
      </w:pPr>
      <w:r>
        <w:rPr>
          <w:rFonts w:ascii="Times New Roman" w:cs="Times New Roman" w:eastAsia="Times New Roman" w:hAnsi="Times New Roman"/>
          <w:sz w:val="18"/>
          <w:szCs w:val="18"/>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spacing w:after="0" w:line="180" w:lineRule="exact"/>
        <w:rPr>
          <w:sz w:val="20"/>
          <w:szCs w:val="20"/>
          <w:color w:val="auto"/>
        </w:rPr>
      </w:pPr>
    </w:p>
    <w:p>
      <w:pPr>
        <w:ind w:right="440" w:firstLine="749"/>
        <w:spacing w:after="0" w:line="266" w:lineRule="auto"/>
        <w:rPr>
          <w:sz w:val="20"/>
          <w:szCs w:val="20"/>
          <w:color w:val="auto"/>
        </w:rPr>
      </w:pPr>
      <w:r>
        <w:rPr>
          <w:rFonts w:ascii="Times New Roman" w:cs="Times New Roman" w:eastAsia="Times New Roman" w:hAnsi="Times New Roman"/>
          <w:sz w:val="18"/>
          <w:szCs w:val="18"/>
          <w:color w:val="auto"/>
        </w:rPr>
        <w:t>In addition, we may incur substantial costs in order to comply with current or future environmental, health, and safety laws and regulations. These current or future laws and regulations may impair our research, development, or production efforts. Our failure to comply with these laws and regulations also may result in substantial fines, penalties, or other sanctions.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OPERATIONS</w:t>
      </w:r>
    </w:p>
    <w:p>
      <w:pPr>
        <w:spacing w:after="0" w:line="225"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and may continue to significantly increase the size of our organization, and we may experience difficulties in managing growth. If we are unable to implement appropriate controls and procedures to manage our growth, we will not be able to implement our business plan successfully.</w:t>
      </w:r>
    </w:p>
    <w:p>
      <w:pPr>
        <w:spacing w:after="0" w:line="118" w:lineRule="exact"/>
        <w:rPr>
          <w:sz w:val="20"/>
          <w:szCs w:val="20"/>
          <w:color w:val="auto"/>
        </w:rPr>
      </w:pPr>
    </w:p>
    <w:p>
      <w:pPr>
        <w:ind w:right="20" w:firstLine="749"/>
        <w:spacing w:after="0" w:line="226" w:lineRule="exact"/>
        <w:rPr>
          <w:sz w:val="20"/>
          <w:szCs w:val="20"/>
          <w:color w:val="auto"/>
        </w:rPr>
      </w:pPr>
      <w:r>
        <w:rPr>
          <w:rFonts w:ascii="Times New Roman" w:cs="Times New Roman" w:eastAsia="Times New Roman" w:hAnsi="Times New Roman"/>
          <w:sz w:val="18"/>
          <w:szCs w:val="18"/>
          <w:color w:val="auto"/>
        </w:rPr>
        <w:t>As of July 28, 2025, we had 846 full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time employees. Our management, personnel, systems, and facilities currently in place may not be adequate to support future growth. In addition, we may not be able to recruit and retain qualified personnel in the future, particularly for sales and marketing positions, due to competition for personnel among pharmaceutical businesses, and the failure to do so could have a significant negative impact on our future product revenues and business results. Further, the value to employees of stock options or restricted stock units that vest over time is significantly affected by movements in our stock price that are beyond our control and may at any time be insufficient to counteract more lucrative offers from other companies. Our need to effectively manage our operations, growth and various projects requires that we:</w:t>
      </w:r>
    </w:p>
    <w:p>
      <w:pPr>
        <w:spacing w:after="0" w:line="202" w:lineRule="exact"/>
        <w:rPr>
          <w:sz w:val="20"/>
          <w:szCs w:val="20"/>
          <w:color w:val="auto"/>
        </w:rPr>
      </w:pPr>
    </w:p>
    <w:p>
      <w:pPr>
        <w:ind w:left="760" w:right="240" w:hanging="378"/>
        <w:spacing w:after="0" w:line="282" w:lineRule="auto"/>
        <w:tabs>
          <w:tab w:leader="none" w:pos="7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the hiring and training of personnel for our commercial organization, and maintain appropriate systems, policies and infrastructure to support that organization;</w:t>
      </w:r>
    </w:p>
    <w:p>
      <w:pPr>
        <w:spacing w:after="0" w:line="161" w:lineRule="exact"/>
        <w:rPr>
          <w:rFonts w:ascii="Times New Roman" w:cs="Times New Roman" w:eastAsia="Times New Roman" w:hAnsi="Times New Roman"/>
          <w:sz w:val="18"/>
          <w:szCs w:val="18"/>
          <w:color w:val="auto"/>
        </w:rPr>
      </w:pPr>
    </w:p>
    <w:p>
      <w:pPr>
        <w:ind w:left="760" w:right="80" w:hanging="378"/>
        <w:spacing w:after="0" w:line="282" w:lineRule="auto"/>
        <w:tabs>
          <w:tab w:leader="none" w:pos="7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ensure that our consultants and other service providers successfully carry out their contractual obligations, provide high quality results, and meet expected deadlines;</w:t>
      </w:r>
    </w:p>
    <w:p>
      <w:pPr>
        <w:spacing w:after="0" w:line="1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carry out our own contractual obligations to our licensors and other third parties; and</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improve our operational, financial, and management controls, reporting systems, and procedures.</w:t>
      </w:r>
    </w:p>
    <w:p>
      <w:pPr>
        <w:spacing w:after="0" w:line="225" w:lineRule="exact"/>
        <w:rPr>
          <w:sz w:val="20"/>
          <w:szCs w:val="20"/>
          <w:color w:val="auto"/>
        </w:rPr>
      </w:pPr>
    </w:p>
    <w:p>
      <w:pPr>
        <w:ind w:right="1100" w:firstLine="749"/>
        <w:spacing w:after="0" w:line="282" w:lineRule="auto"/>
        <w:rPr>
          <w:sz w:val="20"/>
          <w:szCs w:val="20"/>
          <w:color w:val="auto"/>
        </w:rPr>
      </w:pPr>
      <w:r>
        <w:rPr>
          <w:rFonts w:ascii="Times New Roman" w:cs="Times New Roman" w:eastAsia="Times New Roman" w:hAnsi="Times New Roman"/>
          <w:sz w:val="18"/>
          <w:szCs w:val="18"/>
          <w:color w:val="auto"/>
        </w:rPr>
        <w:t>We may be unable to successfully implement these tasks on a larger scale and, accordingly, may not achieve our development and commercialization goals.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continued growth could strain our personnel resources and infrastructure, and if we are unable to implement appropriate controls and procedures to manage our growth, we will not be able to implement our business plan successfully.</w:t>
      </w:r>
    </w:p>
    <w:p>
      <w:pPr>
        <w:spacing w:after="0" w:line="159" w:lineRule="exact"/>
        <w:rPr>
          <w:sz w:val="20"/>
          <w:szCs w:val="20"/>
          <w:color w:val="auto"/>
        </w:rPr>
      </w:pPr>
    </w:p>
    <w:p>
      <w:pPr>
        <w:ind w:right="40" w:firstLine="749"/>
        <w:spacing w:after="0" w:line="255" w:lineRule="auto"/>
        <w:rPr>
          <w:sz w:val="20"/>
          <w:szCs w:val="20"/>
          <w:color w:val="auto"/>
        </w:rPr>
      </w:pPr>
      <w:r>
        <w:rPr>
          <w:rFonts w:ascii="Times New Roman" w:cs="Times New Roman" w:eastAsia="Times New Roman" w:hAnsi="Times New Roman"/>
          <w:sz w:val="18"/>
          <w:szCs w:val="18"/>
          <w:color w:val="auto"/>
        </w:rPr>
        <w:t>As we continue to complete our clinical trials and commercialize our product candidates, and as our company continues to grow, we may experience significant strains on our resources, including to our administrative, operational and financial infrastructure, which will result in additional burdens on management. Our success will depend in part upon the ability of our senior management to manage this growth effectively. To do so, we must continue to hire, train and manage new employees as needed. If our new hires perform poorly, or if we are unsuccessful in hiring, training, managing and integrating these new employees, or if we are not successful in retaining our existing employees, our business would be harmed. To manage the expected growth of our operations and personnel, we will need to continue to improve our operational, financial and management controls and our reporting systems and procedures.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acquire businesses or products, or form strategic alliances in the future, and we may not realize the benefits of such acquisitions or alliances.</w:t>
      </w:r>
    </w:p>
    <w:p>
      <w:pPr>
        <w:spacing w:after="0" w:line="229" w:lineRule="exact"/>
        <w:rPr>
          <w:sz w:val="20"/>
          <w:szCs w:val="20"/>
          <w:color w:val="auto"/>
        </w:rPr>
      </w:pPr>
    </w:p>
    <w:p>
      <w:pPr>
        <w:ind w:right="80" w:firstLine="749"/>
        <w:spacing w:after="0" w:line="256" w:lineRule="auto"/>
        <w:rPr>
          <w:sz w:val="20"/>
          <w:szCs w:val="20"/>
          <w:color w:val="auto"/>
        </w:rPr>
      </w:pPr>
      <w:r>
        <w:rPr>
          <w:rFonts w:ascii="Times New Roman" w:cs="Times New Roman" w:eastAsia="Times New Roman" w:hAnsi="Times New Roman"/>
          <w:sz w:val="18"/>
          <w:szCs w:val="18"/>
          <w:color w:val="auto"/>
        </w:rPr>
        <w:t>We may acquire additional businesses or products, form strategic alliances or create joint ventures with third parties that we believe will complement or augment our existing business. If we acquire businesses with promising markets or technologies, we may not be able to realize the benefit of acquiring such businesses if we are unable to successfully integrate them with our existing operations and company culture. We may encounter numerous difficulties in developing, manufacturing, and marketing any new products resulting from a strategic alliance or acquisition that delay or prevent us from realizing their expected benefits or enhancing our business. We cannot assure you that, following any such acquisition, we will achieve the expected synergies to justify the transaction.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manage our business effectively if we are unable to attract and retain key personnel.</w:t>
      </w:r>
    </w:p>
    <w:p>
      <w:pPr>
        <w:spacing w:after="0" w:line="229"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Our industry has experienced a high rate of turnover of management personnel in recent years. We are highly dependent on the skills and leadership of our management team, including Dr. Herriot Tabuteau, our Chief Executive Officer and Chairman of the Board. We do not have formal employment agreements with any of our management team. However, we typically enter into offer letters with our executive officers and key personnel. Our senior management may terminate their employment with us at any time. If we lose one or more members of our senior management team, our ability to successfully implement our business strategy could be seriously harmed. Replacing these employees may be difficult and may take an extended period of time because of the limited number of individuals in our industry with the breadth of skills and experience required to develop, gain regulatory approval of, and commercialize products successfully. Competition to hire from this limited pool is intense, and we may be unable to hire, train, retain, or motivate additional key personnel. We do not maintain “key person” insurance for any of our executives or other employees.</w:t>
      </w:r>
    </w:p>
    <w:p>
      <w:pPr>
        <w:spacing w:after="0" w:line="188"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an effective system of internal controls over financial reporting, we may not be able to accurately report our financial condition, results of operations or cash flows, which may adversely affect investor confidence in us and, as a result, the value of our common stock.</w:t>
      </w:r>
    </w:p>
    <w:p>
      <w:pPr>
        <w:spacing w:after="0" w:line="159" w:lineRule="exact"/>
        <w:rPr>
          <w:sz w:val="20"/>
          <w:szCs w:val="20"/>
          <w:color w:val="auto"/>
        </w:rPr>
      </w:pPr>
    </w:p>
    <w:p>
      <w:pPr>
        <w:ind w:right="180" w:firstLine="749"/>
        <w:spacing w:after="0" w:line="256" w:lineRule="auto"/>
        <w:rPr>
          <w:sz w:val="20"/>
          <w:szCs w:val="20"/>
          <w:color w:val="auto"/>
        </w:rPr>
      </w:pPr>
      <w:r>
        <w:rPr>
          <w:rFonts w:ascii="Times New Roman" w:cs="Times New Roman" w:eastAsia="Times New Roman" w:hAnsi="Times New Roman"/>
          <w:sz w:val="18"/>
          <w:szCs w:val="18"/>
          <w:color w:val="auto"/>
        </w:rPr>
        <w:t>As a public company, we continue to incur significant legal, accounting and other expenses that we did not incur as a private company. In addition, the Sarbanes-Oxley Act, as well as rules subsequently implemented by the SEC and The Nasdaq Stock Market LLC, or Nasdaq, impose various requirements on public companies, including requiring establishment and maintenance of effective disclosure controls and internal control over financial reporting and changes in corporate governance practices. Our management and other personnel devote a substantial amount of time to these compliance initiatives. Moreover, these rules and regulations have increased our legal and financial compliance costs and have made some activities more time-consuming and costly.</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The Sarbanes-Oxley Act requires, among other things, that we maintain effective internal controls for financial reporting and disclosure controls and procedures. Under Section 404(a) of the Sarbanes-Oxley Act, we are required to furnish a report by management on, among other things, the effectiveness of our internal control over financial reporting. This report must include disclosure of any material weaknesses identified by our management during its periodic assessment of our internal control over financial reporting. A material weakness is a deficiency, or combination of deficiencies, in internal control over financial reporting that results in more than a reasonable possibility that a material misstatement of annual or interim financial statements will not be prevented or detected on a timely basis. Section 404(b) of the Sarbanes-Oxley Act also requires our independent auditors to attest to, and report on, this management assessment. Ensuring that we have adequate internal controls in place so that we can produce accurate financial statements on a timely basis is a costly and time-consuming effort. If we are not able to comply with the requirements of Section 404, or if we, or our independent registered public accounting firm, are unable to attest to the effectiveness of our internal control over financial reporting, investors may lose confidence in the accuracy and completeness of our financial reports, the market price of our stock could decline and we could be subject to sanctions or investigations by Nasdaq, the SEC, or other regulatory authorities, which would require additional financial and management resources.</w:t>
      </w:r>
    </w:p>
    <w:p>
      <w:pPr>
        <w:spacing w:after="0" w:line="192" w:lineRule="exact"/>
        <w:rPr>
          <w:sz w:val="20"/>
          <w:szCs w:val="20"/>
          <w:color w:val="auto"/>
        </w:rPr>
      </w:pPr>
    </w:p>
    <w:p>
      <w:pPr>
        <w:ind w:right="40" w:firstLine="749"/>
        <w:spacing w:after="0" w:line="254" w:lineRule="auto"/>
        <w:rPr>
          <w:sz w:val="20"/>
          <w:szCs w:val="20"/>
          <w:color w:val="auto"/>
        </w:rPr>
      </w:pPr>
      <w:r>
        <w:rPr>
          <w:rFonts w:ascii="Times New Roman" w:cs="Times New Roman" w:eastAsia="Times New Roman" w:hAnsi="Times New Roman"/>
          <w:sz w:val="18"/>
          <w:szCs w:val="18"/>
          <w:color w:val="auto"/>
        </w:rPr>
        <w:t>During the evaluation and testing process, if we identify one or more material weaknesses in our internal control over financial reporting, we would be required to implement remediation procedures aimed at mitigating the control weakness or weaknesses. Until such remediation procedures succeed in mitigating the control weakness or weaknesses, we would be unable to assert that our internal control over financial reporting is effective. We cannot assure you that there will not be material weaknesses in our internal control over financial reporting in the future. Any failure to maintain internal control over financial reporting could severely inhibit our ability to timely and accurately report our financial condition, results of operations or cash flows. The cost of compliance with Section 404 requires us to incur substantial accounting expense and expend significant management time on compliance-related issues as we implement additional corporate governance practices and comply with reporting requirements. Although we currently use the services of a third-party accounting firm to assist us with internal controls, we currently do not have an internal audit group, and we may need to hire additional accounting and financial staff with appropriate public company experience and technical accounting knowledge.</w:t>
      </w:r>
    </w:p>
    <w:p>
      <w:pPr>
        <w:spacing w:after="0" w:line="188" w:lineRule="exact"/>
        <w:rPr>
          <w:sz w:val="20"/>
          <w:szCs w:val="20"/>
          <w:color w:val="auto"/>
        </w:rPr>
      </w:pPr>
    </w:p>
    <w:p>
      <w:pPr>
        <w:ind w:right="60" w:firstLine="749"/>
        <w:spacing w:after="0" w:line="256" w:lineRule="auto"/>
        <w:rPr>
          <w:sz w:val="20"/>
          <w:szCs w:val="20"/>
          <w:color w:val="auto"/>
        </w:rPr>
      </w:pPr>
      <w:r>
        <w:rPr>
          <w:rFonts w:ascii="Times New Roman" w:cs="Times New Roman" w:eastAsia="Times New Roman" w:hAnsi="Times New Roman"/>
          <w:sz w:val="18"/>
          <w:szCs w:val="18"/>
          <w:color w:val="auto"/>
        </w:rPr>
        <w:t>Moreover, if we are not able to comply with these requirements in a timely manner, or if we, or our independent registered public accounting firm, identifies deficiencies in our internal control over financial reporting that are deemed to be material weaknesses, the market price of our stock could decline, we could lose investor confidence in the accuracy and completeness of our financial reports, and we could be subject to sanctions or investigations by Nasdaq, the SEC or other regulatory authorities, which would require additional financial and management resources. Failure to remedy any material weakness in our internal control over financial reporting, or to implement or maintain other effective control systems required of public companies, could also restrict our future access to the capital markets.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disclosure controls and procedures may not prevent or detect all errors or acts of fraud.</w:t>
      </w:r>
    </w:p>
    <w:p>
      <w:pPr>
        <w:spacing w:after="0" w:line="229" w:lineRule="exact"/>
        <w:rPr>
          <w:sz w:val="20"/>
          <w:szCs w:val="20"/>
          <w:color w:val="auto"/>
        </w:rPr>
      </w:pPr>
    </w:p>
    <w:p>
      <w:pPr>
        <w:ind w:right="260" w:firstLine="749"/>
        <w:spacing w:after="0" w:line="258" w:lineRule="auto"/>
        <w:rPr>
          <w:sz w:val="20"/>
          <w:szCs w:val="20"/>
          <w:color w:val="auto"/>
        </w:rPr>
      </w:pPr>
      <w:r>
        <w:rPr>
          <w:rFonts w:ascii="Times New Roman" w:cs="Times New Roman" w:eastAsia="Times New Roman" w:hAnsi="Times New Roman"/>
          <w:sz w:val="18"/>
          <w:szCs w:val="18"/>
          <w:color w:val="auto"/>
        </w:rPr>
        <w:t>We are subject to the periodic reporting requirements of the Exchange Act. Our disclosure controls and procedures are designed to reasonably assure that information required to be disclosed by us in reports we file or submit under the Exchange Act is accumulated and communicated to management, recorded, processed, summarized and reported within the time periods specified in the rules and forms of the SEC. We believe that any disclosure controls and procedures or internal controls and procedures, no matter how well conceived and operated, can provide only reasonable, not absolute, assurance that the objectives of the control system are met.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160" w:firstLine="749"/>
        <w:spacing w:after="0" w:line="254" w:lineRule="auto"/>
        <w:rPr>
          <w:sz w:val="20"/>
          <w:szCs w:val="20"/>
          <w:color w:val="auto"/>
        </w:rPr>
      </w:pPr>
      <w:r>
        <w:rPr>
          <w:rFonts w:ascii="Times New Roman" w:cs="Times New Roman" w:eastAsia="Times New Roman" w:hAnsi="Times New Roman"/>
          <w:sz w:val="18"/>
          <w:szCs w:val="18"/>
          <w:color w:val="auto"/>
        </w:rPr>
        <w:t>In addition, as discussed above, the Sarbanes-Oxley Act requires, among other things, that we maintain effective disclosure controls and procedures and internal control over financial reporting. In particular, Section 404 of the Sarbanes-Oxley Act requires us to perform system and process evaluation and testing of our internal control over financial reporting to allow management to report on, and our independent registered public accounting firm to attest to, the effectiveness of our internal control over financial reporting. Pursuant to Section 404, we are required to provide an annual management report on the effectiveness of our internal control over financial reporting and we will also be required to include with such annual report an attestation report on internal controls over financial reporting issued by our independent registered public accounting firm. In the future, our independent registered public accounting firm may issue a report that is adverse in the event that we have not maintained effective internal controls over financial reporting, in all material respects. Any failure to maintain effective disclosure controls and internal control over financial reporting could have a material and adverse effect on our business, results of operations and financial condition and could cause a decline in the trading price of our common stock.</w:t>
      </w:r>
    </w:p>
    <w:p>
      <w:pPr>
        <w:spacing w:after="0" w:line="188" w:lineRule="exact"/>
        <w:rPr>
          <w:sz w:val="20"/>
          <w:szCs w:val="20"/>
          <w:color w:val="auto"/>
        </w:rPr>
      </w:pPr>
    </w:p>
    <w:p>
      <w:pPr>
        <w:ind w:right="120" w:firstLine="749"/>
        <w:spacing w:after="0" w:line="261" w:lineRule="auto"/>
        <w:rPr>
          <w:sz w:val="20"/>
          <w:szCs w:val="20"/>
          <w:color w:val="auto"/>
        </w:rPr>
      </w:pPr>
      <w:r>
        <w:rPr>
          <w:rFonts w:ascii="Times New Roman" w:cs="Times New Roman" w:eastAsia="Times New Roman" w:hAnsi="Times New Roman"/>
          <w:sz w:val="18"/>
          <w:szCs w:val="18"/>
          <w:color w:val="auto"/>
        </w:rPr>
        <w:t>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or insufficient disclosures due to error or fraud may occur and not be detected.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and operations would suffer in the event of system failures.</w:t>
      </w:r>
    </w:p>
    <w:p>
      <w:pPr>
        <w:spacing w:after="0" w:line="229"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Despite our implementation of security measures, our internal computer systems and those of our CROs and other contractors and consultants are vulnerable to damage from computer viruses, unauthorized access, natural disasters, terrorism, war, telecommunication and electrical failures, cyber-attacks or cyber-intrusions over the Internet, attachments to emails, persons inside our organization, or persons with access to systems inside our organization. The risk of a security breach or disruption, particularly through cyber-attacks or cyber intrusion, including by computer hackers, foreign governments, and cyber terrorists, has generally increased as the number, intensity and sophistication of attempted attacks and intrusions from around the world have increased. If such an event were to occur and cause interruptions in our operations, it could result in a material disruption of our product candidate development programs. For example, the loss of clinical trial data from completed, ongoing, or planned clinical trials could result in delays in our regulatory approval efforts and significantly increase our costs to recover or reproduce the data. To the extent that any disruption or security breach were to result in a loss of or damage to our data or applications, or inappropriate disclosure of personal, confidential, or proprietary information, we could incur liability and the further development of any of our product candidates could be delayed.</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Environmental, social and governance matters may impact our business and reputation.</w:t>
      </w:r>
    </w:p>
    <w:p>
      <w:pPr>
        <w:spacing w:after="0" w:line="229" w:lineRule="exact"/>
        <w:rPr>
          <w:sz w:val="20"/>
          <w:szCs w:val="20"/>
          <w:color w:val="auto"/>
        </w:rPr>
      </w:pPr>
    </w:p>
    <w:p>
      <w:pPr>
        <w:ind w:right="60" w:firstLine="749"/>
        <w:spacing w:after="0" w:line="253" w:lineRule="auto"/>
        <w:rPr>
          <w:sz w:val="20"/>
          <w:szCs w:val="20"/>
          <w:color w:val="auto"/>
        </w:rPr>
      </w:pPr>
      <w:r>
        <w:rPr>
          <w:rFonts w:ascii="Times New Roman" w:cs="Times New Roman" w:eastAsia="Times New Roman" w:hAnsi="Times New Roman"/>
          <w:sz w:val="18"/>
          <w:szCs w:val="18"/>
          <w:color w:val="auto"/>
        </w:rPr>
        <w:t>Governmental authorities, non-governmental organizations, customers, investors, external stakeholders and employees are increasingly sensitive to environmental, social, and governance, or ESG concerns, such as diversity and inclusion, climate change, water use, recyclability or recoverability of packaging, and plastic waste. This focus on ESG concerns may lead to new requirements that could result in increased costs associated with developing, manufacturing and distributing our products. Our ability to compete could also be affected by changing customer preferences and requirements, such as growing demand for more environmentally friendly products, packaging or supplier practices, or by failure to meet such customer expectations or demand. While we strive to improve our ESG performance, we risk negative stockholder reaction, including from proxy advisory services, as well as damage to our brand and reputation, if we do not act responsibly, or if we are perceived to not be acting responsibly in key ESG areas, including equitable access to medicines and vaccines, product quality and safety, diversity and inclusion, environmental stewardship, support for local communities, corporate governance and transparency, and addressing human capital factors in our operations. If we do not meet the ESG expectations of our investors, customers and other stakeholders, we could experience reduced demand for our products, loss of customers, and other negative impacts on our business and results of operations.</w:t>
      </w:r>
    </w:p>
    <w:p>
      <w:pPr>
        <w:spacing w:after="0" w:line="192" w:lineRule="exact"/>
        <w:rPr>
          <w:sz w:val="20"/>
          <w:szCs w:val="20"/>
          <w:color w:val="auto"/>
        </w:rPr>
      </w:pPr>
    </w:p>
    <w:p>
      <w:pPr>
        <w:jc w:val="both"/>
        <w:ind w:right="120" w:firstLine="749"/>
        <w:spacing w:after="0" w:line="266" w:lineRule="auto"/>
        <w:rPr>
          <w:sz w:val="20"/>
          <w:szCs w:val="20"/>
          <w:color w:val="auto"/>
        </w:rPr>
      </w:pPr>
      <w:r>
        <w:rPr>
          <w:rFonts w:ascii="Times New Roman" w:cs="Times New Roman" w:eastAsia="Times New Roman" w:hAnsi="Times New Roman"/>
          <w:sz w:val="18"/>
          <w:szCs w:val="18"/>
          <w:color w:val="auto"/>
        </w:rPr>
        <w:t>In addition, this emphasis on environmental, social, and other sustainability matters has resulted and may result in the adoption of new laws and regulations, including new reporting requirements. If we fail to comply with new laws, regulations, or reporting requirements, our reputation and business could be adversely impacted.</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OUR COMMON STOCK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 active trading market for our common stock may not be sustained.</w:t>
      </w:r>
    </w:p>
    <w:p>
      <w:pPr>
        <w:spacing w:after="0" w:line="229"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In November 2015, we closed our initial public offering. Prior to our initial public offering, there was no public market for shares of our common stock. Although we have completed our initial public offering and shares of our common stock are listed and trading on The Nasdaq Global Market, an active trading market for our shares may not be sustained. If an active market for our common stock does not continue, it may be difficult for our stockholders to sell their shares without depressing the market price for the shares or sell their shares at or above the prices at which they acquired their shares or sell their shares at the time they would like to sell. Any inactive trading market for our common stock may also impair our ability to raise capital to continue to fund our operations by selling shares.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market price of our common stock may be highly volatile.</w:t>
      </w:r>
    </w:p>
    <w:p>
      <w:pPr>
        <w:spacing w:after="0" w:line="229" w:lineRule="exact"/>
        <w:rPr>
          <w:sz w:val="20"/>
          <w:szCs w:val="20"/>
          <w:color w:val="auto"/>
        </w:rPr>
      </w:pPr>
    </w:p>
    <w:p>
      <w:pPr>
        <w:ind w:right="100" w:firstLine="749"/>
        <w:spacing w:after="0" w:line="261" w:lineRule="auto"/>
        <w:rPr>
          <w:sz w:val="20"/>
          <w:szCs w:val="20"/>
          <w:color w:val="auto"/>
        </w:rPr>
      </w:pPr>
      <w:r>
        <w:rPr>
          <w:rFonts w:ascii="Times New Roman" w:cs="Times New Roman" w:eastAsia="Times New Roman" w:hAnsi="Times New Roman"/>
          <w:sz w:val="18"/>
          <w:szCs w:val="18"/>
          <w:color w:val="auto"/>
        </w:rPr>
        <w:t>The trading price of our common stock is likely to be highly volatile. For example, in 2019, we experienced an extraordinary level of appreciation in our stock price. Such levels of gain are unlikely to continue in the future. Since then, we have seen both significant appreciations and depreciations in our stock price. As a result of this volatility, investors may not be able to sell their common stock at or above the price paid for the shares. The market price for our common stock may be influenced by many factors, including:</w:t>
      </w:r>
    </w:p>
    <w:p>
      <w:pPr>
        <w:spacing w:after="0" w:line="180" w:lineRule="exact"/>
        <w:rPr>
          <w:sz w:val="20"/>
          <w:szCs w:val="20"/>
          <w:color w:val="auto"/>
        </w:rPr>
      </w:pPr>
    </w:p>
    <w:p>
      <w:pPr>
        <w:ind w:left="760" w:hanging="378"/>
        <w:spacing w:after="0"/>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commercial success of our products;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the commencement, enrollment, and ultimate completion, of our planned and ongoing Phase 3 clinical trials for our product candidates;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delay or refusal on the part of the FDA in approving an NDA for any of our current and future product candidates;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and stock price performance of other companies that investors deem comparable to ours;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recommendations by securities analysts;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news relating to our industry as a whole and news relating to trends in our markets;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clinical trials of any of our current and future product candidates or those of our competitors;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variations in quarterly or annual operating results;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meet or exceed financial projections we provide to the public, if any;</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meet or exceed the estimates and projections of the investment community, including securities analysts;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introduction of competitive products or technologies;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or developments in laws or regulations applicable to our product candidates;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perception of the pharmaceutical industry by the public, legislatures, regulators, and the investment community;</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and market conditions and overall fluctuations in U.S. equity markets;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data or security breaches;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760" w:hanging="378"/>
        <w:spacing w:after="0"/>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concerning our sources of manufacturing supply, warehousing, and inventory control;</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or other developments relating to patents or other proprietary rights;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of key scientific or management personnel;</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investigations or regulatory scrutiny of our operations or lawsuits filed against us;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commitments;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investors’ general perception of our company and our business;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and expectations of additional financing efforts, including the issuance of debt, equity or convertible securities;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our common stock, including sales by our directors and officers or significant stockholders;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market valuations of companies similar to us;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significant acquisitions, strategic partnerships, or divestitures;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conditions or trends in our industry; and</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factors described in this “Risk Factors” section.</w:t>
      </w:r>
    </w:p>
    <w:p>
      <w:pPr>
        <w:spacing w:after="0" w:line="225" w:lineRule="exact"/>
        <w:rPr>
          <w:sz w:val="20"/>
          <w:szCs w:val="20"/>
          <w:color w:val="auto"/>
        </w:rPr>
      </w:pPr>
    </w:p>
    <w:p>
      <w:pPr>
        <w:ind w:firstLine="749"/>
        <w:spacing w:after="0" w:line="266" w:lineRule="auto"/>
        <w:rPr>
          <w:sz w:val="20"/>
          <w:szCs w:val="20"/>
          <w:color w:val="auto"/>
        </w:rPr>
      </w:pPr>
      <w:r>
        <w:rPr>
          <w:rFonts w:ascii="Times New Roman" w:cs="Times New Roman" w:eastAsia="Times New Roman" w:hAnsi="Times New Roman"/>
          <w:sz w:val="18"/>
          <w:szCs w:val="18"/>
          <w:color w:val="auto"/>
        </w:rPr>
        <w:t>In addition, the stock market in general, and the market for mid-cap pharmaceutical and biotechnology companies in particular, have experienced extreme price and volume fluctuations that have often been unrelated or disproportionate to the operating performance of these companies. Broad market and industry factors may negatively affect the market price of our common stock, regardless of our actual operating performance.</w:t>
      </w:r>
    </w:p>
    <w:p>
      <w:pPr>
        <w:spacing w:after="0" w:line="172"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equity research analysts do not publish research or reports, or publish unfavorable research or reports, about us, our business, or our market, our stock price and trading volume could decline.</w:t>
      </w:r>
    </w:p>
    <w:p>
      <w:pPr>
        <w:spacing w:after="0" w:line="159" w:lineRule="exact"/>
        <w:rPr>
          <w:sz w:val="20"/>
          <w:szCs w:val="20"/>
          <w:color w:val="auto"/>
        </w:rPr>
      </w:pPr>
    </w:p>
    <w:p>
      <w:pPr>
        <w:ind w:right="20" w:firstLine="749"/>
        <w:spacing w:after="0" w:line="258" w:lineRule="auto"/>
        <w:rPr>
          <w:sz w:val="20"/>
          <w:szCs w:val="20"/>
          <w:color w:val="auto"/>
        </w:rPr>
      </w:pPr>
      <w:r>
        <w:rPr>
          <w:rFonts w:ascii="Times New Roman" w:cs="Times New Roman" w:eastAsia="Times New Roman" w:hAnsi="Times New Roman"/>
          <w:sz w:val="18"/>
          <w:szCs w:val="18"/>
          <w:color w:val="auto"/>
        </w:rPr>
        <w:t>The trading market for our common stock is influenced by the research and reports that equity research analysts publish about us and our business. We do not have any control over the equity research analysts that provide research coverage of our common stock or the content and opinions included in their reports. The price of our stock could decline if one or more equity research analysts downgrades our stock or issue other unfavorable commentary or research. If one or more equity research analysts ceases coverage of our company or fails to publish reports on us regularly, demand for our stock could decrease, which in turn could cause our stock price or trading volume to decline.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quarterly operating results may fluctuate significantly.</w:t>
      </w:r>
    </w:p>
    <w:p>
      <w:pPr>
        <w:spacing w:after="0" w:line="229" w:lineRule="exact"/>
        <w:rPr>
          <w:sz w:val="20"/>
          <w:szCs w:val="20"/>
          <w:color w:val="auto"/>
        </w:rPr>
      </w:pPr>
    </w:p>
    <w:p>
      <w:pPr>
        <w:ind w:right="380" w:firstLine="749"/>
        <w:spacing w:after="0" w:line="282" w:lineRule="auto"/>
        <w:rPr>
          <w:sz w:val="20"/>
          <w:szCs w:val="20"/>
          <w:color w:val="auto"/>
        </w:rPr>
      </w:pPr>
      <w:r>
        <w:rPr>
          <w:rFonts w:ascii="Times New Roman" w:cs="Times New Roman" w:eastAsia="Times New Roman" w:hAnsi="Times New Roman"/>
          <w:sz w:val="18"/>
          <w:szCs w:val="18"/>
          <w:color w:val="auto"/>
        </w:rPr>
        <w:t>We expect our operating results to be subject to quarterly fluctuations. Our net loss and other operating results will be affected by numerous factors, including:</w:t>
      </w:r>
    </w:p>
    <w:p>
      <w:pPr>
        <w:spacing w:after="0" w:line="162" w:lineRule="exact"/>
        <w:rPr>
          <w:sz w:val="20"/>
          <w:szCs w:val="20"/>
          <w:color w:val="auto"/>
        </w:rPr>
      </w:pPr>
    </w:p>
    <w:p>
      <w:pPr>
        <w:ind w:left="760" w:hanging="378"/>
        <w:spacing w:after="0"/>
        <w:tabs>
          <w:tab w:leader="none" w:pos="7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commercial success of our products;</w:t>
      </w:r>
    </w:p>
    <w:p>
      <w:pPr>
        <w:spacing w:after="0" w:line="225" w:lineRule="exact"/>
        <w:rPr>
          <w:rFonts w:ascii="Times New Roman" w:cs="Times New Roman" w:eastAsia="Times New Roman" w:hAnsi="Times New Roman"/>
          <w:sz w:val="18"/>
          <w:szCs w:val="18"/>
          <w:color w:val="auto"/>
        </w:rPr>
      </w:pPr>
    </w:p>
    <w:p>
      <w:pPr>
        <w:ind w:left="760" w:right="380" w:hanging="378"/>
        <w:spacing w:after="0" w:line="282" w:lineRule="auto"/>
        <w:tabs>
          <w:tab w:leader="none" w:pos="7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FDA requires us to complete additional, unanticipated studies, tests, or other activities prior to approving any of our current and future product candidates, which may delay any such approval;</w:t>
      </w:r>
    </w:p>
    <w:p>
      <w:pPr>
        <w:spacing w:after="0" w:line="120" w:lineRule="exact"/>
        <w:rPr>
          <w:rFonts w:ascii="Times New Roman" w:cs="Times New Roman" w:eastAsia="Times New Roman" w:hAnsi="Times New Roman"/>
          <w:sz w:val="18"/>
          <w:szCs w:val="18"/>
          <w:color w:val="auto"/>
        </w:rPr>
      </w:pPr>
    </w:p>
    <w:p>
      <w:pPr>
        <w:ind w:left="760" w:right="480" w:hanging="378"/>
        <w:spacing w:after="0" w:line="245" w:lineRule="exact"/>
        <w:tabs>
          <w:tab w:leader="none" w:pos="7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and enter into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manufacturing arrangements capable of manufacturing any of our current or future product candidates in commercial quantities;</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760" w:right="660" w:hanging="378"/>
        <w:spacing w:after="0" w:line="282" w:lineRule="auto"/>
        <w:tabs>
          <w:tab w:leader="none" w:pos="7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execution of other collaborative, licensing, or similar arrangements and the timing of payments we may make or receive under these arrangements;</w:t>
      </w:r>
    </w:p>
    <w:p>
      <w:pPr>
        <w:spacing w:after="0" w:line="1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the level of expenses related to our future development programs;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product liability or intellectual property infringement lawsuit in which we may become involved;</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developments affecting our current products, or the products of our competitors; and</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underlying demand for our products.</w:t>
      </w:r>
    </w:p>
    <w:p>
      <w:pPr>
        <w:spacing w:after="0" w:line="225" w:lineRule="exact"/>
        <w:rPr>
          <w:sz w:val="20"/>
          <w:szCs w:val="20"/>
          <w:color w:val="auto"/>
        </w:rPr>
      </w:pPr>
    </w:p>
    <w:p>
      <w:pPr>
        <w:ind w:right="160" w:firstLine="749"/>
        <w:spacing w:after="0" w:line="261" w:lineRule="auto"/>
        <w:rPr>
          <w:sz w:val="20"/>
          <w:szCs w:val="20"/>
          <w:color w:val="auto"/>
        </w:rPr>
      </w:pPr>
      <w:r>
        <w:rPr>
          <w:rFonts w:ascii="Times New Roman" w:cs="Times New Roman" w:eastAsia="Times New Roman" w:hAnsi="Times New Roman"/>
          <w:sz w:val="18"/>
          <w:szCs w:val="18"/>
          <w:color w:val="auto"/>
        </w:rPr>
        <w:t>If our quarterly or annual operating results fall below the expectations of investors or securities analysts, the price of our common stock could decline substantially. Furthermore, any quarterly or annual fluctuations in our operating results may, in turn, cause the price of our stock to fluctuate substantially. We believe that quarterly comparisons of our financial results are not necessarily meaningful and should not be relied upon as an indication of our future performance.</w:t>
      </w:r>
    </w:p>
    <w:p>
      <w:pPr>
        <w:spacing w:after="0" w:line="176" w:lineRule="exact"/>
        <w:rPr>
          <w:sz w:val="20"/>
          <w:szCs w:val="20"/>
          <w:color w:val="auto"/>
        </w:rPr>
      </w:pPr>
    </w:p>
    <w:p>
      <w:pPr>
        <w:ind w:right="9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Raising additional funds by issuing securities may cause dilution to existing stockholders and raising funds through lending and licensing arrangements may restrict our operations or require us to relinquish proprietary rights.</w:t>
      </w:r>
    </w:p>
    <w:p>
      <w:pPr>
        <w:spacing w:after="0" w:line="159" w:lineRule="exact"/>
        <w:rPr>
          <w:sz w:val="20"/>
          <w:szCs w:val="20"/>
          <w:color w:val="auto"/>
        </w:rPr>
      </w:pPr>
    </w:p>
    <w:p>
      <w:pPr>
        <w:ind w:right="20" w:firstLine="749"/>
        <w:spacing w:after="0" w:line="256" w:lineRule="auto"/>
        <w:rPr>
          <w:sz w:val="20"/>
          <w:szCs w:val="20"/>
          <w:color w:val="auto"/>
        </w:rPr>
      </w:pPr>
      <w:r>
        <w:rPr>
          <w:rFonts w:ascii="Times New Roman" w:cs="Times New Roman" w:eastAsia="Times New Roman" w:hAnsi="Times New Roman"/>
          <w:sz w:val="18"/>
          <w:szCs w:val="18"/>
          <w:color w:val="auto"/>
        </w:rPr>
        <w:t>We may finance our cash needs through a combination of equity offerings, debt financings, grants, and license and development agreements in connection with any collaborations until such time, if ever, as our product sales are sufficient to meet our cash needs. To the extent that we raise additional capital by issuing equity securities, our existing stockholders’ ownership will be diluted, and the terms of these securities may include liquidation or other preferences that adversely affect your rights as a common stockholder. Debt financing and preferred equity financing, if available, may involve agreements that include covenants limiting or restricting our ability to take specific actions, such as incurring additional debt, making capital expenditures, or declaring dividends.</w:t>
      </w:r>
    </w:p>
    <w:p>
      <w:pPr>
        <w:spacing w:after="0" w:line="187" w:lineRule="exact"/>
        <w:rPr>
          <w:sz w:val="20"/>
          <w:szCs w:val="20"/>
          <w:color w:val="auto"/>
        </w:rPr>
      </w:pPr>
    </w:p>
    <w:p>
      <w:pPr>
        <w:ind w:right="20" w:firstLine="749"/>
        <w:spacing w:after="0" w:line="255" w:lineRule="auto"/>
        <w:rPr>
          <w:sz w:val="20"/>
          <w:szCs w:val="20"/>
          <w:color w:val="auto"/>
        </w:rPr>
      </w:pPr>
      <w:r>
        <w:rPr>
          <w:rFonts w:ascii="Times New Roman" w:cs="Times New Roman" w:eastAsia="Times New Roman" w:hAnsi="Times New Roman"/>
          <w:sz w:val="18"/>
          <w:szCs w:val="18"/>
          <w:color w:val="auto"/>
        </w:rPr>
        <w:t>If we raise additional funds through collaborations, strategic alliances, or marketing, distribution or licensing arrangements with third parties, we may have to relinquish valuable rights to our technologies, future revenue streams, research programs, or product candidates or grant licenses on terms that may not be favorable to us. Any debt financing we enter into may involve covenants that restrict our operations. These restrictive covenants may include limitations on additional borrowing and specific restrictions on the use of our assets as well as prohibitions on our ability to create liens, pay dividends, redeem our stock, or make investments. If we are unable to raise additional funds through equity or debt financings when needed, we may be required to delay, limit, reduce, or terminate our product development or future commercialization efforts or grant rights to develop and market product candidates that we would otherwise prefer to develop and market ourselves.</w:t>
      </w:r>
    </w:p>
    <w:p>
      <w:pPr>
        <w:spacing w:after="0" w:line="18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principal stockholders and management own a significant percentage of our stock and may be able to exert significant control over matters subject to stockholder approval.</w:t>
      </w:r>
    </w:p>
    <w:p>
      <w:pPr>
        <w:spacing w:after="0" w:line="159" w:lineRule="exact"/>
        <w:rPr>
          <w:sz w:val="20"/>
          <w:szCs w:val="20"/>
          <w:color w:val="auto"/>
        </w:rPr>
      </w:pPr>
    </w:p>
    <w:p>
      <w:pPr>
        <w:ind w:right="80" w:firstLine="749"/>
        <w:spacing w:after="0" w:line="258" w:lineRule="auto"/>
        <w:rPr>
          <w:sz w:val="20"/>
          <w:szCs w:val="20"/>
          <w:color w:val="auto"/>
        </w:rPr>
      </w:pPr>
      <w:r>
        <w:rPr>
          <w:rFonts w:ascii="Times New Roman" w:cs="Times New Roman" w:eastAsia="Times New Roman" w:hAnsi="Times New Roman"/>
          <w:sz w:val="18"/>
          <w:szCs w:val="18"/>
          <w:color w:val="auto"/>
        </w:rPr>
        <w:t>As of July 28, 2025, our executive officers, directors, and 5% stockholders and their affiliates beneficially owned an aggregate of approximately 40% of our outstanding common stock. As a result, these stockholders have significant influence and may be able to determine all matters requiring stockholder approval. For example, these stockholders may be able to control elections of directors, amendments of our organizational documents, or approval of any merger, sale of assets, or other major corporate transaction. This concentration of ownership could delay or prevent any acquisition of our company on terms that other stockholders may desire and may adversely affect the market price of our common stock.</w:t>
      </w: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80" w:firstLine="749"/>
        <w:spacing w:after="0" w:line="255" w:lineRule="auto"/>
        <w:rPr>
          <w:sz w:val="20"/>
          <w:szCs w:val="20"/>
          <w:color w:val="auto"/>
        </w:rPr>
      </w:pPr>
      <w:r>
        <w:rPr>
          <w:rFonts w:ascii="Times New Roman" w:cs="Times New Roman" w:eastAsia="Times New Roman" w:hAnsi="Times New Roman"/>
          <w:sz w:val="18"/>
          <w:szCs w:val="18"/>
          <w:color w:val="auto"/>
        </w:rPr>
        <w:t>Some of these persons or entities may have interests different than our other stockholders. For example, these stockholders, if they acted together, could significantly influence all matters requiring approval by our stockholders, including the election of directors and the approval of mergers or other business combination transactions. These stockholders may be able to determine all matters requiring stockholder approval. The interests of these stockholders may not always coincide with our interests or the interests of other stockholders. This may also prevent or discourage unsolicited acquisition proposals or offers for our common stock that other stockholders may feel are in their best interest and our large stockholders may act in a manner that advances their best interests and not necessarily those of other stockholders, including seeking a premium value for their common stock, and might affect the prevailing market price for our common stock.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of a substantial number of shares of our common stock in the public market by our existing stockholders could cause our stock price to fall.</w:t>
      </w:r>
    </w:p>
    <w:p>
      <w:pPr>
        <w:spacing w:after="0" w:line="229" w:lineRule="exact"/>
        <w:rPr>
          <w:sz w:val="20"/>
          <w:szCs w:val="20"/>
          <w:color w:val="auto"/>
        </w:rPr>
      </w:pPr>
    </w:p>
    <w:p>
      <w:pPr>
        <w:ind w:right="160" w:firstLine="749"/>
        <w:spacing w:after="0" w:line="266" w:lineRule="auto"/>
        <w:rPr>
          <w:sz w:val="20"/>
          <w:szCs w:val="20"/>
          <w:color w:val="auto"/>
        </w:rPr>
      </w:pPr>
      <w:r>
        <w:rPr>
          <w:rFonts w:ascii="Times New Roman" w:cs="Times New Roman" w:eastAsia="Times New Roman" w:hAnsi="Times New Roman"/>
          <w:sz w:val="18"/>
          <w:szCs w:val="18"/>
          <w:color w:val="auto"/>
        </w:rPr>
        <w:t>Sales of a substantial number of shares of our common stock in the public market or the perception that these sales might occur, could depress the market price of our common stock and could impair our ability to raise adequate capital through the sale of additional equity securities. We are unable to predict the effect that sales may have on the prevailing market price of our common stock.</w:t>
      </w:r>
    </w:p>
    <w:p>
      <w:pPr>
        <w:spacing w:after="0" w:line="176" w:lineRule="exact"/>
        <w:rPr>
          <w:sz w:val="20"/>
          <w:szCs w:val="20"/>
          <w:color w:val="auto"/>
        </w:rPr>
      </w:pPr>
    </w:p>
    <w:p>
      <w:pPr>
        <w:ind w:right="60" w:firstLine="749"/>
        <w:spacing w:after="0" w:line="258" w:lineRule="auto"/>
        <w:rPr>
          <w:sz w:val="20"/>
          <w:szCs w:val="20"/>
          <w:color w:val="auto"/>
        </w:rPr>
      </w:pPr>
      <w:r>
        <w:rPr>
          <w:rFonts w:ascii="Times New Roman" w:cs="Times New Roman" w:eastAsia="Times New Roman" w:hAnsi="Times New Roman"/>
          <w:sz w:val="18"/>
          <w:szCs w:val="18"/>
          <w:color w:val="auto"/>
        </w:rPr>
        <w:t>As of July 28, 2025, we have outstanding 49,901,487 shares of common stock and 9,877,054 shares of common stock equivalents that would increase the number of common stock outstanding if these instruments were exercised or converted, including stock options to purchase common stock based on vesting requirements and warrants to purchase common stock, as well as outstanding restricted stock units. Of our currently outstanding shares of common stock, 41,872,837 are freely tradable. The remainder of the outstanding shares of common stock are held by our affiliates and may be considered “control securities” for purposes of Rule 144 under the Securities Act.</w:t>
      </w:r>
    </w:p>
    <w:p>
      <w:pPr>
        <w:spacing w:after="0" w:line="143" w:lineRule="exact"/>
        <w:rPr>
          <w:sz w:val="20"/>
          <w:szCs w:val="20"/>
          <w:color w:val="auto"/>
        </w:rPr>
      </w:pPr>
    </w:p>
    <w:p>
      <w:pPr>
        <w:ind w:firstLine="749"/>
        <w:spacing w:after="0" w:line="228" w:lineRule="exact"/>
        <w:rPr>
          <w:sz w:val="20"/>
          <w:szCs w:val="20"/>
          <w:color w:val="auto"/>
        </w:rPr>
      </w:pPr>
      <w:r>
        <w:rPr>
          <w:rFonts w:ascii="Times New Roman" w:cs="Times New Roman" w:eastAsia="Times New Roman" w:hAnsi="Times New Roman"/>
          <w:sz w:val="18"/>
          <w:szCs w:val="18"/>
          <w:color w:val="auto"/>
        </w:rPr>
        <w:t>In addition, we have filed, or will soon file, one or more registration statements on Form 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8 registering the issuance of an aggregate of 17,546,713 shares of common stock subject to options or other equity awards issued or reserved for issuance under our 2025 Long-Term Incentive Plan and 1,100,000 shares of common stock reserved for issuance under our 2023 Employee Stock Purchase Plan. Shares registered under registration statements on Form S-8 will be available for sale in the public market subject to vesting arrangements and exercise of options, the lock up agreements described above and the restrictions of Rule 144 in the case of our affiliates.</w:t>
      </w:r>
    </w:p>
    <w:p>
      <w:pPr>
        <w:spacing w:after="0" w:line="194"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management will have broad discretion in the use of the net proceeds from our capital raises, including the proceeds from sales pursuant to our Sales Agreement, and may not use them effectively.</w:t>
      </w:r>
    </w:p>
    <w:p>
      <w:pPr>
        <w:spacing w:after="0" w:line="159"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Our management will have broad discretion in the application of the net proceeds from our capital raises, which we refer to as our Capital Raises, including the proceeds from sales pursuant to the March 2022 Sales Agreement with Leerink, which provides for the sale of up to $250.0 million of our common stock from time to time, and our stockholders will not have the opportunity as part of their investment decision to assess whether the net proceeds from our Capital Raises are being used appropriately. Our stockholders may not agree with our decisions, and our use of the proceeds may not yield any return on investment for our stockholders. Because of the number and variability of factors that will determine our use of the net proceeds from our Capital Raises their ultimate use may vary substantially from their currently intended use. Our failure to apply the net proceeds of our Capital Raises effectively could compromise our ability to pursue our growth strategy and we might not be able to yield a significant return, if any, on our investment of those net proceeds. Our stockholders will not have the opportunity to influence our decisions on how to use our net proceeds from our Capital Raises. Pending their use, we may invest the net proceeds from our Capital Raises in short-term, investment-grade, interest-bearing instruments and U.S. government securities. These temporary investments are not likely to yield a significant return.</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use of our net operating loss carryforwards and research tax credits may be limited.</w:t>
      </w:r>
    </w:p>
    <w:p>
      <w:pPr>
        <w:spacing w:after="0" w:line="229" w:lineRule="exact"/>
        <w:rPr>
          <w:sz w:val="20"/>
          <w:szCs w:val="20"/>
          <w:color w:val="auto"/>
        </w:rPr>
      </w:pPr>
    </w:p>
    <w:p>
      <w:pPr>
        <w:ind w:right="20" w:firstLine="749"/>
        <w:spacing w:after="0" w:line="252" w:lineRule="auto"/>
        <w:rPr>
          <w:sz w:val="20"/>
          <w:szCs w:val="20"/>
          <w:color w:val="auto"/>
        </w:rPr>
      </w:pPr>
      <w:r>
        <w:rPr>
          <w:rFonts w:ascii="Times New Roman" w:cs="Times New Roman" w:eastAsia="Times New Roman" w:hAnsi="Times New Roman"/>
          <w:sz w:val="18"/>
          <w:szCs w:val="18"/>
          <w:color w:val="auto"/>
        </w:rPr>
        <w:t>Our net operating loss carryforwards and any future research and development tax credits may expire and not be used. As of December 31, 2024, we had U.S. federal net operating loss, or NOL, carryforwards of approximately $572.1 million and foreign NOL carryforwards of $4.8 million. U.S. federal net operating loss carry forwards amounting to $59.8 million generated before the 2018 tax year will start expiring beginning 2032, if we have not used them prior to that time, and the U.S. federal net operating losses of approximately $512.3 million generated in 2018 and later have an indefinite carryforward period. Net operating loss carry forwards arising in taxable years ending after December 31, 2017, are no longer subject to expiration under the Internal Revenue Code of 1986, as amended, or the Code. Additionally, our ability to use any net operating loss and credit carryforwards to offset taxable income or tax, respectively, in the future will be limited under Sections 382 and 383 of the Code, respectively, if we have a cumulative change in ownership of more than 50% within a three-year period. In the event a change of ownership occurs, we will be limited regarding the amount of net operating loss carryforwards and research tax credits that could be utilized annually in the future to offset taxable income or tax, respectively. Any such annual limitation may significantly reduce the utilization of the net operating loss carryforwards and research tax credits before they expire. In addition, certain states have suspended use of net operating loss carryforwards for certain taxable years, and other states are considering similar measures. As a result, we may incur higher state income tax expense in the future. Depending on our future tax position, continued suspension of our ability to use net operating loss carryforwards in states in which we are subject to income tax could have an adverse impact on our results of operations and financial condition.</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Because we do not intend to pay dividends on our common stock, returns for our stockholders will be limited to any increase in the value of our stock.</w:t>
      </w:r>
    </w:p>
    <w:p>
      <w:pPr>
        <w:spacing w:after="0" w:line="229" w:lineRule="exact"/>
        <w:rPr>
          <w:sz w:val="20"/>
          <w:szCs w:val="20"/>
          <w:color w:val="auto"/>
        </w:rPr>
      </w:pPr>
    </w:p>
    <w:p>
      <w:pPr>
        <w:ind w:right="120" w:firstLine="749"/>
        <w:spacing w:after="0" w:line="258" w:lineRule="auto"/>
        <w:rPr>
          <w:sz w:val="20"/>
          <w:szCs w:val="20"/>
          <w:color w:val="auto"/>
        </w:rPr>
      </w:pPr>
      <w:r>
        <w:rPr>
          <w:rFonts w:ascii="Times New Roman" w:cs="Times New Roman" w:eastAsia="Times New Roman" w:hAnsi="Times New Roman"/>
          <w:sz w:val="18"/>
          <w:szCs w:val="18"/>
          <w:color w:val="auto"/>
        </w:rPr>
        <w:t>We have never declared or paid any cash dividends on our capital stock. In addition, the Blackstone Loan Agreement contains restrictive covenants that prohibit us from declaring or paying any dividends or making any other distributions on our common stock, except as may be expressly permitted under the facility. We currently intend to retain all available funds and any future earnings to support our operations and finance the growth and development of our business and do not anticipate declaring or paying any cash dividends on our common stock for the foreseeable future. Any return to stockholders will therefore be limited to the appreciation of their stock, if any. Investors seeking cash dividends should not purchase our common stock.</w:t>
      </w:r>
    </w:p>
    <w:p>
      <w:pPr>
        <w:spacing w:after="0" w:line="179" w:lineRule="exact"/>
        <w:rPr>
          <w:sz w:val="20"/>
          <w:szCs w:val="20"/>
          <w:color w:val="auto"/>
        </w:rPr>
      </w:pPr>
    </w:p>
    <w:p>
      <w:pPr>
        <w:ind w:right="8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Provisions in our corporate charter documents and under Delaware law may prevent or frustrate attempts by our stockholders to change our management and hinder efforts to acquire a controlling interest in us, and the market price of our common stock may be lower as a result.</w:t>
      </w:r>
    </w:p>
    <w:p>
      <w:pPr>
        <w:spacing w:after="0" w:line="159" w:lineRule="exact"/>
        <w:rPr>
          <w:sz w:val="20"/>
          <w:szCs w:val="20"/>
          <w:color w:val="auto"/>
        </w:rPr>
      </w:pPr>
    </w:p>
    <w:p>
      <w:pPr>
        <w:ind w:firstLine="749"/>
        <w:spacing w:after="0" w:line="255" w:lineRule="auto"/>
        <w:rPr>
          <w:sz w:val="20"/>
          <w:szCs w:val="20"/>
          <w:color w:val="auto"/>
        </w:rPr>
      </w:pPr>
      <w:r>
        <w:rPr>
          <w:rFonts w:ascii="Times New Roman" w:cs="Times New Roman" w:eastAsia="Times New Roman" w:hAnsi="Times New Roman"/>
          <w:sz w:val="18"/>
          <w:szCs w:val="18"/>
          <w:color w:val="auto"/>
        </w:rPr>
        <w:t>There are provisions in our amended and restated certificate of incorporation and amended and restated bylaws that may make it difficult for a third party to acquire, or attempt to acquire, control of our company, even if a change in control was considered favorable by you and other stockholders. For example, our Board will have the authority to issue up to 10,000,000 shares of preferred stock and to fix the price, rights, preferences, privileges, and restrictions of the preferred stock without any further vote or action by our stockholders. We do not currently have any preferred stock outstanding. The issuance of shares of preferred stock may delay or prevent a change in control transaction. As a result, the market price of our common stock and the voting and other rights of our stockholders may be adversely affected. An issuance of shares of preferred stock may result in the loss of voting control to other stockholders.</w:t>
      </w:r>
    </w:p>
    <w:p>
      <w:pPr>
        <w:spacing w:after="0" w:line="148" w:lineRule="exact"/>
        <w:rPr>
          <w:sz w:val="20"/>
          <w:szCs w:val="20"/>
          <w:color w:val="auto"/>
        </w:rPr>
      </w:pPr>
    </w:p>
    <w:p>
      <w:pPr>
        <w:ind w:right="140" w:firstLine="749"/>
        <w:spacing w:after="0" w:line="228" w:lineRule="exact"/>
        <w:rPr>
          <w:sz w:val="20"/>
          <w:szCs w:val="20"/>
          <w:color w:val="auto"/>
        </w:rPr>
      </w:pPr>
      <w:r>
        <w:rPr>
          <w:rFonts w:ascii="Times New Roman" w:cs="Times New Roman" w:eastAsia="Times New Roman" w:hAnsi="Times New Roman"/>
          <w:sz w:val="18"/>
          <w:szCs w:val="18"/>
          <w:color w:val="auto"/>
        </w:rPr>
        <w:t>In addition, we are subject to the anti</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takeover provisions of Section 203 of the Delaware General Corporation Law, or DGCL, which regulates corporate acquisitions by prohibiting Delaware corporations from engaging in specified business combinations with particular stockholders of those companies. These provisions could discourage potential acquisition proposals and could delay or prevent a change in control transaction. They could also have the effect of discouraging others from making tender offers for our common stock, including transactions that may be in your best interests. These provisions may also prevent changes in our management or limit the price that investors are willing to pay for our stock.</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right="2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restated certificate of incorporation designates the Court of Chancery of the State of Delaware as the sole and exclusive forum for certain types of actions and proceedings that may be initiated by our stockholders, which could limit our stockholders’ ability to obtain a favorable judicial forum for disputes with us or our directors, officers or employees.</w:t>
      </w:r>
    </w:p>
    <w:p>
      <w:pPr>
        <w:spacing w:after="0" w:line="175"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unless we consent in writing to the selection of an alternate forum, the Court of Chancery of the State of Delaware will be the sole and exclusive forum for (1) any derivative action or proceeding brought on our behalf, (2) any action asserting a claim of breach of a fiduciary duty owed by any of our directors, officers, employees or agents to us or our stockholders, (3) any action asserting a claim arising pursuant to the DGCL, or (4) any other action asserting a claim against us that is governed by the internal affairs doctrine, in each such case subject to such Court of Chancery having personal jurisdiction over the indispensable parties named as defendants therein.</w:t>
      </w:r>
    </w:p>
    <w:p>
      <w:pPr>
        <w:spacing w:after="0" w:line="183" w:lineRule="exact"/>
        <w:rPr>
          <w:sz w:val="20"/>
          <w:szCs w:val="20"/>
          <w:color w:val="auto"/>
        </w:rPr>
      </w:pPr>
    </w:p>
    <w:p>
      <w:pPr>
        <w:ind w:right="20" w:firstLine="749"/>
        <w:spacing w:after="0" w:line="253" w:lineRule="auto"/>
        <w:rPr>
          <w:sz w:val="20"/>
          <w:szCs w:val="20"/>
          <w:color w:val="auto"/>
        </w:rPr>
      </w:pPr>
      <w:r>
        <w:rPr>
          <w:rFonts w:ascii="Times New Roman" w:cs="Times New Roman" w:eastAsia="Times New Roman" w:hAnsi="Times New Roman"/>
          <w:sz w:val="18"/>
          <w:szCs w:val="18"/>
          <w:color w:val="auto"/>
        </w:rPr>
        <w:t>Any person or entity purchasing or otherwise acquiring any interest in shares of our capital stock shall be deemed to have notice of and to have consented to the provisions of our amended and restated certificate of incorporation described above. This choice of forum provision may limit a stockholder’s ability to bring a claim in a judicial forum that it finds favorable for disputes with us or our directors, officers, or other employees or agents, which may discourage such lawsuits against us and our directors, officers, employees, and agents. Further, this choice of forum provision does not preclude or contract the scope of exclusive federal or concurrent jurisdiction for any actions brought under the Securities Act or the Exchange Act. Section 27 of the Exchange Act creates exclusive federal jurisdiction over all suits brought to enforce any duty or liability created by the Exchange Act or the rules and regulations thereunder. As a result, the exclusive forum provision will not apply to suits brought to enforce any duty or liability created by the Exchange Act or any other claim for which the federal courts have exclusive jurisdiction. In addition, Section 22 of the Securities Act creates concurrent jurisdiction for federal and state courts over all suits brought to enforce any duty or liability created by the Securities Act or the rules and regulations thereunder. As a result, the exclusive forum provision will not apply to suits brought to enforce any duty or liability created by the Securities Act or any other claim for which the federal and state courts have concurrent jurisdiction. Accordingly, our exclusive forum provision will not relieve us of our duties to comply with the federal securities laws and the rules and regulations thereunder, and our stockholders will not be deemed to have waived our compliance with these laws, rules and regulations.</w:t>
      </w:r>
    </w:p>
    <w:p>
      <w:pPr>
        <w:spacing w:after="0" w:line="187" w:lineRule="exact"/>
        <w:rPr>
          <w:sz w:val="20"/>
          <w:szCs w:val="20"/>
          <w:color w:val="auto"/>
        </w:rPr>
      </w:pPr>
    </w:p>
    <w:p>
      <w:pPr>
        <w:ind w:right="260" w:firstLine="749"/>
        <w:spacing w:after="0" w:line="261" w:lineRule="auto"/>
        <w:rPr>
          <w:sz w:val="20"/>
          <w:szCs w:val="20"/>
          <w:color w:val="auto"/>
        </w:rPr>
      </w:pPr>
      <w:r>
        <w:rPr>
          <w:rFonts w:ascii="Times New Roman" w:cs="Times New Roman" w:eastAsia="Times New Roman" w:hAnsi="Times New Roman"/>
          <w:sz w:val="18"/>
          <w:szCs w:val="18"/>
          <w:color w:val="auto"/>
        </w:rPr>
        <w:t>If a court were to find these provisions of our amended and restated certificate of incorporation inapplicable to, or unenforceable in respect of, one or more of the specified types of actions or proceedings, we may incur additional costs associated with resolving such matters in other jurisdictions, which could adversely affect our business, financial condition, and results of operations. Even if we are successful in defending against these claims, litigation could result in substantial costs and be a distraction to management and other employees.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ind w:right="180" w:firstLine="749"/>
        <w:spacing w:after="0" w:line="266" w:lineRule="auto"/>
        <w:rPr>
          <w:sz w:val="20"/>
          <w:szCs w:val="20"/>
          <w:color w:val="auto"/>
        </w:rPr>
      </w:pPr>
      <w:r>
        <w:rPr>
          <w:rFonts w:ascii="Times New Roman" w:cs="Times New Roman" w:eastAsia="Times New Roman" w:hAnsi="Times New Roman"/>
          <w:sz w:val="18"/>
          <w:szCs w:val="18"/>
          <w:color w:val="auto"/>
        </w:rPr>
        <w:t>During the second quarter of 2025, the Company did not adopt or terminate a Rule 10b5-1 trading arrangement (as defined in Item 408(a)(1)(i) of Regulation S-K) for the purchase or sale of securities of the Company, whether or not intended to satisfy the affirmative defense conditions of Rule 10b5-1(c) of the Exchange Act.</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60" w:firstLine="749"/>
        <w:spacing w:after="0" w:line="266" w:lineRule="auto"/>
        <w:rPr>
          <w:sz w:val="20"/>
          <w:szCs w:val="20"/>
          <w:color w:val="auto"/>
        </w:rPr>
      </w:pPr>
      <w:r>
        <w:rPr>
          <w:rFonts w:ascii="Times New Roman" w:cs="Times New Roman" w:eastAsia="Times New Roman" w:hAnsi="Times New Roman"/>
          <w:sz w:val="18"/>
          <w:szCs w:val="18"/>
          <w:color w:val="auto"/>
        </w:rPr>
        <w:t>During the second quarter of 2025, the following Rule 10b5-1 trading arrangements (as defined in Item 408(a)(1)(i) of Regulation S-K) and non-Rule 10b5-1 trading arrangements (as defined in Item 408(c) of Regulation S-K) intended to satisfy the affirmative defense of Rule 10b5-1(c) of the Exchange Act were adopted or terminated by our directors and/or executive officers:</w:t>
      </w:r>
    </w:p>
    <w:p>
      <w:pPr>
        <w:spacing w:after="0" w:line="171" w:lineRule="exact"/>
        <w:rPr>
          <w:sz w:val="20"/>
          <w:szCs w:val="20"/>
          <w:color w:val="auto"/>
        </w:rPr>
      </w:pPr>
    </w:p>
    <w:tbl>
      <w:tblPr>
        <w:tblLayout w:type="fixed"/>
        <w:tblInd w:w="10" w:type="dxa"/>
        <w:tblCellMar>
          <w:top w:w="0" w:type="dxa"/>
          <w:left w:w="0" w:type="dxa"/>
          <w:bottom w:w="0" w:type="dxa"/>
          <w:right w:w="0" w:type="dxa"/>
        </w:tblCellMar>
      </w:tblPr>
      <w:tr>
        <w:trPr>
          <w:trHeight w:val="210"/>
        </w:trPr>
        <w:tc>
          <w:tcPr>
            <w:tcW w:w="228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2240" w:type="dxa"/>
            <w:vAlign w:val="bottom"/>
            <w:tcBorders>
              <w:top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2240" w:type="dxa"/>
            <w:vAlign w:val="bottom"/>
            <w:tcBorders>
              <w:top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Date of Adoption of Rule</w:t>
            </w:r>
          </w:p>
        </w:tc>
        <w:tc>
          <w:tcPr>
            <w:tcW w:w="2240" w:type="dxa"/>
            <w:vAlign w:val="bottom"/>
            <w:tcBorders>
              <w:top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Scheduled Expiration</w:t>
            </w:r>
          </w:p>
        </w:tc>
        <w:tc>
          <w:tcPr>
            <w:tcW w:w="2240" w:type="dxa"/>
            <w:vAlign w:val="bottom"/>
            <w:tcBorders>
              <w:top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Aggregate Number of</w:t>
            </w:r>
          </w:p>
        </w:tc>
      </w:tr>
      <w:tr>
        <w:trPr>
          <w:trHeight w:val="196"/>
        </w:trPr>
        <w:tc>
          <w:tcPr>
            <w:tcW w:w="2280" w:type="dxa"/>
            <w:vAlign w:val="bottom"/>
            <w:tcBorders>
              <w:left w:val="single" w:sz="8" w:color="auto"/>
              <w:right w:val="single" w:sz="8" w:color="auto"/>
            </w:tcBorders>
          </w:tcPr>
          <w:p>
            <w:pPr>
              <w:spacing w:after="0"/>
              <w:rPr>
                <w:sz w:val="17"/>
                <w:szCs w:val="17"/>
                <w:color w:val="auto"/>
              </w:rPr>
            </w:pPr>
          </w:p>
        </w:tc>
        <w:tc>
          <w:tcPr>
            <w:tcW w:w="2240" w:type="dxa"/>
            <w:vAlign w:val="bottom"/>
            <w:tcBorders>
              <w:right w:val="single" w:sz="8" w:color="auto"/>
            </w:tcBorders>
          </w:tcPr>
          <w:p>
            <w:pPr>
              <w:spacing w:after="0"/>
              <w:rPr>
                <w:sz w:val="17"/>
                <w:szCs w:val="17"/>
                <w:color w:val="auto"/>
              </w:rPr>
            </w:pPr>
          </w:p>
        </w:tc>
        <w:tc>
          <w:tcPr>
            <w:tcW w:w="2240" w:type="dxa"/>
            <w:vAlign w:val="bottom"/>
            <w:tcBorders>
              <w:right w:val="single" w:sz="8" w:color="auto"/>
            </w:tcBorders>
          </w:tcPr>
          <w:p>
            <w:pPr>
              <w:ind w:left="100"/>
              <w:spacing w:after="0" w:line="196" w:lineRule="exact"/>
              <w:rPr>
                <w:sz w:val="20"/>
                <w:szCs w:val="20"/>
                <w:color w:val="auto"/>
              </w:rPr>
            </w:pPr>
            <w:r>
              <w:rPr>
                <w:rFonts w:ascii="Times New Roman" w:cs="Times New Roman" w:eastAsia="Times New Roman" w:hAnsi="Times New Roman"/>
                <w:sz w:val="18"/>
                <w:szCs w:val="18"/>
                <w:b w:val="1"/>
                <w:bCs w:val="1"/>
                <w:color w:val="auto"/>
              </w:rPr>
              <w:t>10b5-1 Trading</w:t>
            </w:r>
          </w:p>
        </w:tc>
        <w:tc>
          <w:tcPr>
            <w:tcW w:w="2240" w:type="dxa"/>
            <w:vAlign w:val="bottom"/>
            <w:tcBorders>
              <w:right w:val="single" w:sz="8" w:color="auto"/>
            </w:tcBorders>
          </w:tcPr>
          <w:p>
            <w:pPr>
              <w:ind w:left="100"/>
              <w:spacing w:after="0" w:line="196" w:lineRule="exact"/>
              <w:rPr>
                <w:sz w:val="20"/>
                <w:szCs w:val="20"/>
                <w:color w:val="auto"/>
              </w:rPr>
            </w:pPr>
            <w:r>
              <w:rPr>
                <w:rFonts w:ascii="Times New Roman" w:cs="Times New Roman" w:eastAsia="Times New Roman" w:hAnsi="Times New Roman"/>
                <w:sz w:val="18"/>
                <w:szCs w:val="18"/>
                <w:b w:val="1"/>
                <w:bCs w:val="1"/>
                <w:color w:val="auto"/>
              </w:rPr>
              <w:t>Date of Rule 10b5-1</w:t>
            </w:r>
          </w:p>
        </w:tc>
        <w:tc>
          <w:tcPr>
            <w:tcW w:w="2240" w:type="dxa"/>
            <w:vAlign w:val="bottom"/>
            <w:tcBorders>
              <w:right w:val="single" w:sz="8" w:color="auto"/>
            </w:tcBorders>
          </w:tcPr>
          <w:p>
            <w:pPr>
              <w:ind w:left="100"/>
              <w:spacing w:after="0" w:line="196" w:lineRule="exact"/>
              <w:rPr>
                <w:sz w:val="20"/>
                <w:szCs w:val="20"/>
                <w:color w:val="auto"/>
              </w:rPr>
            </w:pPr>
            <w:r>
              <w:rPr>
                <w:rFonts w:ascii="Times New Roman" w:cs="Times New Roman" w:eastAsia="Times New Roman" w:hAnsi="Times New Roman"/>
                <w:sz w:val="18"/>
                <w:szCs w:val="18"/>
                <w:b w:val="1"/>
                <w:bCs w:val="1"/>
                <w:color w:val="auto"/>
              </w:rPr>
              <w:t>Securities to Be Sold</w:t>
            </w:r>
          </w:p>
        </w:tc>
      </w:tr>
      <w:tr>
        <w:trPr>
          <w:trHeight w:val="289"/>
        </w:trPr>
        <w:tc>
          <w:tcPr>
            <w:tcW w:w="2280" w:type="dxa"/>
            <w:vAlign w:val="bottom"/>
            <w:tcBorders>
              <w:left w:val="single" w:sz="8" w:color="auto"/>
              <w:bottom w:val="single" w:sz="8" w:color="auto"/>
              <w:right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ind w:left="100"/>
              <w:spacing w:after="0" w:line="268" w:lineRule="exact"/>
              <w:rPr>
                <w:sz w:val="20"/>
                <w:szCs w:val="20"/>
                <w:color w:val="auto"/>
              </w:rPr>
            </w:pPr>
            <w:r>
              <w:rPr>
                <w:rFonts w:ascii="Times New Roman" w:cs="Times New Roman" w:eastAsia="Times New Roman" w:hAnsi="Times New Roman"/>
                <w:sz w:val="18"/>
                <w:szCs w:val="18"/>
                <w:b w:val="1"/>
                <w:bCs w:val="1"/>
                <w:color w:val="auto"/>
              </w:rPr>
              <w:t>Arrangement</w:t>
            </w:r>
            <w:r>
              <w:rPr>
                <w:rFonts w:ascii="Times New Roman" w:cs="Times New Roman" w:eastAsia="Times New Roman" w:hAnsi="Times New Roman"/>
                <w:sz w:val="24"/>
                <w:szCs w:val="24"/>
                <w:b w:val="1"/>
                <w:bCs w:val="1"/>
                <w:color w:val="auto"/>
                <w:vertAlign w:val="superscript"/>
              </w:rPr>
              <w:t>(1)</w:t>
            </w:r>
          </w:p>
        </w:tc>
        <w:tc>
          <w:tcPr>
            <w:tcW w:w="22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Trading Arrangement</w:t>
            </w:r>
          </w:p>
        </w:tc>
        <w:tc>
          <w:tcPr>
            <w:tcW w:w="2240" w:type="dxa"/>
            <w:vAlign w:val="bottom"/>
            <w:tcBorders>
              <w:bottom w:val="single" w:sz="8" w:color="auto"/>
              <w:right w:val="single" w:sz="8" w:color="auto"/>
            </w:tcBorders>
          </w:tcPr>
          <w:p>
            <w:pPr>
              <w:spacing w:after="0"/>
              <w:rPr>
                <w:sz w:val="24"/>
                <w:szCs w:val="24"/>
                <w:color w:val="auto"/>
              </w:rPr>
            </w:pPr>
          </w:p>
        </w:tc>
      </w:tr>
      <w:tr>
        <w:trPr>
          <w:trHeight w:val="293"/>
        </w:trPr>
        <w:tc>
          <w:tcPr>
            <w:tcW w:w="228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Herriot Tabuteau</w:t>
            </w:r>
          </w:p>
        </w:tc>
        <w:tc>
          <w:tcPr>
            <w:tcW w:w="22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Chief Executive Officer</w:t>
            </w:r>
          </w:p>
        </w:tc>
        <w:tc>
          <w:tcPr>
            <w:tcW w:w="22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June 13, 2025</w:t>
            </w:r>
            <w:r>
              <w:rPr>
                <w:rFonts w:ascii="Times New Roman" w:cs="Times New Roman" w:eastAsia="Times New Roman" w:hAnsi="Times New Roman"/>
                <w:sz w:val="24"/>
                <w:szCs w:val="24"/>
                <w:color w:val="auto"/>
                <w:vertAlign w:val="superscript"/>
              </w:rPr>
              <w:t>(2)</w:t>
            </w:r>
          </w:p>
        </w:tc>
        <w:tc>
          <w:tcPr>
            <w:tcW w:w="22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May 6, 2026</w:t>
            </w:r>
          </w:p>
        </w:tc>
        <w:tc>
          <w:tcPr>
            <w:tcW w:w="22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524,000</w:t>
            </w:r>
            <w:r>
              <w:rPr>
                <w:rFonts w:ascii="Times New Roman" w:cs="Times New Roman" w:eastAsia="Times New Roman" w:hAnsi="Times New Roman"/>
                <w:sz w:val="24"/>
                <w:szCs w:val="24"/>
                <w:color w:val="auto"/>
                <w:vertAlign w:val="superscript"/>
              </w:rPr>
              <w:t>(3)(4)</w:t>
            </w:r>
          </w:p>
        </w:tc>
      </w:tr>
      <w:tr>
        <w:trPr>
          <w:trHeight w:val="223"/>
        </w:trPr>
        <w:tc>
          <w:tcPr>
            <w:tcW w:w="2280" w:type="dxa"/>
            <w:vAlign w:val="bottom"/>
            <w:tcBorders>
              <w:left w:val="single" w:sz="8" w:color="auto"/>
              <w:bottom w:val="single" w:sz="8" w:color="auto"/>
              <w:right w:val="single" w:sz="8" w:color="auto"/>
            </w:tcBorders>
          </w:tcPr>
          <w:p>
            <w:pPr>
              <w:spacing w:after="0"/>
              <w:rPr>
                <w:sz w:val="19"/>
                <w:szCs w:val="19"/>
                <w:color w:val="auto"/>
              </w:rPr>
            </w:pPr>
          </w:p>
        </w:tc>
        <w:tc>
          <w:tcPr>
            <w:tcW w:w="2240" w:type="dxa"/>
            <w:vAlign w:val="bottom"/>
            <w:tcBorders>
              <w:bottom w:val="single" w:sz="8" w:color="auto"/>
              <w:right w:val="single" w:sz="8" w:color="auto"/>
            </w:tcBorders>
          </w:tcPr>
          <w:p>
            <w:pPr>
              <w:spacing w:after="0"/>
              <w:rPr>
                <w:sz w:val="19"/>
                <w:szCs w:val="19"/>
                <w:color w:val="auto"/>
              </w:rPr>
            </w:pPr>
          </w:p>
        </w:tc>
        <w:tc>
          <w:tcPr>
            <w:tcW w:w="2240" w:type="dxa"/>
            <w:vAlign w:val="bottom"/>
            <w:tcBorders>
              <w:bottom w:val="single" w:sz="8" w:color="auto"/>
              <w:right w:val="single" w:sz="8" w:color="auto"/>
            </w:tcBorders>
          </w:tcPr>
          <w:p>
            <w:pPr>
              <w:spacing w:after="0"/>
              <w:rPr>
                <w:sz w:val="19"/>
                <w:szCs w:val="19"/>
                <w:color w:val="auto"/>
              </w:rPr>
            </w:pPr>
          </w:p>
        </w:tc>
        <w:tc>
          <w:tcPr>
            <w:tcW w:w="2240" w:type="dxa"/>
            <w:vAlign w:val="bottom"/>
            <w:tcBorders>
              <w:bottom w:val="single" w:sz="8" w:color="auto"/>
              <w:right w:val="single" w:sz="8" w:color="auto"/>
            </w:tcBorders>
          </w:tcPr>
          <w:p>
            <w:pPr>
              <w:spacing w:after="0"/>
              <w:rPr>
                <w:sz w:val="19"/>
                <w:szCs w:val="19"/>
                <w:color w:val="auto"/>
              </w:rPr>
            </w:pPr>
          </w:p>
        </w:tc>
        <w:tc>
          <w:tcPr>
            <w:tcW w:w="2240" w:type="dxa"/>
            <w:vAlign w:val="bottom"/>
            <w:tcBorders>
              <w:bottom w:val="single" w:sz="8" w:color="auto"/>
              <w:right w:val="single" w:sz="8" w:color="auto"/>
            </w:tcBorders>
          </w:tcPr>
          <w:p>
            <w:pPr>
              <w:spacing w:after="0"/>
              <w:rPr>
                <w:sz w:val="19"/>
                <w:szCs w:val="19"/>
                <w:color w:val="auto"/>
              </w:rPr>
            </w:pPr>
          </w:p>
        </w:tc>
      </w:tr>
      <w:tr>
        <w:trPr>
          <w:trHeight w:val="425"/>
        </w:trPr>
        <w:tc>
          <w:tcPr>
            <w:tcW w:w="22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Mark Jacobson</w:t>
            </w:r>
          </w:p>
        </w:tc>
        <w:tc>
          <w:tcPr>
            <w:tcW w:w="224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Chief Operating Officer</w:t>
            </w:r>
          </w:p>
        </w:tc>
        <w:tc>
          <w:tcPr>
            <w:tcW w:w="22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June 17, 2025</w:t>
            </w:r>
            <w:r>
              <w:rPr>
                <w:rFonts w:ascii="Times New Roman" w:cs="Times New Roman" w:eastAsia="Times New Roman" w:hAnsi="Times New Roman"/>
                <w:sz w:val="24"/>
                <w:szCs w:val="24"/>
                <w:color w:val="auto"/>
                <w:vertAlign w:val="superscript"/>
              </w:rPr>
              <w:t>(2)</w:t>
            </w:r>
          </w:p>
        </w:tc>
        <w:tc>
          <w:tcPr>
            <w:tcW w:w="22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March 14, 2026</w:t>
            </w:r>
          </w:p>
        </w:tc>
        <w:tc>
          <w:tcPr>
            <w:tcW w:w="22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35"/>
                <w:szCs w:val="35"/>
                <w:color w:val="auto"/>
                <w:vertAlign w:val="subscript"/>
              </w:rPr>
              <w:t>70,783</w:t>
            </w:r>
            <w:r>
              <w:rPr>
                <w:rFonts w:ascii="Times New Roman" w:cs="Times New Roman" w:eastAsia="Times New Roman" w:hAnsi="Times New Roman"/>
                <w:sz w:val="12"/>
                <w:szCs w:val="12"/>
                <w:color w:val="auto"/>
              </w:rPr>
              <w:t>(3)(4)</w:t>
            </w:r>
          </w:p>
        </w:tc>
      </w:tr>
    </w:tbl>
    <w:p>
      <w:pPr>
        <w:spacing w:after="0" w:line="45" w:lineRule="exact"/>
        <w:rPr>
          <w:sz w:val="20"/>
          <w:szCs w:val="20"/>
          <w:color w:val="auto"/>
        </w:rPr>
      </w:pPr>
    </w:p>
    <w:p>
      <w:pPr>
        <w:ind w:left="220" w:hanging="212"/>
        <w:spacing w:after="0"/>
        <w:tabs>
          <w:tab w:leader="none" w:pos="22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Date of adoption of Rule 10b5-1 trading arrangements is in accordance with both the Company’s insider trading policy and applicable SEC rules and regulations.</w:t>
      </w:r>
    </w:p>
    <w:p>
      <w:pPr>
        <w:spacing w:after="0" w:line="3" w:lineRule="exact"/>
        <w:rPr>
          <w:rFonts w:ascii="Times New Roman" w:cs="Times New Roman" w:eastAsia="Times New Roman" w:hAnsi="Times New Roman"/>
          <w:sz w:val="14"/>
          <w:szCs w:val="14"/>
          <w:color w:val="auto"/>
        </w:rPr>
      </w:pPr>
    </w:p>
    <w:p>
      <w:pPr>
        <w:ind w:right="20" w:firstLine="8"/>
        <w:spacing w:after="0" w:line="221" w:lineRule="auto"/>
        <w:tabs>
          <w:tab w:leader="none" w:pos="204"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first trade pursuant to the Rule 10b5-1 trading arrangement will be, in accordance with both the Company’s insider trading policy and applicable SEC rules and regulations, on a date after the date of adoption of the Rule 10b5-1 trading arrangement.</w:t>
      </w:r>
    </w:p>
    <w:p>
      <w:pPr>
        <w:ind w:left="220" w:hanging="212"/>
        <w:spacing w:after="0" w:line="221" w:lineRule="auto"/>
        <w:tabs>
          <w:tab w:leader="none" w:pos="22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subsequent sale of the underlying shares pursuant to an exercise of stock options.</w:t>
      </w:r>
    </w:p>
    <w:p>
      <w:pPr>
        <w:ind w:left="220" w:hanging="212"/>
        <w:spacing w:after="0"/>
        <w:tabs>
          <w:tab w:leader="none" w:pos="22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an exercise of stock options prior to the 10-year expiration date of such options, which would occur within 12 to 24 months.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2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exhibits filed as part of this Quarterly Report on Form 10-Q are set forth on the Exhibit Index, which is incorporated herein by reference.</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160" w:type="dxa"/>
            <w:vAlign w:val="bottom"/>
            <w:gridSpan w:val="19"/>
          </w:tcPr>
          <w:p>
            <w:pPr>
              <w:ind w:left="1640"/>
              <w:spacing w:after="0"/>
              <w:rPr>
                <w:sz w:val="20"/>
                <w:szCs w:val="20"/>
                <w:color w:val="auto"/>
              </w:rPr>
            </w:pPr>
            <w:r>
              <w:rPr>
                <w:rFonts w:ascii="Times New Roman" w:cs="Times New Roman" w:eastAsia="Times New Roman" w:hAnsi="Times New Roman"/>
                <w:sz w:val="18"/>
                <w:szCs w:val="18"/>
                <w:b w:val="1"/>
                <w:bCs w:val="1"/>
                <w:color w:val="auto"/>
              </w:rPr>
              <w:t>INDEX OF EXHIBITS</w:t>
            </w:r>
          </w:p>
        </w:tc>
        <w:tc>
          <w:tcPr>
            <w:tcW w:w="0" w:type="dxa"/>
            <w:vAlign w:val="bottom"/>
          </w:tcPr>
          <w:p>
            <w:pPr>
              <w:spacing w:after="0"/>
              <w:rPr>
                <w:sz w:val="1"/>
                <w:szCs w:val="1"/>
                <w:color w:val="auto"/>
              </w:rPr>
            </w:pPr>
          </w:p>
        </w:tc>
      </w:tr>
      <w:tr>
        <w:trPr>
          <w:trHeight w:val="245"/>
        </w:trPr>
        <w:tc>
          <w:tcPr>
            <w:tcW w:w="102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5740" w:type="dxa"/>
            <w:vAlign w:val="bottom"/>
            <w:gridSpan w:val="17"/>
            <w:vMerge w:val="restart"/>
          </w:tcPr>
          <w:p>
            <w:pPr>
              <w:ind w:left="34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102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0" w:type="dxa"/>
            <w:vAlign w:val="bottom"/>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5740" w:type="dxa"/>
            <w:vAlign w:val="bottom"/>
            <w:tcBorders>
              <w:bottom w:val="single" w:sz="8" w:color="auto"/>
            </w:tcBorders>
            <w:gridSpan w:val="17"/>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21"/>
                <w:szCs w:val="21"/>
                <w:color w:val="auto"/>
              </w:rPr>
            </w:pPr>
          </w:p>
        </w:tc>
        <w:tc>
          <w:tcPr>
            <w:tcW w:w="10080" w:type="dxa"/>
            <w:vAlign w:val="bottom"/>
            <w:tcBorders>
              <w:bottom w:val="single" w:sz="8" w:color="0000FF"/>
            </w:tcBorders>
            <w:gridSpan w:val="22"/>
          </w:tcPr>
          <w:p>
            <w:pPr>
              <w:spacing w:after="0"/>
              <w:rPr>
                <w:rFonts w:ascii="Times New Roman" w:cs="Times New Roman" w:eastAsia="Times New Roman" w:hAnsi="Times New Roman"/>
                <w:sz w:val="18"/>
                <w:szCs w:val="18"/>
                <w:color w:val="0000FF"/>
              </w:rPr>
            </w:pPr>
            <w:hyperlink r:id="rId312">
              <w:r>
                <w:rPr>
                  <w:rFonts w:ascii="Times New Roman" w:cs="Times New Roman" w:eastAsia="Times New Roman" w:hAnsi="Times New Roman"/>
                  <w:sz w:val="18"/>
                  <w:szCs w:val="18"/>
                  <w:color w:val="0000FF"/>
                </w:rPr>
                <w:t>Amendment to Sublease, dated January 17, 2025, between Advance Magazine Publishers Inc. d/b/a Condé Nast and Axsome Therapeutics,</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380" w:type="dxa"/>
            <w:vAlign w:val="bottom"/>
            <w:tcBorders>
              <w:bottom w:val="single" w:sz="8" w:color="0000FF"/>
            </w:tcBorders>
            <w:gridSpan w:val="8"/>
          </w:tcPr>
          <w:p>
            <w:pPr>
              <w:spacing w:after="0" w:line="196" w:lineRule="exact"/>
              <w:rPr>
                <w:rFonts w:ascii="Times New Roman" w:cs="Times New Roman" w:eastAsia="Times New Roman" w:hAnsi="Times New Roman"/>
                <w:sz w:val="18"/>
                <w:szCs w:val="18"/>
                <w:color w:val="0000FF"/>
                <w:w w:val="99"/>
              </w:rPr>
            </w:pPr>
            <w:hyperlink r:id="rId312">
              <w:r>
                <w:rPr>
                  <w:rFonts w:ascii="Times New Roman" w:cs="Times New Roman" w:eastAsia="Times New Roman" w:hAnsi="Times New Roman"/>
                  <w:sz w:val="18"/>
                  <w:szCs w:val="18"/>
                  <w:color w:val="0000FF"/>
                  <w:w w:val="99"/>
                </w:rPr>
                <w:t>Inc. (Incorporated by reference, Exhibit 10.1 to the Company’s Quarterly Report on Form 10-Q, filed May 5, 2025).</w:t>
              </w:r>
            </w:hyperlink>
          </w:p>
        </w:tc>
        <w:tc>
          <w:tcPr>
            <w:tcW w:w="20" w:type="dxa"/>
            <w:vAlign w:val="bottom"/>
            <w:tcBorders>
              <w:bottom w:val="single" w:sz="8" w:color="0000EE"/>
            </w:tcBorders>
          </w:tcPr>
          <w:p>
            <w:pPr>
              <w:spacing w:after="0"/>
              <w:rPr>
                <w:sz w:val="17"/>
                <w:szCs w:val="17"/>
                <w:color w:val="auto"/>
              </w:rPr>
            </w:pPr>
          </w:p>
        </w:tc>
        <w:tc>
          <w:tcPr>
            <w:tcW w:w="1700" w:type="dxa"/>
            <w:vAlign w:val="bottom"/>
            <w:gridSpan w:val="14"/>
          </w:tcPr>
          <w:p>
            <w:pPr>
              <w:spacing w:after="0"/>
              <w:rPr>
                <w:sz w:val="17"/>
                <w:szCs w:val="17"/>
                <w:color w:val="auto"/>
              </w:rPr>
            </w:pPr>
          </w:p>
        </w:tc>
        <w:tc>
          <w:tcPr>
            <w:tcW w:w="0" w:type="dxa"/>
            <w:vAlign w:val="bottom"/>
          </w:tcPr>
          <w:p>
            <w:pPr>
              <w:spacing w:after="0"/>
              <w:rPr>
                <w:sz w:val="1"/>
                <w:szCs w:val="1"/>
                <w:color w:val="auto"/>
              </w:rPr>
            </w:pPr>
          </w:p>
        </w:tc>
      </w:tr>
      <w:tr>
        <w:trPr>
          <w:trHeight w:val="277"/>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10.2**##</w:t>
            </w:r>
          </w:p>
        </w:tc>
        <w:tc>
          <w:tcPr>
            <w:tcW w:w="120" w:type="dxa"/>
            <w:vAlign w:val="bottom"/>
          </w:tcPr>
          <w:p>
            <w:pPr>
              <w:spacing w:after="0"/>
              <w:rPr>
                <w:sz w:val="24"/>
                <w:szCs w:val="24"/>
                <w:color w:val="auto"/>
              </w:rPr>
            </w:pPr>
          </w:p>
        </w:tc>
        <w:tc>
          <w:tcPr>
            <w:tcW w:w="984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rPr>
              <w:t>Loan Agreement, dated May 8, 2025, by and among Axsome Therapeutics, Inc., certain subsidiaries of Axsome Therapeutics, Inc. from</w:t>
            </w:r>
          </w:p>
        </w:tc>
        <w:tc>
          <w:tcPr>
            <w:tcW w:w="26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80" w:type="dxa"/>
            <w:vAlign w:val="bottom"/>
            <w:tcBorders>
              <w:bottom w:val="single" w:sz="8" w:color="0000FF"/>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time to time party thereto, Wilmington Trust, National Association, as agent, Blackstone Alternative Credit Advisors LP and Blackstone</w:t>
            </w:r>
          </w:p>
        </w:tc>
        <w:tc>
          <w:tcPr>
            <w:tcW w:w="22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FF"/>
              </w:rPr>
              <w:t>Life Sciences Advisors L.L.C., as Blackstone Representative, and the lenders from time to time party thereto.</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182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3540" w:type="dxa"/>
            <w:vAlign w:val="bottom"/>
            <w:tcBorders>
              <w:right w:val="single" w:sz="8" w:color="0000EE"/>
            </w:tcBorders>
            <w:shd w:val="clear" w:color="auto" w:fill="0000FF"/>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10.3**##</w:t>
            </w:r>
          </w:p>
        </w:tc>
        <w:tc>
          <w:tcPr>
            <w:tcW w:w="120" w:type="dxa"/>
            <w:vAlign w:val="bottom"/>
          </w:tcPr>
          <w:p>
            <w:pPr>
              <w:spacing w:after="0"/>
              <w:rPr>
                <w:sz w:val="24"/>
                <w:szCs w:val="24"/>
                <w:color w:val="auto"/>
              </w:rPr>
            </w:pPr>
          </w:p>
        </w:tc>
        <w:tc>
          <w:tcPr>
            <w:tcW w:w="996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rPr>
              <w:t>Securities Purchase Agreement, dated May 8, 2025, by and among Axsome Therapeutics, Inc., Axis Aggregator, L.P., Blackstone Private</w:t>
            </w:r>
          </w:p>
        </w:tc>
        <w:tc>
          <w:tcPr>
            <w:tcW w:w="14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FF"/>
              </w:rPr>
              <w:t>Credit Fund and Blackstone Secured Lending Fund.</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1820" w:type="dxa"/>
            <w:vAlign w:val="bottom"/>
            <w:tcBorders>
              <w:right w:val="single" w:sz="8" w:color="0000EE"/>
            </w:tcBorders>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9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4"/>
                <w:szCs w:val="24"/>
                <w:color w:val="auto"/>
              </w:rPr>
            </w:pPr>
          </w:p>
        </w:tc>
        <w:tc>
          <w:tcPr>
            <w:tcW w:w="1010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Axsome Therapeutics, Inc. 2025 Long-Term Incentive Plan.</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2420" w:type="dxa"/>
            <w:vAlign w:val="bottom"/>
            <w:tcBorders>
              <w:right w:val="single" w:sz="8" w:color="0000EE"/>
            </w:tcBorders>
            <w:gridSpan w:val="2"/>
            <w:shd w:val="clear" w:color="auto" w:fill="0000FF"/>
          </w:tcPr>
          <w:p>
            <w:pPr>
              <w:spacing w:after="0" w:line="20" w:lineRule="exact"/>
              <w:rPr>
                <w:sz w:val="1"/>
                <w:szCs w:val="1"/>
                <w:color w:val="auto"/>
              </w:rPr>
            </w:pPr>
          </w:p>
        </w:tc>
        <w:tc>
          <w:tcPr>
            <w:tcW w:w="49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10.5**</w:t>
            </w:r>
          </w:p>
        </w:tc>
        <w:tc>
          <w:tcPr>
            <w:tcW w:w="120" w:type="dxa"/>
            <w:vAlign w:val="bottom"/>
          </w:tcPr>
          <w:p>
            <w:pPr>
              <w:spacing w:after="0"/>
              <w:rPr>
                <w:sz w:val="24"/>
                <w:szCs w:val="24"/>
                <w:color w:val="auto"/>
              </w:rPr>
            </w:pPr>
          </w:p>
        </w:tc>
        <w:tc>
          <w:tcPr>
            <w:tcW w:w="1010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Axsome Therapeutics, Inc. Form of Standard Restricted Stock Units Agreement pursuant to the 2025 Long-Term Incentive Plan.</w:t>
            </w:r>
          </w:p>
        </w:tc>
        <w:tc>
          <w:tcPr>
            <w:tcW w:w="0" w:type="dxa"/>
            <w:vAlign w:val="bottom"/>
          </w:tcPr>
          <w:p>
            <w:pPr>
              <w:spacing w:after="0"/>
              <w:rPr>
                <w:sz w:val="1"/>
                <w:szCs w:val="1"/>
                <w:color w:val="auto"/>
              </w:rPr>
            </w:pPr>
          </w:p>
        </w:tc>
      </w:tr>
      <w:tr>
        <w:trPr>
          <w:trHeight w:val="277"/>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10.6**</w:t>
            </w:r>
          </w:p>
        </w:tc>
        <w:tc>
          <w:tcPr>
            <w:tcW w:w="120" w:type="dxa"/>
            <w:vAlign w:val="bottom"/>
          </w:tcPr>
          <w:p>
            <w:pPr>
              <w:spacing w:after="0"/>
              <w:rPr>
                <w:sz w:val="24"/>
                <w:szCs w:val="24"/>
                <w:color w:val="auto"/>
              </w:rPr>
            </w:pPr>
          </w:p>
        </w:tc>
        <w:tc>
          <w:tcPr>
            <w:tcW w:w="9280" w:type="dxa"/>
            <w:vAlign w:val="bottom"/>
            <w:tcBorders>
              <w:top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rPr>
              <w:t>Axsome Therapeutics, Inc. Form of Director Restricted Stock Units Agreement pursuant to the 2025 Long-Term Incentive Plan.</w:t>
            </w:r>
          </w:p>
        </w:tc>
        <w:tc>
          <w:tcPr>
            <w:tcW w:w="820" w:type="dxa"/>
            <w:vAlign w:val="bottom"/>
            <w:gridSpan w:val="12"/>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7320" w:type="dxa"/>
            <w:vAlign w:val="bottom"/>
            <w:tcBorders>
              <w:right w:val="single" w:sz="8" w:color="0000EE"/>
            </w:tcBorders>
            <w:gridSpan w:val="6"/>
            <w:shd w:val="clear" w:color="auto" w:fill="0000FF"/>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10.7**</w:t>
            </w:r>
          </w:p>
        </w:tc>
        <w:tc>
          <w:tcPr>
            <w:tcW w:w="120" w:type="dxa"/>
            <w:vAlign w:val="bottom"/>
          </w:tcPr>
          <w:p>
            <w:pPr>
              <w:spacing w:after="0"/>
              <w:rPr>
                <w:sz w:val="24"/>
                <w:szCs w:val="24"/>
                <w:color w:val="auto"/>
              </w:rPr>
            </w:pPr>
          </w:p>
        </w:tc>
        <w:tc>
          <w:tcPr>
            <w:tcW w:w="10020" w:type="dxa"/>
            <w:vAlign w:val="bottom"/>
            <w:tcBorders>
              <w:bottom w:val="single" w:sz="8" w:color="0000FF"/>
            </w:tcBorders>
            <w:gridSpan w:val="20"/>
          </w:tcPr>
          <w:p>
            <w:pPr>
              <w:spacing w:after="0"/>
              <w:rPr>
                <w:sz w:val="20"/>
                <w:szCs w:val="20"/>
                <w:color w:val="auto"/>
              </w:rPr>
            </w:pPr>
            <w:r>
              <w:rPr>
                <w:rFonts w:ascii="Times New Roman" w:cs="Times New Roman" w:eastAsia="Times New Roman" w:hAnsi="Times New Roman"/>
                <w:sz w:val="18"/>
                <w:szCs w:val="18"/>
                <w:color w:val="0000FF"/>
                <w:w w:val="99"/>
              </w:rPr>
              <w:t>Axsome Therapeutics, Inc. Form of Executive Deferral Restricted Stock Units Agreement pursuant to the 2025 Long-Term Incentive Plan.</w:t>
            </w:r>
          </w:p>
        </w:tc>
        <w:tc>
          <w:tcPr>
            <w:tcW w:w="8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10.8**</w:t>
            </w:r>
          </w:p>
        </w:tc>
        <w:tc>
          <w:tcPr>
            <w:tcW w:w="120" w:type="dxa"/>
            <w:vAlign w:val="bottom"/>
          </w:tcPr>
          <w:p>
            <w:pPr>
              <w:spacing w:after="0"/>
              <w:rPr>
                <w:sz w:val="24"/>
                <w:szCs w:val="24"/>
                <w:color w:val="auto"/>
              </w:rPr>
            </w:pPr>
          </w:p>
        </w:tc>
        <w:tc>
          <w:tcPr>
            <w:tcW w:w="1010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Axsome Therapeutics, Inc. Form of Standard Nonstatutory Stock Option Agreement pursuant to the 2025 Long-Term Incentive Plan.</w:t>
            </w:r>
          </w:p>
        </w:tc>
        <w:tc>
          <w:tcPr>
            <w:tcW w:w="0" w:type="dxa"/>
            <w:vAlign w:val="bottom"/>
          </w:tcPr>
          <w:p>
            <w:pPr>
              <w:spacing w:after="0"/>
              <w:rPr>
                <w:sz w:val="1"/>
                <w:szCs w:val="1"/>
                <w:color w:val="auto"/>
              </w:rPr>
            </w:pPr>
          </w:p>
        </w:tc>
      </w:tr>
      <w:tr>
        <w:trPr>
          <w:trHeight w:val="277"/>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10.9**</w:t>
            </w:r>
          </w:p>
        </w:tc>
        <w:tc>
          <w:tcPr>
            <w:tcW w:w="120" w:type="dxa"/>
            <w:vAlign w:val="bottom"/>
          </w:tcPr>
          <w:p>
            <w:pPr>
              <w:spacing w:after="0"/>
              <w:rPr>
                <w:sz w:val="24"/>
                <w:szCs w:val="24"/>
                <w:color w:val="auto"/>
              </w:rPr>
            </w:pPr>
          </w:p>
        </w:tc>
        <w:tc>
          <w:tcPr>
            <w:tcW w:w="9600" w:type="dxa"/>
            <w:vAlign w:val="bottom"/>
            <w:tcBorders>
              <w:top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rPr>
              <w:t>Axsome Therapeutics, Inc. Form of Director Nonstatutory Stock Option Agreement pursuant to the 2025 Long-Term Incentive Plan.</w:t>
            </w:r>
          </w:p>
        </w:tc>
        <w:tc>
          <w:tcPr>
            <w:tcW w:w="50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7640" w:type="dxa"/>
            <w:vAlign w:val="bottom"/>
            <w:tcBorders>
              <w:right w:val="single" w:sz="8" w:color="0000EE"/>
            </w:tcBorders>
            <w:gridSpan w:val="8"/>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10.10**##</w:t>
            </w:r>
          </w:p>
        </w:tc>
        <w:tc>
          <w:tcPr>
            <w:tcW w:w="120" w:type="dxa"/>
            <w:vAlign w:val="bottom"/>
          </w:tcPr>
          <w:p>
            <w:pPr>
              <w:spacing w:after="0"/>
              <w:rPr>
                <w:sz w:val="24"/>
                <w:szCs w:val="24"/>
                <w:color w:val="auto"/>
              </w:rPr>
            </w:pPr>
          </w:p>
        </w:tc>
        <w:tc>
          <w:tcPr>
            <w:tcW w:w="10000" w:type="dxa"/>
            <w:vAlign w:val="bottom"/>
            <w:tcBorders>
              <w:bottom w:val="single" w:sz="8" w:color="0000FF"/>
            </w:tcBorders>
            <w:gridSpan w:val="19"/>
          </w:tcPr>
          <w:p>
            <w:pPr>
              <w:spacing w:after="0"/>
              <w:rPr>
                <w:sz w:val="20"/>
                <w:szCs w:val="20"/>
                <w:color w:val="auto"/>
              </w:rPr>
            </w:pPr>
            <w:r>
              <w:rPr>
                <w:rFonts w:ascii="Times New Roman" w:cs="Times New Roman" w:eastAsia="Times New Roman" w:hAnsi="Times New Roman"/>
                <w:sz w:val="18"/>
                <w:szCs w:val="18"/>
                <w:color w:val="0000FF"/>
                <w:w w:val="99"/>
              </w:rPr>
              <w:t>Axsome Therapeutics, Inc. Form of Performance-Based Restricted Stock Unit Agreement pursuant to the 2025 Long-Term Incentive Plan.</w:t>
            </w:r>
          </w:p>
        </w:tc>
        <w:tc>
          <w:tcPr>
            <w:tcW w:w="10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120" w:type="dxa"/>
            <w:vAlign w:val="bottom"/>
          </w:tcPr>
          <w:p>
            <w:pPr>
              <w:spacing w:after="0"/>
              <w:rPr>
                <w:sz w:val="24"/>
                <w:szCs w:val="24"/>
                <w:color w:val="auto"/>
              </w:rPr>
            </w:pPr>
          </w:p>
        </w:tc>
        <w:tc>
          <w:tcPr>
            <w:tcW w:w="1010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Rule 13a-14(a)/15d-14(a), as adopted pursuant to Section 302 of the Sarbanes-</w:t>
            </w: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Borders>
              <w:top w:val="single" w:sz="8" w:color="0000FF"/>
              <w:bottom w:val="single" w:sz="8" w:color="0000FF"/>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FF"/>
                <w:w w:val="99"/>
              </w:rPr>
              <w:t>Oxley Act of 2002.</w:t>
            </w:r>
          </w:p>
        </w:tc>
        <w:tc>
          <w:tcPr>
            <w:tcW w:w="20" w:type="dxa"/>
            <w:vAlign w:val="bottom"/>
            <w:tcBorders>
              <w:top w:val="single" w:sz="8" w:color="0000FF"/>
              <w:bottom w:val="single" w:sz="8" w:color="0000EE"/>
            </w:tcBorders>
          </w:tcPr>
          <w:p>
            <w:pPr>
              <w:spacing w:after="0"/>
              <w:rPr>
                <w:sz w:val="17"/>
                <w:szCs w:val="17"/>
                <w:color w:val="auto"/>
              </w:rPr>
            </w:pPr>
          </w:p>
        </w:tc>
        <w:tc>
          <w:tcPr>
            <w:tcW w:w="8260" w:type="dxa"/>
            <w:vAlign w:val="bottom"/>
            <w:tcBorders>
              <w:top w:val="single" w:sz="8" w:color="0000FF"/>
            </w:tcBorders>
            <w:gridSpan w:val="11"/>
          </w:tcPr>
          <w:p>
            <w:pPr>
              <w:spacing w:after="0"/>
              <w:rPr>
                <w:sz w:val="17"/>
                <w:szCs w:val="17"/>
                <w:color w:val="auto"/>
              </w:rPr>
            </w:pPr>
          </w:p>
        </w:tc>
        <w:tc>
          <w:tcPr>
            <w:tcW w:w="42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277"/>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120" w:type="dxa"/>
            <w:vAlign w:val="bottom"/>
          </w:tcPr>
          <w:p>
            <w:pPr>
              <w:spacing w:after="0"/>
              <w:rPr>
                <w:sz w:val="24"/>
                <w:szCs w:val="24"/>
                <w:color w:val="auto"/>
              </w:rPr>
            </w:pPr>
          </w:p>
        </w:tc>
        <w:tc>
          <w:tcPr>
            <w:tcW w:w="10100" w:type="dxa"/>
            <w:vAlign w:val="bottom"/>
            <w:tcBorders>
              <w:bottom w:val="single" w:sz="8" w:color="0000FF"/>
            </w:tcBorders>
            <w:gridSpan w:val="23"/>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Rule 13a-14(a)/15d-14(a), as adopted pursuant to Section 302 of the Sarbanes-Oxley</w:t>
            </w: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FF"/>
              </w:rPr>
              <w:t>Act of 2002.</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right w:val="single" w:sz="8" w:color="0000EE"/>
            </w:tcBorders>
            <w:shd w:val="clear" w:color="auto" w:fill="0000FF"/>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8040" w:type="dxa"/>
            <w:vAlign w:val="bottom"/>
            <w:gridSpan w:val="1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120" w:type="dxa"/>
            <w:vAlign w:val="bottom"/>
          </w:tcPr>
          <w:p>
            <w:pPr>
              <w:spacing w:after="0"/>
              <w:rPr>
                <w:sz w:val="24"/>
                <w:szCs w:val="24"/>
                <w:color w:val="auto"/>
              </w:rPr>
            </w:pPr>
          </w:p>
        </w:tc>
        <w:tc>
          <w:tcPr>
            <w:tcW w:w="10040" w:type="dxa"/>
            <w:vAlign w:val="bottom"/>
            <w:tcBorders>
              <w:bottom w:val="single" w:sz="8" w:color="0000FF"/>
            </w:tcBorders>
            <w:gridSpan w:val="21"/>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18 U.S.C. §1350, as adopted pursuant to Section 906 of the Sarbanes-Oxley Act of</w:t>
            </w:r>
          </w:p>
        </w:tc>
        <w:tc>
          <w:tcPr>
            <w:tcW w:w="6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FF"/>
              </w:rPr>
              <w:t>2002 (furnished herewith).</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40" w:type="dxa"/>
            <w:vAlign w:val="bottom"/>
            <w:tcBorders>
              <w:right w:val="single" w:sz="8" w:color="0000EE"/>
            </w:tcBorders>
            <w:gridSpan w:val="4"/>
            <w:shd w:val="clear" w:color="auto" w:fill="0000FF"/>
          </w:tcPr>
          <w:p>
            <w:pPr>
              <w:spacing w:after="0" w:line="20" w:lineRule="exact"/>
              <w:rPr>
                <w:sz w:val="1"/>
                <w:szCs w:val="1"/>
                <w:color w:val="auto"/>
              </w:rPr>
            </w:pPr>
          </w:p>
        </w:tc>
        <w:tc>
          <w:tcPr>
            <w:tcW w:w="8040" w:type="dxa"/>
            <w:vAlign w:val="bottom"/>
            <w:gridSpan w:val="14"/>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120" w:type="dxa"/>
            <w:vAlign w:val="bottom"/>
          </w:tcPr>
          <w:p>
            <w:pPr>
              <w:spacing w:after="0"/>
              <w:rPr>
                <w:sz w:val="24"/>
                <w:szCs w:val="24"/>
                <w:color w:val="auto"/>
              </w:rPr>
            </w:pPr>
          </w:p>
        </w:tc>
        <w:tc>
          <w:tcPr>
            <w:tcW w:w="9980" w:type="dxa"/>
            <w:vAlign w:val="bottom"/>
            <w:tcBorders>
              <w:bottom w:val="single" w:sz="8" w:color="0000FF"/>
            </w:tcBorders>
            <w:gridSpan w:val="18"/>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18 U.S.C. §1350, as adopted pursuant to Section 906 of the Sarbanes-Oxley Act of</w:t>
            </w:r>
          </w:p>
        </w:tc>
        <w:tc>
          <w:tcPr>
            <w:tcW w:w="12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FF"/>
              </w:rPr>
              <w:t>2002 (furnished herewith).</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40" w:type="dxa"/>
            <w:vAlign w:val="bottom"/>
            <w:tcBorders>
              <w:right w:val="single" w:sz="8" w:color="0000EE"/>
            </w:tcBorders>
            <w:gridSpan w:val="4"/>
            <w:shd w:val="clear" w:color="auto" w:fill="0000FF"/>
          </w:tcPr>
          <w:p>
            <w:pPr>
              <w:spacing w:after="0" w:line="20" w:lineRule="exact"/>
              <w:rPr>
                <w:sz w:val="1"/>
                <w:szCs w:val="1"/>
                <w:color w:val="auto"/>
              </w:rPr>
            </w:pPr>
          </w:p>
        </w:tc>
        <w:tc>
          <w:tcPr>
            <w:tcW w:w="8160" w:type="dxa"/>
            <w:vAlign w:val="bottom"/>
            <w:gridSpan w:val="1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9"/>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120" w:type="dxa"/>
            <w:vAlign w:val="bottom"/>
          </w:tcPr>
          <w:p>
            <w:pPr>
              <w:spacing w:after="0"/>
              <w:rPr>
                <w:sz w:val="24"/>
                <w:szCs w:val="24"/>
                <w:color w:val="auto"/>
              </w:rPr>
            </w:pPr>
          </w:p>
        </w:tc>
        <w:tc>
          <w:tcPr>
            <w:tcW w:w="10100" w:type="dxa"/>
            <w:vAlign w:val="bottom"/>
            <w:gridSpan w:val="23"/>
          </w:tcPr>
          <w:p>
            <w:pPr>
              <w:spacing w:after="0"/>
              <w:rPr>
                <w:sz w:val="20"/>
                <w:szCs w:val="20"/>
                <w:color w:val="auto"/>
              </w:rPr>
            </w:pPr>
            <w:r>
              <w:rPr>
                <w:rFonts w:ascii="Times New Roman" w:cs="Times New Roman" w:eastAsia="Times New Roman" w:hAnsi="Times New Roman"/>
                <w:sz w:val="18"/>
                <w:szCs w:val="18"/>
                <w:color w:val="auto"/>
              </w:rPr>
              <w:t>Inline XBRL Instance Document (the instance document does not appear in the Interactive Data File because its XBRL tags are embedded</w:t>
            </w:r>
          </w:p>
        </w:tc>
        <w:tc>
          <w:tcPr>
            <w:tcW w:w="0" w:type="dxa"/>
            <w:vAlign w:val="bottom"/>
          </w:tcPr>
          <w:p>
            <w:pPr>
              <w:spacing w:after="0"/>
              <w:rPr>
                <w:sz w:val="1"/>
                <w:szCs w:val="1"/>
                <w:color w:val="auto"/>
              </w:rPr>
            </w:pPr>
          </w:p>
        </w:tc>
      </w:tr>
      <w:tr>
        <w:trPr>
          <w:trHeight w:val="234"/>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100" w:type="dxa"/>
            <w:vAlign w:val="bottom"/>
            <w:gridSpan w:val="23"/>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c>
          <w:tcPr>
            <w:tcW w:w="0" w:type="dxa"/>
            <w:vAlign w:val="bottom"/>
          </w:tcPr>
          <w:p>
            <w:pPr>
              <w:spacing w:after="0"/>
              <w:rPr>
                <w:sz w:val="1"/>
                <w:szCs w:val="1"/>
                <w:color w:val="auto"/>
              </w:rPr>
            </w:pPr>
          </w:p>
        </w:tc>
      </w:tr>
      <w:tr>
        <w:trPr>
          <w:trHeight w:val="297"/>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120" w:type="dxa"/>
            <w:vAlign w:val="bottom"/>
          </w:tcPr>
          <w:p>
            <w:pPr>
              <w:spacing w:after="0"/>
              <w:rPr>
                <w:sz w:val="24"/>
                <w:szCs w:val="24"/>
                <w:color w:val="auto"/>
              </w:rPr>
            </w:pPr>
          </w:p>
        </w:tc>
        <w:tc>
          <w:tcPr>
            <w:tcW w:w="10100" w:type="dxa"/>
            <w:vAlign w:val="bottom"/>
            <w:gridSpan w:val="23"/>
          </w:tcPr>
          <w:p>
            <w:pPr>
              <w:spacing w:after="0"/>
              <w:rPr>
                <w:sz w:val="20"/>
                <w:szCs w:val="20"/>
                <w:color w:val="auto"/>
              </w:rPr>
            </w:pPr>
            <w:r>
              <w:rPr>
                <w:rFonts w:ascii="Times New Roman" w:cs="Times New Roman" w:eastAsia="Times New Roman" w:hAnsi="Times New Roman"/>
                <w:sz w:val="18"/>
                <w:szCs w:val="18"/>
                <w:color w:val="auto"/>
              </w:rPr>
              <w:t>Inline XBRL Taxonomy Extension Schema With Embedded Linkbase Documents</w:t>
            </w:r>
          </w:p>
        </w:tc>
        <w:tc>
          <w:tcPr>
            <w:tcW w:w="0" w:type="dxa"/>
            <w:vAlign w:val="bottom"/>
          </w:tcPr>
          <w:p>
            <w:pPr>
              <w:spacing w:after="0"/>
              <w:rPr>
                <w:sz w:val="1"/>
                <w:szCs w:val="1"/>
                <w:color w:val="auto"/>
              </w:rPr>
            </w:pPr>
          </w:p>
        </w:tc>
      </w:tr>
      <w:tr>
        <w:trPr>
          <w:trHeight w:val="297"/>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4"/>
                <w:szCs w:val="24"/>
                <w:color w:val="auto"/>
              </w:rPr>
            </w:pPr>
          </w:p>
        </w:tc>
        <w:tc>
          <w:tcPr>
            <w:tcW w:w="10100" w:type="dxa"/>
            <w:vAlign w:val="bottom"/>
            <w:gridSpan w:val="23"/>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with applicable taxonomy extension information contained in Exhibits 101.)</w:t>
            </w:r>
          </w:p>
        </w:tc>
        <w:tc>
          <w:tcPr>
            <w:tcW w:w="0" w:type="dxa"/>
            <w:vAlign w:val="bottom"/>
          </w:tcPr>
          <w:p>
            <w:pPr>
              <w:spacing w:after="0"/>
              <w:rPr>
                <w:sz w:val="1"/>
                <w:szCs w:val="1"/>
                <w:color w:val="auto"/>
              </w:rPr>
            </w:pP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**Filed herewith.</w:t>
      </w:r>
    </w:p>
    <w:p>
      <w:pPr>
        <w:spacing w:after="0" w:line="50" w:lineRule="exact"/>
        <w:rPr>
          <w:sz w:val="20"/>
          <w:szCs w:val="20"/>
          <w:color w:val="auto"/>
        </w:rPr>
      </w:pPr>
    </w:p>
    <w:p>
      <w:pPr>
        <w:ind w:right="40" w:firstLine="8"/>
        <w:spacing w:after="0" w:line="261" w:lineRule="auto"/>
        <w:tabs>
          <w:tab w:leader="none" w:pos="22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exhibits and schedules to and certain provisions of this exhibit have been omitted pursuant to Item 601(b)(10)(iv) of Regulation S-K as they contain information that is both not material and of the type that the registrant treats as private or confidential. The registrant agrees to supplementally furnish an unredacted copy of this exhibit, including any exhibit or schedule hereto, to the SEC upon its request; however, the registrant may request confidential treatment of such unredacted copy.</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200" w:firstLine="74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20" w:type="dxa"/>
            <w:vAlign w:val="bottom"/>
          </w:tcPr>
          <w:p>
            <w:pPr>
              <w:spacing w:after="0"/>
              <w:rPr>
                <w:sz w:val="20"/>
                <w:szCs w:val="20"/>
                <w:color w:val="auto"/>
              </w:rPr>
            </w:pPr>
          </w:p>
        </w:tc>
        <w:tc>
          <w:tcPr>
            <w:tcW w:w="7720" w:type="dxa"/>
            <w:vAlign w:val="bottom"/>
            <w:gridSpan w:val="2"/>
          </w:tcPr>
          <w:p>
            <w:pPr>
              <w:ind w:left="2220"/>
              <w:spacing w:after="0"/>
              <w:rPr>
                <w:sz w:val="20"/>
                <w:szCs w:val="20"/>
                <w:color w:val="auto"/>
              </w:rPr>
            </w:pPr>
            <w:r>
              <w:rPr>
                <w:rFonts w:ascii="Times New Roman" w:cs="Times New Roman" w:eastAsia="Times New Roman" w:hAnsi="Times New Roman"/>
                <w:sz w:val="18"/>
                <w:szCs w:val="18"/>
                <w:color w:val="auto"/>
              </w:rPr>
              <w:t>AXSOME THERAPEUTICS, INC.</w:t>
            </w:r>
          </w:p>
        </w:tc>
      </w:tr>
      <w:tr>
        <w:trPr>
          <w:trHeight w:val="486"/>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Date: August 4, 2025</w:t>
            </w:r>
          </w:p>
        </w:tc>
        <w:tc>
          <w:tcPr>
            <w:tcW w:w="2560" w:type="dxa"/>
            <w:vAlign w:val="bottom"/>
          </w:tcPr>
          <w:p>
            <w:pPr>
              <w:ind w:left="2220"/>
              <w:spacing w:after="0"/>
              <w:rPr>
                <w:sz w:val="20"/>
                <w:szCs w:val="20"/>
                <w:color w:val="auto"/>
              </w:rPr>
            </w:pPr>
            <w:r>
              <w:rPr>
                <w:rFonts w:ascii="Times New Roman" w:cs="Times New Roman" w:eastAsia="Times New Roman" w:hAnsi="Times New Roman"/>
                <w:sz w:val="18"/>
                <w:szCs w:val="18"/>
                <w:color w:val="auto"/>
              </w:rPr>
              <w:t>By</w:t>
            </w:r>
          </w:p>
        </w:tc>
        <w:tc>
          <w:tcPr>
            <w:tcW w:w="5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Herriot Tabuteau, M.D.</w:t>
            </w:r>
          </w:p>
        </w:tc>
      </w:tr>
      <w:tr>
        <w:trPr>
          <w:trHeight w:val="218"/>
        </w:trPr>
        <w:tc>
          <w:tcPr>
            <w:tcW w:w="35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Herriot Tabuteau, M.D.</w:t>
            </w:r>
          </w:p>
        </w:tc>
      </w:tr>
      <w:tr>
        <w:trPr>
          <w:trHeight w:val="234"/>
        </w:trPr>
        <w:tc>
          <w:tcPr>
            <w:tcW w:w="352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43"/>
        </w:trPr>
        <w:tc>
          <w:tcPr>
            <w:tcW w:w="3520" w:type="dxa"/>
            <w:vAlign w:val="bottom"/>
          </w:tcPr>
          <w:p>
            <w:pPr>
              <w:spacing w:after="0"/>
              <w:rPr>
                <w:sz w:val="21"/>
                <w:szCs w:val="21"/>
                <w:color w:val="auto"/>
              </w:rPr>
            </w:pPr>
          </w:p>
        </w:tc>
        <w:tc>
          <w:tcPr>
            <w:tcW w:w="2560" w:type="dxa"/>
            <w:vAlign w:val="bottom"/>
          </w:tcPr>
          <w:p>
            <w:pPr>
              <w:spacing w:after="0"/>
              <w:rPr>
                <w:sz w:val="21"/>
                <w:szCs w:val="21"/>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729"/>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Date: August 4, 2025</w:t>
            </w:r>
          </w:p>
        </w:tc>
        <w:tc>
          <w:tcPr>
            <w:tcW w:w="2560" w:type="dxa"/>
            <w:vAlign w:val="bottom"/>
          </w:tcPr>
          <w:p>
            <w:pPr>
              <w:ind w:left="2220"/>
              <w:spacing w:after="0"/>
              <w:rPr>
                <w:sz w:val="20"/>
                <w:szCs w:val="20"/>
                <w:color w:val="auto"/>
              </w:rPr>
            </w:pPr>
            <w:r>
              <w:rPr>
                <w:rFonts w:ascii="Times New Roman" w:cs="Times New Roman" w:eastAsia="Times New Roman" w:hAnsi="Times New Roman"/>
                <w:sz w:val="18"/>
                <w:szCs w:val="18"/>
                <w:color w:val="auto"/>
              </w:rPr>
              <w:t>By</w:t>
            </w:r>
          </w:p>
        </w:tc>
        <w:tc>
          <w:tcPr>
            <w:tcW w:w="5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Nick Pizzie</w:t>
            </w:r>
          </w:p>
        </w:tc>
      </w:tr>
      <w:tr>
        <w:trPr>
          <w:trHeight w:val="218"/>
        </w:trPr>
        <w:tc>
          <w:tcPr>
            <w:tcW w:w="35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Nick Pizzie</w:t>
            </w:r>
          </w:p>
        </w:tc>
      </w:tr>
      <w:tr>
        <w:trPr>
          <w:trHeight w:val="234"/>
        </w:trPr>
        <w:tc>
          <w:tcPr>
            <w:tcW w:w="352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43"/>
        </w:trPr>
        <w:tc>
          <w:tcPr>
            <w:tcW w:w="3520" w:type="dxa"/>
            <w:vAlign w:val="bottom"/>
          </w:tcPr>
          <w:p>
            <w:pPr>
              <w:spacing w:after="0"/>
              <w:rPr>
                <w:sz w:val="21"/>
                <w:szCs w:val="21"/>
                <w:color w:val="auto"/>
              </w:rPr>
            </w:pPr>
          </w:p>
        </w:tc>
        <w:tc>
          <w:tcPr>
            <w:tcW w:w="2560" w:type="dxa"/>
            <w:vAlign w:val="bottom"/>
          </w:tcPr>
          <w:p>
            <w:pPr>
              <w:spacing w:after="0"/>
              <w:rPr>
                <w:sz w:val="21"/>
                <w:szCs w:val="21"/>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r>
        <w:trPr>
          <w:trHeight w:val="891"/>
        </w:trPr>
        <w:tc>
          <w:tcPr>
            <w:tcW w:w="3520" w:type="dxa"/>
            <w:vAlign w:val="bottom"/>
          </w:tcPr>
          <w:p>
            <w:pPr>
              <w:spacing w:after="0"/>
              <w:rPr>
                <w:sz w:val="24"/>
                <w:szCs w:val="24"/>
                <w:color w:val="auto"/>
              </w:rPr>
            </w:pPr>
          </w:p>
        </w:tc>
        <w:tc>
          <w:tcPr>
            <w:tcW w:w="25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113</w:t>
            </w:r>
          </w:p>
        </w:tc>
        <w:tc>
          <w:tcPr>
            <w:tcW w:w="5160" w:type="dxa"/>
            <w:vAlign w:val="bottom"/>
          </w:tcPr>
          <w:p>
            <w:pPr>
              <w:spacing w:after="0"/>
              <w:rPr>
                <w:sz w:val="24"/>
                <w:szCs w:val="24"/>
                <w:color w:val="auto"/>
              </w:rPr>
            </w:pPr>
          </w:p>
        </w:tc>
      </w:tr>
      <w:tr>
        <w:trPr>
          <w:trHeight w:val="763"/>
        </w:trPr>
        <w:tc>
          <w:tcPr>
            <w:tcW w:w="3520" w:type="dxa"/>
            <w:vAlign w:val="bottom"/>
            <w:tcBorders>
              <w:bottom w:val="single" w:sz="8" w:color="9A9A9A"/>
            </w:tcBorders>
          </w:tcPr>
          <w:p>
            <w:pPr>
              <w:spacing w:after="0"/>
              <w:rPr>
                <w:sz w:val="24"/>
                <w:szCs w:val="24"/>
                <w:color w:val="auto"/>
              </w:rPr>
            </w:pPr>
          </w:p>
        </w:tc>
        <w:tc>
          <w:tcPr>
            <w:tcW w:w="2560" w:type="dxa"/>
            <w:vAlign w:val="bottom"/>
            <w:tcBorders>
              <w:bottom w:val="single" w:sz="8" w:color="9A9A9A"/>
            </w:tcBorders>
          </w:tcPr>
          <w:p>
            <w:pPr>
              <w:spacing w:after="0"/>
              <w:rPr>
                <w:sz w:val="24"/>
                <w:szCs w:val="24"/>
                <w:color w:val="auto"/>
              </w:rPr>
            </w:pPr>
          </w:p>
        </w:tc>
        <w:tc>
          <w:tcPr>
            <w:tcW w:w="51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13" w:name="page114"/>
    <w:bookmarkEnd w:id="113"/>
    <w:p>
      <w:pPr>
        <w:jc w:val="right"/>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LOAN AGREEMENT</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Dated as of May 8, 2025</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between</w:t>
      </w:r>
    </w:p>
    <w:p>
      <w:pPr>
        <w:spacing w:after="0" w:line="21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AXSOME THERAPEUTICS,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as Borrower</w:t>
      </w:r>
      <w:r>
        <w:rPr>
          <w:rFonts w:ascii="Times New Roman" w:cs="Times New Roman" w:eastAsia="Times New Roman" w:hAnsi="Times New Roman"/>
          <w:sz w:val="20"/>
          <w:szCs w:val="20"/>
          <w:color w:val="auto"/>
        </w:rPr>
        <w:t>),</w:t>
      </w:r>
    </w:p>
    <w:p>
      <w:pPr>
        <w:spacing w:after="0" w:line="16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CERTAIN SUBSIDIARIES OF BORROWER FROM TIME TO TIME PARTY HERETO,</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as other Credit Parties</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WILMINGTON TRUST, NATIONAL ASSOCIATION,</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as Agent</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4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BLACKSTONE ALTERNATIVE CREDIT ADVISORS LP AND BLACKSTONE LIFE</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SCIENCES ADVISORS L.L.C.,</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(collectively, as Blackstone Representative),</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and</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THE LENDERS FROM TIME TO TIME PARTY 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4905-3710-6484 v.17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233680</wp:posOffset>
            </wp:positionV>
            <wp:extent cx="7157720" cy="425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9" w:right="339" w:bottom="1440" w:gutter="0" w:footer="0" w:header="0"/>
        </w:sectPr>
      </w:pPr>
    </w:p>
    <w:bookmarkStart w:id="114" w:name="page115"/>
    <w:bookmarkEnd w:id="114"/>
    <w:p>
      <w:pPr>
        <w:jc w:val="center"/>
        <w:ind w:right="-79"/>
        <w:spacing w:after="0"/>
        <w:rPr>
          <w:sz w:val="20"/>
          <w:szCs w:val="20"/>
          <w:color w:val="auto"/>
        </w:rPr>
      </w:pPr>
      <w:r>
        <w:rPr>
          <w:rFonts w:ascii="Times New Roman" w:cs="Times New Roman" w:eastAsia="Times New Roman" w:hAnsi="Times New Roman"/>
          <w:sz w:val="20"/>
          <w:szCs w:val="20"/>
          <w:b w:val="1"/>
          <w:bCs w:val="1"/>
          <w:u w:val="single" w:color="auto"/>
          <w:color w:val="auto"/>
        </w:rPr>
        <w:t>TABLE OF CONTENTS</w:t>
      </w:r>
    </w:p>
    <w:p>
      <w:pPr>
        <w:spacing w:after="0" w:line="2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u w:val="single" w:color="auto"/>
          <w:color w:val="auto"/>
        </w:rPr>
        <w:t>Page</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3940" w:type="dxa"/>
            <w:vAlign w:val="bottom"/>
            <w:gridSpan w:val="7"/>
          </w:tcPr>
          <w:p>
            <w:pPr>
              <w:ind w:left="80"/>
              <w:spacing w:after="0"/>
              <w:rPr>
                <w:sz w:val="20"/>
                <w:szCs w:val="20"/>
                <w:color w:val="auto"/>
              </w:rPr>
            </w:pPr>
            <w:r>
              <w:rPr>
                <w:rFonts w:ascii="Times New Roman" w:cs="Times New Roman" w:eastAsia="Times New Roman" w:hAnsi="Times New Roman"/>
                <w:sz w:val="20"/>
                <w:szCs w:val="20"/>
                <w:color w:val="auto"/>
              </w:rPr>
              <w:t>1.   ACCOUNTING AND OTHER TERMS</w:t>
            </w:r>
          </w:p>
        </w:tc>
        <w:tc>
          <w:tcPr>
            <w:tcW w:w="400" w:type="dxa"/>
            <w:vAlign w:val="bottom"/>
          </w:tcPr>
          <w:p>
            <w:pPr>
              <w:jc w:val="center"/>
              <w:ind w:right="1"/>
              <w:spacing w:after="0"/>
              <w:rPr>
                <w:sz w:val="20"/>
                <w:szCs w:val="20"/>
                <w:color w:val="auto"/>
              </w:rPr>
            </w:pPr>
            <w:r>
              <w:rPr>
                <w:rFonts w:ascii="Times New Roman" w:cs="Times New Roman" w:eastAsia="Times New Roman" w:hAnsi="Times New Roman"/>
                <w:sz w:val="20"/>
                <w:szCs w:val="20"/>
                <w:color w:val="auto"/>
                <w:w w:val="99"/>
              </w:rPr>
              <w:t>1</w:t>
            </w:r>
          </w:p>
        </w:tc>
        <w:tc>
          <w:tcPr>
            <w:tcW w:w="3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6160" w:type="dxa"/>
            <w:vAlign w:val="bottom"/>
          </w:tcPr>
          <w:p>
            <w:pPr>
              <w:spacing w:after="0"/>
              <w:rPr>
                <w:sz w:val="22"/>
                <w:szCs w:val="22"/>
                <w:color w:val="auto"/>
              </w:rPr>
            </w:pPr>
          </w:p>
        </w:tc>
      </w:tr>
      <w:tr>
        <w:trPr>
          <w:trHeight w:val="351"/>
        </w:trPr>
        <w:tc>
          <w:tcPr>
            <w:tcW w:w="3940" w:type="dxa"/>
            <w:vAlign w:val="bottom"/>
            <w:gridSpan w:val="7"/>
          </w:tcPr>
          <w:p>
            <w:pPr>
              <w:ind w:left="80"/>
              <w:spacing w:after="0"/>
              <w:rPr>
                <w:sz w:val="20"/>
                <w:szCs w:val="20"/>
                <w:color w:val="auto"/>
              </w:rPr>
            </w:pPr>
            <w:r>
              <w:rPr>
                <w:rFonts w:ascii="Times New Roman" w:cs="Times New Roman" w:eastAsia="Times New Roman" w:hAnsi="Times New Roman"/>
                <w:sz w:val="20"/>
                <w:szCs w:val="20"/>
                <w:color w:val="auto"/>
              </w:rPr>
              <w:t>2.   LOANS AND TERMS OF PAYMENT</w:t>
            </w:r>
          </w:p>
        </w:tc>
        <w:tc>
          <w:tcPr>
            <w:tcW w:w="400" w:type="dxa"/>
            <w:vAlign w:val="bottom"/>
          </w:tcPr>
          <w:p>
            <w:pPr>
              <w:jc w:val="center"/>
              <w:ind w:right="1"/>
              <w:spacing w:after="0"/>
              <w:rPr>
                <w:sz w:val="20"/>
                <w:szCs w:val="20"/>
                <w:color w:val="auto"/>
              </w:rPr>
            </w:pPr>
            <w:r>
              <w:rPr>
                <w:rFonts w:ascii="Times New Roman" w:cs="Times New Roman" w:eastAsia="Times New Roman" w:hAnsi="Times New Roman"/>
                <w:sz w:val="20"/>
                <w:szCs w:val="20"/>
                <w:color w:val="auto"/>
                <w:w w:val="99"/>
              </w:rPr>
              <w:t>2</w:t>
            </w: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160" w:type="dxa"/>
            <w:vAlign w:val="bottom"/>
          </w:tcPr>
          <w:p>
            <w:pPr>
              <w:spacing w:after="0"/>
              <w:rPr>
                <w:sz w:val="24"/>
                <w:szCs w:val="24"/>
                <w:color w:val="auto"/>
              </w:rPr>
            </w:pPr>
          </w:p>
        </w:tc>
      </w:tr>
      <w:tr>
        <w:trPr>
          <w:trHeight w:val="338"/>
        </w:trPr>
        <w:tc>
          <w:tcPr>
            <w:tcW w:w="380" w:type="dxa"/>
            <w:vAlign w:val="bottom"/>
          </w:tcPr>
          <w:p>
            <w:pPr>
              <w:spacing w:after="0"/>
              <w:rPr>
                <w:sz w:val="24"/>
                <w:szCs w:val="24"/>
                <w:color w:val="auto"/>
              </w:rPr>
            </w:pPr>
          </w:p>
        </w:tc>
        <w:tc>
          <w:tcPr>
            <w:tcW w:w="80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2.1.</w:t>
            </w:r>
          </w:p>
        </w:tc>
        <w:tc>
          <w:tcPr>
            <w:tcW w:w="158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Promise to Pay</w:t>
            </w:r>
          </w:p>
        </w:tc>
        <w:tc>
          <w:tcPr>
            <w:tcW w:w="4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2</w:t>
            </w: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160" w:type="dxa"/>
            <w:vAlign w:val="bottom"/>
          </w:tcPr>
          <w:p>
            <w:pPr>
              <w:spacing w:after="0"/>
              <w:rPr>
                <w:sz w:val="24"/>
                <w:szCs w:val="24"/>
                <w:color w:val="auto"/>
              </w:rPr>
            </w:pPr>
          </w:p>
        </w:tc>
      </w:tr>
      <w:tr>
        <w:trPr>
          <w:trHeight w:val="338"/>
        </w:trPr>
        <w:tc>
          <w:tcPr>
            <w:tcW w:w="380" w:type="dxa"/>
            <w:vAlign w:val="bottom"/>
          </w:tcPr>
          <w:p>
            <w:pPr>
              <w:spacing w:after="0"/>
              <w:rPr>
                <w:sz w:val="24"/>
                <w:szCs w:val="24"/>
                <w:color w:val="auto"/>
              </w:rPr>
            </w:pPr>
          </w:p>
        </w:tc>
        <w:tc>
          <w:tcPr>
            <w:tcW w:w="80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2.2.</w:t>
            </w:r>
          </w:p>
        </w:tc>
        <w:tc>
          <w:tcPr>
            <w:tcW w:w="158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Commitments 3</w:t>
            </w: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160" w:type="dxa"/>
            <w:vAlign w:val="bottom"/>
          </w:tcPr>
          <w:p>
            <w:pPr>
              <w:spacing w:after="0"/>
              <w:rPr>
                <w:sz w:val="24"/>
                <w:szCs w:val="24"/>
                <w:color w:val="auto"/>
              </w:rPr>
            </w:pPr>
          </w:p>
        </w:tc>
      </w:tr>
      <w:tr>
        <w:trPr>
          <w:trHeight w:val="351"/>
        </w:trPr>
        <w:tc>
          <w:tcPr>
            <w:tcW w:w="380" w:type="dxa"/>
            <w:vAlign w:val="bottom"/>
          </w:tcPr>
          <w:p>
            <w:pPr>
              <w:spacing w:after="0"/>
              <w:rPr>
                <w:sz w:val="24"/>
                <w:szCs w:val="24"/>
                <w:color w:val="auto"/>
              </w:rPr>
            </w:pPr>
          </w:p>
        </w:tc>
        <w:tc>
          <w:tcPr>
            <w:tcW w:w="80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2.3.</w:t>
            </w:r>
          </w:p>
        </w:tc>
        <w:tc>
          <w:tcPr>
            <w:tcW w:w="3900" w:type="dxa"/>
            <w:vAlign w:val="bottom"/>
            <w:gridSpan w:val="8"/>
          </w:tcPr>
          <w:p>
            <w:pPr>
              <w:ind w:left="40"/>
              <w:spacing w:after="0"/>
              <w:rPr>
                <w:sz w:val="20"/>
                <w:szCs w:val="20"/>
                <w:color w:val="auto"/>
              </w:rPr>
            </w:pPr>
            <w:r>
              <w:rPr>
                <w:rFonts w:ascii="Times New Roman" w:cs="Times New Roman" w:eastAsia="Times New Roman" w:hAnsi="Times New Roman"/>
                <w:sz w:val="20"/>
                <w:szCs w:val="20"/>
                <w:color w:val="auto"/>
              </w:rPr>
              <w:t>Payment of Interest on the Credit Extensions</w:t>
            </w:r>
          </w:p>
        </w:tc>
        <w:tc>
          <w:tcPr>
            <w:tcW w:w="616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7</w:t>
            </w:r>
          </w:p>
        </w:tc>
      </w:tr>
      <w:tr>
        <w:trPr>
          <w:trHeight w:val="338"/>
        </w:trPr>
        <w:tc>
          <w:tcPr>
            <w:tcW w:w="380" w:type="dxa"/>
            <w:vAlign w:val="bottom"/>
          </w:tcPr>
          <w:p>
            <w:pPr>
              <w:spacing w:after="0"/>
              <w:rPr>
                <w:sz w:val="24"/>
                <w:szCs w:val="24"/>
                <w:color w:val="auto"/>
              </w:rPr>
            </w:pPr>
          </w:p>
        </w:tc>
        <w:tc>
          <w:tcPr>
            <w:tcW w:w="80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2.4.</w:t>
            </w:r>
          </w:p>
        </w:tc>
        <w:tc>
          <w:tcPr>
            <w:tcW w:w="158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[Reserved]   10</w:t>
            </w: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160" w:type="dxa"/>
            <w:vAlign w:val="bottom"/>
          </w:tcPr>
          <w:p>
            <w:pPr>
              <w:spacing w:after="0"/>
              <w:rPr>
                <w:sz w:val="24"/>
                <w:szCs w:val="24"/>
                <w:color w:val="auto"/>
              </w:rPr>
            </w:pPr>
          </w:p>
        </w:tc>
      </w:tr>
      <w:tr>
        <w:trPr>
          <w:trHeight w:val="351"/>
        </w:trPr>
        <w:tc>
          <w:tcPr>
            <w:tcW w:w="380" w:type="dxa"/>
            <w:vAlign w:val="bottom"/>
          </w:tcPr>
          <w:p>
            <w:pPr>
              <w:spacing w:after="0"/>
              <w:rPr>
                <w:sz w:val="24"/>
                <w:szCs w:val="24"/>
                <w:color w:val="auto"/>
              </w:rPr>
            </w:pPr>
          </w:p>
        </w:tc>
        <w:tc>
          <w:tcPr>
            <w:tcW w:w="80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2.5.</w:t>
            </w:r>
          </w:p>
        </w:tc>
        <w:tc>
          <w:tcPr>
            <w:tcW w:w="3160" w:type="dxa"/>
            <w:vAlign w:val="bottom"/>
            <w:gridSpan w:val="6"/>
          </w:tcPr>
          <w:p>
            <w:pPr>
              <w:ind w:left="40"/>
              <w:spacing w:after="0"/>
              <w:rPr>
                <w:sz w:val="20"/>
                <w:szCs w:val="20"/>
                <w:color w:val="auto"/>
              </w:rPr>
            </w:pPr>
            <w:r>
              <w:rPr>
                <w:rFonts w:ascii="Times New Roman" w:cs="Times New Roman" w:eastAsia="Times New Roman" w:hAnsi="Times New Roman"/>
                <w:sz w:val="20"/>
                <w:szCs w:val="20"/>
                <w:color w:val="auto"/>
              </w:rPr>
              <w:t>Requirements of Law; Increased Costs</w:t>
            </w:r>
          </w:p>
        </w:tc>
        <w:tc>
          <w:tcPr>
            <w:tcW w:w="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w:t>
            </w:r>
          </w:p>
        </w:tc>
        <w:tc>
          <w:tcPr>
            <w:tcW w:w="420" w:type="dxa"/>
            <w:vAlign w:val="bottom"/>
          </w:tcPr>
          <w:p>
            <w:pPr>
              <w:spacing w:after="0"/>
              <w:rPr>
                <w:sz w:val="24"/>
                <w:szCs w:val="24"/>
                <w:color w:val="auto"/>
              </w:rPr>
            </w:pPr>
          </w:p>
        </w:tc>
        <w:tc>
          <w:tcPr>
            <w:tcW w:w="6160" w:type="dxa"/>
            <w:vAlign w:val="bottom"/>
          </w:tcPr>
          <w:p>
            <w:pPr>
              <w:spacing w:after="0"/>
              <w:rPr>
                <w:sz w:val="24"/>
                <w:szCs w:val="24"/>
                <w:color w:val="auto"/>
              </w:rPr>
            </w:pPr>
          </w:p>
        </w:tc>
      </w:tr>
      <w:tr>
        <w:trPr>
          <w:trHeight w:val="338"/>
        </w:trPr>
        <w:tc>
          <w:tcPr>
            <w:tcW w:w="380" w:type="dxa"/>
            <w:vAlign w:val="bottom"/>
          </w:tcPr>
          <w:p>
            <w:pPr>
              <w:spacing w:after="0"/>
              <w:rPr>
                <w:sz w:val="24"/>
                <w:szCs w:val="24"/>
                <w:color w:val="auto"/>
              </w:rPr>
            </w:pPr>
          </w:p>
        </w:tc>
        <w:tc>
          <w:tcPr>
            <w:tcW w:w="80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2.6.</w:t>
            </w:r>
          </w:p>
        </w:tc>
        <w:tc>
          <w:tcPr>
            <w:tcW w:w="2320" w:type="dxa"/>
            <w:vAlign w:val="bottom"/>
            <w:gridSpan w:val="4"/>
          </w:tcPr>
          <w:p>
            <w:pPr>
              <w:ind w:left="40"/>
              <w:spacing w:after="0"/>
              <w:rPr>
                <w:sz w:val="20"/>
                <w:szCs w:val="20"/>
                <w:color w:val="auto"/>
              </w:rPr>
            </w:pPr>
            <w:r>
              <w:rPr>
                <w:rFonts w:ascii="Times New Roman" w:cs="Times New Roman" w:eastAsia="Times New Roman" w:hAnsi="Times New Roman"/>
                <w:sz w:val="20"/>
                <w:szCs w:val="20"/>
                <w:color w:val="auto"/>
              </w:rPr>
              <w:t>Taxes; Withholding, Etc 11</w:t>
            </w: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160" w:type="dxa"/>
            <w:vAlign w:val="bottom"/>
          </w:tcPr>
          <w:p>
            <w:pPr>
              <w:spacing w:after="0"/>
              <w:rPr>
                <w:sz w:val="24"/>
                <w:szCs w:val="24"/>
                <w:color w:val="auto"/>
              </w:rPr>
            </w:pPr>
          </w:p>
        </w:tc>
      </w:tr>
      <w:tr>
        <w:trPr>
          <w:trHeight w:val="338"/>
        </w:trPr>
        <w:tc>
          <w:tcPr>
            <w:tcW w:w="380" w:type="dxa"/>
            <w:vAlign w:val="bottom"/>
          </w:tcPr>
          <w:p>
            <w:pPr>
              <w:spacing w:after="0"/>
              <w:rPr>
                <w:sz w:val="24"/>
                <w:szCs w:val="24"/>
                <w:color w:val="auto"/>
              </w:rPr>
            </w:pPr>
          </w:p>
        </w:tc>
        <w:tc>
          <w:tcPr>
            <w:tcW w:w="80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2.7.</w:t>
            </w:r>
          </w:p>
        </w:tc>
        <w:tc>
          <w:tcPr>
            <w:tcW w:w="7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Fees 15</w:t>
            </w:r>
          </w:p>
        </w:tc>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160" w:type="dxa"/>
            <w:vAlign w:val="bottom"/>
          </w:tcPr>
          <w:p>
            <w:pPr>
              <w:spacing w:after="0"/>
              <w:rPr>
                <w:sz w:val="24"/>
                <w:szCs w:val="24"/>
                <w:color w:val="auto"/>
              </w:rPr>
            </w:pPr>
          </w:p>
        </w:tc>
      </w:tr>
      <w:tr>
        <w:trPr>
          <w:trHeight w:val="351"/>
        </w:trPr>
        <w:tc>
          <w:tcPr>
            <w:tcW w:w="380" w:type="dxa"/>
            <w:vAlign w:val="bottom"/>
          </w:tcPr>
          <w:p>
            <w:pPr>
              <w:spacing w:after="0"/>
              <w:rPr>
                <w:sz w:val="24"/>
                <w:szCs w:val="24"/>
                <w:color w:val="auto"/>
              </w:rPr>
            </w:pPr>
          </w:p>
        </w:tc>
        <w:tc>
          <w:tcPr>
            <w:tcW w:w="80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2.8.</w:t>
            </w:r>
          </w:p>
        </w:tc>
        <w:tc>
          <w:tcPr>
            <w:tcW w:w="10060" w:type="dxa"/>
            <w:vAlign w:val="bottom"/>
            <w:gridSpan w:val="9"/>
          </w:tcPr>
          <w:p>
            <w:pPr>
              <w:ind w:left="40"/>
              <w:spacing w:after="0"/>
              <w:rPr>
                <w:sz w:val="20"/>
                <w:szCs w:val="20"/>
                <w:color w:val="auto"/>
              </w:rPr>
            </w:pPr>
            <w:r>
              <w:rPr>
                <w:rFonts w:ascii="Times New Roman" w:cs="Times New Roman" w:eastAsia="Times New Roman" w:hAnsi="Times New Roman"/>
                <w:sz w:val="20"/>
                <w:szCs w:val="20"/>
                <w:color w:val="auto"/>
              </w:rPr>
              <w:t>Register; Term Loan Note; Revolving Loan Note 15</w:t>
            </w:r>
          </w:p>
        </w:tc>
      </w:tr>
      <w:tr>
        <w:trPr>
          <w:trHeight w:val="338"/>
        </w:trPr>
        <w:tc>
          <w:tcPr>
            <w:tcW w:w="380" w:type="dxa"/>
            <w:vAlign w:val="bottom"/>
          </w:tcPr>
          <w:p>
            <w:pPr>
              <w:spacing w:after="0"/>
              <w:rPr>
                <w:sz w:val="24"/>
                <w:szCs w:val="24"/>
                <w:color w:val="auto"/>
              </w:rPr>
            </w:pPr>
          </w:p>
        </w:tc>
        <w:tc>
          <w:tcPr>
            <w:tcW w:w="80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2.9.</w:t>
            </w:r>
          </w:p>
        </w:tc>
        <w:tc>
          <w:tcPr>
            <w:tcW w:w="2760" w:type="dxa"/>
            <w:vAlign w:val="bottom"/>
            <w:gridSpan w:val="5"/>
          </w:tcPr>
          <w:p>
            <w:pPr>
              <w:ind w:left="40"/>
              <w:spacing w:after="0"/>
              <w:rPr>
                <w:sz w:val="20"/>
                <w:szCs w:val="20"/>
                <w:color w:val="auto"/>
              </w:rPr>
            </w:pPr>
            <w:r>
              <w:rPr>
                <w:rFonts w:ascii="Times New Roman" w:cs="Times New Roman" w:eastAsia="Times New Roman" w:hAnsi="Times New Roman"/>
                <w:sz w:val="20"/>
                <w:szCs w:val="20"/>
                <w:color w:val="auto"/>
              </w:rPr>
              <w:t>Benchmark Replacement Setting.</w:t>
            </w:r>
          </w:p>
        </w:tc>
        <w:tc>
          <w:tcPr>
            <w:tcW w:w="4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16</w:t>
            </w: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160" w:type="dxa"/>
            <w:vAlign w:val="bottom"/>
          </w:tcPr>
          <w:p>
            <w:pPr>
              <w:spacing w:after="0"/>
              <w:rPr>
                <w:sz w:val="24"/>
                <w:szCs w:val="24"/>
                <w:color w:val="auto"/>
              </w:rPr>
            </w:pPr>
          </w:p>
        </w:tc>
      </w:tr>
      <w:tr>
        <w:trPr>
          <w:trHeight w:val="338"/>
        </w:trPr>
        <w:tc>
          <w:tcPr>
            <w:tcW w:w="380" w:type="dxa"/>
            <w:vAlign w:val="bottom"/>
          </w:tcPr>
          <w:p>
            <w:pPr>
              <w:spacing w:after="0"/>
              <w:rPr>
                <w:sz w:val="24"/>
                <w:szCs w:val="24"/>
                <w:color w:val="auto"/>
              </w:rPr>
            </w:pPr>
          </w:p>
        </w:tc>
        <w:tc>
          <w:tcPr>
            <w:tcW w:w="3120" w:type="dxa"/>
            <w:vAlign w:val="bottom"/>
            <w:gridSpan w:val="5"/>
          </w:tcPr>
          <w:p>
            <w:pPr>
              <w:ind w:left="460"/>
              <w:spacing w:after="0"/>
              <w:rPr>
                <w:sz w:val="20"/>
                <w:szCs w:val="20"/>
                <w:color w:val="auto"/>
              </w:rPr>
            </w:pPr>
            <w:r>
              <w:rPr>
                <w:rFonts w:ascii="Times New Roman" w:cs="Times New Roman" w:eastAsia="Times New Roman" w:hAnsi="Times New Roman"/>
                <w:sz w:val="20"/>
                <w:szCs w:val="20"/>
                <w:color w:val="auto"/>
              </w:rPr>
              <w:t>2.10. Incremental Term Loans.</w:t>
            </w:r>
          </w:p>
        </w:tc>
        <w:tc>
          <w:tcPr>
            <w:tcW w:w="44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16</w:t>
            </w: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160" w:type="dxa"/>
            <w:vAlign w:val="bottom"/>
          </w:tcPr>
          <w:p>
            <w:pPr>
              <w:spacing w:after="0"/>
              <w:rPr>
                <w:sz w:val="24"/>
                <w:szCs w:val="24"/>
                <w:color w:val="auto"/>
              </w:rPr>
            </w:pPr>
          </w:p>
        </w:tc>
      </w:tr>
      <w:tr>
        <w:trPr>
          <w:trHeight w:val="351"/>
        </w:trPr>
        <w:tc>
          <w:tcPr>
            <w:tcW w:w="3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3.</w:t>
            </w:r>
          </w:p>
        </w:tc>
        <w:tc>
          <w:tcPr>
            <w:tcW w:w="156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auto"/>
              </w:rPr>
              <w:t>CONDITIONS</w:t>
            </w:r>
          </w:p>
        </w:tc>
        <w:tc>
          <w:tcPr>
            <w:tcW w:w="820" w:type="dxa"/>
            <w:vAlign w:val="bottom"/>
          </w:tcPr>
          <w:p>
            <w:pPr>
              <w:jc w:val="right"/>
              <w:ind w:right="401"/>
              <w:spacing w:after="0"/>
              <w:rPr>
                <w:sz w:val="20"/>
                <w:szCs w:val="20"/>
                <w:color w:val="auto"/>
              </w:rPr>
            </w:pPr>
            <w:r>
              <w:rPr>
                <w:rFonts w:ascii="Times New Roman" w:cs="Times New Roman" w:eastAsia="Times New Roman" w:hAnsi="Times New Roman"/>
                <w:sz w:val="20"/>
                <w:szCs w:val="20"/>
                <w:color w:val="auto"/>
              </w:rPr>
              <w:t>17</w:t>
            </w: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160" w:type="dxa"/>
            <w:vAlign w:val="bottom"/>
          </w:tcPr>
          <w:p>
            <w:pPr>
              <w:spacing w:after="0"/>
              <w:rPr>
                <w:sz w:val="24"/>
                <w:szCs w:val="24"/>
                <w:color w:val="auto"/>
              </w:rPr>
            </w:pPr>
          </w:p>
        </w:tc>
      </w:tr>
      <w:tr>
        <w:trPr>
          <w:trHeight w:val="338"/>
        </w:trPr>
        <w:tc>
          <w:tcPr>
            <w:tcW w:w="380" w:type="dxa"/>
            <w:vAlign w:val="bottom"/>
          </w:tcPr>
          <w:p>
            <w:pPr>
              <w:spacing w:after="0"/>
              <w:rPr>
                <w:sz w:val="24"/>
                <w:szCs w:val="24"/>
                <w:color w:val="auto"/>
              </w:rPr>
            </w:pPr>
          </w:p>
        </w:tc>
        <w:tc>
          <w:tcPr>
            <w:tcW w:w="80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3.1.</w:t>
            </w:r>
          </w:p>
        </w:tc>
        <w:tc>
          <w:tcPr>
            <w:tcW w:w="3160" w:type="dxa"/>
            <w:vAlign w:val="bottom"/>
            <w:gridSpan w:val="6"/>
          </w:tcPr>
          <w:p>
            <w:pPr>
              <w:ind w:left="40"/>
              <w:spacing w:after="0"/>
              <w:rPr>
                <w:sz w:val="20"/>
                <w:szCs w:val="20"/>
                <w:color w:val="auto"/>
              </w:rPr>
            </w:pPr>
            <w:r>
              <w:rPr>
                <w:rFonts w:ascii="Times New Roman" w:cs="Times New Roman" w:eastAsia="Times New Roman" w:hAnsi="Times New Roman"/>
                <w:sz w:val="20"/>
                <w:szCs w:val="20"/>
                <w:color w:val="auto"/>
              </w:rPr>
              <w:t>Conditions Precedent to Closing Date</w:t>
            </w:r>
          </w:p>
        </w:tc>
        <w:tc>
          <w:tcPr>
            <w:tcW w:w="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w:t>
            </w:r>
          </w:p>
        </w:tc>
        <w:tc>
          <w:tcPr>
            <w:tcW w:w="420" w:type="dxa"/>
            <w:vAlign w:val="bottom"/>
          </w:tcPr>
          <w:p>
            <w:pPr>
              <w:spacing w:after="0"/>
              <w:rPr>
                <w:sz w:val="24"/>
                <w:szCs w:val="24"/>
                <w:color w:val="auto"/>
              </w:rPr>
            </w:pPr>
          </w:p>
        </w:tc>
        <w:tc>
          <w:tcPr>
            <w:tcW w:w="6160" w:type="dxa"/>
            <w:vAlign w:val="bottom"/>
          </w:tcPr>
          <w:p>
            <w:pPr>
              <w:spacing w:after="0"/>
              <w:rPr>
                <w:sz w:val="24"/>
                <w:szCs w:val="24"/>
                <w:color w:val="auto"/>
              </w:rPr>
            </w:pPr>
          </w:p>
        </w:tc>
      </w:tr>
      <w:tr>
        <w:trPr>
          <w:trHeight w:val="351"/>
        </w:trPr>
        <w:tc>
          <w:tcPr>
            <w:tcW w:w="380" w:type="dxa"/>
            <w:vAlign w:val="bottom"/>
          </w:tcPr>
          <w:p>
            <w:pPr>
              <w:spacing w:after="0"/>
              <w:rPr>
                <w:sz w:val="24"/>
                <w:szCs w:val="24"/>
                <w:color w:val="auto"/>
              </w:rPr>
            </w:pPr>
          </w:p>
        </w:tc>
        <w:tc>
          <w:tcPr>
            <w:tcW w:w="80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3.2.</w:t>
            </w:r>
          </w:p>
        </w:tc>
        <w:tc>
          <w:tcPr>
            <w:tcW w:w="3160" w:type="dxa"/>
            <w:vAlign w:val="bottom"/>
            <w:gridSpan w:val="6"/>
          </w:tcPr>
          <w:p>
            <w:pPr>
              <w:ind w:left="40"/>
              <w:spacing w:after="0"/>
              <w:rPr>
                <w:sz w:val="20"/>
                <w:szCs w:val="20"/>
                <w:color w:val="auto"/>
              </w:rPr>
            </w:pPr>
            <w:r>
              <w:rPr>
                <w:rFonts w:ascii="Times New Roman" w:cs="Times New Roman" w:eastAsia="Times New Roman" w:hAnsi="Times New Roman"/>
                <w:sz w:val="20"/>
                <w:szCs w:val="20"/>
                <w:color w:val="auto"/>
              </w:rPr>
              <w:t>Conditions to Each Credit Extension</w:t>
            </w:r>
          </w:p>
        </w:tc>
        <w:tc>
          <w:tcPr>
            <w:tcW w:w="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w:t>
            </w:r>
          </w:p>
        </w:tc>
        <w:tc>
          <w:tcPr>
            <w:tcW w:w="420" w:type="dxa"/>
            <w:vAlign w:val="bottom"/>
          </w:tcPr>
          <w:p>
            <w:pPr>
              <w:spacing w:after="0"/>
              <w:rPr>
                <w:sz w:val="24"/>
                <w:szCs w:val="24"/>
                <w:color w:val="auto"/>
              </w:rPr>
            </w:pPr>
          </w:p>
        </w:tc>
        <w:tc>
          <w:tcPr>
            <w:tcW w:w="6160" w:type="dxa"/>
            <w:vAlign w:val="bottom"/>
          </w:tcPr>
          <w:p>
            <w:pPr>
              <w:spacing w:after="0"/>
              <w:rPr>
                <w:sz w:val="24"/>
                <w:szCs w:val="24"/>
                <w:color w:val="auto"/>
              </w:rPr>
            </w:pPr>
          </w:p>
        </w:tc>
      </w:tr>
      <w:tr>
        <w:trPr>
          <w:trHeight w:val="338"/>
        </w:trPr>
        <w:tc>
          <w:tcPr>
            <w:tcW w:w="380" w:type="dxa"/>
            <w:vAlign w:val="bottom"/>
          </w:tcPr>
          <w:p>
            <w:pPr>
              <w:spacing w:after="0"/>
              <w:rPr>
                <w:sz w:val="24"/>
                <w:szCs w:val="24"/>
                <w:color w:val="auto"/>
              </w:rPr>
            </w:pPr>
          </w:p>
        </w:tc>
        <w:tc>
          <w:tcPr>
            <w:tcW w:w="80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3.3.</w:t>
            </w:r>
          </w:p>
        </w:tc>
        <w:tc>
          <w:tcPr>
            <w:tcW w:w="198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auto"/>
              </w:rPr>
              <w:t>Covenant to Deliver</w:t>
            </w:r>
          </w:p>
        </w:tc>
        <w:tc>
          <w:tcPr>
            <w:tcW w:w="3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20</w:t>
            </w: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160" w:type="dxa"/>
            <w:vAlign w:val="bottom"/>
          </w:tcPr>
          <w:p>
            <w:pPr>
              <w:spacing w:after="0"/>
              <w:rPr>
                <w:sz w:val="24"/>
                <w:szCs w:val="24"/>
                <w:color w:val="auto"/>
              </w:rPr>
            </w:pPr>
          </w:p>
        </w:tc>
      </w:tr>
      <w:tr>
        <w:trPr>
          <w:trHeight w:val="338"/>
        </w:trPr>
        <w:tc>
          <w:tcPr>
            <w:tcW w:w="380" w:type="dxa"/>
            <w:vAlign w:val="bottom"/>
          </w:tcPr>
          <w:p>
            <w:pPr>
              <w:spacing w:after="0"/>
              <w:rPr>
                <w:sz w:val="24"/>
                <w:szCs w:val="24"/>
                <w:color w:val="auto"/>
              </w:rPr>
            </w:pPr>
          </w:p>
        </w:tc>
        <w:tc>
          <w:tcPr>
            <w:tcW w:w="80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3.4.</w:t>
            </w:r>
          </w:p>
        </w:tc>
        <w:tc>
          <w:tcPr>
            <w:tcW w:w="2320" w:type="dxa"/>
            <w:vAlign w:val="bottom"/>
            <w:gridSpan w:val="4"/>
          </w:tcPr>
          <w:p>
            <w:pPr>
              <w:ind w:left="40"/>
              <w:spacing w:after="0"/>
              <w:rPr>
                <w:sz w:val="20"/>
                <w:szCs w:val="20"/>
                <w:color w:val="auto"/>
              </w:rPr>
            </w:pPr>
            <w:r>
              <w:rPr>
                <w:rFonts w:ascii="Times New Roman" w:cs="Times New Roman" w:eastAsia="Times New Roman" w:hAnsi="Times New Roman"/>
                <w:sz w:val="20"/>
                <w:szCs w:val="20"/>
                <w:color w:val="auto"/>
              </w:rPr>
              <w:t>Procedures for Borrowing</w:t>
            </w:r>
          </w:p>
        </w:tc>
        <w:tc>
          <w:tcPr>
            <w:tcW w:w="44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20</w:t>
            </w: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160" w:type="dxa"/>
            <w:vAlign w:val="bottom"/>
          </w:tcPr>
          <w:p>
            <w:pPr>
              <w:spacing w:after="0"/>
              <w:rPr>
                <w:sz w:val="24"/>
                <w:szCs w:val="24"/>
                <w:color w:val="auto"/>
              </w:rPr>
            </w:pPr>
          </w:p>
        </w:tc>
      </w:tr>
      <w:tr>
        <w:trPr>
          <w:trHeight w:val="351"/>
        </w:trPr>
        <w:tc>
          <w:tcPr>
            <w:tcW w:w="3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4.</w:t>
            </w:r>
          </w:p>
        </w:tc>
        <w:tc>
          <w:tcPr>
            <w:tcW w:w="3960" w:type="dxa"/>
            <w:vAlign w:val="bottom"/>
            <w:gridSpan w:val="7"/>
          </w:tcPr>
          <w:p>
            <w:pPr>
              <w:ind w:left="140"/>
              <w:spacing w:after="0"/>
              <w:rPr>
                <w:sz w:val="20"/>
                <w:szCs w:val="20"/>
                <w:color w:val="auto"/>
              </w:rPr>
            </w:pPr>
            <w:r>
              <w:rPr>
                <w:rFonts w:ascii="Times New Roman" w:cs="Times New Roman" w:eastAsia="Times New Roman" w:hAnsi="Times New Roman"/>
                <w:sz w:val="20"/>
                <w:szCs w:val="20"/>
                <w:color w:val="auto"/>
              </w:rPr>
              <w:t>REPRESENTATIONS AND WARRANTIES</w:t>
            </w:r>
          </w:p>
        </w:tc>
        <w:tc>
          <w:tcPr>
            <w:tcW w:w="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w:t>
            </w:r>
          </w:p>
        </w:tc>
        <w:tc>
          <w:tcPr>
            <w:tcW w:w="420" w:type="dxa"/>
            <w:vAlign w:val="bottom"/>
          </w:tcPr>
          <w:p>
            <w:pPr>
              <w:spacing w:after="0"/>
              <w:rPr>
                <w:sz w:val="24"/>
                <w:szCs w:val="24"/>
                <w:color w:val="auto"/>
              </w:rPr>
            </w:pPr>
          </w:p>
        </w:tc>
        <w:tc>
          <w:tcPr>
            <w:tcW w:w="6160" w:type="dxa"/>
            <w:vAlign w:val="bottom"/>
          </w:tcPr>
          <w:p>
            <w:pPr>
              <w:spacing w:after="0"/>
              <w:rPr>
                <w:sz w:val="24"/>
                <w:szCs w:val="24"/>
                <w:color w:val="auto"/>
              </w:rPr>
            </w:pPr>
          </w:p>
        </w:tc>
      </w:tr>
      <w:tr>
        <w:trPr>
          <w:trHeight w:val="338"/>
        </w:trPr>
        <w:tc>
          <w:tcPr>
            <w:tcW w:w="380" w:type="dxa"/>
            <w:vAlign w:val="bottom"/>
          </w:tcPr>
          <w:p>
            <w:pPr>
              <w:spacing w:after="0"/>
              <w:rPr>
                <w:sz w:val="24"/>
                <w:szCs w:val="24"/>
                <w:color w:val="auto"/>
              </w:rPr>
            </w:pPr>
          </w:p>
        </w:tc>
        <w:tc>
          <w:tcPr>
            <w:tcW w:w="80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4.1.</w:t>
            </w:r>
          </w:p>
        </w:tc>
        <w:tc>
          <w:tcPr>
            <w:tcW w:w="3480" w:type="dxa"/>
            <w:vAlign w:val="bottom"/>
            <w:gridSpan w:val="7"/>
          </w:tcPr>
          <w:p>
            <w:pPr>
              <w:ind w:left="40"/>
              <w:spacing w:after="0"/>
              <w:rPr>
                <w:sz w:val="20"/>
                <w:szCs w:val="20"/>
                <w:color w:val="auto"/>
              </w:rPr>
            </w:pPr>
            <w:r>
              <w:rPr>
                <w:rFonts w:ascii="Times New Roman" w:cs="Times New Roman" w:eastAsia="Times New Roman" w:hAnsi="Times New Roman"/>
                <w:sz w:val="20"/>
                <w:szCs w:val="20"/>
                <w:color w:val="auto"/>
              </w:rPr>
              <w:t>Due Organization, Power and Authority</w:t>
            </w:r>
          </w:p>
        </w:tc>
        <w:tc>
          <w:tcPr>
            <w:tcW w:w="4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21</w:t>
            </w:r>
          </w:p>
        </w:tc>
        <w:tc>
          <w:tcPr>
            <w:tcW w:w="6160" w:type="dxa"/>
            <w:vAlign w:val="bottom"/>
          </w:tcPr>
          <w:p>
            <w:pPr>
              <w:spacing w:after="0"/>
              <w:rPr>
                <w:sz w:val="24"/>
                <w:szCs w:val="24"/>
                <w:color w:val="auto"/>
              </w:rPr>
            </w:pPr>
          </w:p>
        </w:tc>
      </w:tr>
      <w:tr>
        <w:trPr>
          <w:trHeight w:val="351"/>
        </w:trPr>
        <w:tc>
          <w:tcPr>
            <w:tcW w:w="380" w:type="dxa"/>
            <w:vAlign w:val="bottom"/>
          </w:tcPr>
          <w:p>
            <w:pPr>
              <w:spacing w:after="0"/>
              <w:rPr>
                <w:sz w:val="24"/>
                <w:szCs w:val="24"/>
                <w:color w:val="auto"/>
              </w:rPr>
            </w:pPr>
          </w:p>
        </w:tc>
        <w:tc>
          <w:tcPr>
            <w:tcW w:w="80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4.2.</w:t>
            </w:r>
          </w:p>
        </w:tc>
        <w:tc>
          <w:tcPr>
            <w:tcW w:w="158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Equity Interests</w:t>
            </w:r>
          </w:p>
        </w:tc>
        <w:tc>
          <w:tcPr>
            <w:tcW w:w="4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21</w:t>
            </w: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160" w:type="dxa"/>
            <w:vAlign w:val="bottom"/>
          </w:tcPr>
          <w:p>
            <w:pPr>
              <w:spacing w:after="0"/>
              <w:rPr>
                <w:sz w:val="24"/>
                <w:szCs w:val="24"/>
                <w:color w:val="auto"/>
              </w:rPr>
            </w:pPr>
          </w:p>
        </w:tc>
      </w:tr>
      <w:tr>
        <w:trPr>
          <w:trHeight w:val="338"/>
        </w:trPr>
        <w:tc>
          <w:tcPr>
            <w:tcW w:w="380" w:type="dxa"/>
            <w:vAlign w:val="bottom"/>
          </w:tcPr>
          <w:p>
            <w:pPr>
              <w:spacing w:after="0"/>
              <w:rPr>
                <w:sz w:val="24"/>
                <w:szCs w:val="24"/>
                <w:color w:val="auto"/>
              </w:rPr>
            </w:pPr>
          </w:p>
        </w:tc>
        <w:tc>
          <w:tcPr>
            <w:tcW w:w="80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4.3.</w:t>
            </w:r>
          </w:p>
        </w:tc>
        <w:tc>
          <w:tcPr>
            <w:tcW w:w="2320" w:type="dxa"/>
            <w:vAlign w:val="bottom"/>
            <w:gridSpan w:val="4"/>
          </w:tcPr>
          <w:p>
            <w:pPr>
              <w:ind w:left="40"/>
              <w:spacing w:after="0"/>
              <w:rPr>
                <w:sz w:val="20"/>
                <w:szCs w:val="20"/>
                <w:color w:val="auto"/>
              </w:rPr>
            </w:pPr>
            <w:r>
              <w:rPr>
                <w:rFonts w:ascii="Times New Roman" w:cs="Times New Roman" w:eastAsia="Times New Roman" w:hAnsi="Times New Roman"/>
                <w:sz w:val="20"/>
                <w:szCs w:val="20"/>
                <w:color w:val="auto"/>
              </w:rPr>
              <w:t>Authorization; No Conflict</w:t>
            </w:r>
          </w:p>
        </w:tc>
        <w:tc>
          <w:tcPr>
            <w:tcW w:w="44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21</w:t>
            </w: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160" w:type="dxa"/>
            <w:vAlign w:val="bottom"/>
          </w:tcPr>
          <w:p>
            <w:pPr>
              <w:spacing w:after="0"/>
              <w:rPr>
                <w:sz w:val="24"/>
                <w:szCs w:val="24"/>
                <w:color w:val="auto"/>
              </w:rPr>
            </w:pPr>
          </w:p>
        </w:tc>
      </w:tr>
      <w:tr>
        <w:trPr>
          <w:trHeight w:val="338"/>
        </w:trPr>
        <w:tc>
          <w:tcPr>
            <w:tcW w:w="380" w:type="dxa"/>
            <w:vAlign w:val="bottom"/>
          </w:tcPr>
          <w:p>
            <w:pPr>
              <w:spacing w:after="0"/>
              <w:rPr>
                <w:sz w:val="24"/>
                <w:szCs w:val="24"/>
                <w:color w:val="auto"/>
              </w:rPr>
            </w:pPr>
          </w:p>
        </w:tc>
        <w:tc>
          <w:tcPr>
            <w:tcW w:w="80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4.4.</w:t>
            </w:r>
          </w:p>
        </w:tc>
        <w:tc>
          <w:tcPr>
            <w:tcW w:w="3900" w:type="dxa"/>
            <w:vAlign w:val="bottom"/>
            <w:gridSpan w:val="8"/>
          </w:tcPr>
          <w:p>
            <w:pPr>
              <w:ind w:left="40"/>
              <w:spacing w:after="0"/>
              <w:rPr>
                <w:sz w:val="20"/>
                <w:szCs w:val="20"/>
                <w:color w:val="auto"/>
              </w:rPr>
            </w:pPr>
            <w:r>
              <w:rPr>
                <w:rFonts w:ascii="Times New Roman" w:cs="Times New Roman" w:eastAsia="Times New Roman" w:hAnsi="Times New Roman"/>
                <w:sz w:val="20"/>
                <w:szCs w:val="20"/>
                <w:color w:val="auto"/>
              </w:rPr>
              <w:t>Government Consents; Third Party Consents</w:t>
            </w:r>
          </w:p>
        </w:tc>
        <w:tc>
          <w:tcPr>
            <w:tcW w:w="616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21</w:t>
            </w:r>
          </w:p>
        </w:tc>
      </w:tr>
      <w:tr>
        <w:trPr>
          <w:trHeight w:val="351"/>
        </w:trPr>
        <w:tc>
          <w:tcPr>
            <w:tcW w:w="380" w:type="dxa"/>
            <w:vAlign w:val="bottom"/>
          </w:tcPr>
          <w:p>
            <w:pPr>
              <w:spacing w:after="0"/>
              <w:rPr>
                <w:sz w:val="24"/>
                <w:szCs w:val="24"/>
                <w:color w:val="auto"/>
              </w:rPr>
            </w:pPr>
          </w:p>
        </w:tc>
        <w:tc>
          <w:tcPr>
            <w:tcW w:w="80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4.5.</w:t>
            </w:r>
          </w:p>
        </w:tc>
        <w:tc>
          <w:tcPr>
            <w:tcW w:w="198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auto"/>
              </w:rPr>
              <w:t>Binding Obligation 22</w:t>
            </w: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160" w:type="dxa"/>
            <w:vAlign w:val="bottom"/>
          </w:tcPr>
          <w:p>
            <w:pPr>
              <w:spacing w:after="0"/>
              <w:rPr>
                <w:sz w:val="24"/>
                <w:szCs w:val="24"/>
                <w:color w:val="auto"/>
              </w:rPr>
            </w:pPr>
          </w:p>
        </w:tc>
      </w:tr>
      <w:tr>
        <w:trPr>
          <w:trHeight w:val="338"/>
        </w:trPr>
        <w:tc>
          <w:tcPr>
            <w:tcW w:w="380" w:type="dxa"/>
            <w:vAlign w:val="bottom"/>
          </w:tcPr>
          <w:p>
            <w:pPr>
              <w:spacing w:after="0"/>
              <w:rPr>
                <w:sz w:val="24"/>
                <w:szCs w:val="24"/>
                <w:color w:val="auto"/>
              </w:rPr>
            </w:pPr>
          </w:p>
        </w:tc>
        <w:tc>
          <w:tcPr>
            <w:tcW w:w="80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4.6.</w:t>
            </w:r>
          </w:p>
        </w:tc>
        <w:tc>
          <w:tcPr>
            <w:tcW w:w="3160" w:type="dxa"/>
            <w:vAlign w:val="bottom"/>
            <w:gridSpan w:val="6"/>
          </w:tcPr>
          <w:p>
            <w:pPr>
              <w:ind w:left="40"/>
              <w:spacing w:after="0"/>
              <w:rPr>
                <w:sz w:val="20"/>
                <w:szCs w:val="20"/>
                <w:color w:val="auto"/>
              </w:rPr>
            </w:pPr>
            <w:r>
              <w:rPr>
                <w:rFonts w:ascii="Times New Roman" w:cs="Times New Roman" w:eastAsia="Times New Roman" w:hAnsi="Times New Roman"/>
                <w:sz w:val="20"/>
                <w:szCs w:val="20"/>
                <w:color w:val="auto"/>
              </w:rPr>
              <w:t>Collateral and Intellectual Property</w:t>
            </w:r>
          </w:p>
        </w:tc>
        <w:tc>
          <w:tcPr>
            <w:tcW w:w="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w:t>
            </w:r>
          </w:p>
        </w:tc>
        <w:tc>
          <w:tcPr>
            <w:tcW w:w="420" w:type="dxa"/>
            <w:vAlign w:val="bottom"/>
          </w:tcPr>
          <w:p>
            <w:pPr>
              <w:spacing w:after="0"/>
              <w:rPr>
                <w:sz w:val="24"/>
                <w:szCs w:val="24"/>
                <w:color w:val="auto"/>
              </w:rPr>
            </w:pPr>
          </w:p>
        </w:tc>
        <w:tc>
          <w:tcPr>
            <w:tcW w:w="6160" w:type="dxa"/>
            <w:vAlign w:val="bottom"/>
          </w:tcPr>
          <w:p>
            <w:pPr>
              <w:spacing w:after="0"/>
              <w:rPr>
                <w:sz w:val="24"/>
                <w:szCs w:val="24"/>
                <w:color w:val="auto"/>
              </w:rPr>
            </w:pPr>
          </w:p>
        </w:tc>
      </w:tr>
      <w:tr>
        <w:trPr>
          <w:trHeight w:val="338"/>
        </w:trPr>
        <w:tc>
          <w:tcPr>
            <w:tcW w:w="380" w:type="dxa"/>
            <w:vAlign w:val="bottom"/>
          </w:tcPr>
          <w:p>
            <w:pPr>
              <w:spacing w:after="0"/>
              <w:rPr>
                <w:sz w:val="24"/>
                <w:szCs w:val="24"/>
                <w:color w:val="auto"/>
              </w:rPr>
            </w:pPr>
          </w:p>
        </w:tc>
        <w:tc>
          <w:tcPr>
            <w:tcW w:w="80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4.7.</w:t>
            </w:r>
          </w:p>
        </w:tc>
        <w:tc>
          <w:tcPr>
            <w:tcW w:w="3900" w:type="dxa"/>
            <w:vAlign w:val="bottom"/>
            <w:gridSpan w:val="8"/>
          </w:tcPr>
          <w:p>
            <w:pPr>
              <w:ind w:left="40"/>
              <w:spacing w:after="0"/>
              <w:rPr>
                <w:sz w:val="20"/>
                <w:szCs w:val="20"/>
                <w:color w:val="auto"/>
              </w:rPr>
            </w:pPr>
            <w:r>
              <w:rPr>
                <w:rFonts w:ascii="Times New Roman" w:cs="Times New Roman" w:eastAsia="Times New Roman" w:hAnsi="Times New Roman"/>
                <w:sz w:val="20"/>
                <w:szCs w:val="20"/>
                <w:color w:val="auto"/>
              </w:rPr>
              <w:t>Adverse Proceedings; Compliance with Laws</w:t>
            </w:r>
          </w:p>
        </w:tc>
        <w:tc>
          <w:tcPr>
            <w:tcW w:w="616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25</w:t>
            </w:r>
          </w:p>
        </w:tc>
      </w:tr>
      <w:tr>
        <w:trPr>
          <w:trHeight w:val="322"/>
        </w:trPr>
        <w:tc>
          <w:tcPr>
            <w:tcW w:w="380" w:type="dxa"/>
            <w:vAlign w:val="bottom"/>
          </w:tcPr>
          <w:p>
            <w:pPr>
              <w:spacing w:after="0"/>
              <w:rPr>
                <w:sz w:val="24"/>
                <w:szCs w:val="24"/>
                <w:color w:val="auto"/>
              </w:rPr>
            </w:pPr>
          </w:p>
        </w:tc>
        <w:tc>
          <w:tcPr>
            <w:tcW w:w="80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4.8.</w:t>
            </w:r>
          </w:p>
        </w:tc>
        <w:tc>
          <w:tcPr>
            <w:tcW w:w="10060" w:type="dxa"/>
            <w:vAlign w:val="bottom"/>
            <w:gridSpan w:val="9"/>
          </w:tcPr>
          <w:p>
            <w:pPr>
              <w:ind w:left="40"/>
              <w:spacing w:after="0"/>
              <w:rPr>
                <w:sz w:val="20"/>
                <w:szCs w:val="20"/>
                <w:color w:val="auto"/>
              </w:rPr>
            </w:pPr>
            <w:r>
              <w:rPr>
                <w:rFonts w:ascii="Times New Roman" w:cs="Times New Roman" w:eastAsia="Times New Roman" w:hAnsi="Times New Roman"/>
                <w:sz w:val="20"/>
                <w:szCs w:val="20"/>
                <w:color w:val="auto"/>
              </w:rPr>
              <w:t>Exchange Act Documents; Financial Statements; Financial Condition; No Material</w:t>
            </w:r>
          </w:p>
        </w:tc>
      </w:tr>
      <w:tr>
        <w:trPr>
          <w:trHeight w:val="258"/>
        </w:trPr>
        <w:tc>
          <w:tcPr>
            <w:tcW w:w="3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3480" w:type="dxa"/>
            <w:vAlign w:val="bottom"/>
            <w:gridSpan w:val="7"/>
          </w:tcPr>
          <w:p>
            <w:pPr>
              <w:ind w:left="320"/>
              <w:spacing w:after="0"/>
              <w:rPr>
                <w:sz w:val="20"/>
                <w:szCs w:val="20"/>
                <w:color w:val="auto"/>
              </w:rPr>
            </w:pPr>
            <w:r>
              <w:rPr>
                <w:rFonts w:ascii="Times New Roman" w:cs="Times New Roman" w:eastAsia="Times New Roman" w:hAnsi="Times New Roman"/>
                <w:sz w:val="20"/>
                <w:szCs w:val="20"/>
                <w:color w:val="auto"/>
              </w:rPr>
              <w:t>Adverse Change; Books and Records</w:t>
            </w:r>
          </w:p>
        </w:tc>
        <w:tc>
          <w:tcPr>
            <w:tcW w:w="420" w:type="dxa"/>
            <w:vAlign w:val="bottom"/>
          </w:tcPr>
          <w:p>
            <w:pPr>
              <w:jc w:val="right"/>
              <w:ind w:right="121"/>
              <w:spacing w:after="0"/>
              <w:rPr>
                <w:sz w:val="20"/>
                <w:szCs w:val="20"/>
                <w:color w:val="auto"/>
              </w:rPr>
            </w:pPr>
            <w:r>
              <w:rPr>
                <w:rFonts w:ascii="Times New Roman" w:cs="Times New Roman" w:eastAsia="Times New Roman" w:hAnsi="Times New Roman"/>
                <w:sz w:val="20"/>
                <w:szCs w:val="20"/>
                <w:color w:val="auto"/>
                <w:w w:val="89"/>
              </w:rPr>
              <w:t>25</w:t>
            </w:r>
          </w:p>
        </w:tc>
        <w:tc>
          <w:tcPr>
            <w:tcW w:w="6160" w:type="dxa"/>
            <w:vAlign w:val="bottom"/>
          </w:tcPr>
          <w:p>
            <w:pPr>
              <w:spacing w:after="0"/>
              <w:rPr>
                <w:sz w:val="22"/>
                <w:szCs w:val="22"/>
                <w:color w:val="auto"/>
              </w:rPr>
            </w:pPr>
          </w:p>
        </w:tc>
      </w:tr>
      <w:tr>
        <w:trPr>
          <w:trHeight w:val="351"/>
        </w:trPr>
        <w:tc>
          <w:tcPr>
            <w:tcW w:w="380" w:type="dxa"/>
            <w:vAlign w:val="bottom"/>
          </w:tcPr>
          <w:p>
            <w:pPr>
              <w:spacing w:after="0"/>
              <w:rPr>
                <w:sz w:val="24"/>
                <w:szCs w:val="24"/>
                <w:color w:val="auto"/>
              </w:rPr>
            </w:pPr>
          </w:p>
        </w:tc>
        <w:tc>
          <w:tcPr>
            <w:tcW w:w="80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4.9.</w:t>
            </w:r>
          </w:p>
        </w:tc>
        <w:tc>
          <w:tcPr>
            <w:tcW w:w="158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Solvency 26</w:t>
            </w: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160" w:type="dxa"/>
            <w:vAlign w:val="bottom"/>
          </w:tcPr>
          <w:p>
            <w:pPr>
              <w:spacing w:after="0"/>
              <w:rPr>
                <w:sz w:val="24"/>
                <w:szCs w:val="24"/>
                <w:color w:val="auto"/>
              </w:rPr>
            </w:pPr>
          </w:p>
        </w:tc>
      </w:tr>
      <w:tr>
        <w:trPr>
          <w:trHeight w:val="338"/>
        </w:trPr>
        <w:tc>
          <w:tcPr>
            <w:tcW w:w="380" w:type="dxa"/>
            <w:vAlign w:val="bottom"/>
          </w:tcPr>
          <w:p>
            <w:pPr>
              <w:spacing w:after="0"/>
              <w:rPr>
                <w:sz w:val="24"/>
                <w:szCs w:val="24"/>
                <w:color w:val="auto"/>
              </w:rPr>
            </w:pPr>
          </w:p>
        </w:tc>
        <w:tc>
          <w:tcPr>
            <w:tcW w:w="2380" w:type="dxa"/>
            <w:vAlign w:val="bottom"/>
            <w:gridSpan w:val="3"/>
          </w:tcPr>
          <w:p>
            <w:pPr>
              <w:ind w:left="460"/>
              <w:spacing w:after="0"/>
              <w:rPr>
                <w:sz w:val="20"/>
                <w:szCs w:val="20"/>
                <w:color w:val="auto"/>
              </w:rPr>
            </w:pPr>
            <w:r>
              <w:rPr>
                <w:rFonts w:ascii="Times New Roman" w:cs="Times New Roman" w:eastAsia="Times New Roman" w:hAnsi="Times New Roman"/>
                <w:sz w:val="20"/>
                <w:szCs w:val="20"/>
                <w:color w:val="auto"/>
              </w:rPr>
              <w:t>4.10. Payment of Taxes</w:t>
            </w:r>
          </w:p>
        </w:tc>
        <w:tc>
          <w:tcPr>
            <w:tcW w:w="4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26</w:t>
            </w: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160" w:type="dxa"/>
            <w:vAlign w:val="bottom"/>
          </w:tcPr>
          <w:p>
            <w:pPr>
              <w:spacing w:after="0"/>
              <w:rPr>
                <w:sz w:val="24"/>
                <w:szCs w:val="24"/>
                <w:color w:val="auto"/>
              </w:rPr>
            </w:pPr>
          </w:p>
        </w:tc>
      </w:tr>
      <w:tr>
        <w:trPr>
          <w:trHeight w:val="338"/>
        </w:trPr>
        <w:tc>
          <w:tcPr>
            <w:tcW w:w="380" w:type="dxa"/>
            <w:vAlign w:val="bottom"/>
          </w:tcPr>
          <w:p>
            <w:pPr>
              <w:spacing w:after="0"/>
              <w:rPr>
                <w:sz w:val="24"/>
                <w:szCs w:val="24"/>
                <w:color w:val="auto"/>
              </w:rPr>
            </w:pPr>
          </w:p>
        </w:tc>
        <w:tc>
          <w:tcPr>
            <w:tcW w:w="2780" w:type="dxa"/>
            <w:vAlign w:val="bottom"/>
            <w:gridSpan w:val="4"/>
          </w:tcPr>
          <w:p>
            <w:pPr>
              <w:ind w:left="460"/>
              <w:spacing w:after="0"/>
              <w:rPr>
                <w:sz w:val="20"/>
                <w:szCs w:val="20"/>
                <w:color w:val="auto"/>
              </w:rPr>
            </w:pPr>
            <w:r>
              <w:rPr>
                <w:rFonts w:ascii="Times New Roman" w:cs="Times New Roman" w:eastAsia="Times New Roman" w:hAnsi="Times New Roman"/>
                <w:sz w:val="20"/>
                <w:szCs w:val="20"/>
                <w:color w:val="auto"/>
                <w:w w:val="99"/>
              </w:rPr>
              <w:t>4.11. Environmental Matters</w:t>
            </w:r>
          </w:p>
        </w:tc>
        <w:tc>
          <w:tcPr>
            <w:tcW w:w="3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26</w:t>
            </w: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160" w:type="dxa"/>
            <w:vAlign w:val="bottom"/>
          </w:tcPr>
          <w:p>
            <w:pPr>
              <w:spacing w:after="0"/>
              <w:rPr>
                <w:sz w:val="24"/>
                <w:szCs w:val="24"/>
                <w:color w:val="auto"/>
              </w:rPr>
            </w:pPr>
          </w:p>
        </w:tc>
      </w:tr>
      <w:tr>
        <w:trPr>
          <w:trHeight w:val="351"/>
        </w:trPr>
        <w:tc>
          <w:tcPr>
            <w:tcW w:w="380" w:type="dxa"/>
            <w:vAlign w:val="bottom"/>
          </w:tcPr>
          <w:p>
            <w:pPr>
              <w:spacing w:after="0"/>
              <w:rPr>
                <w:sz w:val="24"/>
                <w:szCs w:val="24"/>
                <w:color w:val="auto"/>
              </w:rPr>
            </w:pPr>
          </w:p>
        </w:tc>
        <w:tc>
          <w:tcPr>
            <w:tcW w:w="2780" w:type="dxa"/>
            <w:vAlign w:val="bottom"/>
            <w:gridSpan w:val="4"/>
          </w:tcPr>
          <w:p>
            <w:pPr>
              <w:ind w:left="460"/>
              <w:spacing w:after="0"/>
              <w:rPr>
                <w:sz w:val="20"/>
                <w:szCs w:val="20"/>
                <w:color w:val="auto"/>
              </w:rPr>
            </w:pPr>
            <w:r>
              <w:rPr>
                <w:rFonts w:ascii="Times New Roman" w:cs="Times New Roman" w:eastAsia="Times New Roman" w:hAnsi="Times New Roman"/>
                <w:sz w:val="20"/>
                <w:szCs w:val="20"/>
                <w:color w:val="auto"/>
              </w:rPr>
              <w:t>4.12. Material Contracts 27</w:t>
            </w: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160" w:type="dxa"/>
            <w:vAlign w:val="bottom"/>
          </w:tcPr>
          <w:p>
            <w:pPr>
              <w:spacing w:after="0"/>
              <w:rPr>
                <w:sz w:val="24"/>
                <w:szCs w:val="24"/>
                <w:color w:val="auto"/>
              </w:rPr>
            </w:pPr>
          </w:p>
        </w:tc>
      </w:tr>
      <w:tr>
        <w:trPr>
          <w:trHeight w:val="338"/>
        </w:trPr>
        <w:tc>
          <w:tcPr>
            <w:tcW w:w="380" w:type="dxa"/>
            <w:vAlign w:val="bottom"/>
          </w:tcPr>
          <w:p>
            <w:pPr>
              <w:spacing w:after="0"/>
              <w:rPr>
                <w:sz w:val="24"/>
                <w:szCs w:val="24"/>
                <w:color w:val="auto"/>
              </w:rPr>
            </w:pPr>
          </w:p>
        </w:tc>
        <w:tc>
          <w:tcPr>
            <w:tcW w:w="3120" w:type="dxa"/>
            <w:vAlign w:val="bottom"/>
            <w:gridSpan w:val="5"/>
          </w:tcPr>
          <w:p>
            <w:pPr>
              <w:ind w:left="460"/>
              <w:spacing w:after="0"/>
              <w:rPr>
                <w:sz w:val="20"/>
                <w:szCs w:val="20"/>
                <w:color w:val="auto"/>
              </w:rPr>
            </w:pPr>
            <w:r>
              <w:rPr>
                <w:rFonts w:ascii="Times New Roman" w:cs="Times New Roman" w:eastAsia="Times New Roman" w:hAnsi="Times New Roman"/>
                <w:sz w:val="20"/>
                <w:szCs w:val="20"/>
                <w:color w:val="auto"/>
              </w:rPr>
              <w:t>4.13. Regulatory Compliance 27</w:t>
            </w: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160" w:type="dxa"/>
            <w:vAlign w:val="bottom"/>
          </w:tcPr>
          <w:p>
            <w:pPr>
              <w:spacing w:after="0"/>
              <w:rPr>
                <w:sz w:val="24"/>
                <w:szCs w:val="24"/>
                <w:color w:val="auto"/>
              </w:rPr>
            </w:pPr>
          </w:p>
        </w:tc>
      </w:tr>
      <w:tr>
        <w:trPr>
          <w:trHeight w:val="351"/>
        </w:trPr>
        <w:tc>
          <w:tcPr>
            <w:tcW w:w="380" w:type="dxa"/>
            <w:vAlign w:val="bottom"/>
          </w:tcPr>
          <w:p>
            <w:pPr>
              <w:spacing w:after="0"/>
              <w:rPr>
                <w:sz w:val="24"/>
                <w:szCs w:val="24"/>
                <w:color w:val="auto"/>
              </w:rPr>
            </w:pPr>
          </w:p>
        </w:tc>
        <w:tc>
          <w:tcPr>
            <w:tcW w:w="2380" w:type="dxa"/>
            <w:vAlign w:val="bottom"/>
            <w:gridSpan w:val="3"/>
          </w:tcPr>
          <w:p>
            <w:pPr>
              <w:ind w:left="460"/>
              <w:spacing w:after="0"/>
              <w:rPr>
                <w:sz w:val="20"/>
                <w:szCs w:val="20"/>
                <w:color w:val="auto"/>
              </w:rPr>
            </w:pPr>
            <w:r>
              <w:rPr>
                <w:rFonts w:ascii="Times New Roman" w:cs="Times New Roman" w:eastAsia="Times New Roman" w:hAnsi="Times New Roman"/>
                <w:sz w:val="20"/>
                <w:szCs w:val="20"/>
                <w:color w:val="auto"/>
              </w:rPr>
              <w:t>4.14. Margin Stock 28</w:t>
            </w: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160" w:type="dxa"/>
            <w:vAlign w:val="bottom"/>
          </w:tcPr>
          <w:p>
            <w:pPr>
              <w:spacing w:after="0"/>
              <w:rPr>
                <w:sz w:val="24"/>
                <w:szCs w:val="24"/>
                <w:color w:val="auto"/>
              </w:rPr>
            </w:pPr>
          </w:p>
        </w:tc>
      </w:tr>
      <w:tr>
        <w:trPr>
          <w:trHeight w:val="973"/>
        </w:trPr>
        <w:tc>
          <w:tcPr>
            <w:tcW w:w="38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61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22" w:right="339" w:bottom="1440" w:gutter="0" w:footer="0" w:header="0"/>
        </w:sectPr>
      </w:pPr>
    </w:p>
    <w:bookmarkStart w:id="115" w:name="page116"/>
    <w:bookmarkEnd w:id="115"/>
    <w:p>
      <w:pPr>
        <w:spacing w:after="0" w:line="162"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9"/>
          <w:szCs w:val="19"/>
          <w:color w:val="auto"/>
        </w:rPr>
        <w:t>i</w:t>
      </w:r>
      <w:r>
        <w:rPr>
          <w:rFonts w:ascii="Times New Roman" w:cs="Times New Roman" w:eastAsia="Times New Roman" w:hAnsi="Times New Roman"/>
          <w:sz w:val="16"/>
          <w:szCs w:val="16"/>
          <w:color w:val="auto"/>
        </w:rPr>
        <w: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4905-3710-6484 v.17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600710</wp:posOffset>
            </wp:positionV>
            <wp:extent cx="7157720" cy="425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59"/>
          </w:cols>
          <w:pgMar w:left="400" w:top="1440" w:right="1440" w:bottom="1440" w:gutter="0" w:footer="0" w:header="0"/>
        </w:sectPr>
      </w:pPr>
    </w:p>
    <w:bookmarkStart w:id="116" w:name="page117"/>
    <w:bookmarkEnd w:id="116"/>
    <w:tbl>
      <w:tblPr>
        <w:tblLayout w:type="fixed"/>
        <w:tblInd w:w="760" w:type="dxa"/>
        <w:tblCellMar>
          <w:top w:w="0" w:type="dxa"/>
          <w:left w:w="0" w:type="dxa"/>
          <w:bottom w:w="0" w:type="dxa"/>
          <w:right w:w="0" w:type="dxa"/>
        </w:tblCellMar>
      </w:tblPr>
      <w:tr>
        <w:trPr>
          <w:trHeight w:val="258"/>
        </w:trPr>
        <w:tc>
          <w:tcPr>
            <w:tcW w:w="4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4"/>
              </w:rPr>
              <w:t>4.15.</w:t>
            </w:r>
          </w:p>
        </w:tc>
        <w:tc>
          <w:tcPr>
            <w:tcW w:w="148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Subsidiaries</w:t>
            </w:r>
          </w:p>
        </w:tc>
        <w:tc>
          <w:tcPr>
            <w:tcW w:w="3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28</w:t>
            </w:r>
          </w:p>
        </w:tc>
        <w:tc>
          <w:tcPr>
            <w:tcW w:w="4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380" w:type="dxa"/>
            <w:vAlign w:val="bottom"/>
          </w:tcPr>
          <w:p>
            <w:pPr>
              <w:spacing w:after="0"/>
              <w:rPr>
                <w:sz w:val="22"/>
                <w:szCs w:val="22"/>
                <w:color w:val="auto"/>
              </w:rPr>
            </w:pPr>
          </w:p>
        </w:tc>
      </w:tr>
      <w:tr>
        <w:trPr>
          <w:trHeight w:val="351"/>
        </w:trPr>
        <w:tc>
          <w:tcPr>
            <w:tcW w:w="4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4"/>
              </w:rPr>
              <w:t>4.16.</w:t>
            </w:r>
          </w:p>
        </w:tc>
        <w:tc>
          <w:tcPr>
            <w:tcW w:w="186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Employee Matters 28</w:t>
            </w:r>
          </w:p>
        </w:tc>
        <w:tc>
          <w:tcPr>
            <w:tcW w:w="4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338"/>
        </w:trPr>
        <w:tc>
          <w:tcPr>
            <w:tcW w:w="4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4"/>
              </w:rPr>
              <w:t>4.17.</w:t>
            </w:r>
          </w:p>
        </w:tc>
        <w:tc>
          <w:tcPr>
            <w:tcW w:w="1860" w:type="dxa"/>
            <w:vAlign w:val="bottom"/>
            <w:gridSpan w:val="2"/>
          </w:tcPr>
          <w:p>
            <w:pPr>
              <w:ind w:left="360"/>
              <w:spacing w:after="0"/>
              <w:rPr>
                <w:sz w:val="20"/>
                <w:szCs w:val="20"/>
                <w:color w:val="auto"/>
              </w:rPr>
            </w:pPr>
            <w:r>
              <w:rPr>
                <w:rFonts w:ascii="Times New Roman" w:cs="Times New Roman" w:eastAsia="Times New Roman" w:hAnsi="Times New Roman"/>
                <w:sz w:val="20"/>
                <w:szCs w:val="20"/>
                <w:color w:val="auto"/>
              </w:rPr>
              <w:t>Full Disclosure</w:t>
            </w:r>
          </w:p>
        </w:tc>
        <w:tc>
          <w:tcPr>
            <w:tcW w:w="44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29</w:t>
            </w:r>
          </w:p>
        </w:tc>
        <w:tc>
          <w:tcPr>
            <w:tcW w:w="10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338"/>
        </w:trPr>
        <w:tc>
          <w:tcPr>
            <w:tcW w:w="4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4"/>
              </w:rPr>
              <w:t>4.18.</w:t>
            </w:r>
          </w:p>
        </w:tc>
        <w:tc>
          <w:tcPr>
            <w:tcW w:w="4140" w:type="dxa"/>
            <w:vAlign w:val="bottom"/>
            <w:gridSpan w:val="5"/>
          </w:tcPr>
          <w:p>
            <w:pPr>
              <w:ind w:left="20"/>
              <w:spacing w:after="0"/>
              <w:rPr>
                <w:sz w:val="20"/>
                <w:szCs w:val="20"/>
                <w:color w:val="auto"/>
              </w:rPr>
            </w:pPr>
            <w:r>
              <w:rPr>
                <w:rFonts w:ascii="Times New Roman" w:cs="Times New Roman" w:eastAsia="Times New Roman" w:hAnsi="Times New Roman"/>
                <w:sz w:val="20"/>
                <w:szCs w:val="20"/>
                <w:color w:val="auto"/>
              </w:rPr>
              <w:t>Anti-Corruption; Anti-Terrorism Laws; Sanctions</w:t>
            </w:r>
          </w:p>
        </w:tc>
        <w:tc>
          <w:tcPr>
            <w:tcW w:w="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w:t>
            </w:r>
          </w:p>
        </w:tc>
      </w:tr>
      <w:tr>
        <w:trPr>
          <w:trHeight w:val="351"/>
        </w:trPr>
        <w:tc>
          <w:tcPr>
            <w:tcW w:w="4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4"/>
              </w:rPr>
              <w:t>4.19.</w:t>
            </w:r>
          </w:p>
        </w:tc>
        <w:tc>
          <w:tcPr>
            <w:tcW w:w="186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Health Care Matters</w:t>
            </w:r>
          </w:p>
        </w:tc>
        <w:tc>
          <w:tcPr>
            <w:tcW w:w="44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30</w:t>
            </w:r>
          </w:p>
        </w:tc>
        <w:tc>
          <w:tcPr>
            <w:tcW w:w="10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338"/>
        </w:trPr>
        <w:tc>
          <w:tcPr>
            <w:tcW w:w="4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4"/>
              </w:rPr>
              <w:t>4.20.</w:t>
            </w:r>
          </w:p>
        </w:tc>
        <w:tc>
          <w:tcPr>
            <w:tcW w:w="3360" w:type="dxa"/>
            <w:vAlign w:val="bottom"/>
            <w:gridSpan w:val="4"/>
          </w:tcPr>
          <w:p>
            <w:pPr>
              <w:ind w:left="20"/>
              <w:spacing w:after="0"/>
              <w:rPr>
                <w:sz w:val="20"/>
                <w:szCs w:val="20"/>
                <w:color w:val="auto"/>
              </w:rPr>
            </w:pPr>
            <w:r>
              <w:rPr>
                <w:rFonts w:ascii="Times New Roman" w:cs="Times New Roman" w:eastAsia="Times New Roman" w:hAnsi="Times New Roman"/>
                <w:sz w:val="20"/>
                <w:szCs w:val="20"/>
                <w:color w:val="auto"/>
              </w:rPr>
              <w:t>Regulatory Approvals and Exclusivities</w:t>
            </w:r>
          </w:p>
        </w:tc>
        <w:tc>
          <w:tcPr>
            <w:tcW w:w="780" w:type="dxa"/>
            <w:vAlign w:val="bottom"/>
          </w:tcPr>
          <w:p>
            <w:pPr>
              <w:jc w:val="right"/>
              <w:ind w:right="301"/>
              <w:spacing w:after="0"/>
              <w:rPr>
                <w:sz w:val="20"/>
                <w:szCs w:val="20"/>
                <w:color w:val="auto"/>
              </w:rPr>
            </w:pPr>
            <w:r>
              <w:rPr>
                <w:rFonts w:ascii="Times New Roman" w:cs="Times New Roman" w:eastAsia="Times New Roman" w:hAnsi="Times New Roman"/>
                <w:sz w:val="20"/>
                <w:szCs w:val="20"/>
                <w:color w:val="auto"/>
              </w:rPr>
              <w:t>33</w:t>
            </w:r>
          </w:p>
        </w:tc>
        <w:tc>
          <w:tcPr>
            <w:tcW w:w="380" w:type="dxa"/>
            <w:vAlign w:val="bottom"/>
          </w:tcPr>
          <w:p>
            <w:pPr>
              <w:spacing w:after="0"/>
              <w:rPr>
                <w:sz w:val="24"/>
                <w:szCs w:val="24"/>
                <w:color w:val="auto"/>
              </w:rPr>
            </w:pPr>
          </w:p>
        </w:tc>
      </w:tr>
      <w:tr>
        <w:trPr>
          <w:trHeight w:val="338"/>
        </w:trPr>
        <w:tc>
          <w:tcPr>
            <w:tcW w:w="4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4"/>
              </w:rPr>
              <w:t>4.21.</w:t>
            </w:r>
          </w:p>
        </w:tc>
        <w:tc>
          <w:tcPr>
            <w:tcW w:w="2300" w:type="dxa"/>
            <w:vAlign w:val="bottom"/>
            <w:gridSpan w:val="3"/>
          </w:tcPr>
          <w:p>
            <w:pPr>
              <w:ind w:left="20"/>
              <w:spacing w:after="0"/>
              <w:rPr>
                <w:sz w:val="20"/>
                <w:szCs w:val="20"/>
                <w:color w:val="auto"/>
              </w:rPr>
            </w:pPr>
            <w:r>
              <w:rPr>
                <w:rFonts w:ascii="Times New Roman" w:cs="Times New Roman" w:eastAsia="Times New Roman" w:hAnsi="Times New Roman"/>
                <w:sz w:val="20"/>
                <w:szCs w:val="20"/>
                <w:color w:val="auto"/>
              </w:rPr>
              <w:t>Supply and Manufacturing</w:t>
            </w:r>
          </w:p>
        </w:tc>
        <w:tc>
          <w:tcPr>
            <w:tcW w:w="1060" w:type="dxa"/>
            <w:vAlign w:val="bottom"/>
          </w:tcPr>
          <w:p>
            <w:pPr>
              <w:jc w:val="right"/>
              <w:ind w:right="721"/>
              <w:spacing w:after="0"/>
              <w:rPr>
                <w:sz w:val="20"/>
                <w:szCs w:val="20"/>
                <w:color w:val="auto"/>
              </w:rPr>
            </w:pPr>
            <w:r>
              <w:rPr>
                <w:rFonts w:ascii="Times New Roman" w:cs="Times New Roman" w:eastAsia="Times New Roman" w:hAnsi="Times New Roman"/>
                <w:sz w:val="20"/>
                <w:szCs w:val="20"/>
                <w:color w:val="auto"/>
              </w:rPr>
              <w:t>33</w:t>
            </w: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351"/>
        </w:trPr>
        <w:tc>
          <w:tcPr>
            <w:tcW w:w="4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4"/>
              </w:rPr>
              <w:t>4.22.</w:t>
            </w:r>
          </w:p>
        </w:tc>
        <w:tc>
          <w:tcPr>
            <w:tcW w:w="2300" w:type="dxa"/>
            <w:vAlign w:val="bottom"/>
            <w:gridSpan w:val="3"/>
          </w:tcPr>
          <w:p>
            <w:pPr>
              <w:ind w:left="20"/>
              <w:spacing w:after="0"/>
              <w:rPr>
                <w:sz w:val="20"/>
                <w:szCs w:val="20"/>
                <w:color w:val="auto"/>
              </w:rPr>
            </w:pPr>
            <w:r>
              <w:rPr>
                <w:rFonts w:ascii="Times New Roman" w:cs="Times New Roman" w:eastAsia="Times New Roman" w:hAnsi="Times New Roman"/>
                <w:sz w:val="20"/>
                <w:szCs w:val="20"/>
                <w:color w:val="auto"/>
              </w:rPr>
              <w:t>IT Assets and Data Privacy.</w:t>
            </w:r>
          </w:p>
        </w:tc>
        <w:tc>
          <w:tcPr>
            <w:tcW w:w="1060" w:type="dxa"/>
            <w:vAlign w:val="bottom"/>
          </w:tcPr>
          <w:p>
            <w:pPr>
              <w:jc w:val="right"/>
              <w:ind w:right="721"/>
              <w:spacing w:after="0"/>
              <w:rPr>
                <w:sz w:val="20"/>
                <w:szCs w:val="20"/>
                <w:color w:val="auto"/>
              </w:rPr>
            </w:pPr>
            <w:r>
              <w:rPr>
                <w:rFonts w:ascii="Times New Roman" w:cs="Times New Roman" w:eastAsia="Times New Roman" w:hAnsi="Times New Roman"/>
                <w:sz w:val="20"/>
                <w:szCs w:val="20"/>
                <w:color w:val="auto"/>
              </w:rPr>
              <w:t>33</w:t>
            </w: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338"/>
        </w:trPr>
        <w:tc>
          <w:tcPr>
            <w:tcW w:w="4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4"/>
              </w:rPr>
              <w:t>4.23.</w:t>
            </w:r>
          </w:p>
        </w:tc>
        <w:tc>
          <w:tcPr>
            <w:tcW w:w="148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Indebtedness</w:t>
            </w:r>
          </w:p>
        </w:tc>
        <w:tc>
          <w:tcPr>
            <w:tcW w:w="3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34</w:t>
            </w:r>
          </w:p>
        </w:tc>
        <w:tc>
          <w:tcPr>
            <w:tcW w:w="4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r>
    </w:tbl>
    <w:p>
      <w:pPr>
        <w:spacing w:after="0" w:line="79" w:lineRule="exact"/>
        <w:rPr>
          <w:sz w:val="20"/>
          <w:szCs w:val="20"/>
          <w:color w:val="auto"/>
        </w:rPr>
      </w:pPr>
    </w:p>
    <w:p>
      <w:pPr>
        <w:ind w:left="520" w:hanging="437"/>
        <w:spacing w:after="0"/>
        <w:tabs>
          <w:tab w:leader="none" w:pos="520"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AFFIRMATIVE COVENANTS  34</w:t>
      </w:r>
    </w:p>
    <w:p>
      <w:pPr>
        <w:spacing w:after="0" w:line="108" w:lineRule="exact"/>
        <w:rPr>
          <w:sz w:val="20"/>
          <w:szCs w:val="20"/>
          <w:color w:val="auto"/>
        </w:rPr>
      </w:pPr>
    </w:p>
    <w:tbl>
      <w:tblPr>
        <w:tblLayout w:type="fixed"/>
        <w:tblInd w:w="760" w:type="dxa"/>
        <w:tblCellMar>
          <w:top w:w="0" w:type="dxa"/>
          <w:left w:w="0" w:type="dxa"/>
          <w:bottom w:w="0" w:type="dxa"/>
          <w:right w:w="0" w:type="dxa"/>
        </w:tblCellMar>
      </w:tblPr>
      <w:tr>
        <w:trPr>
          <w:trHeight w:val="258"/>
        </w:trPr>
        <w:tc>
          <w:tcPr>
            <w:tcW w:w="400" w:type="dxa"/>
            <w:vAlign w:val="bottom"/>
          </w:tcPr>
          <w:p>
            <w:pPr>
              <w:spacing w:after="0"/>
              <w:rPr>
                <w:sz w:val="20"/>
                <w:szCs w:val="20"/>
                <w:color w:val="auto"/>
              </w:rPr>
            </w:pPr>
            <w:r>
              <w:rPr>
                <w:rFonts w:ascii="Times New Roman" w:cs="Times New Roman" w:eastAsia="Times New Roman" w:hAnsi="Times New Roman"/>
                <w:sz w:val="20"/>
                <w:szCs w:val="20"/>
                <w:color w:val="auto"/>
              </w:rPr>
              <w:t>5.1.</w:t>
            </w:r>
          </w:p>
        </w:tc>
        <w:tc>
          <w:tcPr>
            <w:tcW w:w="236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Maintenance of Existence</w:t>
            </w:r>
          </w:p>
        </w:tc>
        <w:tc>
          <w:tcPr>
            <w:tcW w:w="34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w w:val="89"/>
              </w:rPr>
              <w:t>34</w:t>
            </w:r>
          </w:p>
        </w:tc>
        <w:tc>
          <w:tcPr>
            <w:tcW w:w="760" w:type="dxa"/>
            <w:vAlign w:val="bottom"/>
          </w:tcPr>
          <w:p>
            <w:pPr>
              <w:spacing w:after="0"/>
              <w:rPr>
                <w:sz w:val="22"/>
                <w:szCs w:val="22"/>
                <w:color w:val="auto"/>
              </w:rPr>
            </w:pPr>
          </w:p>
        </w:tc>
        <w:tc>
          <w:tcPr>
            <w:tcW w:w="300" w:type="dxa"/>
            <w:vAlign w:val="bottom"/>
          </w:tcPr>
          <w:p>
            <w:pPr>
              <w:spacing w:after="0"/>
              <w:rPr>
                <w:sz w:val="22"/>
                <w:szCs w:val="22"/>
                <w:color w:val="auto"/>
              </w:rPr>
            </w:pPr>
          </w:p>
        </w:tc>
      </w:tr>
      <w:tr>
        <w:trPr>
          <w:trHeight w:val="351"/>
        </w:trPr>
        <w:tc>
          <w:tcPr>
            <w:tcW w:w="400" w:type="dxa"/>
            <w:vAlign w:val="bottom"/>
          </w:tcPr>
          <w:p>
            <w:pPr>
              <w:spacing w:after="0"/>
              <w:rPr>
                <w:sz w:val="20"/>
                <w:szCs w:val="20"/>
                <w:color w:val="auto"/>
              </w:rPr>
            </w:pPr>
            <w:r>
              <w:rPr>
                <w:rFonts w:ascii="Times New Roman" w:cs="Times New Roman" w:eastAsia="Times New Roman" w:hAnsi="Times New Roman"/>
                <w:sz w:val="20"/>
                <w:szCs w:val="20"/>
                <w:color w:val="auto"/>
              </w:rPr>
              <w:t>5.2.</w:t>
            </w:r>
          </w:p>
        </w:tc>
        <w:tc>
          <w:tcPr>
            <w:tcW w:w="2360" w:type="dxa"/>
            <w:vAlign w:val="bottom"/>
            <w:gridSpan w:val="4"/>
          </w:tcPr>
          <w:p>
            <w:pPr>
              <w:spacing w:after="0"/>
              <w:rPr>
                <w:sz w:val="20"/>
                <w:szCs w:val="20"/>
                <w:color w:val="auto"/>
              </w:rPr>
            </w:pPr>
            <w:r>
              <w:rPr>
                <w:rFonts w:ascii="Times New Roman" w:cs="Times New Roman" w:eastAsia="Times New Roman" w:hAnsi="Times New Roman"/>
                <w:sz w:val="20"/>
                <w:szCs w:val="20"/>
                <w:color w:val="auto"/>
                <w:w w:val="97"/>
              </w:rPr>
              <w:t>Financial Statements; Notices</w:t>
            </w:r>
          </w:p>
        </w:tc>
        <w:tc>
          <w:tcPr>
            <w:tcW w:w="340" w:type="dxa"/>
            <w:vAlign w:val="bottom"/>
          </w:tcPr>
          <w:p>
            <w:pPr>
              <w:spacing w:after="0"/>
              <w:rPr>
                <w:sz w:val="24"/>
                <w:szCs w:val="24"/>
                <w:color w:val="auto"/>
              </w:rPr>
            </w:pPr>
          </w:p>
        </w:tc>
        <w:tc>
          <w:tcPr>
            <w:tcW w:w="760" w:type="dxa"/>
            <w:vAlign w:val="bottom"/>
          </w:tcPr>
          <w:p>
            <w:pPr>
              <w:jc w:val="right"/>
              <w:ind w:right="401"/>
              <w:spacing w:after="0"/>
              <w:rPr>
                <w:sz w:val="20"/>
                <w:szCs w:val="20"/>
                <w:color w:val="auto"/>
              </w:rPr>
            </w:pPr>
            <w:r>
              <w:rPr>
                <w:rFonts w:ascii="Times New Roman" w:cs="Times New Roman" w:eastAsia="Times New Roman" w:hAnsi="Times New Roman"/>
                <w:sz w:val="20"/>
                <w:szCs w:val="20"/>
                <w:color w:val="auto"/>
              </w:rPr>
              <w:t>35</w:t>
            </w:r>
          </w:p>
        </w:tc>
        <w:tc>
          <w:tcPr>
            <w:tcW w:w="300" w:type="dxa"/>
            <w:vAlign w:val="bottom"/>
          </w:tcPr>
          <w:p>
            <w:pPr>
              <w:spacing w:after="0"/>
              <w:rPr>
                <w:sz w:val="24"/>
                <w:szCs w:val="24"/>
                <w:color w:val="auto"/>
              </w:rPr>
            </w:pPr>
          </w:p>
        </w:tc>
      </w:tr>
      <w:tr>
        <w:trPr>
          <w:trHeight w:val="338"/>
        </w:trPr>
        <w:tc>
          <w:tcPr>
            <w:tcW w:w="400" w:type="dxa"/>
            <w:vAlign w:val="bottom"/>
          </w:tcPr>
          <w:p>
            <w:pPr>
              <w:spacing w:after="0"/>
              <w:rPr>
                <w:sz w:val="20"/>
                <w:szCs w:val="20"/>
                <w:color w:val="auto"/>
              </w:rPr>
            </w:pPr>
            <w:r>
              <w:rPr>
                <w:rFonts w:ascii="Times New Roman" w:cs="Times New Roman" w:eastAsia="Times New Roman" w:hAnsi="Times New Roman"/>
                <w:sz w:val="20"/>
                <w:szCs w:val="20"/>
                <w:color w:val="auto"/>
              </w:rPr>
              <w:t>5.3.</w:t>
            </w:r>
          </w:p>
        </w:tc>
        <w:tc>
          <w:tcPr>
            <w:tcW w:w="780" w:type="dxa"/>
            <w:vAlign w:val="bottom"/>
          </w:tcPr>
          <w:p>
            <w:pPr>
              <w:spacing w:after="0"/>
              <w:rPr>
                <w:sz w:val="20"/>
                <w:szCs w:val="20"/>
                <w:color w:val="auto"/>
              </w:rPr>
            </w:pPr>
            <w:r>
              <w:rPr>
                <w:rFonts w:ascii="Times New Roman" w:cs="Times New Roman" w:eastAsia="Times New Roman" w:hAnsi="Times New Roman"/>
                <w:sz w:val="20"/>
                <w:szCs w:val="20"/>
                <w:color w:val="auto"/>
              </w:rPr>
              <w:t>Taxes</w:t>
            </w:r>
          </w:p>
        </w:tc>
        <w:tc>
          <w:tcPr>
            <w:tcW w:w="700" w:type="dxa"/>
            <w:vAlign w:val="bottom"/>
          </w:tcPr>
          <w:p>
            <w:pPr>
              <w:jc w:val="right"/>
              <w:ind w:right="401"/>
              <w:spacing w:after="0"/>
              <w:rPr>
                <w:sz w:val="20"/>
                <w:szCs w:val="20"/>
                <w:color w:val="auto"/>
              </w:rPr>
            </w:pPr>
            <w:r>
              <w:rPr>
                <w:rFonts w:ascii="Times New Roman" w:cs="Times New Roman" w:eastAsia="Times New Roman" w:hAnsi="Times New Roman"/>
                <w:sz w:val="20"/>
                <w:szCs w:val="20"/>
                <w:color w:val="auto"/>
                <w:w w:val="89"/>
              </w:rPr>
              <w:t>38</w:t>
            </w: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338"/>
        </w:trPr>
        <w:tc>
          <w:tcPr>
            <w:tcW w:w="400" w:type="dxa"/>
            <w:vAlign w:val="bottom"/>
          </w:tcPr>
          <w:p>
            <w:pPr>
              <w:spacing w:after="0"/>
              <w:rPr>
                <w:sz w:val="20"/>
                <w:szCs w:val="20"/>
                <w:color w:val="auto"/>
              </w:rPr>
            </w:pPr>
            <w:r>
              <w:rPr>
                <w:rFonts w:ascii="Times New Roman" w:cs="Times New Roman" w:eastAsia="Times New Roman" w:hAnsi="Times New Roman"/>
                <w:sz w:val="20"/>
                <w:szCs w:val="20"/>
                <w:color w:val="auto"/>
              </w:rPr>
              <w:t>5.4.</w:t>
            </w:r>
          </w:p>
        </w:tc>
        <w:tc>
          <w:tcPr>
            <w:tcW w:w="780" w:type="dxa"/>
            <w:vAlign w:val="bottom"/>
          </w:tcPr>
          <w:p>
            <w:pPr>
              <w:spacing w:after="0"/>
              <w:rPr>
                <w:sz w:val="20"/>
                <w:szCs w:val="20"/>
                <w:color w:val="auto"/>
              </w:rPr>
            </w:pPr>
            <w:r>
              <w:rPr>
                <w:rFonts w:ascii="Times New Roman" w:cs="Times New Roman" w:eastAsia="Times New Roman" w:hAnsi="Times New Roman"/>
                <w:sz w:val="20"/>
                <w:szCs w:val="20"/>
                <w:color w:val="auto"/>
                <w:w w:val="97"/>
              </w:rPr>
              <w:t>Insurance</w:t>
            </w:r>
          </w:p>
        </w:tc>
        <w:tc>
          <w:tcPr>
            <w:tcW w:w="7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39</w:t>
            </w: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351"/>
        </w:trPr>
        <w:tc>
          <w:tcPr>
            <w:tcW w:w="400" w:type="dxa"/>
            <w:vAlign w:val="bottom"/>
          </w:tcPr>
          <w:p>
            <w:pPr>
              <w:spacing w:after="0"/>
              <w:rPr>
                <w:sz w:val="20"/>
                <w:szCs w:val="20"/>
                <w:color w:val="auto"/>
              </w:rPr>
            </w:pPr>
            <w:r>
              <w:rPr>
                <w:rFonts w:ascii="Times New Roman" w:cs="Times New Roman" w:eastAsia="Times New Roman" w:hAnsi="Times New Roman"/>
                <w:sz w:val="20"/>
                <w:szCs w:val="20"/>
                <w:color w:val="auto"/>
              </w:rPr>
              <w:t>5.5.</w:t>
            </w:r>
          </w:p>
        </w:tc>
        <w:tc>
          <w:tcPr>
            <w:tcW w:w="19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Operating Accounts</w:t>
            </w:r>
          </w:p>
        </w:tc>
        <w:tc>
          <w:tcPr>
            <w:tcW w:w="44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39</w:t>
            </w: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338"/>
        </w:trPr>
        <w:tc>
          <w:tcPr>
            <w:tcW w:w="400" w:type="dxa"/>
            <w:vAlign w:val="bottom"/>
          </w:tcPr>
          <w:p>
            <w:pPr>
              <w:spacing w:after="0"/>
              <w:rPr>
                <w:sz w:val="20"/>
                <w:szCs w:val="20"/>
                <w:color w:val="auto"/>
              </w:rPr>
            </w:pPr>
            <w:r>
              <w:rPr>
                <w:rFonts w:ascii="Times New Roman" w:cs="Times New Roman" w:eastAsia="Times New Roman" w:hAnsi="Times New Roman"/>
                <w:sz w:val="20"/>
                <w:szCs w:val="20"/>
                <w:color w:val="auto"/>
              </w:rPr>
              <w:t>5.6.</w:t>
            </w:r>
          </w:p>
        </w:tc>
        <w:tc>
          <w:tcPr>
            <w:tcW w:w="19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Compliance with Laws</w:t>
            </w:r>
          </w:p>
        </w:tc>
        <w:tc>
          <w:tcPr>
            <w:tcW w:w="44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39</w:t>
            </w: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338"/>
        </w:trPr>
        <w:tc>
          <w:tcPr>
            <w:tcW w:w="400" w:type="dxa"/>
            <w:vAlign w:val="bottom"/>
          </w:tcPr>
          <w:p>
            <w:pPr>
              <w:spacing w:after="0"/>
              <w:rPr>
                <w:sz w:val="20"/>
                <w:szCs w:val="20"/>
                <w:color w:val="auto"/>
              </w:rPr>
            </w:pPr>
            <w:r>
              <w:rPr>
                <w:rFonts w:ascii="Times New Roman" w:cs="Times New Roman" w:eastAsia="Times New Roman" w:hAnsi="Times New Roman"/>
                <w:sz w:val="20"/>
                <w:szCs w:val="20"/>
                <w:color w:val="auto"/>
              </w:rPr>
              <w:t>5.7.</w:t>
            </w:r>
          </w:p>
        </w:tc>
        <w:tc>
          <w:tcPr>
            <w:tcW w:w="3460" w:type="dxa"/>
            <w:vAlign w:val="bottom"/>
            <w:gridSpan w:val="6"/>
          </w:tcPr>
          <w:p>
            <w:pPr>
              <w:spacing w:after="0"/>
              <w:rPr>
                <w:sz w:val="20"/>
                <w:szCs w:val="20"/>
                <w:color w:val="auto"/>
              </w:rPr>
            </w:pPr>
            <w:r>
              <w:rPr>
                <w:rFonts w:ascii="Times New Roman" w:cs="Times New Roman" w:eastAsia="Times New Roman" w:hAnsi="Times New Roman"/>
                <w:sz w:val="20"/>
                <w:szCs w:val="20"/>
                <w:color w:val="auto"/>
              </w:rPr>
              <w:t>Protection of Intellectual Property Rights</w:t>
            </w:r>
          </w:p>
        </w:tc>
        <w:tc>
          <w:tcPr>
            <w:tcW w:w="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w:t>
            </w:r>
          </w:p>
        </w:tc>
      </w:tr>
      <w:tr>
        <w:trPr>
          <w:trHeight w:val="351"/>
        </w:trPr>
        <w:tc>
          <w:tcPr>
            <w:tcW w:w="400" w:type="dxa"/>
            <w:vAlign w:val="bottom"/>
          </w:tcPr>
          <w:p>
            <w:pPr>
              <w:spacing w:after="0"/>
              <w:rPr>
                <w:sz w:val="20"/>
                <w:szCs w:val="20"/>
                <w:color w:val="auto"/>
              </w:rPr>
            </w:pPr>
            <w:r>
              <w:rPr>
                <w:rFonts w:ascii="Times New Roman" w:cs="Times New Roman" w:eastAsia="Times New Roman" w:hAnsi="Times New Roman"/>
                <w:sz w:val="20"/>
                <w:szCs w:val="20"/>
                <w:color w:val="auto"/>
              </w:rPr>
              <w:t>5.8.</w:t>
            </w:r>
          </w:p>
        </w:tc>
        <w:tc>
          <w:tcPr>
            <w:tcW w:w="19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Books and Records 40</w:t>
            </w: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338"/>
        </w:trPr>
        <w:tc>
          <w:tcPr>
            <w:tcW w:w="400" w:type="dxa"/>
            <w:vAlign w:val="bottom"/>
          </w:tcPr>
          <w:p>
            <w:pPr>
              <w:spacing w:after="0"/>
              <w:rPr>
                <w:sz w:val="20"/>
                <w:szCs w:val="20"/>
                <w:color w:val="auto"/>
              </w:rPr>
            </w:pPr>
            <w:r>
              <w:rPr>
                <w:rFonts w:ascii="Times New Roman" w:cs="Times New Roman" w:eastAsia="Times New Roman" w:hAnsi="Times New Roman"/>
                <w:sz w:val="20"/>
                <w:szCs w:val="20"/>
                <w:color w:val="auto"/>
              </w:rPr>
              <w:t>5.9.</w:t>
            </w:r>
          </w:p>
        </w:tc>
        <w:tc>
          <w:tcPr>
            <w:tcW w:w="3460" w:type="dxa"/>
            <w:vAlign w:val="bottom"/>
            <w:gridSpan w:val="6"/>
          </w:tcPr>
          <w:p>
            <w:pPr>
              <w:spacing w:after="0"/>
              <w:rPr>
                <w:sz w:val="20"/>
                <w:szCs w:val="20"/>
                <w:color w:val="auto"/>
              </w:rPr>
            </w:pPr>
            <w:r>
              <w:rPr>
                <w:rFonts w:ascii="Times New Roman" w:cs="Times New Roman" w:eastAsia="Times New Roman" w:hAnsi="Times New Roman"/>
                <w:sz w:val="20"/>
                <w:szCs w:val="20"/>
                <w:color w:val="auto"/>
              </w:rPr>
              <w:t>Access to Collateral; Audits; Lender Calls</w:t>
            </w:r>
          </w:p>
        </w:tc>
        <w:tc>
          <w:tcPr>
            <w:tcW w:w="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w:t>
            </w:r>
          </w:p>
        </w:tc>
      </w:tr>
      <w:tr>
        <w:trPr>
          <w:trHeight w:val="337"/>
        </w:trPr>
        <w:tc>
          <w:tcPr>
            <w:tcW w:w="188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5.10. Use of Proceeds</w:t>
            </w:r>
          </w:p>
        </w:tc>
        <w:tc>
          <w:tcPr>
            <w:tcW w:w="44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40</w:t>
            </w: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351"/>
        </w:trPr>
        <w:tc>
          <w:tcPr>
            <w:tcW w:w="400" w:type="dxa"/>
            <w:vAlign w:val="bottom"/>
          </w:tcPr>
          <w:p>
            <w:pPr>
              <w:spacing w:after="0"/>
              <w:rPr>
                <w:sz w:val="20"/>
                <w:szCs w:val="20"/>
                <w:color w:val="auto"/>
              </w:rPr>
            </w:pPr>
            <w:r>
              <w:rPr>
                <w:rFonts w:ascii="Times New Roman" w:cs="Times New Roman" w:eastAsia="Times New Roman" w:hAnsi="Times New Roman"/>
                <w:sz w:val="20"/>
                <w:szCs w:val="20"/>
                <w:color w:val="auto"/>
                <w:w w:val="94"/>
              </w:rPr>
              <w:t>5.11.</w:t>
            </w:r>
          </w:p>
        </w:tc>
        <w:tc>
          <w:tcPr>
            <w:tcW w:w="2360" w:type="dxa"/>
            <w:vAlign w:val="bottom"/>
            <w:gridSpan w:val="4"/>
          </w:tcPr>
          <w:p>
            <w:pPr>
              <w:jc w:val="right"/>
              <w:ind w:right="101"/>
              <w:spacing w:after="0"/>
              <w:rPr>
                <w:sz w:val="20"/>
                <w:szCs w:val="20"/>
                <w:color w:val="auto"/>
              </w:rPr>
            </w:pPr>
            <w:r>
              <w:rPr>
                <w:rFonts w:ascii="Times New Roman" w:cs="Times New Roman" w:eastAsia="Times New Roman" w:hAnsi="Times New Roman"/>
                <w:sz w:val="20"/>
                <w:szCs w:val="20"/>
                <w:color w:val="auto"/>
              </w:rPr>
              <w:t>Further Assurances 41</w:t>
            </w: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338"/>
        </w:trPr>
        <w:tc>
          <w:tcPr>
            <w:tcW w:w="400" w:type="dxa"/>
            <w:vAlign w:val="bottom"/>
          </w:tcPr>
          <w:p>
            <w:pPr>
              <w:spacing w:after="0"/>
              <w:rPr>
                <w:sz w:val="20"/>
                <w:szCs w:val="20"/>
                <w:color w:val="auto"/>
              </w:rPr>
            </w:pPr>
            <w:r>
              <w:rPr>
                <w:rFonts w:ascii="Times New Roman" w:cs="Times New Roman" w:eastAsia="Times New Roman" w:hAnsi="Times New Roman"/>
                <w:sz w:val="20"/>
                <w:szCs w:val="20"/>
                <w:color w:val="auto"/>
                <w:w w:val="94"/>
              </w:rPr>
              <w:t>5.12.</w:t>
            </w:r>
          </w:p>
        </w:tc>
        <w:tc>
          <w:tcPr>
            <w:tcW w:w="3460" w:type="dxa"/>
            <w:vAlign w:val="bottom"/>
            <w:gridSpan w:val="6"/>
          </w:tcPr>
          <w:p>
            <w:pPr>
              <w:ind w:left="380"/>
              <w:spacing w:after="0"/>
              <w:rPr>
                <w:sz w:val="20"/>
                <w:szCs w:val="20"/>
                <w:color w:val="auto"/>
              </w:rPr>
            </w:pPr>
            <w:r>
              <w:rPr>
                <w:rFonts w:ascii="Times New Roman" w:cs="Times New Roman" w:eastAsia="Times New Roman" w:hAnsi="Times New Roman"/>
                <w:sz w:val="20"/>
                <w:szCs w:val="20"/>
                <w:color w:val="auto"/>
              </w:rPr>
              <w:t>Additional Collateral; Guarantors 41</w:t>
            </w:r>
          </w:p>
        </w:tc>
        <w:tc>
          <w:tcPr>
            <w:tcW w:w="300" w:type="dxa"/>
            <w:vAlign w:val="bottom"/>
          </w:tcPr>
          <w:p>
            <w:pPr>
              <w:spacing w:after="0"/>
              <w:rPr>
                <w:sz w:val="24"/>
                <w:szCs w:val="24"/>
                <w:color w:val="auto"/>
              </w:rPr>
            </w:pPr>
          </w:p>
        </w:tc>
      </w:tr>
      <w:tr>
        <w:trPr>
          <w:trHeight w:val="338"/>
        </w:trPr>
        <w:tc>
          <w:tcPr>
            <w:tcW w:w="3860" w:type="dxa"/>
            <w:vAlign w:val="bottom"/>
            <w:gridSpan w:val="7"/>
          </w:tcPr>
          <w:p>
            <w:pPr>
              <w:spacing w:after="0"/>
              <w:rPr>
                <w:sz w:val="20"/>
                <w:szCs w:val="20"/>
                <w:color w:val="auto"/>
              </w:rPr>
            </w:pPr>
            <w:r>
              <w:rPr>
                <w:rFonts w:ascii="Times New Roman" w:cs="Times New Roman" w:eastAsia="Times New Roman" w:hAnsi="Times New Roman"/>
                <w:sz w:val="20"/>
                <w:szCs w:val="20"/>
                <w:color w:val="auto"/>
              </w:rPr>
              <w:t>5.13. Formation or Acquisition of Subsidiaries</w:t>
            </w:r>
          </w:p>
        </w:tc>
        <w:tc>
          <w:tcPr>
            <w:tcW w:w="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w:t>
            </w:r>
          </w:p>
        </w:tc>
      </w:tr>
      <w:tr>
        <w:trPr>
          <w:trHeight w:val="351"/>
        </w:trPr>
        <w:tc>
          <w:tcPr>
            <w:tcW w:w="400" w:type="dxa"/>
            <w:vAlign w:val="bottom"/>
          </w:tcPr>
          <w:p>
            <w:pPr>
              <w:spacing w:after="0"/>
              <w:rPr>
                <w:sz w:val="20"/>
                <w:szCs w:val="20"/>
                <w:color w:val="auto"/>
              </w:rPr>
            </w:pPr>
            <w:r>
              <w:rPr>
                <w:rFonts w:ascii="Times New Roman" w:cs="Times New Roman" w:eastAsia="Times New Roman" w:hAnsi="Times New Roman"/>
                <w:sz w:val="20"/>
                <w:szCs w:val="20"/>
                <w:color w:val="auto"/>
                <w:w w:val="94"/>
              </w:rPr>
              <w:t>5.14.</w:t>
            </w:r>
          </w:p>
        </w:tc>
        <w:tc>
          <w:tcPr>
            <w:tcW w:w="1480" w:type="dxa"/>
            <w:vAlign w:val="bottom"/>
            <w:gridSpan w:val="2"/>
          </w:tcPr>
          <w:p>
            <w:pPr>
              <w:ind w:left="380"/>
              <w:spacing w:after="0"/>
              <w:rPr>
                <w:sz w:val="20"/>
                <w:szCs w:val="20"/>
                <w:color w:val="auto"/>
              </w:rPr>
            </w:pPr>
            <w:r>
              <w:rPr>
                <w:rFonts w:ascii="Times New Roman" w:cs="Times New Roman" w:eastAsia="Times New Roman" w:hAnsi="Times New Roman"/>
                <w:sz w:val="20"/>
                <w:szCs w:val="20"/>
                <w:color w:val="auto"/>
              </w:rPr>
              <w:t>[Reserved]</w:t>
            </w:r>
          </w:p>
        </w:tc>
        <w:tc>
          <w:tcPr>
            <w:tcW w:w="44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43</w:t>
            </w: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338"/>
        </w:trPr>
        <w:tc>
          <w:tcPr>
            <w:tcW w:w="188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5.15. Environmental</w:t>
            </w:r>
          </w:p>
        </w:tc>
        <w:tc>
          <w:tcPr>
            <w:tcW w:w="44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43</w:t>
            </w: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338"/>
        </w:trPr>
        <w:tc>
          <w:tcPr>
            <w:tcW w:w="3100" w:type="dxa"/>
            <w:vAlign w:val="bottom"/>
            <w:gridSpan w:val="6"/>
          </w:tcPr>
          <w:p>
            <w:pPr>
              <w:spacing w:after="0"/>
              <w:rPr>
                <w:sz w:val="20"/>
                <w:szCs w:val="20"/>
                <w:color w:val="auto"/>
              </w:rPr>
            </w:pPr>
            <w:r>
              <w:rPr>
                <w:rFonts w:ascii="Times New Roman" w:cs="Times New Roman" w:eastAsia="Times New Roman" w:hAnsi="Times New Roman"/>
                <w:sz w:val="20"/>
                <w:szCs w:val="20"/>
                <w:color w:val="auto"/>
                <w:w w:val="99"/>
              </w:rPr>
              <w:t>5.16. Credit Party Minimum Coverage</w:t>
            </w:r>
          </w:p>
        </w:tc>
        <w:tc>
          <w:tcPr>
            <w:tcW w:w="760" w:type="dxa"/>
            <w:vAlign w:val="bottom"/>
          </w:tcPr>
          <w:p>
            <w:pPr>
              <w:jc w:val="right"/>
              <w:ind w:right="401"/>
              <w:spacing w:after="0"/>
              <w:rPr>
                <w:sz w:val="20"/>
                <w:szCs w:val="20"/>
                <w:color w:val="auto"/>
              </w:rPr>
            </w:pPr>
            <w:r>
              <w:rPr>
                <w:rFonts w:ascii="Times New Roman" w:cs="Times New Roman" w:eastAsia="Times New Roman" w:hAnsi="Times New Roman"/>
                <w:sz w:val="20"/>
                <w:szCs w:val="20"/>
                <w:color w:val="auto"/>
              </w:rPr>
              <w:t>44</w:t>
            </w:r>
          </w:p>
        </w:tc>
        <w:tc>
          <w:tcPr>
            <w:tcW w:w="300" w:type="dxa"/>
            <w:vAlign w:val="bottom"/>
          </w:tcPr>
          <w:p>
            <w:pPr>
              <w:spacing w:after="0"/>
              <w:rPr>
                <w:sz w:val="24"/>
                <w:szCs w:val="24"/>
                <w:color w:val="auto"/>
              </w:rPr>
            </w:pPr>
          </w:p>
        </w:tc>
      </w:tr>
      <w:tr>
        <w:trPr>
          <w:trHeight w:val="351"/>
        </w:trPr>
        <w:tc>
          <w:tcPr>
            <w:tcW w:w="2320" w:type="dxa"/>
            <w:vAlign w:val="bottom"/>
            <w:gridSpan w:val="4"/>
          </w:tcPr>
          <w:p>
            <w:pPr>
              <w:spacing w:after="0"/>
              <w:rPr>
                <w:sz w:val="20"/>
                <w:szCs w:val="20"/>
                <w:color w:val="auto"/>
              </w:rPr>
            </w:pPr>
            <w:r>
              <w:rPr>
                <w:rFonts w:ascii="Times New Roman" w:cs="Times New Roman" w:eastAsia="Times New Roman" w:hAnsi="Times New Roman"/>
                <w:sz w:val="20"/>
                <w:szCs w:val="20"/>
                <w:color w:val="auto"/>
                <w:w w:val="99"/>
              </w:rPr>
              <w:t>5.17. Post-Closing Covenant</w:t>
            </w:r>
          </w:p>
        </w:tc>
        <w:tc>
          <w:tcPr>
            <w:tcW w:w="44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44</w:t>
            </w: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r>
    </w:tbl>
    <w:p>
      <w:pPr>
        <w:spacing w:after="0" w:line="79" w:lineRule="exact"/>
        <w:rPr>
          <w:sz w:val="20"/>
          <w:szCs w:val="20"/>
          <w:color w:val="auto"/>
        </w:rPr>
      </w:pPr>
    </w:p>
    <w:p>
      <w:pPr>
        <w:ind w:left="760" w:right="8180" w:hanging="677"/>
        <w:spacing w:after="0" w:line="352" w:lineRule="auto"/>
        <w:tabs>
          <w:tab w:leader="none" w:pos="520"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NEGATIVE COVENANTS 45 6.1. Dispositions 45</w:t>
      </w:r>
    </w:p>
    <w:tbl>
      <w:tblPr>
        <w:tblLayout w:type="fixed"/>
        <w:tblInd w:w="0" w:type="dxa"/>
        <w:tblCellMar>
          <w:top w:w="0" w:type="dxa"/>
          <w:left w:w="0" w:type="dxa"/>
          <w:bottom w:w="0" w:type="dxa"/>
          <w:right w:w="0" w:type="dxa"/>
        </w:tblCellMar>
      </w:tblPr>
      <w:tr>
        <w:trPr>
          <w:trHeight w:val="258"/>
        </w:trPr>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6.2.</w:t>
            </w:r>
          </w:p>
        </w:tc>
        <w:tc>
          <w:tcPr>
            <w:tcW w:w="306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Fundamental Changes  45</w:t>
            </w:r>
          </w:p>
        </w:tc>
        <w:tc>
          <w:tcPr>
            <w:tcW w:w="7080" w:type="dxa"/>
            <w:vAlign w:val="bottom"/>
          </w:tcPr>
          <w:p>
            <w:pPr>
              <w:spacing w:after="0"/>
              <w:rPr>
                <w:sz w:val="22"/>
                <w:szCs w:val="22"/>
                <w:color w:val="auto"/>
              </w:rPr>
            </w:pPr>
          </w:p>
        </w:tc>
      </w:tr>
      <w:tr>
        <w:trPr>
          <w:trHeight w:val="351"/>
        </w:trPr>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6.3.</w:t>
            </w:r>
          </w:p>
        </w:tc>
        <w:tc>
          <w:tcPr>
            <w:tcW w:w="10140" w:type="dxa"/>
            <w:vAlign w:val="bottom"/>
            <w:gridSpan w:val="3"/>
          </w:tcPr>
          <w:p>
            <w:pPr>
              <w:ind w:left="60"/>
              <w:spacing w:after="0"/>
              <w:rPr>
                <w:sz w:val="20"/>
                <w:szCs w:val="20"/>
                <w:color w:val="auto"/>
              </w:rPr>
            </w:pPr>
            <w:r>
              <w:rPr>
                <w:rFonts w:ascii="Times New Roman" w:cs="Times New Roman" w:eastAsia="Times New Roman" w:hAnsi="Times New Roman"/>
                <w:sz w:val="20"/>
                <w:szCs w:val="20"/>
                <w:color w:val="auto"/>
              </w:rPr>
              <w:t>Mergers, Acquisitions, Liquidations or Dissolutions   45</w:t>
            </w:r>
          </w:p>
        </w:tc>
      </w:tr>
      <w:tr>
        <w:trPr>
          <w:trHeight w:val="338"/>
        </w:trPr>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6.4.</w:t>
            </w:r>
          </w:p>
        </w:tc>
        <w:tc>
          <w:tcPr>
            <w:tcW w:w="12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Indebtedness</w:t>
            </w:r>
          </w:p>
        </w:tc>
        <w:tc>
          <w:tcPr>
            <w:tcW w:w="1840" w:type="dxa"/>
            <w:vAlign w:val="bottom"/>
          </w:tcPr>
          <w:p>
            <w:pPr>
              <w:jc w:val="right"/>
              <w:ind w:right="1521"/>
              <w:spacing w:after="0"/>
              <w:rPr>
                <w:sz w:val="20"/>
                <w:szCs w:val="20"/>
                <w:color w:val="auto"/>
              </w:rPr>
            </w:pPr>
            <w:r>
              <w:rPr>
                <w:rFonts w:ascii="Times New Roman" w:cs="Times New Roman" w:eastAsia="Times New Roman" w:hAnsi="Times New Roman"/>
                <w:sz w:val="20"/>
                <w:szCs w:val="20"/>
                <w:color w:val="auto"/>
                <w:w w:val="99"/>
              </w:rPr>
              <w:t>46</w:t>
            </w:r>
          </w:p>
        </w:tc>
        <w:tc>
          <w:tcPr>
            <w:tcW w:w="7080" w:type="dxa"/>
            <w:vAlign w:val="bottom"/>
          </w:tcPr>
          <w:p>
            <w:pPr>
              <w:spacing w:after="0"/>
              <w:rPr>
                <w:sz w:val="24"/>
                <w:szCs w:val="24"/>
                <w:color w:val="auto"/>
              </w:rPr>
            </w:pPr>
          </w:p>
        </w:tc>
      </w:tr>
      <w:tr>
        <w:trPr>
          <w:trHeight w:val="337"/>
        </w:trPr>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6.5.</w:t>
            </w:r>
          </w:p>
        </w:tc>
        <w:tc>
          <w:tcPr>
            <w:tcW w:w="1220" w:type="dxa"/>
            <w:vAlign w:val="bottom"/>
          </w:tcPr>
          <w:p>
            <w:pPr>
              <w:ind w:left="60"/>
              <w:spacing w:after="0"/>
              <w:rPr>
                <w:sz w:val="20"/>
                <w:szCs w:val="20"/>
                <w:color w:val="auto"/>
              </w:rPr>
            </w:pPr>
            <w:r>
              <w:rPr>
                <w:rFonts w:ascii="Times New Roman" w:cs="Times New Roman" w:eastAsia="Times New Roman" w:hAnsi="Times New Roman"/>
                <w:sz w:val="20"/>
                <w:szCs w:val="20"/>
                <w:color w:val="auto"/>
                <w:w w:val="96"/>
              </w:rPr>
              <w:t>Encumbrances</w:t>
            </w:r>
          </w:p>
        </w:tc>
        <w:tc>
          <w:tcPr>
            <w:tcW w:w="1840" w:type="dxa"/>
            <w:vAlign w:val="bottom"/>
          </w:tcPr>
          <w:p>
            <w:pPr>
              <w:jc w:val="right"/>
              <w:ind w:right="1121"/>
              <w:spacing w:after="0"/>
              <w:rPr>
                <w:sz w:val="20"/>
                <w:szCs w:val="20"/>
                <w:color w:val="auto"/>
              </w:rPr>
            </w:pPr>
            <w:r>
              <w:rPr>
                <w:rFonts w:ascii="Times New Roman" w:cs="Times New Roman" w:eastAsia="Times New Roman" w:hAnsi="Times New Roman"/>
                <w:sz w:val="20"/>
                <w:szCs w:val="20"/>
                <w:color w:val="auto"/>
              </w:rPr>
              <w:t>46</w:t>
            </w:r>
          </w:p>
        </w:tc>
        <w:tc>
          <w:tcPr>
            <w:tcW w:w="7080" w:type="dxa"/>
            <w:vAlign w:val="bottom"/>
          </w:tcPr>
          <w:p>
            <w:pPr>
              <w:spacing w:after="0"/>
              <w:rPr>
                <w:sz w:val="24"/>
                <w:szCs w:val="24"/>
                <w:color w:val="auto"/>
              </w:rPr>
            </w:pPr>
          </w:p>
        </w:tc>
      </w:tr>
      <w:tr>
        <w:trPr>
          <w:trHeight w:val="351"/>
        </w:trPr>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6.6.</w:t>
            </w:r>
          </w:p>
        </w:tc>
        <w:tc>
          <w:tcPr>
            <w:tcW w:w="306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No Further Negative Pledges 46</w:t>
            </w:r>
          </w:p>
        </w:tc>
        <w:tc>
          <w:tcPr>
            <w:tcW w:w="7080" w:type="dxa"/>
            <w:vAlign w:val="bottom"/>
          </w:tcPr>
          <w:p>
            <w:pPr>
              <w:spacing w:after="0"/>
              <w:rPr>
                <w:sz w:val="24"/>
                <w:szCs w:val="24"/>
                <w:color w:val="auto"/>
              </w:rPr>
            </w:pPr>
          </w:p>
        </w:tc>
      </w:tr>
      <w:tr>
        <w:trPr>
          <w:trHeight w:val="338"/>
        </w:trPr>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6.7.</w:t>
            </w:r>
          </w:p>
        </w:tc>
        <w:tc>
          <w:tcPr>
            <w:tcW w:w="306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Maintenance of Collateral Accounts</w:t>
            </w:r>
          </w:p>
        </w:tc>
        <w:tc>
          <w:tcPr>
            <w:tcW w:w="7080" w:type="dxa"/>
            <w:vAlign w:val="bottom"/>
          </w:tcPr>
          <w:p>
            <w:pPr>
              <w:jc w:val="right"/>
              <w:ind w:right="6621"/>
              <w:spacing w:after="0"/>
              <w:rPr>
                <w:sz w:val="20"/>
                <w:szCs w:val="20"/>
                <w:color w:val="auto"/>
              </w:rPr>
            </w:pPr>
            <w:r>
              <w:rPr>
                <w:rFonts w:ascii="Times New Roman" w:cs="Times New Roman" w:eastAsia="Times New Roman" w:hAnsi="Times New Roman"/>
                <w:sz w:val="20"/>
                <w:szCs w:val="20"/>
                <w:color w:val="auto"/>
              </w:rPr>
              <w:t>47</w:t>
            </w:r>
          </w:p>
        </w:tc>
      </w:tr>
      <w:tr>
        <w:trPr>
          <w:trHeight w:val="973"/>
        </w:trPr>
        <w:tc>
          <w:tcPr>
            <w:tcW w:w="110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1840" w:type="dxa"/>
            <w:vAlign w:val="bottom"/>
            <w:tcBorders>
              <w:bottom w:val="single" w:sz="8" w:color="9A9A9A"/>
            </w:tcBorders>
          </w:tcPr>
          <w:p>
            <w:pPr>
              <w:spacing w:after="0"/>
              <w:rPr>
                <w:sz w:val="24"/>
                <w:szCs w:val="24"/>
                <w:color w:val="auto"/>
              </w:rPr>
            </w:pPr>
          </w:p>
        </w:tc>
        <w:tc>
          <w:tcPr>
            <w:tcW w:w="70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26" w:right="339" w:bottom="1440" w:gutter="0" w:footer="0" w:header="0"/>
        </w:sectPr>
      </w:pPr>
    </w:p>
    <w:bookmarkStart w:id="117" w:name="page118"/>
    <w:bookmarkEnd w:id="117"/>
    <w:p>
      <w:pPr>
        <w:spacing w:after="0" w:line="162" w:lineRule="exact"/>
        <w:rPr>
          <w:sz w:val="20"/>
          <w:szCs w:val="20"/>
          <w:color w:val="auto"/>
        </w:rPr>
      </w:pPr>
    </w:p>
    <w:p>
      <w:pPr>
        <w:jc w:val="right"/>
        <w:ind w:right="4439"/>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9"/>
          <w:szCs w:val="19"/>
          <w:color w:val="auto"/>
        </w:rPr>
        <w:t>ii</w:t>
      </w:r>
      <w:r>
        <w:rPr>
          <w:rFonts w:ascii="Times New Roman" w:cs="Times New Roman" w:eastAsia="Times New Roman" w:hAnsi="Times New Roman"/>
          <w:sz w:val="16"/>
          <w:szCs w:val="16"/>
          <w:color w:val="auto"/>
        </w:rPr>
        <w: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4905-3710-6484 v.17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600710</wp:posOffset>
            </wp:positionV>
            <wp:extent cx="7157720" cy="425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118" w:name="page119"/>
    <w:bookmarkEnd w:id="118"/>
    <w:tbl>
      <w:tblPr>
        <w:tblLayout w:type="fixed"/>
        <w:tblInd w:w="760" w:type="dxa"/>
        <w:tblCellMar>
          <w:top w:w="0" w:type="dxa"/>
          <w:left w:w="0" w:type="dxa"/>
          <w:bottom w:w="0" w:type="dxa"/>
          <w:right w:w="0" w:type="dxa"/>
        </w:tblCellMar>
      </w:tblPr>
      <w:tr>
        <w:trPr>
          <w:trHeight w:val="258"/>
        </w:trPr>
        <w:tc>
          <w:tcPr>
            <w:tcW w:w="340" w:type="dxa"/>
            <w:vAlign w:val="bottom"/>
          </w:tcPr>
          <w:p>
            <w:pPr>
              <w:spacing w:after="0"/>
              <w:rPr>
                <w:sz w:val="20"/>
                <w:szCs w:val="20"/>
                <w:color w:val="auto"/>
              </w:rPr>
            </w:pPr>
            <w:r>
              <w:rPr>
                <w:rFonts w:ascii="Times New Roman" w:cs="Times New Roman" w:eastAsia="Times New Roman" w:hAnsi="Times New Roman"/>
                <w:sz w:val="20"/>
                <w:szCs w:val="20"/>
                <w:color w:val="auto"/>
              </w:rPr>
              <w:t>6.8.</w:t>
            </w:r>
          </w:p>
        </w:tc>
        <w:tc>
          <w:tcPr>
            <w:tcW w:w="232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Distributions; Investments</w:t>
            </w:r>
          </w:p>
        </w:tc>
        <w:tc>
          <w:tcPr>
            <w:tcW w:w="1500" w:type="dxa"/>
            <w:vAlign w:val="bottom"/>
          </w:tcPr>
          <w:p>
            <w:pPr>
              <w:jc w:val="right"/>
              <w:ind w:right="1101"/>
              <w:spacing w:after="0"/>
              <w:rPr>
                <w:sz w:val="20"/>
                <w:szCs w:val="20"/>
                <w:color w:val="auto"/>
              </w:rPr>
            </w:pPr>
            <w:r>
              <w:rPr>
                <w:rFonts w:ascii="Times New Roman" w:cs="Times New Roman" w:eastAsia="Times New Roman" w:hAnsi="Times New Roman"/>
                <w:sz w:val="20"/>
                <w:szCs w:val="20"/>
                <w:color w:val="auto"/>
              </w:rPr>
              <w:t>47</w:t>
            </w:r>
          </w:p>
        </w:tc>
      </w:tr>
      <w:tr>
        <w:trPr>
          <w:trHeight w:val="351"/>
        </w:trPr>
        <w:tc>
          <w:tcPr>
            <w:tcW w:w="340" w:type="dxa"/>
            <w:vAlign w:val="bottom"/>
          </w:tcPr>
          <w:p>
            <w:pPr>
              <w:spacing w:after="0"/>
              <w:rPr>
                <w:sz w:val="20"/>
                <w:szCs w:val="20"/>
                <w:color w:val="auto"/>
              </w:rPr>
            </w:pPr>
            <w:r>
              <w:rPr>
                <w:rFonts w:ascii="Times New Roman" w:cs="Times New Roman" w:eastAsia="Times New Roman" w:hAnsi="Times New Roman"/>
                <w:sz w:val="20"/>
                <w:szCs w:val="20"/>
                <w:color w:val="auto"/>
              </w:rPr>
              <w:t>6.9.</w:t>
            </w:r>
          </w:p>
        </w:tc>
        <w:tc>
          <w:tcPr>
            <w:tcW w:w="3820" w:type="dxa"/>
            <w:vAlign w:val="bottom"/>
            <w:gridSpan w:val="3"/>
          </w:tcPr>
          <w:p>
            <w:pPr>
              <w:ind w:left="60"/>
              <w:spacing w:after="0"/>
              <w:rPr>
                <w:sz w:val="20"/>
                <w:szCs w:val="20"/>
                <w:color w:val="auto"/>
              </w:rPr>
            </w:pPr>
            <w:r>
              <w:rPr>
                <w:rFonts w:ascii="Times New Roman" w:cs="Times New Roman" w:eastAsia="Times New Roman" w:hAnsi="Times New Roman"/>
                <w:sz w:val="20"/>
                <w:szCs w:val="20"/>
                <w:color w:val="auto"/>
                <w:w w:val="99"/>
              </w:rPr>
              <w:t>No Restrictions on Subsidiary Distributions 47</w:t>
            </w:r>
          </w:p>
        </w:tc>
      </w:tr>
      <w:tr>
        <w:trPr>
          <w:trHeight w:val="338"/>
        </w:trPr>
        <w:tc>
          <w:tcPr>
            <w:tcW w:w="22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6.10. Junior Indebtedness</w:t>
            </w:r>
          </w:p>
        </w:tc>
        <w:tc>
          <w:tcPr>
            <w:tcW w:w="4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47</w:t>
            </w:r>
          </w:p>
        </w:tc>
        <w:tc>
          <w:tcPr>
            <w:tcW w:w="1500" w:type="dxa"/>
            <w:vAlign w:val="bottom"/>
          </w:tcPr>
          <w:p>
            <w:pPr>
              <w:spacing w:after="0"/>
              <w:rPr>
                <w:sz w:val="24"/>
                <w:szCs w:val="24"/>
                <w:color w:val="auto"/>
              </w:rPr>
            </w:pPr>
          </w:p>
        </w:tc>
      </w:tr>
    </w:tbl>
    <w:p>
      <w:pPr>
        <w:spacing w:after="0" w:line="7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6.11. Amendments or Waivers of Organizational Documents or Junior Indebtedness 47</w:t>
      </w:r>
    </w:p>
    <w:p>
      <w:pPr>
        <w:spacing w:after="0" w:line="108" w:lineRule="exact"/>
        <w:rPr>
          <w:sz w:val="20"/>
          <w:szCs w:val="20"/>
          <w:color w:val="auto"/>
        </w:rPr>
      </w:pPr>
    </w:p>
    <w:p>
      <w:pPr>
        <w:ind w:left="760"/>
        <w:spacing w:after="0"/>
        <w:tabs>
          <w:tab w:leader="none" w:pos="2320" w:val="left"/>
        </w:tabs>
        <w:rPr>
          <w:sz w:val="20"/>
          <w:szCs w:val="20"/>
          <w:color w:val="auto"/>
        </w:rPr>
      </w:pPr>
      <w:r>
        <w:rPr>
          <w:rFonts w:ascii="Times New Roman" w:cs="Times New Roman" w:eastAsia="Times New Roman" w:hAnsi="Times New Roman"/>
          <w:sz w:val="20"/>
          <w:szCs w:val="20"/>
          <w:color w:val="auto"/>
        </w:rPr>
        <w:t>6.12. Compliance</w:t>
        <w:tab/>
        <w:t>48</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380" w:type="dxa"/>
            <w:vAlign w:val="bottom"/>
          </w:tcPr>
          <w:p>
            <w:pPr>
              <w:spacing w:after="0"/>
              <w:rPr>
                <w:sz w:val="22"/>
                <w:szCs w:val="22"/>
                <w:color w:val="auto"/>
              </w:rPr>
            </w:pPr>
          </w:p>
        </w:tc>
        <w:tc>
          <w:tcPr>
            <w:tcW w:w="4180" w:type="dxa"/>
            <w:vAlign w:val="bottom"/>
            <w:gridSpan w:val="7"/>
          </w:tcPr>
          <w:p>
            <w:pPr>
              <w:ind w:left="380"/>
              <w:spacing w:after="0"/>
              <w:rPr>
                <w:sz w:val="20"/>
                <w:szCs w:val="20"/>
                <w:color w:val="auto"/>
              </w:rPr>
            </w:pPr>
            <w:r>
              <w:rPr>
                <w:rFonts w:ascii="Times New Roman" w:cs="Times New Roman" w:eastAsia="Times New Roman" w:hAnsi="Times New Roman"/>
                <w:sz w:val="20"/>
                <w:szCs w:val="20"/>
                <w:color w:val="auto"/>
              </w:rPr>
              <w:t>6.13. Compliance with Anti-Terrorism Laws</w:t>
            </w:r>
          </w:p>
        </w:tc>
        <w:tc>
          <w:tcPr>
            <w:tcW w:w="1300" w:type="dxa"/>
            <w:vAlign w:val="bottom"/>
          </w:tcPr>
          <w:p>
            <w:pPr>
              <w:jc w:val="right"/>
              <w:ind w:right="841"/>
              <w:spacing w:after="0"/>
              <w:rPr>
                <w:sz w:val="20"/>
                <w:szCs w:val="20"/>
                <w:color w:val="auto"/>
              </w:rPr>
            </w:pPr>
            <w:r>
              <w:rPr>
                <w:rFonts w:ascii="Times New Roman" w:cs="Times New Roman" w:eastAsia="Times New Roman" w:hAnsi="Times New Roman"/>
                <w:sz w:val="20"/>
                <w:szCs w:val="20"/>
                <w:color w:val="auto"/>
              </w:rPr>
              <w:t>48</w:t>
            </w:r>
          </w:p>
        </w:tc>
        <w:tc>
          <w:tcPr>
            <w:tcW w:w="5380" w:type="dxa"/>
            <w:vAlign w:val="bottom"/>
          </w:tcPr>
          <w:p>
            <w:pPr>
              <w:spacing w:after="0"/>
              <w:rPr>
                <w:sz w:val="22"/>
                <w:szCs w:val="22"/>
                <w:color w:val="auto"/>
              </w:rPr>
            </w:pPr>
          </w:p>
        </w:tc>
      </w:tr>
      <w:tr>
        <w:trPr>
          <w:trHeight w:val="351"/>
        </w:trPr>
        <w:tc>
          <w:tcPr>
            <w:tcW w:w="380" w:type="dxa"/>
            <w:vAlign w:val="bottom"/>
          </w:tcPr>
          <w:p>
            <w:pPr>
              <w:spacing w:after="0"/>
              <w:rPr>
                <w:sz w:val="24"/>
                <w:szCs w:val="24"/>
                <w:color w:val="auto"/>
              </w:rPr>
            </w:pPr>
          </w:p>
        </w:tc>
        <w:tc>
          <w:tcPr>
            <w:tcW w:w="5480" w:type="dxa"/>
            <w:vAlign w:val="bottom"/>
            <w:gridSpan w:val="8"/>
          </w:tcPr>
          <w:p>
            <w:pPr>
              <w:ind w:left="380"/>
              <w:spacing w:after="0"/>
              <w:rPr>
                <w:sz w:val="20"/>
                <w:szCs w:val="20"/>
                <w:color w:val="auto"/>
              </w:rPr>
            </w:pPr>
            <w:r>
              <w:rPr>
                <w:rFonts w:ascii="Times New Roman" w:cs="Times New Roman" w:eastAsia="Times New Roman" w:hAnsi="Times New Roman"/>
                <w:sz w:val="20"/>
                <w:szCs w:val="20"/>
                <w:color w:val="auto"/>
              </w:rPr>
              <w:t>6.14. Amendments or Waivers of Material Contracts  49</w:t>
            </w:r>
          </w:p>
        </w:tc>
        <w:tc>
          <w:tcPr>
            <w:tcW w:w="5380" w:type="dxa"/>
            <w:vAlign w:val="bottom"/>
          </w:tcPr>
          <w:p>
            <w:pPr>
              <w:spacing w:after="0"/>
              <w:rPr>
                <w:sz w:val="24"/>
                <w:szCs w:val="24"/>
                <w:color w:val="auto"/>
              </w:rPr>
            </w:pPr>
          </w:p>
        </w:tc>
      </w:tr>
      <w:tr>
        <w:trPr>
          <w:trHeight w:val="338"/>
        </w:trPr>
        <w:tc>
          <w:tcPr>
            <w:tcW w:w="380" w:type="dxa"/>
            <w:vAlign w:val="bottom"/>
          </w:tcPr>
          <w:p>
            <w:pPr>
              <w:spacing w:after="0"/>
              <w:rPr>
                <w:sz w:val="24"/>
                <w:szCs w:val="24"/>
                <w:color w:val="auto"/>
              </w:rPr>
            </w:pPr>
          </w:p>
        </w:tc>
        <w:tc>
          <w:tcPr>
            <w:tcW w:w="780" w:type="dxa"/>
            <w:vAlign w:val="bottom"/>
          </w:tcPr>
          <w:p>
            <w:pPr>
              <w:ind w:left="380"/>
              <w:spacing w:after="0"/>
              <w:rPr>
                <w:sz w:val="20"/>
                <w:szCs w:val="20"/>
                <w:color w:val="auto"/>
              </w:rPr>
            </w:pPr>
            <w:r>
              <w:rPr>
                <w:rFonts w:ascii="Times New Roman" w:cs="Times New Roman" w:eastAsia="Times New Roman" w:hAnsi="Times New Roman"/>
                <w:sz w:val="20"/>
                <w:szCs w:val="20"/>
                <w:color w:val="auto"/>
                <w:w w:val="94"/>
              </w:rPr>
              <w:t>6.15.</w:t>
            </w:r>
          </w:p>
        </w:tc>
        <w:tc>
          <w:tcPr>
            <w:tcW w:w="2680" w:type="dxa"/>
            <w:vAlign w:val="bottom"/>
            <w:gridSpan w:val="5"/>
          </w:tcPr>
          <w:p>
            <w:pPr>
              <w:ind w:left="380"/>
              <w:spacing w:after="0"/>
              <w:rPr>
                <w:sz w:val="20"/>
                <w:szCs w:val="20"/>
                <w:color w:val="auto"/>
              </w:rPr>
            </w:pPr>
            <w:r>
              <w:rPr>
                <w:rFonts w:ascii="Times New Roman" w:cs="Times New Roman" w:eastAsia="Times New Roman" w:hAnsi="Times New Roman"/>
                <w:sz w:val="20"/>
                <w:szCs w:val="20"/>
                <w:color w:val="auto"/>
              </w:rPr>
              <w:t>Transactions with Affiliates</w:t>
            </w:r>
          </w:p>
        </w:tc>
        <w:tc>
          <w:tcPr>
            <w:tcW w:w="720" w:type="dxa"/>
            <w:vAlign w:val="bottom"/>
          </w:tcPr>
          <w:p>
            <w:pPr>
              <w:jc w:val="right"/>
              <w:ind w:right="341"/>
              <w:spacing w:after="0"/>
              <w:rPr>
                <w:sz w:val="20"/>
                <w:szCs w:val="20"/>
                <w:color w:val="auto"/>
              </w:rPr>
            </w:pPr>
            <w:r>
              <w:rPr>
                <w:rFonts w:ascii="Times New Roman" w:cs="Times New Roman" w:eastAsia="Times New Roman" w:hAnsi="Times New Roman"/>
                <w:sz w:val="20"/>
                <w:szCs w:val="20"/>
                <w:color w:val="auto"/>
              </w:rPr>
              <w:t>49</w:t>
            </w:r>
          </w:p>
        </w:tc>
        <w:tc>
          <w:tcPr>
            <w:tcW w:w="1300" w:type="dxa"/>
            <w:vAlign w:val="bottom"/>
          </w:tcPr>
          <w:p>
            <w:pPr>
              <w:spacing w:after="0"/>
              <w:rPr>
                <w:sz w:val="24"/>
                <w:szCs w:val="24"/>
                <w:color w:val="auto"/>
              </w:rPr>
            </w:pPr>
          </w:p>
        </w:tc>
        <w:tc>
          <w:tcPr>
            <w:tcW w:w="5380" w:type="dxa"/>
            <w:vAlign w:val="bottom"/>
          </w:tcPr>
          <w:p>
            <w:pPr>
              <w:spacing w:after="0"/>
              <w:rPr>
                <w:sz w:val="24"/>
                <w:szCs w:val="24"/>
                <w:color w:val="auto"/>
              </w:rPr>
            </w:pPr>
          </w:p>
        </w:tc>
      </w:tr>
      <w:tr>
        <w:trPr>
          <w:trHeight w:val="338"/>
        </w:trPr>
        <w:tc>
          <w:tcPr>
            <w:tcW w:w="380" w:type="dxa"/>
            <w:vAlign w:val="bottom"/>
          </w:tcPr>
          <w:p>
            <w:pPr>
              <w:spacing w:after="0"/>
              <w:rPr>
                <w:sz w:val="24"/>
                <w:szCs w:val="24"/>
                <w:color w:val="auto"/>
              </w:rPr>
            </w:pPr>
          </w:p>
        </w:tc>
        <w:tc>
          <w:tcPr>
            <w:tcW w:w="2720" w:type="dxa"/>
            <w:vAlign w:val="bottom"/>
            <w:gridSpan w:val="4"/>
          </w:tcPr>
          <w:p>
            <w:pPr>
              <w:ind w:left="380"/>
              <w:spacing w:after="0"/>
              <w:rPr>
                <w:sz w:val="20"/>
                <w:szCs w:val="20"/>
                <w:color w:val="auto"/>
              </w:rPr>
            </w:pPr>
            <w:r>
              <w:rPr>
                <w:rFonts w:ascii="Times New Roman" w:cs="Times New Roman" w:eastAsia="Times New Roman" w:hAnsi="Times New Roman"/>
                <w:sz w:val="20"/>
                <w:szCs w:val="20"/>
                <w:color w:val="auto"/>
              </w:rPr>
              <w:t>6.16. Minimum Liquidity</w:t>
            </w:r>
          </w:p>
        </w:tc>
        <w:tc>
          <w:tcPr>
            <w:tcW w:w="38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w w:val="99"/>
              </w:rPr>
              <w:t>49</w:t>
            </w:r>
          </w:p>
        </w:tc>
        <w:tc>
          <w:tcPr>
            <w:tcW w:w="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5380" w:type="dxa"/>
            <w:vAlign w:val="bottom"/>
          </w:tcPr>
          <w:p>
            <w:pPr>
              <w:spacing w:after="0"/>
              <w:rPr>
                <w:sz w:val="24"/>
                <w:szCs w:val="24"/>
                <w:color w:val="auto"/>
              </w:rPr>
            </w:pPr>
          </w:p>
        </w:tc>
      </w:tr>
      <w:tr>
        <w:trPr>
          <w:trHeight w:val="351"/>
        </w:trPr>
        <w:tc>
          <w:tcPr>
            <w:tcW w:w="380" w:type="dxa"/>
            <w:vAlign w:val="bottom"/>
          </w:tcPr>
          <w:p>
            <w:pPr>
              <w:spacing w:after="0"/>
              <w:rPr>
                <w:sz w:val="24"/>
                <w:szCs w:val="24"/>
                <w:color w:val="auto"/>
              </w:rPr>
            </w:pPr>
          </w:p>
        </w:tc>
        <w:tc>
          <w:tcPr>
            <w:tcW w:w="780" w:type="dxa"/>
            <w:vAlign w:val="bottom"/>
          </w:tcPr>
          <w:p>
            <w:pPr>
              <w:ind w:left="380"/>
              <w:spacing w:after="0"/>
              <w:rPr>
                <w:sz w:val="20"/>
                <w:szCs w:val="20"/>
                <w:color w:val="auto"/>
              </w:rPr>
            </w:pPr>
            <w:r>
              <w:rPr>
                <w:rFonts w:ascii="Times New Roman" w:cs="Times New Roman" w:eastAsia="Times New Roman" w:hAnsi="Times New Roman"/>
                <w:sz w:val="20"/>
                <w:szCs w:val="20"/>
                <w:color w:val="auto"/>
                <w:w w:val="94"/>
              </w:rPr>
              <w:t>6.17.</w:t>
            </w:r>
          </w:p>
        </w:tc>
        <w:tc>
          <w:tcPr>
            <w:tcW w:w="2320" w:type="dxa"/>
            <w:vAlign w:val="bottom"/>
            <w:gridSpan w:val="4"/>
          </w:tcPr>
          <w:p>
            <w:pPr>
              <w:ind w:left="380"/>
              <w:spacing w:after="0"/>
              <w:rPr>
                <w:sz w:val="20"/>
                <w:szCs w:val="20"/>
                <w:color w:val="auto"/>
              </w:rPr>
            </w:pPr>
            <w:r>
              <w:rPr>
                <w:rFonts w:ascii="Times New Roman" w:cs="Times New Roman" w:eastAsia="Times New Roman" w:hAnsi="Times New Roman"/>
                <w:sz w:val="20"/>
                <w:szCs w:val="20"/>
                <w:color w:val="auto"/>
              </w:rPr>
              <w:t>Malta Credit Parties</w:t>
            </w:r>
          </w:p>
        </w:tc>
        <w:tc>
          <w:tcPr>
            <w:tcW w:w="36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49</w:t>
            </w:r>
          </w:p>
        </w:tc>
        <w:tc>
          <w:tcPr>
            <w:tcW w:w="7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5380" w:type="dxa"/>
            <w:vAlign w:val="bottom"/>
          </w:tcPr>
          <w:p>
            <w:pPr>
              <w:spacing w:after="0"/>
              <w:rPr>
                <w:sz w:val="24"/>
                <w:szCs w:val="24"/>
                <w:color w:val="auto"/>
              </w:rPr>
            </w:pPr>
          </w:p>
        </w:tc>
      </w:tr>
      <w:tr>
        <w:trPr>
          <w:trHeight w:val="338"/>
        </w:trPr>
        <w:tc>
          <w:tcPr>
            <w:tcW w:w="380" w:type="dxa"/>
            <w:vAlign w:val="bottom"/>
          </w:tcPr>
          <w:p>
            <w:pPr>
              <w:spacing w:after="0"/>
              <w:rPr>
                <w:sz w:val="24"/>
                <w:szCs w:val="24"/>
                <w:color w:val="auto"/>
              </w:rPr>
            </w:pPr>
          </w:p>
        </w:tc>
        <w:tc>
          <w:tcPr>
            <w:tcW w:w="4180" w:type="dxa"/>
            <w:vAlign w:val="bottom"/>
            <w:gridSpan w:val="7"/>
          </w:tcPr>
          <w:p>
            <w:pPr>
              <w:ind w:left="380"/>
              <w:spacing w:after="0"/>
              <w:rPr>
                <w:sz w:val="20"/>
                <w:szCs w:val="20"/>
                <w:color w:val="auto"/>
              </w:rPr>
            </w:pPr>
            <w:r>
              <w:rPr>
                <w:rFonts w:ascii="Times New Roman" w:cs="Times New Roman" w:eastAsia="Times New Roman" w:hAnsi="Times New Roman"/>
                <w:sz w:val="20"/>
                <w:szCs w:val="20"/>
                <w:color w:val="auto"/>
              </w:rPr>
              <w:t>6.18. No Liability Management Transactions</w:t>
            </w:r>
          </w:p>
        </w:tc>
        <w:tc>
          <w:tcPr>
            <w:tcW w:w="1300" w:type="dxa"/>
            <w:vAlign w:val="bottom"/>
          </w:tcPr>
          <w:p>
            <w:pPr>
              <w:jc w:val="right"/>
              <w:ind w:right="841"/>
              <w:spacing w:after="0"/>
              <w:rPr>
                <w:sz w:val="20"/>
                <w:szCs w:val="20"/>
                <w:color w:val="auto"/>
              </w:rPr>
            </w:pPr>
            <w:r>
              <w:rPr>
                <w:rFonts w:ascii="Times New Roman" w:cs="Times New Roman" w:eastAsia="Times New Roman" w:hAnsi="Times New Roman"/>
                <w:sz w:val="20"/>
                <w:szCs w:val="20"/>
                <w:color w:val="auto"/>
              </w:rPr>
              <w:t>49</w:t>
            </w:r>
          </w:p>
        </w:tc>
        <w:tc>
          <w:tcPr>
            <w:tcW w:w="5380" w:type="dxa"/>
            <w:vAlign w:val="bottom"/>
          </w:tcPr>
          <w:p>
            <w:pPr>
              <w:spacing w:after="0"/>
              <w:rPr>
                <w:sz w:val="24"/>
                <w:szCs w:val="24"/>
                <w:color w:val="auto"/>
              </w:rPr>
            </w:pPr>
          </w:p>
        </w:tc>
      </w:tr>
      <w:tr>
        <w:trPr>
          <w:trHeight w:val="338"/>
        </w:trPr>
        <w:tc>
          <w:tcPr>
            <w:tcW w:w="380" w:type="dxa"/>
            <w:vAlign w:val="bottom"/>
          </w:tcPr>
          <w:p>
            <w:pPr>
              <w:spacing w:after="0"/>
              <w:rPr>
                <w:sz w:val="24"/>
                <w:szCs w:val="24"/>
                <w:color w:val="auto"/>
              </w:rPr>
            </w:pPr>
          </w:p>
        </w:tc>
        <w:tc>
          <w:tcPr>
            <w:tcW w:w="3100" w:type="dxa"/>
            <w:vAlign w:val="bottom"/>
            <w:gridSpan w:val="5"/>
          </w:tcPr>
          <w:p>
            <w:pPr>
              <w:ind w:left="380"/>
              <w:spacing w:after="0"/>
              <w:rPr>
                <w:sz w:val="20"/>
                <w:szCs w:val="20"/>
                <w:color w:val="auto"/>
              </w:rPr>
            </w:pPr>
            <w:r>
              <w:rPr>
                <w:rFonts w:ascii="Times New Roman" w:cs="Times New Roman" w:eastAsia="Times New Roman" w:hAnsi="Times New Roman"/>
                <w:sz w:val="20"/>
                <w:szCs w:val="20"/>
                <w:color w:val="auto"/>
              </w:rPr>
              <w:t>6.19. Antecip License Agreement</w:t>
            </w:r>
          </w:p>
        </w:tc>
        <w:tc>
          <w:tcPr>
            <w:tcW w:w="36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49</w:t>
            </w:r>
          </w:p>
        </w:tc>
        <w:tc>
          <w:tcPr>
            <w:tcW w:w="7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5380" w:type="dxa"/>
            <w:vAlign w:val="bottom"/>
          </w:tcPr>
          <w:p>
            <w:pPr>
              <w:spacing w:after="0"/>
              <w:rPr>
                <w:sz w:val="24"/>
                <w:szCs w:val="24"/>
                <w:color w:val="auto"/>
              </w:rPr>
            </w:pPr>
          </w:p>
        </w:tc>
      </w:tr>
      <w:tr>
        <w:trPr>
          <w:trHeight w:val="338"/>
        </w:trPr>
        <w:tc>
          <w:tcPr>
            <w:tcW w:w="380" w:type="dxa"/>
            <w:vAlign w:val="bottom"/>
          </w:tcPr>
          <w:p>
            <w:pPr>
              <w:spacing w:after="0"/>
              <w:rPr>
                <w:sz w:val="24"/>
                <w:szCs w:val="24"/>
                <w:color w:val="auto"/>
              </w:rPr>
            </w:pPr>
          </w:p>
        </w:tc>
        <w:tc>
          <w:tcPr>
            <w:tcW w:w="1840" w:type="dxa"/>
            <w:vAlign w:val="bottom"/>
            <w:gridSpan w:val="2"/>
          </w:tcPr>
          <w:p>
            <w:pPr>
              <w:ind w:left="380"/>
              <w:spacing w:after="0"/>
              <w:rPr>
                <w:sz w:val="20"/>
                <w:szCs w:val="20"/>
                <w:color w:val="auto"/>
              </w:rPr>
            </w:pPr>
            <w:r>
              <w:rPr>
                <w:rFonts w:ascii="Times New Roman" w:cs="Times New Roman" w:eastAsia="Times New Roman" w:hAnsi="Times New Roman"/>
                <w:sz w:val="20"/>
                <w:szCs w:val="20"/>
                <w:color w:val="auto"/>
              </w:rPr>
              <w:t>6.20. Fiscal Year</w:t>
            </w:r>
          </w:p>
        </w:tc>
        <w:tc>
          <w:tcPr>
            <w:tcW w:w="52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49</w:t>
            </w: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5380" w:type="dxa"/>
            <w:vAlign w:val="bottom"/>
          </w:tcPr>
          <w:p>
            <w:pPr>
              <w:spacing w:after="0"/>
              <w:rPr>
                <w:sz w:val="24"/>
                <w:szCs w:val="24"/>
                <w:color w:val="auto"/>
              </w:rPr>
            </w:pPr>
          </w:p>
        </w:tc>
      </w:tr>
      <w:tr>
        <w:trPr>
          <w:trHeight w:val="351"/>
        </w:trPr>
        <w:tc>
          <w:tcPr>
            <w:tcW w:w="38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7.</w:t>
            </w:r>
          </w:p>
        </w:tc>
        <w:tc>
          <w:tcPr>
            <w:tcW w:w="2360" w:type="dxa"/>
            <w:vAlign w:val="bottom"/>
            <w:gridSpan w:val="3"/>
          </w:tcPr>
          <w:p>
            <w:pPr>
              <w:ind w:left="140"/>
              <w:spacing w:after="0"/>
              <w:rPr>
                <w:sz w:val="20"/>
                <w:szCs w:val="20"/>
                <w:color w:val="auto"/>
              </w:rPr>
            </w:pPr>
            <w:r>
              <w:rPr>
                <w:rFonts w:ascii="Times New Roman" w:cs="Times New Roman" w:eastAsia="Times New Roman" w:hAnsi="Times New Roman"/>
                <w:sz w:val="20"/>
                <w:szCs w:val="20"/>
                <w:color w:val="auto"/>
              </w:rPr>
              <w:t>EVENTS OF DEFAULT</w:t>
            </w:r>
          </w:p>
        </w:tc>
        <w:tc>
          <w:tcPr>
            <w:tcW w:w="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w:t>
            </w: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5380" w:type="dxa"/>
            <w:vAlign w:val="bottom"/>
          </w:tcPr>
          <w:p>
            <w:pPr>
              <w:spacing w:after="0"/>
              <w:rPr>
                <w:sz w:val="24"/>
                <w:szCs w:val="24"/>
                <w:color w:val="auto"/>
              </w:rPr>
            </w:pPr>
          </w:p>
        </w:tc>
      </w:tr>
      <w:tr>
        <w:trPr>
          <w:trHeight w:val="338"/>
        </w:trPr>
        <w:tc>
          <w:tcPr>
            <w:tcW w:w="380" w:type="dxa"/>
            <w:vAlign w:val="bottom"/>
          </w:tcPr>
          <w:p>
            <w:pPr>
              <w:spacing w:after="0"/>
              <w:rPr>
                <w:sz w:val="24"/>
                <w:szCs w:val="24"/>
                <w:color w:val="auto"/>
              </w:rPr>
            </w:pPr>
          </w:p>
        </w:tc>
        <w:tc>
          <w:tcPr>
            <w:tcW w:w="78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7.1.</w:t>
            </w:r>
          </w:p>
        </w:tc>
        <w:tc>
          <w:tcPr>
            <w:tcW w:w="15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Payment Default</w:t>
            </w:r>
          </w:p>
        </w:tc>
        <w:tc>
          <w:tcPr>
            <w:tcW w:w="360" w:type="dxa"/>
            <w:vAlign w:val="bottom"/>
          </w:tcPr>
          <w:p>
            <w:pPr>
              <w:jc w:val="center"/>
              <w:ind w:right="61"/>
              <w:spacing w:after="0"/>
              <w:rPr>
                <w:sz w:val="20"/>
                <w:szCs w:val="20"/>
                <w:color w:val="auto"/>
              </w:rPr>
            </w:pPr>
            <w:r>
              <w:rPr>
                <w:rFonts w:ascii="Times New Roman" w:cs="Times New Roman" w:eastAsia="Times New Roman" w:hAnsi="Times New Roman"/>
                <w:sz w:val="20"/>
                <w:szCs w:val="20"/>
                <w:color w:val="auto"/>
                <w:w w:val="99"/>
              </w:rPr>
              <w:t>49</w:t>
            </w: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5380" w:type="dxa"/>
            <w:vAlign w:val="bottom"/>
          </w:tcPr>
          <w:p>
            <w:pPr>
              <w:spacing w:after="0"/>
              <w:rPr>
                <w:sz w:val="24"/>
                <w:szCs w:val="24"/>
                <w:color w:val="auto"/>
              </w:rPr>
            </w:pPr>
          </w:p>
        </w:tc>
      </w:tr>
      <w:tr>
        <w:trPr>
          <w:trHeight w:val="338"/>
        </w:trPr>
        <w:tc>
          <w:tcPr>
            <w:tcW w:w="380" w:type="dxa"/>
            <w:vAlign w:val="bottom"/>
          </w:tcPr>
          <w:p>
            <w:pPr>
              <w:spacing w:after="0"/>
              <w:rPr>
                <w:sz w:val="24"/>
                <w:szCs w:val="24"/>
                <w:color w:val="auto"/>
              </w:rPr>
            </w:pPr>
          </w:p>
        </w:tc>
        <w:tc>
          <w:tcPr>
            <w:tcW w:w="78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7.2.</w:t>
            </w:r>
          </w:p>
        </w:tc>
        <w:tc>
          <w:tcPr>
            <w:tcW w:w="15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Covenant Default</w:t>
            </w:r>
          </w:p>
        </w:tc>
        <w:tc>
          <w:tcPr>
            <w:tcW w:w="360" w:type="dxa"/>
            <w:vAlign w:val="bottom"/>
          </w:tcPr>
          <w:p>
            <w:pPr>
              <w:jc w:val="center"/>
              <w:ind w:right="61"/>
              <w:spacing w:after="0"/>
              <w:rPr>
                <w:sz w:val="20"/>
                <w:szCs w:val="20"/>
                <w:color w:val="auto"/>
              </w:rPr>
            </w:pPr>
            <w:r>
              <w:rPr>
                <w:rFonts w:ascii="Times New Roman" w:cs="Times New Roman" w:eastAsia="Times New Roman" w:hAnsi="Times New Roman"/>
                <w:sz w:val="20"/>
                <w:szCs w:val="20"/>
                <w:color w:val="auto"/>
                <w:w w:val="99"/>
              </w:rPr>
              <w:t>50</w:t>
            </w: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5380" w:type="dxa"/>
            <w:vAlign w:val="bottom"/>
          </w:tcPr>
          <w:p>
            <w:pPr>
              <w:spacing w:after="0"/>
              <w:rPr>
                <w:sz w:val="24"/>
                <w:szCs w:val="24"/>
                <w:color w:val="auto"/>
              </w:rPr>
            </w:pPr>
          </w:p>
        </w:tc>
      </w:tr>
      <w:tr>
        <w:trPr>
          <w:trHeight w:val="338"/>
        </w:trPr>
        <w:tc>
          <w:tcPr>
            <w:tcW w:w="380" w:type="dxa"/>
            <w:vAlign w:val="bottom"/>
          </w:tcPr>
          <w:p>
            <w:pPr>
              <w:spacing w:after="0"/>
              <w:rPr>
                <w:sz w:val="24"/>
                <w:szCs w:val="24"/>
                <w:color w:val="auto"/>
              </w:rPr>
            </w:pPr>
          </w:p>
        </w:tc>
        <w:tc>
          <w:tcPr>
            <w:tcW w:w="78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7.3.</w:t>
            </w:r>
          </w:p>
        </w:tc>
        <w:tc>
          <w:tcPr>
            <w:tcW w:w="232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Material Adverse Change</w:t>
            </w:r>
          </w:p>
        </w:tc>
        <w:tc>
          <w:tcPr>
            <w:tcW w:w="36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50</w:t>
            </w:r>
          </w:p>
        </w:tc>
        <w:tc>
          <w:tcPr>
            <w:tcW w:w="7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5380" w:type="dxa"/>
            <w:vAlign w:val="bottom"/>
          </w:tcPr>
          <w:p>
            <w:pPr>
              <w:spacing w:after="0"/>
              <w:rPr>
                <w:sz w:val="24"/>
                <w:szCs w:val="24"/>
                <w:color w:val="auto"/>
              </w:rPr>
            </w:pPr>
          </w:p>
        </w:tc>
      </w:tr>
      <w:tr>
        <w:trPr>
          <w:trHeight w:val="351"/>
        </w:trPr>
        <w:tc>
          <w:tcPr>
            <w:tcW w:w="380" w:type="dxa"/>
            <w:vAlign w:val="bottom"/>
          </w:tcPr>
          <w:p>
            <w:pPr>
              <w:spacing w:after="0"/>
              <w:rPr>
                <w:sz w:val="24"/>
                <w:szCs w:val="24"/>
                <w:color w:val="auto"/>
              </w:rPr>
            </w:pPr>
          </w:p>
        </w:tc>
        <w:tc>
          <w:tcPr>
            <w:tcW w:w="78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7.4.</w:t>
            </w:r>
          </w:p>
        </w:tc>
        <w:tc>
          <w:tcPr>
            <w:tcW w:w="3400" w:type="dxa"/>
            <w:vAlign w:val="bottom"/>
            <w:gridSpan w:val="6"/>
          </w:tcPr>
          <w:p>
            <w:pPr>
              <w:spacing w:after="0"/>
              <w:rPr>
                <w:sz w:val="20"/>
                <w:szCs w:val="20"/>
                <w:color w:val="auto"/>
              </w:rPr>
            </w:pPr>
            <w:r>
              <w:rPr>
                <w:rFonts w:ascii="Times New Roman" w:cs="Times New Roman" w:eastAsia="Times New Roman" w:hAnsi="Times New Roman"/>
                <w:sz w:val="20"/>
                <w:szCs w:val="20"/>
                <w:color w:val="auto"/>
              </w:rPr>
              <w:t>Attachment; Levy; Restraint on Business</w:t>
            </w:r>
          </w:p>
        </w:tc>
        <w:tc>
          <w:tcPr>
            <w:tcW w:w="1300" w:type="dxa"/>
            <w:vAlign w:val="bottom"/>
          </w:tcPr>
          <w:p>
            <w:pPr>
              <w:jc w:val="right"/>
              <w:ind w:right="841"/>
              <w:spacing w:after="0"/>
              <w:rPr>
                <w:sz w:val="20"/>
                <w:szCs w:val="20"/>
                <w:color w:val="auto"/>
              </w:rPr>
            </w:pPr>
            <w:r>
              <w:rPr>
                <w:rFonts w:ascii="Times New Roman" w:cs="Times New Roman" w:eastAsia="Times New Roman" w:hAnsi="Times New Roman"/>
                <w:sz w:val="20"/>
                <w:szCs w:val="20"/>
                <w:color w:val="auto"/>
              </w:rPr>
              <w:t>50</w:t>
            </w:r>
          </w:p>
        </w:tc>
        <w:tc>
          <w:tcPr>
            <w:tcW w:w="5380" w:type="dxa"/>
            <w:vAlign w:val="bottom"/>
          </w:tcPr>
          <w:p>
            <w:pPr>
              <w:spacing w:after="0"/>
              <w:rPr>
                <w:sz w:val="24"/>
                <w:szCs w:val="24"/>
                <w:color w:val="auto"/>
              </w:rPr>
            </w:pPr>
          </w:p>
        </w:tc>
      </w:tr>
      <w:tr>
        <w:trPr>
          <w:trHeight w:val="338"/>
        </w:trPr>
        <w:tc>
          <w:tcPr>
            <w:tcW w:w="380" w:type="dxa"/>
            <w:vAlign w:val="bottom"/>
          </w:tcPr>
          <w:p>
            <w:pPr>
              <w:spacing w:after="0"/>
              <w:rPr>
                <w:sz w:val="24"/>
                <w:szCs w:val="24"/>
                <w:color w:val="auto"/>
              </w:rPr>
            </w:pPr>
          </w:p>
        </w:tc>
        <w:tc>
          <w:tcPr>
            <w:tcW w:w="78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7.5.</w:t>
            </w:r>
          </w:p>
        </w:tc>
        <w:tc>
          <w:tcPr>
            <w:tcW w:w="1060" w:type="dxa"/>
            <w:vAlign w:val="bottom"/>
          </w:tcPr>
          <w:p>
            <w:pPr>
              <w:spacing w:after="0"/>
              <w:rPr>
                <w:sz w:val="20"/>
                <w:szCs w:val="20"/>
                <w:color w:val="auto"/>
              </w:rPr>
            </w:pPr>
            <w:r>
              <w:rPr>
                <w:rFonts w:ascii="Times New Roman" w:cs="Times New Roman" w:eastAsia="Times New Roman" w:hAnsi="Times New Roman"/>
                <w:sz w:val="20"/>
                <w:szCs w:val="20"/>
                <w:color w:val="auto"/>
              </w:rPr>
              <w:t>Insolvency</w:t>
            </w:r>
          </w:p>
        </w:tc>
        <w:tc>
          <w:tcPr>
            <w:tcW w:w="52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50</w:t>
            </w: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5380" w:type="dxa"/>
            <w:vAlign w:val="bottom"/>
          </w:tcPr>
          <w:p>
            <w:pPr>
              <w:spacing w:after="0"/>
              <w:rPr>
                <w:sz w:val="24"/>
                <w:szCs w:val="24"/>
                <w:color w:val="auto"/>
              </w:rPr>
            </w:pPr>
          </w:p>
        </w:tc>
      </w:tr>
      <w:tr>
        <w:trPr>
          <w:trHeight w:val="338"/>
        </w:trPr>
        <w:tc>
          <w:tcPr>
            <w:tcW w:w="380" w:type="dxa"/>
            <w:vAlign w:val="bottom"/>
          </w:tcPr>
          <w:p>
            <w:pPr>
              <w:spacing w:after="0"/>
              <w:rPr>
                <w:sz w:val="24"/>
                <w:szCs w:val="24"/>
                <w:color w:val="auto"/>
              </w:rPr>
            </w:pPr>
          </w:p>
        </w:tc>
        <w:tc>
          <w:tcPr>
            <w:tcW w:w="78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7.6.</w:t>
            </w:r>
          </w:p>
        </w:tc>
        <w:tc>
          <w:tcPr>
            <w:tcW w:w="15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Other Agreements</w:t>
            </w:r>
          </w:p>
        </w:tc>
        <w:tc>
          <w:tcPr>
            <w:tcW w:w="360" w:type="dxa"/>
            <w:vAlign w:val="bottom"/>
          </w:tcPr>
          <w:p>
            <w:pPr>
              <w:jc w:val="center"/>
              <w:ind w:right="61"/>
              <w:spacing w:after="0"/>
              <w:rPr>
                <w:sz w:val="20"/>
                <w:szCs w:val="20"/>
                <w:color w:val="auto"/>
              </w:rPr>
            </w:pPr>
            <w:r>
              <w:rPr>
                <w:rFonts w:ascii="Times New Roman" w:cs="Times New Roman" w:eastAsia="Times New Roman" w:hAnsi="Times New Roman"/>
                <w:sz w:val="20"/>
                <w:szCs w:val="20"/>
                <w:color w:val="auto"/>
                <w:w w:val="99"/>
              </w:rPr>
              <w:t>51</w:t>
            </w: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5380" w:type="dxa"/>
            <w:vAlign w:val="bottom"/>
          </w:tcPr>
          <w:p>
            <w:pPr>
              <w:spacing w:after="0"/>
              <w:rPr>
                <w:sz w:val="24"/>
                <w:szCs w:val="24"/>
                <w:color w:val="auto"/>
              </w:rPr>
            </w:pPr>
          </w:p>
        </w:tc>
      </w:tr>
      <w:tr>
        <w:trPr>
          <w:trHeight w:val="338"/>
        </w:trPr>
        <w:tc>
          <w:tcPr>
            <w:tcW w:w="380" w:type="dxa"/>
            <w:vAlign w:val="bottom"/>
          </w:tcPr>
          <w:p>
            <w:pPr>
              <w:spacing w:after="0"/>
              <w:rPr>
                <w:sz w:val="24"/>
                <w:szCs w:val="24"/>
                <w:color w:val="auto"/>
              </w:rPr>
            </w:pPr>
          </w:p>
        </w:tc>
        <w:tc>
          <w:tcPr>
            <w:tcW w:w="78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7.7.</w:t>
            </w:r>
          </w:p>
        </w:tc>
        <w:tc>
          <w:tcPr>
            <w:tcW w:w="1060" w:type="dxa"/>
            <w:vAlign w:val="bottom"/>
          </w:tcPr>
          <w:p>
            <w:pPr>
              <w:spacing w:after="0"/>
              <w:rPr>
                <w:sz w:val="20"/>
                <w:szCs w:val="20"/>
                <w:color w:val="auto"/>
              </w:rPr>
            </w:pPr>
            <w:r>
              <w:rPr>
                <w:rFonts w:ascii="Times New Roman" w:cs="Times New Roman" w:eastAsia="Times New Roman" w:hAnsi="Times New Roman"/>
                <w:sz w:val="20"/>
                <w:szCs w:val="20"/>
                <w:color w:val="auto"/>
              </w:rPr>
              <w:t>Judgments</w:t>
            </w:r>
          </w:p>
        </w:tc>
        <w:tc>
          <w:tcPr>
            <w:tcW w:w="52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51</w:t>
            </w: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5380" w:type="dxa"/>
            <w:vAlign w:val="bottom"/>
          </w:tcPr>
          <w:p>
            <w:pPr>
              <w:spacing w:after="0"/>
              <w:rPr>
                <w:sz w:val="24"/>
                <w:szCs w:val="24"/>
                <w:color w:val="auto"/>
              </w:rPr>
            </w:pPr>
          </w:p>
        </w:tc>
      </w:tr>
      <w:tr>
        <w:trPr>
          <w:trHeight w:val="351"/>
        </w:trPr>
        <w:tc>
          <w:tcPr>
            <w:tcW w:w="380" w:type="dxa"/>
            <w:vAlign w:val="bottom"/>
          </w:tcPr>
          <w:p>
            <w:pPr>
              <w:spacing w:after="0"/>
              <w:rPr>
                <w:sz w:val="24"/>
                <w:szCs w:val="24"/>
                <w:color w:val="auto"/>
              </w:rPr>
            </w:pPr>
          </w:p>
        </w:tc>
        <w:tc>
          <w:tcPr>
            <w:tcW w:w="78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7.8.</w:t>
            </w:r>
          </w:p>
        </w:tc>
        <w:tc>
          <w:tcPr>
            <w:tcW w:w="194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Misrepresentations 52</w:t>
            </w: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5380" w:type="dxa"/>
            <w:vAlign w:val="bottom"/>
          </w:tcPr>
          <w:p>
            <w:pPr>
              <w:spacing w:after="0"/>
              <w:rPr>
                <w:sz w:val="24"/>
                <w:szCs w:val="24"/>
                <w:color w:val="auto"/>
              </w:rPr>
            </w:pPr>
          </w:p>
        </w:tc>
      </w:tr>
      <w:tr>
        <w:trPr>
          <w:trHeight w:val="338"/>
        </w:trPr>
        <w:tc>
          <w:tcPr>
            <w:tcW w:w="380" w:type="dxa"/>
            <w:vAlign w:val="bottom"/>
          </w:tcPr>
          <w:p>
            <w:pPr>
              <w:spacing w:after="0"/>
              <w:rPr>
                <w:sz w:val="24"/>
                <w:szCs w:val="24"/>
                <w:color w:val="auto"/>
              </w:rPr>
            </w:pPr>
          </w:p>
        </w:tc>
        <w:tc>
          <w:tcPr>
            <w:tcW w:w="78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7.9.</w:t>
            </w:r>
          </w:p>
        </w:tc>
        <w:tc>
          <w:tcPr>
            <w:tcW w:w="232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Loan Documents; Collateral</w:t>
            </w:r>
          </w:p>
        </w:tc>
        <w:tc>
          <w:tcPr>
            <w:tcW w:w="36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52</w:t>
            </w:r>
          </w:p>
        </w:tc>
        <w:tc>
          <w:tcPr>
            <w:tcW w:w="7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5380" w:type="dxa"/>
            <w:vAlign w:val="bottom"/>
          </w:tcPr>
          <w:p>
            <w:pPr>
              <w:spacing w:after="0"/>
              <w:rPr>
                <w:sz w:val="24"/>
                <w:szCs w:val="24"/>
                <w:color w:val="auto"/>
              </w:rPr>
            </w:pPr>
          </w:p>
        </w:tc>
      </w:tr>
      <w:tr>
        <w:trPr>
          <w:trHeight w:val="338"/>
        </w:trPr>
        <w:tc>
          <w:tcPr>
            <w:tcW w:w="380" w:type="dxa"/>
            <w:vAlign w:val="bottom"/>
          </w:tcPr>
          <w:p>
            <w:pPr>
              <w:spacing w:after="0"/>
              <w:rPr>
                <w:sz w:val="24"/>
                <w:szCs w:val="24"/>
                <w:color w:val="auto"/>
              </w:rPr>
            </w:pPr>
          </w:p>
        </w:tc>
        <w:tc>
          <w:tcPr>
            <w:tcW w:w="2720" w:type="dxa"/>
            <w:vAlign w:val="bottom"/>
            <w:gridSpan w:val="4"/>
          </w:tcPr>
          <w:p>
            <w:pPr>
              <w:ind w:left="380"/>
              <w:spacing w:after="0"/>
              <w:rPr>
                <w:sz w:val="20"/>
                <w:szCs w:val="20"/>
                <w:color w:val="auto"/>
              </w:rPr>
            </w:pPr>
            <w:r>
              <w:rPr>
                <w:rFonts w:ascii="Times New Roman" w:cs="Times New Roman" w:eastAsia="Times New Roman" w:hAnsi="Times New Roman"/>
                <w:sz w:val="20"/>
                <w:szCs w:val="20"/>
                <w:color w:val="auto"/>
              </w:rPr>
              <w:t>7.10. Subordinated Debt 52</w:t>
            </w: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5380" w:type="dxa"/>
            <w:vAlign w:val="bottom"/>
          </w:tcPr>
          <w:p>
            <w:pPr>
              <w:spacing w:after="0"/>
              <w:rPr>
                <w:sz w:val="24"/>
                <w:szCs w:val="24"/>
                <w:color w:val="auto"/>
              </w:rPr>
            </w:pPr>
          </w:p>
        </w:tc>
      </w:tr>
      <w:tr>
        <w:trPr>
          <w:trHeight w:val="351"/>
        </w:trPr>
        <w:tc>
          <w:tcPr>
            <w:tcW w:w="380" w:type="dxa"/>
            <w:vAlign w:val="bottom"/>
          </w:tcPr>
          <w:p>
            <w:pPr>
              <w:spacing w:after="0"/>
              <w:rPr>
                <w:sz w:val="24"/>
                <w:szCs w:val="24"/>
                <w:color w:val="auto"/>
              </w:rPr>
            </w:pPr>
          </w:p>
        </w:tc>
        <w:tc>
          <w:tcPr>
            <w:tcW w:w="2360" w:type="dxa"/>
            <w:vAlign w:val="bottom"/>
            <w:gridSpan w:val="3"/>
          </w:tcPr>
          <w:p>
            <w:pPr>
              <w:ind w:left="380"/>
              <w:spacing w:after="0"/>
              <w:rPr>
                <w:sz w:val="20"/>
                <w:szCs w:val="20"/>
                <w:color w:val="auto"/>
              </w:rPr>
            </w:pPr>
            <w:r>
              <w:rPr>
                <w:rFonts w:ascii="Times New Roman" w:cs="Times New Roman" w:eastAsia="Times New Roman" w:hAnsi="Times New Roman"/>
                <w:sz w:val="20"/>
                <w:szCs w:val="20"/>
                <w:color w:val="auto"/>
              </w:rPr>
              <w:t>7.11. ERISA Event 52</w:t>
            </w: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5380" w:type="dxa"/>
            <w:vAlign w:val="bottom"/>
          </w:tcPr>
          <w:p>
            <w:pPr>
              <w:spacing w:after="0"/>
              <w:rPr>
                <w:sz w:val="24"/>
                <w:szCs w:val="24"/>
                <w:color w:val="auto"/>
              </w:rPr>
            </w:pPr>
          </w:p>
        </w:tc>
      </w:tr>
      <w:tr>
        <w:trPr>
          <w:trHeight w:val="338"/>
        </w:trPr>
        <w:tc>
          <w:tcPr>
            <w:tcW w:w="380" w:type="dxa"/>
            <w:vAlign w:val="bottom"/>
          </w:tcPr>
          <w:p>
            <w:pPr>
              <w:spacing w:after="0"/>
              <w:rPr>
                <w:sz w:val="24"/>
                <w:szCs w:val="24"/>
                <w:color w:val="auto"/>
              </w:rPr>
            </w:pPr>
          </w:p>
        </w:tc>
        <w:tc>
          <w:tcPr>
            <w:tcW w:w="2360" w:type="dxa"/>
            <w:vAlign w:val="bottom"/>
            <w:gridSpan w:val="3"/>
          </w:tcPr>
          <w:p>
            <w:pPr>
              <w:ind w:left="380"/>
              <w:spacing w:after="0"/>
              <w:rPr>
                <w:sz w:val="20"/>
                <w:szCs w:val="20"/>
                <w:color w:val="auto"/>
              </w:rPr>
            </w:pPr>
            <w:r>
              <w:rPr>
                <w:rFonts w:ascii="Times New Roman" w:cs="Times New Roman" w:eastAsia="Times New Roman" w:hAnsi="Times New Roman"/>
                <w:sz w:val="20"/>
                <w:szCs w:val="20"/>
                <w:color w:val="auto"/>
                <w:w w:val="97"/>
              </w:rPr>
              <w:t>7.12. Regulatory Matters</w:t>
            </w:r>
          </w:p>
        </w:tc>
        <w:tc>
          <w:tcPr>
            <w:tcW w:w="360" w:type="dxa"/>
            <w:vAlign w:val="bottom"/>
          </w:tcPr>
          <w:p>
            <w:pPr>
              <w:spacing w:after="0"/>
              <w:rPr>
                <w:sz w:val="24"/>
                <w:szCs w:val="24"/>
                <w:color w:val="auto"/>
              </w:rPr>
            </w:pPr>
          </w:p>
        </w:tc>
        <w:tc>
          <w:tcPr>
            <w:tcW w:w="38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w w:val="99"/>
              </w:rPr>
              <w:t>52</w:t>
            </w:r>
          </w:p>
        </w:tc>
        <w:tc>
          <w:tcPr>
            <w:tcW w:w="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5380" w:type="dxa"/>
            <w:vAlign w:val="bottom"/>
          </w:tcPr>
          <w:p>
            <w:pPr>
              <w:spacing w:after="0"/>
              <w:rPr>
                <w:sz w:val="24"/>
                <w:szCs w:val="24"/>
                <w:color w:val="auto"/>
              </w:rPr>
            </w:pPr>
          </w:p>
        </w:tc>
      </w:tr>
      <w:tr>
        <w:trPr>
          <w:trHeight w:val="338"/>
        </w:trPr>
        <w:tc>
          <w:tcPr>
            <w:tcW w:w="380" w:type="dxa"/>
            <w:vAlign w:val="bottom"/>
          </w:tcPr>
          <w:p>
            <w:pPr>
              <w:spacing w:after="0"/>
              <w:rPr>
                <w:sz w:val="24"/>
                <w:szCs w:val="24"/>
                <w:color w:val="auto"/>
              </w:rPr>
            </w:pPr>
          </w:p>
        </w:tc>
        <w:tc>
          <w:tcPr>
            <w:tcW w:w="2720" w:type="dxa"/>
            <w:vAlign w:val="bottom"/>
            <w:gridSpan w:val="4"/>
          </w:tcPr>
          <w:p>
            <w:pPr>
              <w:ind w:left="380"/>
              <w:spacing w:after="0"/>
              <w:rPr>
                <w:sz w:val="20"/>
                <w:szCs w:val="20"/>
                <w:color w:val="auto"/>
              </w:rPr>
            </w:pPr>
            <w:r>
              <w:rPr>
                <w:rFonts w:ascii="Times New Roman" w:cs="Times New Roman" w:eastAsia="Times New Roman" w:hAnsi="Times New Roman"/>
                <w:sz w:val="20"/>
                <w:szCs w:val="20"/>
                <w:color w:val="auto"/>
              </w:rPr>
              <w:t>7.13. Change in Control 53</w:t>
            </w: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5380" w:type="dxa"/>
            <w:vAlign w:val="bottom"/>
          </w:tcPr>
          <w:p>
            <w:pPr>
              <w:spacing w:after="0"/>
              <w:rPr>
                <w:sz w:val="24"/>
                <w:szCs w:val="24"/>
                <w:color w:val="auto"/>
              </w:rPr>
            </w:pPr>
          </w:p>
        </w:tc>
      </w:tr>
      <w:tr>
        <w:trPr>
          <w:trHeight w:val="337"/>
        </w:trPr>
        <w:tc>
          <w:tcPr>
            <w:tcW w:w="5860" w:type="dxa"/>
            <w:vAlign w:val="bottom"/>
            <w:gridSpan w:val="9"/>
          </w:tcPr>
          <w:p>
            <w:pPr>
              <w:jc w:val="center"/>
              <w:ind w:right="61"/>
              <w:spacing w:after="0"/>
              <w:rPr>
                <w:sz w:val="20"/>
                <w:szCs w:val="20"/>
                <w:color w:val="auto"/>
              </w:rPr>
            </w:pPr>
            <w:r>
              <w:rPr>
                <w:rFonts w:ascii="Times New Roman" w:cs="Times New Roman" w:eastAsia="Times New Roman" w:hAnsi="Times New Roman"/>
                <w:sz w:val="20"/>
                <w:szCs w:val="20"/>
                <w:color w:val="auto"/>
              </w:rPr>
              <w:t>8.   RIGHTS AND REMEDIES UPON AN EVENT OF DEFAULT</w:t>
            </w:r>
          </w:p>
        </w:tc>
        <w:tc>
          <w:tcPr>
            <w:tcW w:w="5380" w:type="dxa"/>
            <w:vAlign w:val="bottom"/>
          </w:tcPr>
          <w:p>
            <w:pPr>
              <w:jc w:val="right"/>
              <w:ind w:right="4921"/>
              <w:spacing w:after="0"/>
              <w:rPr>
                <w:sz w:val="20"/>
                <w:szCs w:val="20"/>
                <w:color w:val="auto"/>
              </w:rPr>
            </w:pPr>
            <w:r>
              <w:rPr>
                <w:rFonts w:ascii="Times New Roman" w:cs="Times New Roman" w:eastAsia="Times New Roman" w:hAnsi="Times New Roman"/>
                <w:sz w:val="20"/>
                <w:szCs w:val="20"/>
                <w:color w:val="auto"/>
              </w:rPr>
              <w:t>53</w:t>
            </w:r>
          </w:p>
        </w:tc>
      </w:tr>
      <w:tr>
        <w:trPr>
          <w:trHeight w:val="351"/>
        </w:trPr>
        <w:tc>
          <w:tcPr>
            <w:tcW w:w="380" w:type="dxa"/>
            <w:vAlign w:val="bottom"/>
          </w:tcPr>
          <w:p>
            <w:pPr>
              <w:spacing w:after="0"/>
              <w:rPr>
                <w:sz w:val="24"/>
                <w:szCs w:val="24"/>
                <w:color w:val="auto"/>
              </w:rPr>
            </w:pPr>
          </w:p>
        </w:tc>
        <w:tc>
          <w:tcPr>
            <w:tcW w:w="78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8.1.</w:t>
            </w:r>
          </w:p>
        </w:tc>
        <w:tc>
          <w:tcPr>
            <w:tcW w:w="194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Rights and Remedies</w:t>
            </w:r>
          </w:p>
        </w:tc>
        <w:tc>
          <w:tcPr>
            <w:tcW w:w="38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w w:val="99"/>
              </w:rPr>
              <w:t>53</w:t>
            </w:r>
          </w:p>
        </w:tc>
        <w:tc>
          <w:tcPr>
            <w:tcW w:w="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5380" w:type="dxa"/>
            <w:vAlign w:val="bottom"/>
          </w:tcPr>
          <w:p>
            <w:pPr>
              <w:spacing w:after="0"/>
              <w:rPr>
                <w:sz w:val="24"/>
                <w:szCs w:val="24"/>
                <w:color w:val="auto"/>
              </w:rPr>
            </w:pPr>
          </w:p>
        </w:tc>
      </w:tr>
      <w:tr>
        <w:trPr>
          <w:trHeight w:val="338"/>
        </w:trPr>
        <w:tc>
          <w:tcPr>
            <w:tcW w:w="380" w:type="dxa"/>
            <w:vAlign w:val="bottom"/>
          </w:tcPr>
          <w:p>
            <w:pPr>
              <w:spacing w:after="0"/>
              <w:rPr>
                <w:sz w:val="24"/>
                <w:szCs w:val="24"/>
                <w:color w:val="auto"/>
              </w:rPr>
            </w:pPr>
          </w:p>
        </w:tc>
        <w:tc>
          <w:tcPr>
            <w:tcW w:w="78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8.2.</w:t>
            </w:r>
          </w:p>
        </w:tc>
        <w:tc>
          <w:tcPr>
            <w:tcW w:w="15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Power of Attorney</w:t>
            </w:r>
          </w:p>
        </w:tc>
        <w:tc>
          <w:tcPr>
            <w:tcW w:w="360" w:type="dxa"/>
            <w:vAlign w:val="bottom"/>
          </w:tcPr>
          <w:p>
            <w:pPr>
              <w:jc w:val="center"/>
              <w:ind w:right="61"/>
              <w:spacing w:after="0"/>
              <w:rPr>
                <w:sz w:val="20"/>
                <w:szCs w:val="20"/>
                <w:color w:val="auto"/>
              </w:rPr>
            </w:pPr>
            <w:r>
              <w:rPr>
                <w:rFonts w:ascii="Times New Roman" w:cs="Times New Roman" w:eastAsia="Times New Roman" w:hAnsi="Times New Roman"/>
                <w:sz w:val="20"/>
                <w:szCs w:val="20"/>
                <w:color w:val="auto"/>
                <w:w w:val="99"/>
              </w:rPr>
              <w:t>54</w:t>
            </w: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5380" w:type="dxa"/>
            <w:vAlign w:val="bottom"/>
          </w:tcPr>
          <w:p>
            <w:pPr>
              <w:spacing w:after="0"/>
              <w:rPr>
                <w:sz w:val="24"/>
                <w:szCs w:val="24"/>
                <w:color w:val="auto"/>
              </w:rPr>
            </w:pPr>
          </w:p>
        </w:tc>
      </w:tr>
      <w:tr>
        <w:trPr>
          <w:trHeight w:val="337"/>
        </w:trPr>
        <w:tc>
          <w:tcPr>
            <w:tcW w:w="380" w:type="dxa"/>
            <w:vAlign w:val="bottom"/>
          </w:tcPr>
          <w:p>
            <w:pPr>
              <w:spacing w:after="0"/>
              <w:rPr>
                <w:sz w:val="24"/>
                <w:szCs w:val="24"/>
                <w:color w:val="auto"/>
              </w:rPr>
            </w:pPr>
          </w:p>
        </w:tc>
        <w:tc>
          <w:tcPr>
            <w:tcW w:w="78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8.3.</w:t>
            </w:r>
          </w:p>
        </w:tc>
        <w:tc>
          <w:tcPr>
            <w:tcW w:w="4700" w:type="dxa"/>
            <w:vAlign w:val="bottom"/>
            <w:gridSpan w:val="7"/>
          </w:tcPr>
          <w:p>
            <w:pPr>
              <w:spacing w:after="0"/>
              <w:rPr>
                <w:sz w:val="20"/>
                <w:szCs w:val="20"/>
                <w:color w:val="auto"/>
              </w:rPr>
            </w:pPr>
            <w:r>
              <w:rPr>
                <w:rFonts w:ascii="Times New Roman" w:cs="Times New Roman" w:eastAsia="Times New Roman" w:hAnsi="Times New Roman"/>
                <w:sz w:val="20"/>
                <w:szCs w:val="20"/>
                <w:color w:val="auto"/>
              </w:rPr>
              <w:t>Application of Payments and Proceeds Upon Default  54</w:t>
            </w:r>
          </w:p>
        </w:tc>
        <w:tc>
          <w:tcPr>
            <w:tcW w:w="5380" w:type="dxa"/>
            <w:vAlign w:val="bottom"/>
          </w:tcPr>
          <w:p>
            <w:pPr>
              <w:spacing w:after="0"/>
              <w:rPr>
                <w:sz w:val="24"/>
                <w:szCs w:val="24"/>
                <w:color w:val="auto"/>
              </w:rPr>
            </w:pPr>
          </w:p>
        </w:tc>
      </w:tr>
      <w:tr>
        <w:trPr>
          <w:trHeight w:val="338"/>
        </w:trPr>
        <w:tc>
          <w:tcPr>
            <w:tcW w:w="380" w:type="dxa"/>
            <w:vAlign w:val="bottom"/>
          </w:tcPr>
          <w:p>
            <w:pPr>
              <w:spacing w:after="0"/>
              <w:rPr>
                <w:sz w:val="24"/>
                <w:szCs w:val="24"/>
                <w:color w:val="auto"/>
              </w:rPr>
            </w:pPr>
          </w:p>
        </w:tc>
        <w:tc>
          <w:tcPr>
            <w:tcW w:w="78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8.4.</w:t>
            </w:r>
          </w:p>
        </w:tc>
        <w:tc>
          <w:tcPr>
            <w:tcW w:w="2680" w:type="dxa"/>
            <w:vAlign w:val="bottom"/>
            <w:gridSpan w:val="5"/>
          </w:tcPr>
          <w:p>
            <w:pPr>
              <w:spacing w:after="0"/>
              <w:rPr>
                <w:sz w:val="20"/>
                <w:szCs w:val="20"/>
                <w:color w:val="auto"/>
              </w:rPr>
            </w:pPr>
            <w:r>
              <w:rPr>
                <w:rFonts w:ascii="Times New Roman" w:cs="Times New Roman" w:eastAsia="Times New Roman" w:hAnsi="Times New Roman"/>
                <w:sz w:val="20"/>
                <w:szCs w:val="20"/>
                <w:color w:val="auto"/>
              </w:rPr>
              <w:t>Agent’s Liability for Collateral</w:t>
            </w:r>
          </w:p>
        </w:tc>
        <w:tc>
          <w:tcPr>
            <w:tcW w:w="720" w:type="dxa"/>
            <w:vAlign w:val="bottom"/>
          </w:tcPr>
          <w:p>
            <w:pPr>
              <w:jc w:val="right"/>
              <w:ind w:right="341"/>
              <w:spacing w:after="0"/>
              <w:rPr>
                <w:sz w:val="20"/>
                <w:szCs w:val="20"/>
                <w:color w:val="auto"/>
              </w:rPr>
            </w:pPr>
            <w:r>
              <w:rPr>
                <w:rFonts w:ascii="Times New Roman" w:cs="Times New Roman" w:eastAsia="Times New Roman" w:hAnsi="Times New Roman"/>
                <w:sz w:val="20"/>
                <w:szCs w:val="20"/>
                <w:color w:val="auto"/>
              </w:rPr>
              <w:t>55</w:t>
            </w:r>
          </w:p>
        </w:tc>
        <w:tc>
          <w:tcPr>
            <w:tcW w:w="1300" w:type="dxa"/>
            <w:vAlign w:val="bottom"/>
          </w:tcPr>
          <w:p>
            <w:pPr>
              <w:spacing w:after="0"/>
              <w:rPr>
                <w:sz w:val="24"/>
                <w:szCs w:val="24"/>
                <w:color w:val="auto"/>
              </w:rPr>
            </w:pPr>
          </w:p>
        </w:tc>
        <w:tc>
          <w:tcPr>
            <w:tcW w:w="5380" w:type="dxa"/>
            <w:vAlign w:val="bottom"/>
          </w:tcPr>
          <w:p>
            <w:pPr>
              <w:spacing w:after="0"/>
              <w:rPr>
                <w:sz w:val="24"/>
                <w:szCs w:val="24"/>
                <w:color w:val="auto"/>
              </w:rPr>
            </w:pPr>
          </w:p>
        </w:tc>
      </w:tr>
      <w:tr>
        <w:trPr>
          <w:trHeight w:val="338"/>
        </w:trPr>
        <w:tc>
          <w:tcPr>
            <w:tcW w:w="380" w:type="dxa"/>
            <w:vAlign w:val="bottom"/>
          </w:tcPr>
          <w:p>
            <w:pPr>
              <w:spacing w:after="0"/>
              <w:rPr>
                <w:sz w:val="24"/>
                <w:szCs w:val="24"/>
                <w:color w:val="auto"/>
              </w:rPr>
            </w:pPr>
          </w:p>
        </w:tc>
        <w:tc>
          <w:tcPr>
            <w:tcW w:w="78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8.5.</w:t>
            </w:r>
          </w:p>
        </w:tc>
        <w:tc>
          <w:tcPr>
            <w:tcW w:w="3400" w:type="dxa"/>
            <w:vAlign w:val="bottom"/>
            <w:gridSpan w:val="6"/>
          </w:tcPr>
          <w:p>
            <w:pPr>
              <w:spacing w:after="0"/>
              <w:rPr>
                <w:sz w:val="20"/>
                <w:szCs w:val="20"/>
                <w:color w:val="auto"/>
              </w:rPr>
            </w:pPr>
            <w:r>
              <w:rPr>
                <w:rFonts w:ascii="Times New Roman" w:cs="Times New Roman" w:eastAsia="Times New Roman" w:hAnsi="Times New Roman"/>
                <w:sz w:val="20"/>
                <w:szCs w:val="20"/>
                <w:color w:val="auto"/>
              </w:rPr>
              <w:t>No Waiver; Remedies Cumulative 55</w:t>
            </w:r>
          </w:p>
        </w:tc>
        <w:tc>
          <w:tcPr>
            <w:tcW w:w="1300" w:type="dxa"/>
            <w:vAlign w:val="bottom"/>
          </w:tcPr>
          <w:p>
            <w:pPr>
              <w:spacing w:after="0"/>
              <w:rPr>
                <w:sz w:val="24"/>
                <w:szCs w:val="24"/>
                <w:color w:val="auto"/>
              </w:rPr>
            </w:pPr>
          </w:p>
        </w:tc>
        <w:tc>
          <w:tcPr>
            <w:tcW w:w="5380" w:type="dxa"/>
            <w:vAlign w:val="bottom"/>
          </w:tcPr>
          <w:p>
            <w:pPr>
              <w:spacing w:after="0"/>
              <w:rPr>
                <w:sz w:val="24"/>
                <w:szCs w:val="24"/>
                <w:color w:val="auto"/>
              </w:rPr>
            </w:pPr>
          </w:p>
        </w:tc>
      </w:tr>
      <w:tr>
        <w:trPr>
          <w:trHeight w:val="351"/>
        </w:trPr>
        <w:tc>
          <w:tcPr>
            <w:tcW w:w="380" w:type="dxa"/>
            <w:vAlign w:val="bottom"/>
          </w:tcPr>
          <w:p>
            <w:pPr>
              <w:spacing w:after="0"/>
              <w:rPr>
                <w:sz w:val="24"/>
                <w:szCs w:val="24"/>
                <w:color w:val="auto"/>
              </w:rPr>
            </w:pPr>
          </w:p>
        </w:tc>
        <w:tc>
          <w:tcPr>
            <w:tcW w:w="78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8.6.</w:t>
            </w:r>
          </w:p>
        </w:tc>
        <w:tc>
          <w:tcPr>
            <w:tcW w:w="15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Demand Waiver</w:t>
            </w:r>
          </w:p>
        </w:tc>
        <w:tc>
          <w:tcPr>
            <w:tcW w:w="360" w:type="dxa"/>
            <w:vAlign w:val="bottom"/>
          </w:tcPr>
          <w:p>
            <w:pPr>
              <w:jc w:val="center"/>
              <w:ind w:right="61"/>
              <w:spacing w:after="0"/>
              <w:rPr>
                <w:sz w:val="20"/>
                <w:szCs w:val="20"/>
                <w:color w:val="auto"/>
              </w:rPr>
            </w:pPr>
            <w:r>
              <w:rPr>
                <w:rFonts w:ascii="Times New Roman" w:cs="Times New Roman" w:eastAsia="Times New Roman" w:hAnsi="Times New Roman"/>
                <w:sz w:val="20"/>
                <w:szCs w:val="20"/>
                <w:color w:val="auto"/>
                <w:w w:val="99"/>
              </w:rPr>
              <w:t>56</w:t>
            </w: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5380" w:type="dxa"/>
            <w:vAlign w:val="bottom"/>
          </w:tcPr>
          <w:p>
            <w:pPr>
              <w:spacing w:after="0"/>
              <w:rPr>
                <w:sz w:val="24"/>
                <w:szCs w:val="24"/>
                <w:color w:val="auto"/>
              </w:rPr>
            </w:pPr>
          </w:p>
        </w:tc>
      </w:tr>
      <w:tr>
        <w:trPr>
          <w:trHeight w:val="338"/>
        </w:trPr>
        <w:tc>
          <w:tcPr>
            <w:tcW w:w="38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9.</w:t>
            </w:r>
          </w:p>
        </w:tc>
        <w:tc>
          <w:tcPr>
            <w:tcW w:w="184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auto"/>
              </w:rPr>
              <w:t>NOTICES   56</w:t>
            </w: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5380" w:type="dxa"/>
            <w:vAlign w:val="bottom"/>
          </w:tcPr>
          <w:p>
            <w:pPr>
              <w:spacing w:after="0"/>
              <w:rPr>
                <w:sz w:val="24"/>
                <w:szCs w:val="24"/>
                <w:color w:val="auto"/>
              </w:rPr>
            </w:pPr>
          </w:p>
        </w:tc>
      </w:tr>
      <w:tr>
        <w:trPr>
          <w:trHeight w:val="973"/>
        </w:trPr>
        <w:tc>
          <w:tcPr>
            <w:tcW w:w="38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53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26" w:right="339" w:bottom="1440" w:gutter="0" w:footer="0" w:header="0"/>
        </w:sectPr>
      </w:pPr>
    </w:p>
    <w:bookmarkStart w:id="119" w:name="page120"/>
    <w:bookmarkEnd w:id="119"/>
    <w:p>
      <w:pPr>
        <w:spacing w:after="0" w:line="162" w:lineRule="exact"/>
        <w:rPr>
          <w:sz w:val="20"/>
          <w:szCs w:val="20"/>
          <w:color w:val="auto"/>
        </w:rPr>
      </w:pPr>
    </w:p>
    <w:p>
      <w:pPr>
        <w:jc w:val="right"/>
        <w:ind w:right="4359"/>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9"/>
          <w:szCs w:val="19"/>
          <w:color w:val="auto"/>
        </w:rPr>
        <w:t>iii</w:t>
      </w:r>
      <w:r>
        <w:rPr>
          <w:rFonts w:ascii="Times New Roman" w:cs="Times New Roman" w:eastAsia="Times New Roman" w:hAnsi="Times New Roman"/>
          <w:sz w:val="16"/>
          <w:szCs w:val="16"/>
          <w:color w:val="auto"/>
        </w:rPr>
        <w: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4905-3710-6484 v.17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600710</wp:posOffset>
            </wp:positionV>
            <wp:extent cx="7157720" cy="425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59"/>
          </w:cols>
          <w:pgMar w:left="400" w:top="1440" w:right="1440" w:bottom="1440" w:gutter="0" w:footer="0" w:header="0"/>
        </w:sectPr>
      </w:pPr>
    </w:p>
    <w:bookmarkStart w:id="120" w:name="page121"/>
    <w:bookmarkEnd w:id="120"/>
    <w:tbl>
      <w:tblPr>
        <w:tblLayout w:type="fixed"/>
        <w:tblInd w:w="0" w:type="dxa"/>
        <w:tblCellMar>
          <w:top w:w="0" w:type="dxa"/>
          <w:left w:w="0" w:type="dxa"/>
          <w:bottom w:w="0" w:type="dxa"/>
          <w:right w:w="0" w:type="dxa"/>
        </w:tblCellMar>
      </w:tblPr>
      <w:tr>
        <w:trPr>
          <w:trHeight w:val="258"/>
        </w:trPr>
        <w:tc>
          <w:tcPr>
            <w:tcW w:w="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w:t>
            </w:r>
          </w:p>
        </w:tc>
        <w:tc>
          <w:tcPr>
            <w:tcW w:w="10820" w:type="dxa"/>
            <w:vAlign w:val="bottom"/>
            <w:gridSpan w:val="9"/>
          </w:tcPr>
          <w:p>
            <w:pPr>
              <w:ind w:left="100"/>
              <w:spacing w:after="0"/>
              <w:rPr>
                <w:sz w:val="20"/>
                <w:szCs w:val="20"/>
                <w:color w:val="auto"/>
              </w:rPr>
            </w:pPr>
            <w:r>
              <w:rPr>
                <w:rFonts w:ascii="Times New Roman" w:cs="Times New Roman" w:eastAsia="Times New Roman" w:hAnsi="Times New Roman"/>
                <w:sz w:val="20"/>
                <w:szCs w:val="20"/>
                <w:color w:val="auto"/>
              </w:rPr>
              <w:t>CHOICE OF LAW, VENUE, AND JURY TRIAL WAIVER   57</w:t>
            </w:r>
          </w:p>
        </w:tc>
      </w:tr>
      <w:tr>
        <w:trPr>
          <w:trHeight w:val="351"/>
        </w:trPr>
        <w:tc>
          <w:tcPr>
            <w:tcW w:w="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w:t>
            </w:r>
          </w:p>
        </w:tc>
        <w:tc>
          <w:tcPr>
            <w:tcW w:w="2320" w:type="dxa"/>
            <w:vAlign w:val="bottom"/>
            <w:gridSpan w:val="4"/>
          </w:tcPr>
          <w:p>
            <w:pPr>
              <w:ind w:left="100"/>
              <w:spacing w:after="0"/>
              <w:rPr>
                <w:sz w:val="20"/>
                <w:szCs w:val="20"/>
                <w:color w:val="auto"/>
              </w:rPr>
            </w:pPr>
            <w:r>
              <w:rPr>
                <w:rFonts w:ascii="Times New Roman" w:cs="Times New Roman" w:eastAsia="Times New Roman" w:hAnsi="Times New Roman"/>
                <w:sz w:val="20"/>
                <w:szCs w:val="20"/>
                <w:color w:val="auto"/>
              </w:rPr>
              <w:t>GENERAL PROVISIONS</w:t>
            </w:r>
          </w:p>
        </w:tc>
        <w:tc>
          <w:tcPr>
            <w:tcW w:w="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57</w:t>
            </w: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160" w:type="dxa"/>
            <w:vAlign w:val="bottom"/>
          </w:tcPr>
          <w:p>
            <w:pPr>
              <w:spacing w:after="0"/>
              <w:rPr>
                <w:sz w:val="24"/>
                <w:szCs w:val="24"/>
                <w:color w:val="auto"/>
              </w:rPr>
            </w:pPr>
          </w:p>
        </w:tc>
      </w:tr>
      <w:tr>
        <w:trPr>
          <w:trHeight w:val="338"/>
        </w:trPr>
        <w:tc>
          <w:tcPr>
            <w:tcW w:w="420" w:type="dxa"/>
            <w:vAlign w:val="bottom"/>
          </w:tcPr>
          <w:p>
            <w:pPr>
              <w:spacing w:after="0"/>
              <w:rPr>
                <w:sz w:val="24"/>
                <w:szCs w:val="24"/>
                <w:color w:val="auto"/>
              </w:rPr>
            </w:pPr>
          </w:p>
        </w:tc>
        <w:tc>
          <w:tcPr>
            <w:tcW w:w="840" w:type="dxa"/>
            <w:vAlign w:val="bottom"/>
          </w:tcPr>
          <w:p>
            <w:pPr>
              <w:ind w:left="420"/>
              <w:spacing w:after="0"/>
              <w:rPr>
                <w:sz w:val="20"/>
                <w:szCs w:val="20"/>
                <w:color w:val="auto"/>
              </w:rPr>
            </w:pPr>
            <w:r>
              <w:rPr>
                <w:rFonts w:ascii="Times New Roman" w:cs="Times New Roman" w:eastAsia="Times New Roman" w:hAnsi="Times New Roman"/>
                <w:sz w:val="20"/>
                <w:szCs w:val="20"/>
                <w:color w:val="auto"/>
                <w:w w:val="99"/>
              </w:rPr>
              <w:t>11.1.</w:t>
            </w:r>
          </w:p>
        </w:tc>
        <w:tc>
          <w:tcPr>
            <w:tcW w:w="100" w:type="dxa"/>
            <w:vAlign w:val="bottom"/>
          </w:tcPr>
          <w:p>
            <w:pPr>
              <w:spacing w:after="0"/>
              <w:rPr>
                <w:sz w:val="24"/>
                <w:szCs w:val="24"/>
                <w:color w:val="auto"/>
              </w:rPr>
            </w:pPr>
          </w:p>
        </w:tc>
        <w:tc>
          <w:tcPr>
            <w:tcW w:w="2620" w:type="dxa"/>
            <w:vAlign w:val="bottom"/>
            <w:gridSpan w:val="4"/>
          </w:tcPr>
          <w:p>
            <w:pPr>
              <w:ind w:left="260"/>
              <w:spacing w:after="0"/>
              <w:rPr>
                <w:sz w:val="20"/>
                <w:szCs w:val="20"/>
                <w:color w:val="auto"/>
              </w:rPr>
            </w:pPr>
            <w:r>
              <w:rPr>
                <w:rFonts w:ascii="Times New Roman" w:cs="Times New Roman" w:eastAsia="Times New Roman" w:hAnsi="Times New Roman"/>
                <w:sz w:val="20"/>
                <w:szCs w:val="20"/>
                <w:color w:val="auto"/>
              </w:rPr>
              <w:t>Successors and Assigns 57</w:t>
            </w: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160" w:type="dxa"/>
            <w:vAlign w:val="bottom"/>
          </w:tcPr>
          <w:p>
            <w:pPr>
              <w:spacing w:after="0"/>
              <w:rPr>
                <w:sz w:val="24"/>
                <w:szCs w:val="24"/>
                <w:color w:val="auto"/>
              </w:rPr>
            </w:pPr>
          </w:p>
        </w:tc>
      </w:tr>
      <w:tr>
        <w:trPr>
          <w:trHeight w:val="338"/>
        </w:trPr>
        <w:tc>
          <w:tcPr>
            <w:tcW w:w="420" w:type="dxa"/>
            <w:vAlign w:val="bottom"/>
          </w:tcPr>
          <w:p>
            <w:pPr>
              <w:spacing w:after="0"/>
              <w:rPr>
                <w:sz w:val="24"/>
                <w:szCs w:val="24"/>
                <w:color w:val="auto"/>
              </w:rPr>
            </w:pPr>
          </w:p>
        </w:tc>
        <w:tc>
          <w:tcPr>
            <w:tcW w:w="840" w:type="dxa"/>
            <w:vAlign w:val="bottom"/>
          </w:tcPr>
          <w:p>
            <w:pPr>
              <w:ind w:left="420"/>
              <w:spacing w:after="0"/>
              <w:rPr>
                <w:sz w:val="20"/>
                <w:szCs w:val="20"/>
                <w:color w:val="auto"/>
              </w:rPr>
            </w:pPr>
            <w:r>
              <w:rPr>
                <w:rFonts w:ascii="Times New Roman" w:cs="Times New Roman" w:eastAsia="Times New Roman" w:hAnsi="Times New Roman"/>
                <w:sz w:val="20"/>
                <w:szCs w:val="20"/>
                <w:color w:val="auto"/>
                <w:w w:val="99"/>
              </w:rPr>
              <w:t>11.2.</w:t>
            </w:r>
          </w:p>
        </w:tc>
        <w:tc>
          <w:tcPr>
            <w:tcW w:w="3820" w:type="dxa"/>
            <w:vAlign w:val="bottom"/>
            <w:gridSpan w:val="7"/>
          </w:tcPr>
          <w:p>
            <w:pPr>
              <w:ind w:left="20"/>
              <w:spacing w:after="0"/>
              <w:rPr>
                <w:sz w:val="20"/>
                <w:szCs w:val="20"/>
                <w:color w:val="auto"/>
              </w:rPr>
            </w:pPr>
            <w:r>
              <w:rPr>
                <w:rFonts w:ascii="Times New Roman" w:cs="Times New Roman" w:eastAsia="Times New Roman" w:hAnsi="Times New Roman"/>
                <w:sz w:val="20"/>
                <w:szCs w:val="20"/>
                <w:color w:val="auto"/>
              </w:rPr>
              <w:t>Indemnification; Lender and Agent Expenses</w:t>
            </w:r>
          </w:p>
        </w:tc>
        <w:tc>
          <w:tcPr>
            <w:tcW w:w="6160" w:type="dxa"/>
            <w:vAlign w:val="bottom"/>
          </w:tcPr>
          <w:p>
            <w:pPr>
              <w:jc w:val="right"/>
              <w:ind w:right="5761"/>
              <w:spacing w:after="0"/>
              <w:rPr>
                <w:sz w:val="20"/>
                <w:szCs w:val="20"/>
                <w:color w:val="auto"/>
              </w:rPr>
            </w:pPr>
            <w:r>
              <w:rPr>
                <w:rFonts w:ascii="Times New Roman" w:cs="Times New Roman" w:eastAsia="Times New Roman" w:hAnsi="Times New Roman"/>
                <w:sz w:val="20"/>
                <w:szCs w:val="20"/>
                <w:color w:val="auto"/>
              </w:rPr>
              <w:t>59</w:t>
            </w:r>
          </w:p>
        </w:tc>
      </w:tr>
      <w:tr>
        <w:trPr>
          <w:trHeight w:val="338"/>
        </w:trPr>
        <w:tc>
          <w:tcPr>
            <w:tcW w:w="420" w:type="dxa"/>
            <w:vAlign w:val="bottom"/>
          </w:tcPr>
          <w:p>
            <w:pPr>
              <w:spacing w:after="0"/>
              <w:rPr>
                <w:sz w:val="24"/>
                <w:szCs w:val="24"/>
                <w:color w:val="auto"/>
              </w:rPr>
            </w:pPr>
          </w:p>
        </w:tc>
        <w:tc>
          <w:tcPr>
            <w:tcW w:w="840" w:type="dxa"/>
            <w:vAlign w:val="bottom"/>
          </w:tcPr>
          <w:p>
            <w:pPr>
              <w:ind w:left="420"/>
              <w:spacing w:after="0"/>
              <w:rPr>
                <w:sz w:val="20"/>
                <w:szCs w:val="20"/>
                <w:color w:val="auto"/>
              </w:rPr>
            </w:pPr>
            <w:r>
              <w:rPr>
                <w:rFonts w:ascii="Times New Roman" w:cs="Times New Roman" w:eastAsia="Times New Roman" w:hAnsi="Times New Roman"/>
                <w:sz w:val="20"/>
                <w:szCs w:val="20"/>
                <w:color w:val="auto"/>
                <w:w w:val="99"/>
              </w:rPr>
              <w:t>11.3.</w:t>
            </w:r>
          </w:p>
        </w:tc>
        <w:tc>
          <w:tcPr>
            <w:tcW w:w="100" w:type="dxa"/>
            <w:vAlign w:val="bottom"/>
          </w:tcPr>
          <w:p>
            <w:pPr>
              <w:spacing w:after="0"/>
              <w:rPr>
                <w:sz w:val="24"/>
                <w:szCs w:val="24"/>
                <w:color w:val="auto"/>
              </w:rPr>
            </w:pPr>
          </w:p>
        </w:tc>
        <w:tc>
          <w:tcPr>
            <w:tcW w:w="2620" w:type="dxa"/>
            <w:vAlign w:val="bottom"/>
            <w:gridSpan w:val="4"/>
          </w:tcPr>
          <w:p>
            <w:pPr>
              <w:ind w:left="260"/>
              <w:spacing w:after="0"/>
              <w:rPr>
                <w:sz w:val="20"/>
                <w:szCs w:val="20"/>
                <w:color w:val="auto"/>
              </w:rPr>
            </w:pPr>
            <w:r>
              <w:rPr>
                <w:rFonts w:ascii="Times New Roman" w:cs="Times New Roman" w:eastAsia="Times New Roman" w:hAnsi="Times New Roman"/>
                <w:sz w:val="20"/>
                <w:szCs w:val="20"/>
                <w:color w:val="auto"/>
              </w:rPr>
              <w:t>Severability of Provisions</w:t>
            </w:r>
          </w:p>
        </w:tc>
        <w:tc>
          <w:tcPr>
            <w:tcW w:w="3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w w:val="99"/>
              </w:rPr>
              <w:t>60</w:t>
            </w:r>
          </w:p>
        </w:tc>
        <w:tc>
          <w:tcPr>
            <w:tcW w:w="780" w:type="dxa"/>
            <w:vAlign w:val="bottom"/>
          </w:tcPr>
          <w:p>
            <w:pPr>
              <w:spacing w:after="0"/>
              <w:rPr>
                <w:sz w:val="24"/>
                <w:szCs w:val="24"/>
                <w:color w:val="auto"/>
              </w:rPr>
            </w:pPr>
          </w:p>
        </w:tc>
        <w:tc>
          <w:tcPr>
            <w:tcW w:w="6160" w:type="dxa"/>
            <w:vAlign w:val="bottom"/>
          </w:tcPr>
          <w:p>
            <w:pPr>
              <w:spacing w:after="0"/>
              <w:rPr>
                <w:sz w:val="24"/>
                <w:szCs w:val="24"/>
                <w:color w:val="auto"/>
              </w:rPr>
            </w:pPr>
          </w:p>
        </w:tc>
      </w:tr>
      <w:tr>
        <w:trPr>
          <w:trHeight w:val="338"/>
        </w:trPr>
        <w:tc>
          <w:tcPr>
            <w:tcW w:w="420" w:type="dxa"/>
            <w:vAlign w:val="bottom"/>
          </w:tcPr>
          <w:p>
            <w:pPr>
              <w:spacing w:after="0"/>
              <w:rPr>
                <w:sz w:val="24"/>
                <w:szCs w:val="24"/>
                <w:color w:val="auto"/>
              </w:rPr>
            </w:pPr>
          </w:p>
        </w:tc>
        <w:tc>
          <w:tcPr>
            <w:tcW w:w="840" w:type="dxa"/>
            <w:vAlign w:val="bottom"/>
          </w:tcPr>
          <w:p>
            <w:pPr>
              <w:ind w:left="420"/>
              <w:spacing w:after="0"/>
              <w:rPr>
                <w:sz w:val="20"/>
                <w:szCs w:val="20"/>
                <w:color w:val="auto"/>
              </w:rPr>
            </w:pPr>
            <w:r>
              <w:rPr>
                <w:rFonts w:ascii="Times New Roman" w:cs="Times New Roman" w:eastAsia="Times New Roman" w:hAnsi="Times New Roman"/>
                <w:sz w:val="20"/>
                <w:szCs w:val="20"/>
                <w:color w:val="auto"/>
                <w:w w:val="99"/>
              </w:rPr>
              <w:t>11.4.</w:t>
            </w:r>
          </w:p>
        </w:tc>
        <w:tc>
          <w:tcPr>
            <w:tcW w:w="100" w:type="dxa"/>
            <w:vAlign w:val="bottom"/>
          </w:tcPr>
          <w:p>
            <w:pPr>
              <w:spacing w:after="0"/>
              <w:rPr>
                <w:sz w:val="24"/>
                <w:szCs w:val="24"/>
                <w:color w:val="auto"/>
              </w:rPr>
            </w:pPr>
          </w:p>
        </w:tc>
        <w:tc>
          <w:tcPr>
            <w:tcW w:w="1380" w:type="dxa"/>
            <w:vAlign w:val="bottom"/>
            <w:gridSpan w:val="2"/>
          </w:tcPr>
          <w:p>
            <w:pPr>
              <w:ind w:left="260"/>
              <w:spacing w:after="0"/>
              <w:rPr>
                <w:sz w:val="20"/>
                <w:szCs w:val="20"/>
                <w:color w:val="auto"/>
              </w:rPr>
            </w:pPr>
            <w:r>
              <w:rPr>
                <w:rFonts w:ascii="Times New Roman" w:cs="Times New Roman" w:eastAsia="Times New Roman" w:hAnsi="Times New Roman"/>
                <w:sz w:val="20"/>
                <w:szCs w:val="20"/>
                <w:color w:val="auto"/>
              </w:rPr>
              <w:t>[Reserved]</w:t>
            </w:r>
          </w:p>
        </w:tc>
        <w:tc>
          <w:tcPr>
            <w:tcW w:w="38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60</w:t>
            </w: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160" w:type="dxa"/>
            <w:vAlign w:val="bottom"/>
          </w:tcPr>
          <w:p>
            <w:pPr>
              <w:spacing w:after="0"/>
              <w:rPr>
                <w:sz w:val="24"/>
                <w:szCs w:val="24"/>
                <w:color w:val="auto"/>
              </w:rPr>
            </w:pPr>
          </w:p>
        </w:tc>
      </w:tr>
      <w:tr>
        <w:trPr>
          <w:trHeight w:val="351"/>
        </w:trPr>
        <w:tc>
          <w:tcPr>
            <w:tcW w:w="420" w:type="dxa"/>
            <w:vAlign w:val="bottom"/>
          </w:tcPr>
          <w:p>
            <w:pPr>
              <w:spacing w:after="0"/>
              <w:rPr>
                <w:sz w:val="24"/>
                <w:szCs w:val="24"/>
                <w:color w:val="auto"/>
              </w:rPr>
            </w:pPr>
          </w:p>
        </w:tc>
        <w:tc>
          <w:tcPr>
            <w:tcW w:w="840" w:type="dxa"/>
            <w:vAlign w:val="bottom"/>
          </w:tcPr>
          <w:p>
            <w:pPr>
              <w:ind w:left="420"/>
              <w:spacing w:after="0"/>
              <w:rPr>
                <w:sz w:val="20"/>
                <w:szCs w:val="20"/>
                <w:color w:val="auto"/>
              </w:rPr>
            </w:pPr>
            <w:r>
              <w:rPr>
                <w:rFonts w:ascii="Times New Roman" w:cs="Times New Roman" w:eastAsia="Times New Roman" w:hAnsi="Times New Roman"/>
                <w:sz w:val="20"/>
                <w:szCs w:val="20"/>
                <w:color w:val="auto"/>
                <w:w w:val="99"/>
              </w:rPr>
              <w:t>11.5.</w:t>
            </w:r>
          </w:p>
        </w:tc>
        <w:tc>
          <w:tcPr>
            <w:tcW w:w="3040" w:type="dxa"/>
            <w:vAlign w:val="bottom"/>
            <w:gridSpan w:val="6"/>
          </w:tcPr>
          <w:p>
            <w:pPr>
              <w:ind w:left="20"/>
              <w:spacing w:after="0"/>
              <w:rPr>
                <w:sz w:val="20"/>
                <w:szCs w:val="20"/>
                <w:color w:val="auto"/>
              </w:rPr>
            </w:pPr>
            <w:r>
              <w:rPr>
                <w:rFonts w:ascii="Times New Roman" w:cs="Times New Roman" w:eastAsia="Times New Roman" w:hAnsi="Times New Roman"/>
                <w:sz w:val="20"/>
                <w:szCs w:val="20"/>
                <w:color w:val="auto"/>
              </w:rPr>
              <w:t>Amendments in Writing; Integration</w:t>
            </w:r>
          </w:p>
        </w:tc>
        <w:tc>
          <w:tcPr>
            <w:tcW w:w="780" w:type="dxa"/>
            <w:vAlign w:val="bottom"/>
          </w:tcPr>
          <w:p>
            <w:pPr>
              <w:jc w:val="right"/>
              <w:ind w:right="381"/>
              <w:spacing w:after="0"/>
              <w:rPr>
                <w:sz w:val="20"/>
                <w:szCs w:val="20"/>
                <w:color w:val="auto"/>
              </w:rPr>
            </w:pPr>
            <w:r>
              <w:rPr>
                <w:rFonts w:ascii="Times New Roman" w:cs="Times New Roman" w:eastAsia="Times New Roman" w:hAnsi="Times New Roman"/>
                <w:sz w:val="20"/>
                <w:szCs w:val="20"/>
                <w:color w:val="auto"/>
              </w:rPr>
              <w:t>60</w:t>
            </w:r>
          </w:p>
        </w:tc>
        <w:tc>
          <w:tcPr>
            <w:tcW w:w="6160" w:type="dxa"/>
            <w:vAlign w:val="bottom"/>
          </w:tcPr>
          <w:p>
            <w:pPr>
              <w:spacing w:after="0"/>
              <w:rPr>
                <w:sz w:val="24"/>
                <w:szCs w:val="24"/>
                <w:color w:val="auto"/>
              </w:rPr>
            </w:pPr>
          </w:p>
        </w:tc>
      </w:tr>
      <w:tr>
        <w:trPr>
          <w:trHeight w:val="338"/>
        </w:trPr>
        <w:tc>
          <w:tcPr>
            <w:tcW w:w="420" w:type="dxa"/>
            <w:vAlign w:val="bottom"/>
          </w:tcPr>
          <w:p>
            <w:pPr>
              <w:spacing w:after="0"/>
              <w:rPr>
                <w:sz w:val="24"/>
                <w:szCs w:val="24"/>
                <w:color w:val="auto"/>
              </w:rPr>
            </w:pPr>
          </w:p>
        </w:tc>
        <w:tc>
          <w:tcPr>
            <w:tcW w:w="840" w:type="dxa"/>
            <w:vAlign w:val="bottom"/>
          </w:tcPr>
          <w:p>
            <w:pPr>
              <w:ind w:left="420"/>
              <w:spacing w:after="0"/>
              <w:rPr>
                <w:sz w:val="20"/>
                <w:szCs w:val="20"/>
                <w:color w:val="auto"/>
              </w:rPr>
            </w:pPr>
            <w:r>
              <w:rPr>
                <w:rFonts w:ascii="Times New Roman" w:cs="Times New Roman" w:eastAsia="Times New Roman" w:hAnsi="Times New Roman"/>
                <w:sz w:val="20"/>
                <w:szCs w:val="20"/>
                <w:color w:val="auto"/>
                <w:w w:val="99"/>
              </w:rPr>
              <w:t>11.6.</w:t>
            </w:r>
          </w:p>
        </w:tc>
        <w:tc>
          <w:tcPr>
            <w:tcW w:w="100" w:type="dxa"/>
            <w:vAlign w:val="bottom"/>
          </w:tcPr>
          <w:p>
            <w:pPr>
              <w:spacing w:after="0"/>
              <w:rPr>
                <w:sz w:val="24"/>
                <w:szCs w:val="24"/>
                <w:color w:val="auto"/>
              </w:rPr>
            </w:pPr>
          </w:p>
        </w:tc>
        <w:tc>
          <w:tcPr>
            <w:tcW w:w="1380" w:type="dxa"/>
            <w:vAlign w:val="bottom"/>
            <w:gridSpan w:val="2"/>
          </w:tcPr>
          <w:p>
            <w:pPr>
              <w:ind w:left="260"/>
              <w:spacing w:after="0"/>
              <w:rPr>
                <w:sz w:val="20"/>
                <w:szCs w:val="20"/>
                <w:color w:val="auto"/>
              </w:rPr>
            </w:pPr>
            <w:r>
              <w:rPr>
                <w:rFonts w:ascii="Times New Roman" w:cs="Times New Roman" w:eastAsia="Times New Roman" w:hAnsi="Times New Roman"/>
                <w:sz w:val="20"/>
                <w:szCs w:val="20"/>
                <w:color w:val="auto"/>
              </w:rPr>
              <w:t>Counterparts</w:t>
            </w:r>
          </w:p>
        </w:tc>
        <w:tc>
          <w:tcPr>
            <w:tcW w:w="38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62</w:t>
            </w: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160" w:type="dxa"/>
            <w:vAlign w:val="bottom"/>
          </w:tcPr>
          <w:p>
            <w:pPr>
              <w:spacing w:after="0"/>
              <w:rPr>
                <w:sz w:val="24"/>
                <w:szCs w:val="24"/>
                <w:color w:val="auto"/>
              </w:rPr>
            </w:pPr>
          </w:p>
        </w:tc>
      </w:tr>
      <w:tr>
        <w:trPr>
          <w:trHeight w:val="338"/>
        </w:trPr>
        <w:tc>
          <w:tcPr>
            <w:tcW w:w="420" w:type="dxa"/>
            <w:vAlign w:val="bottom"/>
          </w:tcPr>
          <w:p>
            <w:pPr>
              <w:spacing w:after="0"/>
              <w:rPr>
                <w:sz w:val="24"/>
                <w:szCs w:val="24"/>
                <w:color w:val="auto"/>
              </w:rPr>
            </w:pPr>
          </w:p>
        </w:tc>
        <w:tc>
          <w:tcPr>
            <w:tcW w:w="840" w:type="dxa"/>
            <w:vAlign w:val="bottom"/>
          </w:tcPr>
          <w:p>
            <w:pPr>
              <w:ind w:left="420"/>
              <w:spacing w:after="0"/>
              <w:rPr>
                <w:sz w:val="20"/>
                <w:szCs w:val="20"/>
                <w:color w:val="auto"/>
              </w:rPr>
            </w:pPr>
            <w:r>
              <w:rPr>
                <w:rFonts w:ascii="Times New Roman" w:cs="Times New Roman" w:eastAsia="Times New Roman" w:hAnsi="Times New Roman"/>
                <w:sz w:val="20"/>
                <w:szCs w:val="20"/>
                <w:color w:val="auto"/>
                <w:w w:val="99"/>
              </w:rPr>
              <w:t>11.7.</w:t>
            </w:r>
          </w:p>
        </w:tc>
        <w:tc>
          <w:tcPr>
            <w:tcW w:w="100" w:type="dxa"/>
            <w:vAlign w:val="bottom"/>
          </w:tcPr>
          <w:p>
            <w:pPr>
              <w:spacing w:after="0"/>
              <w:rPr>
                <w:sz w:val="24"/>
                <w:szCs w:val="24"/>
                <w:color w:val="auto"/>
              </w:rPr>
            </w:pPr>
          </w:p>
        </w:tc>
        <w:tc>
          <w:tcPr>
            <w:tcW w:w="104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Survival</w:t>
            </w:r>
          </w:p>
        </w:tc>
        <w:tc>
          <w:tcPr>
            <w:tcW w:w="34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w w:val="99"/>
              </w:rPr>
              <w:t>62</w:t>
            </w: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160" w:type="dxa"/>
            <w:vAlign w:val="bottom"/>
          </w:tcPr>
          <w:p>
            <w:pPr>
              <w:spacing w:after="0"/>
              <w:rPr>
                <w:sz w:val="24"/>
                <w:szCs w:val="24"/>
                <w:color w:val="auto"/>
              </w:rPr>
            </w:pPr>
          </w:p>
        </w:tc>
      </w:tr>
      <w:tr>
        <w:trPr>
          <w:trHeight w:val="351"/>
        </w:trPr>
        <w:tc>
          <w:tcPr>
            <w:tcW w:w="420" w:type="dxa"/>
            <w:vAlign w:val="bottom"/>
          </w:tcPr>
          <w:p>
            <w:pPr>
              <w:spacing w:after="0"/>
              <w:rPr>
                <w:sz w:val="24"/>
                <w:szCs w:val="24"/>
                <w:color w:val="auto"/>
              </w:rPr>
            </w:pPr>
          </w:p>
        </w:tc>
        <w:tc>
          <w:tcPr>
            <w:tcW w:w="840" w:type="dxa"/>
            <w:vAlign w:val="bottom"/>
          </w:tcPr>
          <w:p>
            <w:pPr>
              <w:ind w:left="420"/>
              <w:spacing w:after="0"/>
              <w:rPr>
                <w:sz w:val="20"/>
                <w:szCs w:val="20"/>
                <w:color w:val="auto"/>
              </w:rPr>
            </w:pPr>
            <w:r>
              <w:rPr>
                <w:rFonts w:ascii="Times New Roman" w:cs="Times New Roman" w:eastAsia="Times New Roman" w:hAnsi="Times New Roman"/>
                <w:sz w:val="20"/>
                <w:szCs w:val="20"/>
                <w:color w:val="auto"/>
                <w:w w:val="99"/>
              </w:rPr>
              <w:t>11.8.</w:t>
            </w:r>
          </w:p>
        </w:tc>
        <w:tc>
          <w:tcPr>
            <w:tcW w:w="100" w:type="dxa"/>
            <w:vAlign w:val="bottom"/>
          </w:tcPr>
          <w:p>
            <w:pPr>
              <w:spacing w:after="0"/>
              <w:rPr>
                <w:sz w:val="24"/>
                <w:szCs w:val="24"/>
                <w:color w:val="auto"/>
              </w:rPr>
            </w:pPr>
          </w:p>
        </w:tc>
        <w:tc>
          <w:tcPr>
            <w:tcW w:w="1760" w:type="dxa"/>
            <w:vAlign w:val="bottom"/>
            <w:gridSpan w:val="3"/>
          </w:tcPr>
          <w:p>
            <w:pPr>
              <w:ind w:left="260"/>
              <w:spacing w:after="0"/>
              <w:rPr>
                <w:sz w:val="20"/>
                <w:szCs w:val="20"/>
                <w:color w:val="auto"/>
              </w:rPr>
            </w:pPr>
            <w:r>
              <w:rPr>
                <w:rFonts w:ascii="Times New Roman" w:cs="Times New Roman" w:eastAsia="Times New Roman" w:hAnsi="Times New Roman"/>
                <w:sz w:val="20"/>
                <w:szCs w:val="20"/>
                <w:color w:val="auto"/>
              </w:rPr>
              <w:t>Confidentiality</w:t>
            </w:r>
          </w:p>
        </w:tc>
        <w:tc>
          <w:tcPr>
            <w:tcW w:w="860" w:type="dxa"/>
            <w:vAlign w:val="bottom"/>
          </w:tcPr>
          <w:p>
            <w:pPr>
              <w:jc w:val="right"/>
              <w:ind w:right="481"/>
              <w:spacing w:after="0"/>
              <w:rPr>
                <w:sz w:val="20"/>
                <w:szCs w:val="20"/>
                <w:color w:val="auto"/>
              </w:rPr>
            </w:pPr>
            <w:r>
              <w:rPr>
                <w:rFonts w:ascii="Times New Roman" w:cs="Times New Roman" w:eastAsia="Times New Roman" w:hAnsi="Times New Roman"/>
                <w:sz w:val="20"/>
                <w:szCs w:val="20"/>
                <w:color w:val="auto"/>
              </w:rPr>
              <w:t>62</w:t>
            </w: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160" w:type="dxa"/>
            <w:vAlign w:val="bottom"/>
          </w:tcPr>
          <w:p>
            <w:pPr>
              <w:spacing w:after="0"/>
              <w:rPr>
                <w:sz w:val="24"/>
                <w:szCs w:val="24"/>
                <w:color w:val="auto"/>
              </w:rPr>
            </w:pPr>
          </w:p>
        </w:tc>
      </w:tr>
      <w:tr>
        <w:trPr>
          <w:trHeight w:val="338"/>
        </w:trPr>
        <w:tc>
          <w:tcPr>
            <w:tcW w:w="420" w:type="dxa"/>
            <w:vAlign w:val="bottom"/>
          </w:tcPr>
          <w:p>
            <w:pPr>
              <w:spacing w:after="0"/>
              <w:rPr>
                <w:sz w:val="24"/>
                <w:szCs w:val="24"/>
                <w:color w:val="auto"/>
              </w:rPr>
            </w:pPr>
          </w:p>
        </w:tc>
        <w:tc>
          <w:tcPr>
            <w:tcW w:w="840" w:type="dxa"/>
            <w:vAlign w:val="bottom"/>
          </w:tcPr>
          <w:p>
            <w:pPr>
              <w:ind w:left="420"/>
              <w:spacing w:after="0"/>
              <w:rPr>
                <w:sz w:val="20"/>
                <w:szCs w:val="20"/>
                <w:color w:val="auto"/>
              </w:rPr>
            </w:pPr>
            <w:r>
              <w:rPr>
                <w:rFonts w:ascii="Times New Roman" w:cs="Times New Roman" w:eastAsia="Times New Roman" w:hAnsi="Times New Roman"/>
                <w:sz w:val="20"/>
                <w:szCs w:val="20"/>
                <w:color w:val="auto"/>
                <w:w w:val="99"/>
              </w:rPr>
              <w:t>11.9.</w:t>
            </w:r>
          </w:p>
        </w:tc>
        <w:tc>
          <w:tcPr>
            <w:tcW w:w="3040" w:type="dxa"/>
            <w:vAlign w:val="bottom"/>
            <w:gridSpan w:val="6"/>
          </w:tcPr>
          <w:p>
            <w:pPr>
              <w:ind w:left="20"/>
              <w:spacing w:after="0"/>
              <w:rPr>
                <w:sz w:val="20"/>
                <w:szCs w:val="20"/>
                <w:color w:val="auto"/>
              </w:rPr>
            </w:pPr>
            <w:r>
              <w:rPr>
                <w:rFonts w:ascii="Times New Roman" w:cs="Times New Roman" w:eastAsia="Times New Roman" w:hAnsi="Times New Roman"/>
                <w:sz w:val="20"/>
                <w:szCs w:val="20"/>
                <w:color w:val="auto"/>
              </w:rPr>
              <w:t>Release of Collateral or Guarantors</w:t>
            </w:r>
          </w:p>
        </w:tc>
        <w:tc>
          <w:tcPr>
            <w:tcW w:w="780" w:type="dxa"/>
            <w:vAlign w:val="bottom"/>
          </w:tcPr>
          <w:p>
            <w:pPr>
              <w:jc w:val="right"/>
              <w:ind w:right="381"/>
              <w:spacing w:after="0"/>
              <w:rPr>
                <w:sz w:val="20"/>
                <w:szCs w:val="20"/>
                <w:color w:val="auto"/>
              </w:rPr>
            </w:pPr>
            <w:r>
              <w:rPr>
                <w:rFonts w:ascii="Times New Roman" w:cs="Times New Roman" w:eastAsia="Times New Roman" w:hAnsi="Times New Roman"/>
                <w:sz w:val="20"/>
                <w:szCs w:val="20"/>
                <w:color w:val="auto"/>
              </w:rPr>
              <w:t>63</w:t>
            </w:r>
          </w:p>
        </w:tc>
        <w:tc>
          <w:tcPr>
            <w:tcW w:w="6160" w:type="dxa"/>
            <w:vAlign w:val="bottom"/>
          </w:tcPr>
          <w:p>
            <w:pPr>
              <w:spacing w:after="0"/>
              <w:rPr>
                <w:sz w:val="24"/>
                <w:szCs w:val="24"/>
                <w:color w:val="auto"/>
              </w:rPr>
            </w:pPr>
          </w:p>
        </w:tc>
      </w:tr>
      <w:tr>
        <w:trPr>
          <w:trHeight w:val="338"/>
        </w:trPr>
        <w:tc>
          <w:tcPr>
            <w:tcW w:w="420" w:type="dxa"/>
            <w:vAlign w:val="bottom"/>
          </w:tcPr>
          <w:p>
            <w:pPr>
              <w:spacing w:after="0"/>
              <w:rPr>
                <w:sz w:val="24"/>
                <w:szCs w:val="24"/>
                <w:color w:val="auto"/>
              </w:rPr>
            </w:pPr>
          </w:p>
        </w:tc>
        <w:tc>
          <w:tcPr>
            <w:tcW w:w="940" w:type="dxa"/>
            <w:vAlign w:val="bottom"/>
            <w:gridSpan w:val="2"/>
          </w:tcPr>
          <w:p>
            <w:pPr>
              <w:ind w:left="420"/>
              <w:spacing w:after="0"/>
              <w:rPr>
                <w:sz w:val="20"/>
                <w:szCs w:val="20"/>
                <w:color w:val="auto"/>
              </w:rPr>
            </w:pPr>
            <w:r>
              <w:rPr>
                <w:rFonts w:ascii="Times New Roman" w:cs="Times New Roman" w:eastAsia="Times New Roman" w:hAnsi="Times New Roman"/>
                <w:sz w:val="20"/>
                <w:szCs w:val="20"/>
                <w:color w:val="auto"/>
                <w:w w:val="99"/>
              </w:rPr>
              <w:t>11.10.</w:t>
            </w:r>
          </w:p>
        </w:tc>
        <w:tc>
          <w:tcPr>
            <w:tcW w:w="138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Right of Set-Off</w:t>
            </w:r>
          </w:p>
        </w:tc>
        <w:tc>
          <w:tcPr>
            <w:tcW w:w="38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63</w:t>
            </w: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160" w:type="dxa"/>
            <w:vAlign w:val="bottom"/>
          </w:tcPr>
          <w:p>
            <w:pPr>
              <w:spacing w:after="0"/>
              <w:rPr>
                <w:sz w:val="24"/>
                <w:szCs w:val="24"/>
                <w:color w:val="auto"/>
              </w:rPr>
            </w:pPr>
          </w:p>
        </w:tc>
      </w:tr>
      <w:tr>
        <w:trPr>
          <w:trHeight w:val="338"/>
        </w:trPr>
        <w:tc>
          <w:tcPr>
            <w:tcW w:w="420" w:type="dxa"/>
            <w:vAlign w:val="bottom"/>
          </w:tcPr>
          <w:p>
            <w:pPr>
              <w:spacing w:after="0"/>
              <w:rPr>
                <w:sz w:val="24"/>
                <w:szCs w:val="24"/>
                <w:color w:val="auto"/>
              </w:rPr>
            </w:pPr>
          </w:p>
        </w:tc>
        <w:tc>
          <w:tcPr>
            <w:tcW w:w="940" w:type="dxa"/>
            <w:vAlign w:val="bottom"/>
            <w:gridSpan w:val="2"/>
          </w:tcPr>
          <w:p>
            <w:pPr>
              <w:ind w:left="420"/>
              <w:spacing w:after="0"/>
              <w:rPr>
                <w:sz w:val="20"/>
                <w:szCs w:val="20"/>
                <w:color w:val="auto"/>
              </w:rPr>
            </w:pPr>
            <w:r>
              <w:rPr>
                <w:rFonts w:ascii="Times New Roman" w:cs="Times New Roman" w:eastAsia="Times New Roman" w:hAnsi="Times New Roman"/>
                <w:sz w:val="20"/>
                <w:szCs w:val="20"/>
                <w:color w:val="auto"/>
                <w:w w:val="99"/>
              </w:rPr>
              <w:t>11.11.</w:t>
            </w:r>
          </w:p>
        </w:tc>
        <w:tc>
          <w:tcPr>
            <w:tcW w:w="2940" w:type="dxa"/>
            <w:vAlign w:val="bottom"/>
            <w:gridSpan w:val="5"/>
          </w:tcPr>
          <w:p>
            <w:pPr>
              <w:ind w:left="20"/>
              <w:spacing w:after="0"/>
              <w:rPr>
                <w:sz w:val="20"/>
                <w:szCs w:val="20"/>
                <w:color w:val="auto"/>
              </w:rPr>
            </w:pPr>
            <w:r>
              <w:rPr>
                <w:rFonts w:ascii="Times New Roman" w:cs="Times New Roman" w:eastAsia="Times New Roman" w:hAnsi="Times New Roman"/>
                <w:sz w:val="20"/>
                <w:szCs w:val="20"/>
                <w:color w:val="auto"/>
              </w:rPr>
              <w:t>Marshalling; Payments Set Aside</w:t>
            </w:r>
          </w:p>
        </w:tc>
        <w:tc>
          <w:tcPr>
            <w:tcW w:w="780" w:type="dxa"/>
            <w:vAlign w:val="bottom"/>
          </w:tcPr>
          <w:p>
            <w:pPr>
              <w:jc w:val="right"/>
              <w:ind w:right="381"/>
              <w:spacing w:after="0"/>
              <w:rPr>
                <w:sz w:val="20"/>
                <w:szCs w:val="20"/>
                <w:color w:val="auto"/>
              </w:rPr>
            </w:pPr>
            <w:r>
              <w:rPr>
                <w:rFonts w:ascii="Times New Roman" w:cs="Times New Roman" w:eastAsia="Times New Roman" w:hAnsi="Times New Roman"/>
                <w:sz w:val="20"/>
                <w:szCs w:val="20"/>
                <w:color w:val="auto"/>
              </w:rPr>
              <w:t>63</w:t>
            </w:r>
          </w:p>
        </w:tc>
        <w:tc>
          <w:tcPr>
            <w:tcW w:w="6160" w:type="dxa"/>
            <w:vAlign w:val="bottom"/>
          </w:tcPr>
          <w:p>
            <w:pPr>
              <w:spacing w:after="0"/>
              <w:rPr>
                <w:sz w:val="24"/>
                <w:szCs w:val="24"/>
                <w:color w:val="auto"/>
              </w:rPr>
            </w:pPr>
          </w:p>
        </w:tc>
      </w:tr>
      <w:tr>
        <w:trPr>
          <w:trHeight w:val="351"/>
        </w:trPr>
        <w:tc>
          <w:tcPr>
            <w:tcW w:w="420" w:type="dxa"/>
            <w:vAlign w:val="bottom"/>
          </w:tcPr>
          <w:p>
            <w:pPr>
              <w:spacing w:after="0"/>
              <w:rPr>
                <w:sz w:val="24"/>
                <w:szCs w:val="24"/>
                <w:color w:val="auto"/>
              </w:rPr>
            </w:pPr>
          </w:p>
        </w:tc>
        <w:tc>
          <w:tcPr>
            <w:tcW w:w="940" w:type="dxa"/>
            <w:vAlign w:val="bottom"/>
            <w:gridSpan w:val="2"/>
          </w:tcPr>
          <w:p>
            <w:pPr>
              <w:ind w:left="420"/>
              <w:spacing w:after="0"/>
              <w:rPr>
                <w:sz w:val="20"/>
                <w:szCs w:val="20"/>
                <w:color w:val="auto"/>
              </w:rPr>
            </w:pPr>
            <w:r>
              <w:rPr>
                <w:rFonts w:ascii="Times New Roman" w:cs="Times New Roman" w:eastAsia="Times New Roman" w:hAnsi="Times New Roman"/>
                <w:sz w:val="20"/>
                <w:szCs w:val="20"/>
                <w:color w:val="auto"/>
                <w:w w:val="99"/>
              </w:rPr>
              <w:t>11.12.</w:t>
            </w:r>
          </w:p>
        </w:tc>
        <w:tc>
          <w:tcPr>
            <w:tcW w:w="2940" w:type="dxa"/>
            <w:vAlign w:val="bottom"/>
            <w:gridSpan w:val="5"/>
          </w:tcPr>
          <w:p>
            <w:pPr>
              <w:ind w:left="20"/>
              <w:spacing w:after="0"/>
              <w:rPr>
                <w:sz w:val="20"/>
                <w:szCs w:val="20"/>
                <w:color w:val="auto"/>
              </w:rPr>
            </w:pPr>
            <w:r>
              <w:rPr>
                <w:rFonts w:ascii="Times New Roman" w:cs="Times New Roman" w:eastAsia="Times New Roman" w:hAnsi="Times New Roman"/>
                <w:sz w:val="20"/>
                <w:szCs w:val="20"/>
                <w:color w:val="auto"/>
              </w:rPr>
              <w:t>Electronic Execution of Documents</w:t>
            </w:r>
          </w:p>
        </w:tc>
        <w:tc>
          <w:tcPr>
            <w:tcW w:w="780" w:type="dxa"/>
            <w:vAlign w:val="bottom"/>
          </w:tcPr>
          <w:p>
            <w:pPr>
              <w:jc w:val="right"/>
              <w:ind w:right="381"/>
              <w:spacing w:after="0"/>
              <w:rPr>
                <w:sz w:val="20"/>
                <w:szCs w:val="20"/>
                <w:color w:val="auto"/>
              </w:rPr>
            </w:pPr>
            <w:r>
              <w:rPr>
                <w:rFonts w:ascii="Times New Roman" w:cs="Times New Roman" w:eastAsia="Times New Roman" w:hAnsi="Times New Roman"/>
                <w:sz w:val="20"/>
                <w:szCs w:val="20"/>
                <w:color w:val="auto"/>
              </w:rPr>
              <w:t>64</w:t>
            </w:r>
          </w:p>
        </w:tc>
        <w:tc>
          <w:tcPr>
            <w:tcW w:w="6160" w:type="dxa"/>
            <w:vAlign w:val="bottom"/>
          </w:tcPr>
          <w:p>
            <w:pPr>
              <w:spacing w:after="0"/>
              <w:rPr>
                <w:sz w:val="24"/>
                <w:szCs w:val="24"/>
                <w:color w:val="auto"/>
              </w:rPr>
            </w:pPr>
          </w:p>
        </w:tc>
      </w:tr>
      <w:tr>
        <w:trPr>
          <w:trHeight w:val="338"/>
        </w:trPr>
        <w:tc>
          <w:tcPr>
            <w:tcW w:w="420" w:type="dxa"/>
            <w:vAlign w:val="bottom"/>
          </w:tcPr>
          <w:p>
            <w:pPr>
              <w:spacing w:after="0"/>
              <w:rPr>
                <w:sz w:val="24"/>
                <w:szCs w:val="24"/>
                <w:color w:val="auto"/>
              </w:rPr>
            </w:pPr>
          </w:p>
        </w:tc>
        <w:tc>
          <w:tcPr>
            <w:tcW w:w="940" w:type="dxa"/>
            <w:vAlign w:val="bottom"/>
            <w:gridSpan w:val="2"/>
          </w:tcPr>
          <w:p>
            <w:pPr>
              <w:ind w:left="420"/>
              <w:spacing w:after="0"/>
              <w:rPr>
                <w:sz w:val="20"/>
                <w:szCs w:val="20"/>
                <w:color w:val="auto"/>
              </w:rPr>
            </w:pPr>
            <w:r>
              <w:rPr>
                <w:rFonts w:ascii="Times New Roman" w:cs="Times New Roman" w:eastAsia="Times New Roman" w:hAnsi="Times New Roman"/>
                <w:sz w:val="20"/>
                <w:szCs w:val="20"/>
                <w:color w:val="auto"/>
                <w:w w:val="99"/>
              </w:rPr>
              <w:t>11.13.</w:t>
            </w:r>
          </w:p>
        </w:tc>
        <w:tc>
          <w:tcPr>
            <w:tcW w:w="10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Captions</w:t>
            </w:r>
          </w:p>
        </w:tc>
        <w:tc>
          <w:tcPr>
            <w:tcW w:w="34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w w:val="99"/>
              </w:rPr>
              <w:t>64</w:t>
            </w: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160" w:type="dxa"/>
            <w:vAlign w:val="bottom"/>
          </w:tcPr>
          <w:p>
            <w:pPr>
              <w:spacing w:after="0"/>
              <w:rPr>
                <w:sz w:val="24"/>
                <w:szCs w:val="24"/>
                <w:color w:val="auto"/>
              </w:rPr>
            </w:pPr>
          </w:p>
        </w:tc>
      </w:tr>
      <w:tr>
        <w:trPr>
          <w:trHeight w:val="338"/>
        </w:trPr>
        <w:tc>
          <w:tcPr>
            <w:tcW w:w="420" w:type="dxa"/>
            <w:vAlign w:val="bottom"/>
          </w:tcPr>
          <w:p>
            <w:pPr>
              <w:spacing w:after="0"/>
              <w:rPr>
                <w:sz w:val="24"/>
                <w:szCs w:val="24"/>
                <w:color w:val="auto"/>
              </w:rPr>
            </w:pPr>
          </w:p>
        </w:tc>
        <w:tc>
          <w:tcPr>
            <w:tcW w:w="940" w:type="dxa"/>
            <w:vAlign w:val="bottom"/>
            <w:gridSpan w:val="2"/>
          </w:tcPr>
          <w:p>
            <w:pPr>
              <w:ind w:left="420"/>
              <w:spacing w:after="0"/>
              <w:rPr>
                <w:sz w:val="20"/>
                <w:szCs w:val="20"/>
                <w:color w:val="auto"/>
              </w:rPr>
            </w:pPr>
            <w:r>
              <w:rPr>
                <w:rFonts w:ascii="Times New Roman" w:cs="Times New Roman" w:eastAsia="Times New Roman" w:hAnsi="Times New Roman"/>
                <w:sz w:val="20"/>
                <w:szCs w:val="20"/>
                <w:color w:val="auto"/>
                <w:w w:val="99"/>
              </w:rPr>
              <w:t>11.14.</w:t>
            </w:r>
          </w:p>
        </w:tc>
        <w:tc>
          <w:tcPr>
            <w:tcW w:w="2620" w:type="dxa"/>
            <w:vAlign w:val="bottom"/>
            <w:gridSpan w:val="4"/>
          </w:tcPr>
          <w:p>
            <w:pPr>
              <w:ind w:left="20"/>
              <w:spacing w:after="0"/>
              <w:rPr>
                <w:sz w:val="20"/>
                <w:szCs w:val="20"/>
                <w:color w:val="auto"/>
              </w:rPr>
            </w:pPr>
            <w:r>
              <w:rPr>
                <w:rFonts w:ascii="Times New Roman" w:cs="Times New Roman" w:eastAsia="Times New Roman" w:hAnsi="Times New Roman"/>
                <w:sz w:val="20"/>
                <w:szCs w:val="20"/>
                <w:color w:val="auto"/>
              </w:rPr>
              <w:t>Construction of Agreement 64</w:t>
            </w: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160" w:type="dxa"/>
            <w:vAlign w:val="bottom"/>
          </w:tcPr>
          <w:p>
            <w:pPr>
              <w:spacing w:after="0"/>
              <w:rPr>
                <w:sz w:val="24"/>
                <w:szCs w:val="24"/>
                <w:color w:val="auto"/>
              </w:rPr>
            </w:pPr>
          </w:p>
        </w:tc>
      </w:tr>
      <w:tr>
        <w:trPr>
          <w:trHeight w:val="338"/>
        </w:trPr>
        <w:tc>
          <w:tcPr>
            <w:tcW w:w="420" w:type="dxa"/>
            <w:vAlign w:val="bottom"/>
          </w:tcPr>
          <w:p>
            <w:pPr>
              <w:spacing w:after="0"/>
              <w:rPr>
                <w:sz w:val="24"/>
                <w:szCs w:val="24"/>
                <w:color w:val="auto"/>
              </w:rPr>
            </w:pPr>
          </w:p>
        </w:tc>
        <w:tc>
          <w:tcPr>
            <w:tcW w:w="940" w:type="dxa"/>
            <w:vAlign w:val="bottom"/>
            <w:gridSpan w:val="2"/>
          </w:tcPr>
          <w:p>
            <w:pPr>
              <w:ind w:left="420"/>
              <w:spacing w:after="0"/>
              <w:rPr>
                <w:sz w:val="20"/>
                <w:szCs w:val="20"/>
                <w:color w:val="auto"/>
              </w:rPr>
            </w:pPr>
            <w:r>
              <w:rPr>
                <w:rFonts w:ascii="Times New Roman" w:cs="Times New Roman" w:eastAsia="Times New Roman" w:hAnsi="Times New Roman"/>
                <w:sz w:val="20"/>
                <w:szCs w:val="20"/>
                <w:color w:val="auto"/>
                <w:w w:val="99"/>
              </w:rPr>
              <w:t>11.15.</w:t>
            </w:r>
          </w:p>
        </w:tc>
        <w:tc>
          <w:tcPr>
            <w:tcW w:w="1040" w:type="dxa"/>
            <w:vAlign w:val="bottom"/>
          </w:tcPr>
          <w:p>
            <w:pPr>
              <w:ind w:left="20"/>
              <w:spacing w:after="0"/>
              <w:rPr>
                <w:sz w:val="20"/>
                <w:szCs w:val="20"/>
                <w:color w:val="auto"/>
              </w:rPr>
            </w:pPr>
            <w:r>
              <w:rPr>
                <w:rFonts w:ascii="Times New Roman" w:cs="Times New Roman" w:eastAsia="Times New Roman" w:hAnsi="Times New Roman"/>
                <w:sz w:val="20"/>
                <w:szCs w:val="20"/>
                <w:color w:val="auto"/>
                <w:w w:val="96"/>
              </w:rPr>
              <w:t>Third Parties</w:t>
            </w:r>
          </w:p>
        </w:tc>
        <w:tc>
          <w:tcPr>
            <w:tcW w:w="340" w:type="dxa"/>
            <w:vAlign w:val="bottom"/>
          </w:tcPr>
          <w:p>
            <w:pPr>
              <w:spacing w:after="0"/>
              <w:rPr>
                <w:sz w:val="24"/>
                <w:szCs w:val="24"/>
                <w:color w:val="auto"/>
              </w:rPr>
            </w:pPr>
          </w:p>
        </w:tc>
        <w:tc>
          <w:tcPr>
            <w:tcW w:w="38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64</w:t>
            </w: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160" w:type="dxa"/>
            <w:vAlign w:val="bottom"/>
          </w:tcPr>
          <w:p>
            <w:pPr>
              <w:spacing w:after="0"/>
              <w:rPr>
                <w:sz w:val="24"/>
                <w:szCs w:val="24"/>
                <w:color w:val="auto"/>
              </w:rPr>
            </w:pPr>
          </w:p>
        </w:tc>
      </w:tr>
      <w:tr>
        <w:trPr>
          <w:trHeight w:val="351"/>
        </w:trPr>
        <w:tc>
          <w:tcPr>
            <w:tcW w:w="420" w:type="dxa"/>
            <w:vAlign w:val="bottom"/>
          </w:tcPr>
          <w:p>
            <w:pPr>
              <w:spacing w:after="0"/>
              <w:rPr>
                <w:sz w:val="24"/>
                <w:szCs w:val="24"/>
                <w:color w:val="auto"/>
              </w:rPr>
            </w:pPr>
          </w:p>
        </w:tc>
        <w:tc>
          <w:tcPr>
            <w:tcW w:w="940" w:type="dxa"/>
            <w:vAlign w:val="bottom"/>
            <w:gridSpan w:val="2"/>
          </w:tcPr>
          <w:p>
            <w:pPr>
              <w:ind w:left="420"/>
              <w:spacing w:after="0"/>
              <w:rPr>
                <w:sz w:val="20"/>
                <w:szCs w:val="20"/>
                <w:color w:val="auto"/>
              </w:rPr>
            </w:pPr>
            <w:r>
              <w:rPr>
                <w:rFonts w:ascii="Times New Roman" w:cs="Times New Roman" w:eastAsia="Times New Roman" w:hAnsi="Times New Roman"/>
                <w:sz w:val="20"/>
                <w:szCs w:val="20"/>
                <w:color w:val="auto"/>
                <w:w w:val="99"/>
              </w:rPr>
              <w:t>11.16.</w:t>
            </w:r>
          </w:p>
        </w:tc>
        <w:tc>
          <w:tcPr>
            <w:tcW w:w="2620" w:type="dxa"/>
            <w:vAlign w:val="bottom"/>
            <w:gridSpan w:val="4"/>
          </w:tcPr>
          <w:p>
            <w:pPr>
              <w:ind w:left="20"/>
              <w:spacing w:after="0"/>
              <w:rPr>
                <w:sz w:val="20"/>
                <w:szCs w:val="20"/>
                <w:color w:val="auto"/>
              </w:rPr>
            </w:pPr>
            <w:r>
              <w:rPr>
                <w:rFonts w:ascii="Times New Roman" w:cs="Times New Roman" w:eastAsia="Times New Roman" w:hAnsi="Times New Roman"/>
                <w:sz w:val="20"/>
                <w:szCs w:val="20"/>
                <w:color w:val="auto"/>
              </w:rPr>
              <w:t>No Advisory or Fiduciary Duty</w:t>
            </w:r>
          </w:p>
        </w:tc>
        <w:tc>
          <w:tcPr>
            <w:tcW w:w="3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w w:val="99"/>
              </w:rPr>
              <w:t>64</w:t>
            </w:r>
          </w:p>
        </w:tc>
        <w:tc>
          <w:tcPr>
            <w:tcW w:w="780" w:type="dxa"/>
            <w:vAlign w:val="bottom"/>
          </w:tcPr>
          <w:p>
            <w:pPr>
              <w:spacing w:after="0"/>
              <w:rPr>
                <w:sz w:val="24"/>
                <w:szCs w:val="24"/>
                <w:color w:val="auto"/>
              </w:rPr>
            </w:pPr>
          </w:p>
        </w:tc>
        <w:tc>
          <w:tcPr>
            <w:tcW w:w="6160" w:type="dxa"/>
            <w:vAlign w:val="bottom"/>
          </w:tcPr>
          <w:p>
            <w:pPr>
              <w:spacing w:after="0"/>
              <w:rPr>
                <w:sz w:val="24"/>
                <w:szCs w:val="24"/>
                <w:color w:val="auto"/>
              </w:rPr>
            </w:pPr>
          </w:p>
        </w:tc>
      </w:tr>
      <w:tr>
        <w:trPr>
          <w:trHeight w:val="338"/>
        </w:trPr>
        <w:tc>
          <w:tcPr>
            <w:tcW w:w="420" w:type="dxa"/>
            <w:vAlign w:val="bottom"/>
          </w:tcPr>
          <w:p>
            <w:pPr>
              <w:spacing w:after="0"/>
              <w:rPr>
                <w:sz w:val="24"/>
                <w:szCs w:val="24"/>
                <w:color w:val="auto"/>
              </w:rPr>
            </w:pPr>
          </w:p>
        </w:tc>
        <w:tc>
          <w:tcPr>
            <w:tcW w:w="940" w:type="dxa"/>
            <w:vAlign w:val="bottom"/>
            <w:gridSpan w:val="2"/>
          </w:tcPr>
          <w:p>
            <w:pPr>
              <w:ind w:left="420"/>
              <w:spacing w:after="0"/>
              <w:rPr>
                <w:sz w:val="20"/>
                <w:szCs w:val="20"/>
                <w:color w:val="auto"/>
              </w:rPr>
            </w:pPr>
            <w:r>
              <w:rPr>
                <w:rFonts w:ascii="Times New Roman" w:cs="Times New Roman" w:eastAsia="Times New Roman" w:hAnsi="Times New Roman"/>
                <w:sz w:val="20"/>
                <w:szCs w:val="20"/>
                <w:color w:val="auto"/>
                <w:w w:val="99"/>
              </w:rPr>
              <w:t>11.17.</w:t>
            </w:r>
          </w:p>
        </w:tc>
        <w:tc>
          <w:tcPr>
            <w:tcW w:w="2940" w:type="dxa"/>
            <w:vAlign w:val="bottom"/>
            <w:gridSpan w:val="5"/>
          </w:tcPr>
          <w:p>
            <w:pPr>
              <w:ind w:left="20"/>
              <w:spacing w:after="0"/>
              <w:rPr>
                <w:sz w:val="20"/>
                <w:szCs w:val="20"/>
                <w:color w:val="auto"/>
              </w:rPr>
            </w:pPr>
            <w:r>
              <w:rPr>
                <w:rFonts w:ascii="Times New Roman" w:cs="Times New Roman" w:eastAsia="Times New Roman" w:hAnsi="Times New Roman"/>
                <w:sz w:val="20"/>
                <w:szCs w:val="20"/>
                <w:color w:val="auto"/>
              </w:rPr>
              <w:t>Contractual Recognition of Bail-In</w:t>
            </w:r>
          </w:p>
        </w:tc>
        <w:tc>
          <w:tcPr>
            <w:tcW w:w="780" w:type="dxa"/>
            <w:vAlign w:val="bottom"/>
          </w:tcPr>
          <w:p>
            <w:pPr>
              <w:jc w:val="right"/>
              <w:ind w:right="381"/>
              <w:spacing w:after="0"/>
              <w:rPr>
                <w:sz w:val="20"/>
                <w:szCs w:val="20"/>
                <w:color w:val="auto"/>
              </w:rPr>
            </w:pPr>
            <w:r>
              <w:rPr>
                <w:rFonts w:ascii="Times New Roman" w:cs="Times New Roman" w:eastAsia="Times New Roman" w:hAnsi="Times New Roman"/>
                <w:sz w:val="20"/>
                <w:szCs w:val="20"/>
                <w:color w:val="auto"/>
              </w:rPr>
              <w:t>65</w:t>
            </w:r>
          </w:p>
        </w:tc>
        <w:tc>
          <w:tcPr>
            <w:tcW w:w="6160" w:type="dxa"/>
            <w:vAlign w:val="bottom"/>
          </w:tcPr>
          <w:p>
            <w:pPr>
              <w:spacing w:after="0"/>
              <w:rPr>
                <w:sz w:val="24"/>
                <w:szCs w:val="24"/>
                <w:color w:val="auto"/>
              </w:rPr>
            </w:pPr>
          </w:p>
        </w:tc>
      </w:tr>
      <w:tr>
        <w:trPr>
          <w:trHeight w:val="338"/>
        </w:trPr>
        <w:tc>
          <w:tcPr>
            <w:tcW w:w="420" w:type="dxa"/>
            <w:vAlign w:val="bottom"/>
          </w:tcPr>
          <w:p>
            <w:pPr>
              <w:spacing w:after="0"/>
              <w:rPr>
                <w:sz w:val="24"/>
                <w:szCs w:val="24"/>
                <w:color w:val="auto"/>
              </w:rPr>
            </w:pPr>
          </w:p>
        </w:tc>
        <w:tc>
          <w:tcPr>
            <w:tcW w:w="940" w:type="dxa"/>
            <w:vAlign w:val="bottom"/>
            <w:gridSpan w:val="2"/>
          </w:tcPr>
          <w:p>
            <w:pPr>
              <w:ind w:left="420"/>
              <w:spacing w:after="0"/>
              <w:rPr>
                <w:sz w:val="20"/>
                <w:szCs w:val="20"/>
                <w:color w:val="auto"/>
              </w:rPr>
            </w:pPr>
            <w:r>
              <w:rPr>
                <w:rFonts w:ascii="Times New Roman" w:cs="Times New Roman" w:eastAsia="Times New Roman" w:hAnsi="Times New Roman"/>
                <w:sz w:val="20"/>
                <w:szCs w:val="20"/>
                <w:color w:val="auto"/>
                <w:w w:val="99"/>
              </w:rPr>
              <w:t>11.18.</w:t>
            </w:r>
          </w:p>
        </w:tc>
        <w:tc>
          <w:tcPr>
            <w:tcW w:w="2620" w:type="dxa"/>
            <w:vAlign w:val="bottom"/>
            <w:gridSpan w:val="4"/>
          </w:tcPr>
          <w:p>
            <w:pPr>
              <w:ind w:left="20"/>
              <w:spacing w:after="0"/>
              <w:rPr>
                <w:sz w:val="20"/>
                <w:szCs w:val="20"/>
                <w:color w:val="auto"/>
              </w:rPr>
            </w:pPr>
            <w:r>
              <w:rPr>
                <w:rFonts w:ascii="Times New Roman" w:cs="Times New Roman" w:eastAsia="Times New Roman" w:hAnsi="Times New Roman"/>
                <w:sz w:val="20"/>
                <w:szCs w:val="20"/>
                <w:color w:val="auto"/>
                <w:w w:val="98"/>
              </w:rPr>
              <w:t>Currency Equivalents Generally.</w:t>
            </w:r>
          </w:p>
        </w:tc>
        <w:tc>
          <w:tcPr>
            <w:tcW w:w="320" w:type="dxa"/>
            <w:vAlign w:val="bottom"/>
          </w:tcPr>
          <w:p>
            <w:pPr>
              <w:spacing w:after="0"/>
              <w:rPr>
                <w:sz w:val="24"/>
                <w:szCs w:val="24"/>
                <w:color w:val="auto"/>
              </w:rPr>
            </w:pPr>
          </w:p>
        </w:tc>
        <w:tc>
          <w:tcPr>
            <w:tcW w:w="780" w:type="dxa"/>
            <w:vAlign w:val="bottom"/>
          </w:tcPr>
          <w:p>
            <w:pPr>
              <w:jc w:val="right"/>
              <w:ind w:right="381"/>
              <w:spacing w:after="0"/>
              <w:rPr>
                <w:sz w:val="20"/>
                <w:szCs w:val="20"/>
                <w:color w:val="auto"/>
              </w:rPr>
            </w:pPr>
            <w:r>
              <w:rPr>
                <w:rFonts w:ascii="Times New Roman" w:cs="Times New Roman" w:eastAsia="Times New Roman" w:hAnsi="Times New Roman"/>
                <w:sz w:val="20"/>
                <w:szCs w:val="20"/>
                <w:color w:val="auto"/>
              </w:rPr>
              <w:t>65</w:t>
            </w:r>
          </w:p>
        </w:tc>
        <w:tc>
          <w:tcPr>
            <w:tcW w:w="6160" w:type="dxa"/>
            <w:vAlign w:val="bottom"/>
          </w:tcPr>
          <w:p>
            <w:pPr>
              <w:spacing w:after="0"/>
              <w:rPr>
                <w:sz w:val="24"/>
                <w:szCs w:val="24"/>
                <w:color w:val="auto"/>
              </w:rPr>
            </w:pPr>
          </w:p>
        </w:tc>
      </w:tr>
      <w:tr>
        <w:trPr>
          <w:trHeight w:val="338"/>
        </w:trPr>
        <w:tc>
          <w:tcPr>
            <w:tcW w:w="420" w:type="dxa"/>
            <w:vAlign w:val="bottom"/>
          </w:tcPr>
          <w:p>
            <w:pPr>
              <w:spacing w:after="0"/>
              <w:rPr>
                <w:sz w:val="24"/>
                <w:szCs w:val="24"/>
                <w:color w:val="auto"/>
              </w:rPr>
            </w:pPr>
          </w:p>
        </w:tc>
        <w:tc>
          <w:tcPr>
            <w:tcW w:w="940" w:type="dxa"/>
            <w:vAlign w:val="bottom"/>
            <w:gridSpan w:val="2"/>
          </w:tcPr>
          <w:p>
            <w:pPr>
              <w:ind w:left="420"/>
              <w:spacing w:after="0"/>
              <w:rPr>
                <w:sz w:val="20"/>
                <w:szCs w:val="20"/>
                <w:color w:val="auto"/>
              </w:rPr>
            </w:pPr>
            <w:r>
              <w:rPr>
                <w:rFonts w:ascii="Times New Roman" w:cs="Times New Roman" w:eastAsia="Times New Roman" w:hAnsi="Times New Roman"/>
                <w:sz w:val="20"/>
                <w:szCs w:val="20"/>
                <w:color w:val="auto"/>
                <w:w w:val="99"/>
              </w:rPr>
              <w:t>11.19.</w:t>
            </w:r>
          </w:p>
        </w:tc>
        <w:tc>
          <w:tcPr>
            <w:tcW w:w="138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Reinstatement</w:t>
            </w:r>
          </w:p>
        </w:tc>
        <w:tc>
          <w:tcPr>
            <w:tcW w:w="38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65</w:t>
            </w: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160" w:type="dxa"/>
            <w:vAlign w:val="bottom"/>
          </w:tcPr>
          <w:p>
            <w:pPr>
              <w:spacing w:after="0"/>
              <w:rPr>
                <w:sz w:val="24"/>
                <w:szCs w:val="24"/>
                <w:color w:val="auto"/>
              </w:rPr>
            </w:pPr>
          </w:p>
        </w:tc>
      </w:tr>
      <w:tr>
        <w:trPr>
          <w:trHeight w:val="351"/>
        </w:trPr>
        <w:tc>
          <w:tcPr>
            <w:tcW w:w="420" w:type="dxa"/>
            <w:vAlign w:val="bottom"/>
          </w:tcPr>
          <w:p>
            <w:pPr>
              <w:spacing w:after="0"/>
              <w:rPr>
                <w:sz w:val="24"/>
                <w:szCs w:val="24"/>
                <w:color w:val="auto"/>
              </w:rPr>
            </w:pPr>
          </w:p>
        </w:tc>
        <w:tc>
          <w:tcPr>
            <w:tcW w:w="940" w:type="dxa"/>
            <w:vAlign w:val="bottom"/>
            <w:gridSpan w:val="2"/>
          </w:tcPr>
          <w:p>
            <w:pPr>
              <w:ind w:left="420"/>
              <w:spacing w:after="0"/>
              <w:rPr>
                <w:sz w:val="20"/>
                <w:szCs w:val="20"/>
                <w:color w:val="auto"/>
              </w:rPr>
            </w:pPr>
            <w:r>
              <w:rPr>
                <w:rFonts w:ascii="Times New Roman" w:cs="Times New Roman" w:eastAsia="Times New Roman" w:hAnsi="Times New Roman"/>
                <w:sz w:val="20"/>
                <w:szCs w:val="20"/>
                <w:color w:val="auto"/>
                <w:w w:val="99"/>
              </w:rPr>
              <w:t>11.20.</w:t>
            </w:r>
          </w:p>
        </w:tc>
        <w:tc>
          <w:tcPr>
            <w:tcW w:w="1760" w:type="dxa"/>
            <w:vAlign w:val="bottom"/>
            <w:gridSpan w:val="3"/>
          </w:tcPr>
          <w:p>
            <w:pPr>
              <w:ind w:left="20"/>
              <w:spacing w:after="0"/>
              <w:rPr>
                <w:sz w:val="20"/>
                <w:szCs w:val="20"/>
                <w:color w:val="auto"/>
              </w:rPr>
            </w:pPr>
            <w:r>
              <w:rPr>
                <w:rFonts w:ascii="Times New Roman" w:cs="Times New Roman" w:eastAsia="Times New Roman" w:hAnsi="Times New Roman"/>
                <w:sz w:val="20"/>
                <w:szCs w:val="20"/>
                <w:color w:val="auto"/>
              </w:rPr>
              <w:t>Restricted Licenses</w:t>
            </w:r>
          </w:p>
        </w:tc>
        <w:tc>
          <w:tcPr>
            <w:tcW w:w="860" w:type="dxa"/>
            <w:vAlign w:val="bottom"/>
          </w:tcPr>
          <w:p>
            <w:pPr>
              <w:jc w:val="right"/>
              <w:ind w:right="481"/>
              <w:spacing w:after="0"/>
              <w:rPr>
                <w:sz w:val="20"/>
                <w:szCs w:val="20"/>
                <w:color w:val="auto"/>
              </w:rPr>
            </w:pPr>
            <w:r>
              <w:rPr>
                <w:rFonts w:ascii="Times New Roman" w:cs="Times New Roman" w:eastAsia="Times New Roman" w:hAnsi="Times New Roman"/>
                <w:sz w:val="20"/>
                <w:szCs w:val="20"/>
                <w:color w:val="auto"/>
              </w:rPr>
              <w:t>66</w:t>
            </w: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160" w:type="dxa"/>
            <w:vAlign w:val="bottom"/>
          </w:tcPr>
          <w:p>
            <w:pPr>
              <w:spacing w:after="0"/>
              <w:rPr>
                <w:sz w:val="24"/>
                <w:szCs w:val="24"/>
                <w:color w:val="auto"/>
              </w:rPr>
            </w:pPr>
          </w:p>
        </w:tc>
      </w:tr>
      <w:tr>
        <w:trPr>
          <w:trHeight w:val="338"/>
        </w:trPr>
        <w:tc>
          <w:tcPr>
            <w:tcW w:w="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w:t>
            </w:r>
          </w:p>
        </w:tc>
        <w:tc>
          <w:tcPr>
            <w:tcW w:w="198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AGENT 66</w:t>
            </w: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160" w:type="dxa"/>
            <w:vAlign w:val="bottom"/>
          </w:tcPr>
          <w:p>
            <w:pPr>
              <w:spacing w:after="0"/>
              <w:rPr>
                <w:sz w:val="24"/>
                <w:szCs w:val="24"/>
                <w:color w:val="auto"/>
              </w:rPr>
            </w:pPr>
          </w:p>
        </w:tc>
      </w:tr>
      <w:tr>
        <w:trPr>
          <w:trHeight w:val="337"/>
        </w:trPr>
        <w:tc>
          <w:tcPr>
            <w:tcW w:w="420" w:type="dxa"/>
            <w:vAlign w:val="bottom"/>
          </w:tcPr>
          <w:p>
            <w:pPr>
              <w:spacing w:after="0"/>
              <w:rPr>
                <w:sz w:val="24"/>
                <w:szCs w:val="24"/>
                <w:color w:val="auto"/>
              </w:rPr>
            </w:pPr>
          </w:p>
        </w:tc>
        <w:tc>
          <w:tcPr>
            <w:tcW w:w="840" w:type="dxa"/>
            <w:vAlign w:val="bottom"/>
          </w:tcPr>
          <w:p>
            <w:pPr>
              <w:ind w:left="420"/>
              <w:spacing w:after="0"/>
              <w:rPr>
                <w:sz w:val="20"/>
                <w:szCs w:val="20"/>
                <w:color w:val="auto"/>
              </w:rPr>
            </w:pPr>
            <w:r>
              <w:rPr>
                <w:rFonts w:ascii="Times New Roman" w:cs="Times New Roman" w:eastAsia="Times New Roman" w:hAnsi="Times New Roman"/>
                <w:sz w:val="20"/>
                <w:szCs w:val="20"/>
                <w:color w:val="auto"/>
                <w:w w:val="99"/>
              </w:rPr>
              <w:t>12.1.</w:t>
            </w:r>
          </w:p>
        </w:tc>
        <w:tc>
          <w:tcPr>
            <w:tcW w:w="2720" w:type="dxa"/>
            <w:vAlign w:val="bottom"/>
            <w:gridSpan w:val="5"/>
          </w:tcPr>
          <w:p>
            <w:pPr>
              <w:ind w:left="20"/>
              <w:spacing w:after="0"/>
              <w:rPr>
                <w:sz w:val="20"/>
                <w:szCs w:val="20"/>
                <w:color w:val="auto"/>
              </w:rPr>
            </w:pPr>
            <w:r>
              <w:rPr>
                <w:rFonts w:ascii="Times New Roman" w:cs="Times New Roman" w:eastAsia="Times New Roman" w:hAnsi="Times New Roman"/>
                <w:sz w:val="20"/>
                <w:szCs w:val="20"/>
                <w:color w:val="auto"/>
              </w:rPr>
              <w:t>Appointment and Authority 66</w:t>
            </w: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160" w:type="dxa"/>
            <w:vAlign w:val="bottom"/>
          </w:tcPr>
          <w:p>
            <w:pPr>
              <w:spacing w:after="0"/>
              <w:rPr>
                <w:sz w:val="24"/>
                <w:szCs w:val="24"/>
                <w:color w:val="auto"/>
              </w:rPr>
            </w:pPr>
          </w:p>
        </w:tc>
      </w:tr>
      <w:tr>
        <w:trPr>
          <w:trHeight w:val="351"/>
        </w:trPr>
        <w:tc>
          <w:tcPr>
            <w:tcW w:w="420" w:type="dxa"/>
            <w:vAlign w:val="bottom"/>
          </w:tcPr>
          <w:p>
            <w:pPr>
              <w:spacing w:after="0"/>
              <w:rPr>
                <w:sz w:val="24"/>
                <w:szCs w:val="24"/>
                <w:color w:val="auto"/>
              </w:rPr>
            </w:pPr>
          </w:p>
        </w:tc>
        <w:tc>
          <w:tcPr>
            <w:tcW w:w="840" w:type="dxa"/>
            <w:vAlign w:val="bottom"/>
          </w:tcPr>
          <w:p>
            <w:pPr>
              <w:ind w:left="420"/>
              <w:spacing w:after="0"/>
              <w:rPr>
                <w:sz w:val="20"/>
                <w:szCs w:val="20"/>
                <w:color w:val="auto"/>
              </w:rPr>
            </w:pPr>
            <w:r>
              <w:rPr>
                <w:rFonts w:ascii="Times New Roman" w:cs="Times New Roman" w:eastAsia="Times New Roman" w:hAnsi="Times New Roman"/>
                <w:sz w:val="20"/>
                <w:szCs w:val="20"/>
                <w:color w:val="auto"/>
                <w:w w:val="99"/>
              </w:rPr>
              <w:t>12.2.</w:t>
            </w:r>
          </w:p>
        </w:tc>
        <w:tc>
          <w:tcPr>
            <w:tcW w:w="100" w:type="dxa"/>
            <w:vAlign w:val="bottom"/>
          </w:tcPr>
          <w:p>
            <w:pPr>
              <w:spacing w:after="0"/>
              <w:rPr>
                <w:sz w:val="24"/>
                <w:szCs w:val="24"/>
                <w:color w:val="auto"/>
              </w:rPr>
            </w:pPr>
          </w:p>
        </w:tc>
        <w:tc>
          <w:tcPr>
            <w:tcW w:w="1380" w:type="dxa"/>
            <w:vAlign w:val="bottom"/>
            <w:gridSpan w:val="2"/>
          </w:tcPr>
          <w:p>
            <w:pPr>
              <w:ind w:left="260"/>
              <w:spacing w:after="0"/>
              <w:rPr>
                <w:sz w:val="20"/>
                <w:szCs w:val="20"/>
                <w:color w:val="auto"/>
              </w:rPr>
            </w:pPr>
            <w:r>
              <w:rPr>
                <w:rFonts w:ascii="Times New Roman" w:cs="Times New Roman" w:eastAsia="Times New Roman" w:hAnsi="Times New Roman"/>
                <w:sz w:val="20"/>
                <w:szCs w:val="20"/>
                <w:color w:val="auto"/>
              </w:rPr>
              <w:t>[Reserved]</w:t>
            </w:r>
          </w:p>
        </w:tc>
        <w:tc>
          <w:tcPr>
            <w:tcW w:w="38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66</w:t>
            </w: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160" w:type="dxa"/>
            <w:vAlign w:val="bottom"/>
          </w:tcPr>
          <w:p>
            <w:pPr>
              <w:spacing w:after="0"/>
              <w:rPr>
                <w:sz w:val="24"/>
                <w:szCs w:val="24"/>
                <w:color w:val="auto"/>
              </w:rPr>
            </w:pPr>
          </w:p>
        </w:tc>
      </w:tr>
      <w:tr>
        <w:trPr>
          <w:trHeight w:val="338"/>
        </w:trPr>
        <w:tc>
          <w:tcPr>
            <w:tcW w:w="420" w:type="dxa"/>
            <w:vAlign w:val="bottom"/>
          </w:tcPr>
          <w:p>
            <w:pPr>
              <w:spacing w:after="0"/>
              <w:rPr>
                <w:sz w:val="24"/>
                <w:szCs w:val="24"/>
                <w:color w:val="auto"/>
              </w:rPr>
            </w:pPr>
          </w:p>
        </w:tc>
        <w:tc>
          <w:tcPr>
            <w:tcW w:w="840" w:type="dxa"/>
            <w:vAlign w:val="bottom"/>
          </w:tcPr>
          <w:p>
            <w:pPr>
              <w:ind w:left="420"/>
              <w:spacing w:after="0"/>
              <w:rPr>
                <w:sz w:val="20"/>
                <w:szCs w:val="20"/>
                <w:color w:val="auto"/>
              </w:rPr>
            </w:pPr>
            <w:r>
              <w:rPr>
                <w:rFonts w:ascii="Times New Roman" w:cs="Times New Roman" w:eastAsia="Times New Roman" w:hAnsi="Times New Roman"/>
                <w:sz w:val="20"/>
                <w:szCs w:val="20"/>
                <w:color w:val="auto"/>
                <w:w w:val="99"/>
              </w:rPr>
              <w:t>12.3.</w:t>
            </w:r>
          </w:p>
        </w:tc>
        <w:tc>
          <w:tcPr>
            <w:tcW w:w="2720" w:type="dxa"/>
            <w:vAlign w:val="bottom"/>
            <w:gridSpan w:val="5"/>
          </w:tcPr>
          <w:p>
            <w:pPr>
              <w:ind w:left="20"/>
              <w:spacing w:after="0"/>
              <w:rPr>
                <w:sz w:val="20"/>
                <w:szCs w:val="20"/>
                <w:color w:val="auto"/>
              </w:rPr>
            </w:pPr>
            <w:r>
              <w:rPr>
                <w:rFonts w:ascii="Times New Roman" w:cs="Times New Roman" w:eastAsia="Times New Roman" w:hAnsi="Times New Roman"/>
                <w:sz w:val="20"/>
                <w:szCs w:val="20"/>
                <w:color w:val="auto"/>
              </w:rPr>
              <w:t>Exculpatory Provisions 67</w:t>
            </w: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160" w:type="dxa"/>
            <w:vAlign w:val="bottom"/>
          </w:tcPr>
          <w:p>
            <w:pPr>
              <w:spacing w:after="0"/>
              <w:rPr>
                <w:sz w:val="24"/>
                <w:szCs w:val="24"/>
                <w:color w:val="auto"/>
              </w:rPr>
            </w:pPr>
          </w:p>
        </w:tc>
      </w:tr>
      <w:tr>
        <w:trPr>
          <w:trHeight w:val="338"/>
        </w:trPr>
        <w:tc>
          <w:tcPr>
            <w:tcW w:w="420" w:type="dxa"/>
            <w:vAlign w:val="bottom"/>
          </w:tcPr>
          <w:p>
            <w:pPr>
              <w:spacing w:after="0"/>
              <w:rPr>
                <w:sz w:val="24"/>
                <w:szCs w:val="24"/>
                <w:color w:val="auto"/>
              </w:rPr>
            </w:pPr>
          </w:p>
        </w:tc>
        <w:tc>
          <w:tcPr>
            <w:tcW w:w="840" w:type="dxa"/>
            <w:vAlign w:val="bottom"/>
          </w:tcPr>
          <w:p>
            <w:pPr>
              <w:ind w:left="420"/>
              <w:spacing w:after="0"/>
              <w:rPr>
                <w:sz w:val="20"/>
                <w:szCs w:val="20"/>
                <w:color w:val="auto"/>
              </w:rPr>
            </w:pPr>
            <w:r>
              <w:rPr>
                <w:rFonts w:ascii="Times New Roman" w:cs="Times New Roman" w:eastAsia="Times New Roman" w:hAnsi="Times New Roman"/>
                <w:sz w:val="20"/>
                <w:szCs w:val="20"/>
                <w:color w:val="auto"/>
                <w:w w:val="99"/>
              </w:rPr>
              <w:t>12.4.</w:t>
            </w:r>
          </w:p>
        </w:tc>
        <w:tc>
          <w:tcPr>
            <w:tcW w:w="1860" w:type="dxa"/>
            <w:vAlign w:val="bottom"/>
            <w:gridSpan w:val="4"/>
          </w:tcPr>
          <w:p>
            <w:pPr>
              <w:ind w:left="20"/>
              <w:spacing w:after="0"/>
              <w:rPr>
                <w:sz w:val="20"/>
                <w:szCs w:val="20"/>
                <w:color w:val="auto"/>
              </w:rPr>
            </w:pPr>
            <w:r>
              <w:rPr>
                <w:rFonts w:ascii="Times New Roman" w:cs="Times New Roman" w:eastAsia="Times New Roman" w:hAnsi="Times New Roman"/>
                <w:sz w:val="20"/>
                <w:szCs w:val="20"/>
                <w:color w:val="auto"/>
              </w:rPr>
              <w:t>Reliance by Agent 69</w:t>
            </w: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160" w:type="dxa"/>
            <w:vAlign w:val="bottom"/>
          </w:tcPr>
          <w:p>
            <w:pPr>
              <w:spacing w:after="0"/>
              <w:rPr>
                <w:sz w:val="24"/>
                <w:szCs w:val="24"/>
                <w:color w:val="auto"/>
              </w:rPr>
            </w:pPr>
          </w:p>
        </w:tc>
      </w:tr>
      <w:tr>
        <w:trPr>
          <w:trHeight w:val="338"/>
        </w:trPr>
        <w:tc>
          <w:tcPr>
            <w:tcW w:w="420" w:type="dxa"/>
            <w:vAlign w:val="bottom"/>
          </w:tcPr>
          <w:p>
            <w:pPr>
              <w:spacing w:after="0"/>
              <w:rPr>
                <w:sz w:val="24"/>
                <w:szCs w:val="24"/>
                <w:color w:val="auto"/>
              </w:rPr>
            </w:pPr>
          </w:p>
        </w:tc>
        <w:tc>
          <w:tcPr>
            <w:tcW w:w="840" w:type="dxa"/>
            <w:vAlign w:val="bottom"/>
          </w:tcPr>
          <w:p>
            <w:pPr>
              <w:ind w:left="420"/>
              <w:spacing w:after="0"/>
              <w:rPr>
                <w:sz w:val="20"/>
                <w:szCs w:val="20"/>
                <w:color w:val="auto"/>
              </w:rPr>
            </w:pPr>
            <w:r>
              <w:rPr>
                <w:rFonts w:ascii="Times New Roman" w:cs="Times New Roman" w:eastAsia="Times New Roman" w:hAnsi="Times New Roman"/>
                <w:sz w:val="20"/>
                <w:szCs w:val="20"/>
                <w:color w:val="auto"/>
                <w:w w:val="99"/>
              </w:rPr>
              <w:t>12.5.</w:t>
            </w:r>
          </w:p>
        </w:tc>
        <w:tc>
          <w:tcPr>
            <w:tcW w:w="1860" w:type="dxa"/>
            <w:vAlign w:val="bottom"/>
            <w:gridSpan w:val="4"/>
          </w:tcPr>
          <w:p>
            <w:pPr>
              <w:ind w:left="20"/>
              <w:spacing w:after="0"/>
              <w:rPr>
                <w:sz w:val="20"/>
                <w:szCs w:val="20"/>
                <w:color w:val="auto"/>
              </w:rPr>
            </w:pPr>
            <w:r>
              <w:rPr>
                <w:rFonts w:ascii="Times New Roman" w:cs="Times New Roman" w:eastAsia="Times New Roman" w:hAnsi="Times New Roman"/>
                <w:sz w:val="20"/>
                <w:szCs w:val="20"/>
                <w:color w:val="auto"/>
              </w:rPr>
              <w:t>Delegation of Duties</w:t>
            </w:r>
          </w:p>
        </w:tc>
        <w:tc>
          <w:tcPr>
            <w:tcW w:w="860" w:type="dxa"/>
            <w:vAlign w:val="bottom"/>
          </w:tcPr>
          <w:p>
            <w:pPr>
              <w:jc w:val="right"/>
              <w:ind w:right="481"/>
              <w:spacing w:after="0"/>
              <w:rPr>
                <w:sz w:val="20"/>
                <w:szCs w:val="20"/>
                <w:color w:val="auto"/>
              </w:rPr>
            </w:pPr>
            <w:r>
              <w:rPr>
                <w:rFonts w:ascii="Times New Roman" w:cs="Times New Roman" w:eastAsia="Times New Roman" w:hAnsi="Times New Roman"/>
                <w:sz w:val="20"/>
                <w:szCs w:val="20"/>
                <w:color w:val="auto"/>
              </w:rPr>
              <w:t>70</w:t>
            </w: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160" w:type="dxa"/>
            <w:vAlign w:val="bottom"/>
          </w:tcPr>
          <w:p>
            <w:pPr>
              <w:spacing w:after="0"/>
              <w:rPr>
                <w:sz w:val="24"/>
                <w:szCs w:val="24"/>
                <w:color w:val="auto"/>
              </w:rPr>
            </w:pPr>
          </w:p>
        </w:tc>
      </w:tr>
      <w:tr>
        <w:trPr>
          <w:trHeight w:val="351"/>
        </w:trPr>
        <w:tc>
          <w:tcPr>
            <w:tcW w:w="420" w:type="dxa"/>
            <w:vAlign w:val="bottom"/>
          </w:tcPr>
          <w:p>
            <w:pPr>
              <w:spacing w:after="0"/>
              <w:rPr>
                <w:sz w:val="24"/>
                <w:szCs w:val="24"/>
                <w:color w:val="auto"/>
              </w:rPr>
            </w:pPr>
          </w:p>
        </w:tc>
        <w:tc>
          <w:tcPr>
            <w:tcW w:w="840" w:type="dxa"/>
            <w:vAlign w:val="bottom"/>
          </w:tcPr>
          <w:p>
            <w:pPr>
              <w:ind w:left="420"/>
              <w:spacing w:after="0"/>
              <w:rPr>
                <w:sz w:val="20"/>
                <w:szCs w:val="20"/>
                <w:color w:val="auto"/>
              </w:rPr>
            </w:pPr>
            <w:r>
              <w:rPr>
                <w:rFonts w:ascii="Times New Roman" w:cs="Times New Roman" w:eastAsia="Times New Roman" w:hAnsi="Times New Roman"/>
                <w:sz w:val="20"/>
                <w:szCs w:val="20"/>
                <w:color w:val="auto"/>
                <w:w w:val="99"/>
              </w:rPr>
              <w:t>12.6.</w:t>
            </w:r>
          </w:p>
        </w:tc>
        <w:tc>
          <w:tcPr>
            <w:tcW w:w="1860" w:type="dxa"/>
            <w:vAlign w:val="bottom"/>
            <w:gridSpan w:val="4"/>
          </w:tcPr>
          <w:p>
            <w:pPr>
              <w:ind w:left="20"/>
              <w:spacing w:after="0"/>
              <w:rPr>
                <w:sz w:val="20"/>
                <w:szCs w:val="20"/>
                <w:color w:val="auto"/>
              </w:rPr>
            </w:pPr>
            <w:r>
              <w:rPr>
                <w:rFonts w:ascii="Times New Roman" w:cs="Times New Roman" w:eastAsia="Times New Roman" w:hAnsi="Times New Roman"/>
                <w:sz w:val="20"/>
                <w:szCs w:val="20"/>
                <w:color w:val="auto"/>
              </w:rPr>
              <w:t>Resignation of Agent</w:t>
            </w:r>
          </w:p>
        </w:tc>
        <w:tc>
          <w:tcPr>
            <w:tcW w:w="860" w:type="dxa"/>
            <w:vAlign w:val="bottom"/>
          </w:tcPr>
          <w:p>
            <w:pPr>
              <w:jc w:val="right"/>
              <w:ind w:right="481"/>
              <w:spacing w:after="0"/>
              <w:rPr>
                <w:sz w:val="20"/>
                <w:szCs w:val="20"/>
                <w:color w:val="auto"/>
              </w:rPr>
            </w:pPr>
            <w:r>
              <w:rPr>
                <w:rFonts w:ascii="Times New Roman" w:cs="Times New Roman" w:eastAsia="Times New Roman" w:hAnsi="Times New Roman"/>
                <w:sz w:val="20"/>
                <w:szCs w:val="20"/>
                <w:color w:val="auto"/>
              </w:rPr>
              <w:t>70</w:t>
            </w: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160" w:type="dxa"/>
            <w:vAlign w:val="bottom"/>
          </w:tcPr>
          <w:p>
            <w:pPr>
              <w:spacing w:after="0"/>
              <w:rPr>
                <w:sz w:val="24"/>
                <w:szCs w:val="24"/>
                <w:color w:val="auto"/>
              </w:rPr>
            </w:pPr>
          </w:p>
        </w:tc>
      </w:tr>
      <w:tr>
        <w:trPr>
          <w:trHeight w:val="338"/>
        </w:trPr>
        <w:tc>
          <w:tcPr>
            <w:tcW w:w="420" w:type="dxa"/>
            <w:vAlign w:val="bottom"/>
          </w:tcPr>
          <w:p>
            <w:pPr>
              <w:spacing w:after="0"/>
              <w:rPr>
                <w:sz w:val="24"/>
                <w:szCs w:val="24"/>
                <w:color w:val="auto"/>
              </w:rPr>
            </w:pPr>
          </w:p>
        </w:tc>
        <w:tc>
          <w:tcPr>
            <w:tcW w:w="840" w:type="dxa"/>
            <w:vAlign w:val="bottom"/>
          </w:tcPr>
          <w:p>
            <w:pPr>
              <w:ind w:left="420"/>
              <w:spacing w:after="0"/>
              <w:rPr>
                <w:sz w:val="20"/>
                <w:szCs w:val="20"/>
                <w:color w:val="auto"/>
              </w:rPr>
            </w:pPr>
            <w:r>
              <w:rPr>
                <w:rFonts w:ascii="Times New Roman" w:cs="Times New Roman" w:eastAsia="Times New Roman" w:hAnsi="Times New Roman"/>
                <w:sz w:val="20"/>
                <w:szCs w:val="20"/>
                <w:color w:val="auto"/>
                <w:w w:val="99"/>
              </w:rPr>
              <w:t>12.7.</w:t>
            </w:r>
          </w:p>
        </w:tc>
        <w:tc>
          <w:tcPr>
            <w:tcW w:w="3820" w:type="dxa"/>
            <w:vAlign w:val="bottom"/>
            <w:gridSpan w:val="7"/>
          </w:tcPr>
          <w:p>
            <w:pPr>
              <w:ind w:left="20"/>
              <w:spacing w:after="0"/>
              <w:rPr>
                <w:sz w:val="20"/>
                <w:szCs w:val="20"/>
                <w:color w:val="auto"/>
              </w:rPr>
            </w:pPr>
            <w:r>
              <w:rPr>
                <w:rFonts w:ascii="Times New Roman" w:cs="Times New Roman" w:eastAsia="Times New Roman" w:hAnsi="Times New Roman"/>
                <w:sz w:val="20"/>
                <w:szCs w:val="20"/>
                <w:color w:val="auto"/>
              </w:rPr>
              <w:t>Non-Reliance on Agent and Other Lenders 70</w:t>
            </w:r>
          </w:p>
        </w:tc>
        <w:tc>
          <w:tcPr>
            <w:tcW w:w="6160" w:type="dxa"/>
            <w:vAlign w:val="bottom"/>
          </w:tcPr>
          <w:p>
            <w:pPr>
              <w:spacing w:after="0"/>
              <w:rPr>
                <w:sz w:val="24"/>
                <w:szCs w:val="24"/>
                <w:color w:val="auto"/>
              </w:rPr>
            </w:pPr>
          </w:p>
        </w:tc>
      </w:tr>
      <w:tr>
        <w:trPr>
          <w:trHeight w:val="338"/>
        </w:trPr>
        <w:tc>
          <w:tcPr>
            <w:tcW w:w="420" w:type="dxa"/>
            <w:vAlign w:val="bottom"/>
          </w:tcPr>
          <w:p>
            <w:pPr>
              <w:spacing w:after="0"/>
              <w:rPr>
                <w:sz w:val="24"/>
                <w:szCs w:val="24"/>
                <w:color w:val="auto"/>
              </w:rPr>
            </w:pPr>
          </w:p>
        </w:tc>
        <w:tc>
          <w:tcPr>
            <w:tcW w:w="840" w:type="dxa"/>
            <w:vAlign w:val="bottom"/>
          </w:tcPr>
          <w:p>
            <w:pPr>
              <w:ind w:left="420"/>
              <w:spacing w:after="0"/>
              <w:rPr>
                <w:sz w:val="20"/>
                <w:szCs w:val="20"/>
                <w:color w:val="auto"/>
              </w:rPr>
            </w:pPr>
            <w:r>
              <w:rPr>
                <w:rFonts w:ascii="Times New Roman" w:cs="Times New Roman" w:eastAsia="Times New Roman" w:hAnsi="Times New Roman"/>
                <w:sz w:val="20"/>
                <w:szCs w:val="20"/>
                <w:color w:val="auto"/>
                <w:w w:val="99"/>
              </w:rPr>
              <w:t>12.8.</w:t>
            </w:r>
          </w:p>
        </w:tc>
        <w:tc>
          <w:tcPr>
            <w:tcW w:w="1860" w:type="dxa"/>
            <w:vAlign w:val="bottom"/>
            <w:gridSpan w:val="4"/>
          </w:tcPr>
          <w:p>
            <w:pPr>
              <w:ind w:left="20"/>
              <w:spacing w:after="0"/>
              <w:rPr>
                <w:sz w:val="20"/>
                <w:szCs w:val="20"/>
                <w:color w:val="auto"/>
              </w:rPr>
            </w:pPr>
            <w:r>
              <w:rPr>
                <w:rFonts w:ascii="Times New Roman" w:cs="Times New Roman" w:eastAsia="Times New Roman" w:hAnsi="Times New Roman"/>
                <w:sz w:val="20"/>
                <w:szCs w:val="20"/>
                <w:color w:val="auto"/>
              </w:rPr>
              <w:t>No Other Duties, Etc</w:t>
            </w:r>
          </w:p>
        </w:tc>
        <w:tc>
          <w:tcPr>
            <w:tcW w:w="860" w:type="dxa"/>
            <w:vAlign w:val="bottom"/>
          </w:tcPr>
          <w:p>
            <w:pPr>
              <w:jc w:val="right"/>
              <w:ind w:right="481"/>
              <w:spacing w:after="0"/>
              <w:rPr>
                <w:sz w:val="20"/>
                <w:szCs w:val="20"/>
                <w:color w:val="auto"/>
              </w:rPr>
            </w:pPr>
            <w:r>
              <w:rPr>
                <w:rFonts w:ascii="Times New Roman" w:cs="Times New Roman" w:eastAsia="Times New Roman" w:hAnsi="Times New Roman"/>
                <w:sz w:val="20"/>
                <w:szCs w:val="20"/>
                <w:color w:val="auto"/>
              </w:rPr>
              <w:t>71</w:t>
            </w: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160" w:type="dxa"/>
            <w:vAlign w:val="bottom"/>
          </w:tcPr>
          <w:p>
            <w:pPr>
              <w:spacing w:after="0"/>
              <w:rPr>
                <w:sz w:val="24"/>
                <w:szCs w:val="24"/>
                <w:color w:val="auto"/>
              </w:rPr>
            </w:pPr>
          </w:p>
        </w:tc>
      </w:tr>
      <w:tr>
        <w:trPr>
          <w:trHeight w:val="338"/>
        </w:trPr>
        <w:tc>
          <w:tcPr>
            <w:tcW w:w="420" w:type="dxa"/>
            <w:vAlign w:val="bottom"/>
          </w:tcPr>
          <w:p>
            <w:pPr>
              <w:spacing w:after="0"/>
              <w:rPr>
                <w:sz w:val="24"/>
                <w:szCs w:val="24"/>
                <w:color w:val="auto"/>
              </w:rPr>
            </w:pPr>
          </w:p>
        </w:tc>
        <w:tc>
          <w:tcPr>
            <w:tcW w:w="840" w:type="dxa"/>
            <w:vAlign w:val="bottom"/>
          </w:tcPr>
          <w:p>
            <w:pPr>
              <w:ind w:left="420"/>
              <w:spacing w:after="0"/>
              <w:rPr>
                <w:sz w:val="20"/>
                <w:szCs w:val="20"/>
                <w:color w:val="auto"/>
              </w:rPr>
            </w:pPr>
            <w:r>
              <w:rPr>
                <w:rFonts w:ascii="Times New Roman" w:cs="Times New Roman" w:eastAsia="Times New Roman" w:hAnsi="Times New Roman"/>
                <w:sz w:val="20"/>
                <w:szCs w:val="20"/>
                <w:color w:val="auto"/>
                <w:w w:val="99"/>
              </w:rPr>
              <w:t>12.9.</w:t>
            </w:r>
          </w:p>
        </w:tc>
        <w:tc>
          <w:tcPr>
            <w:tcW w:w="2720" w:type="dxa"/>
            <w:vAlign w:val="bottom"/>
            <w:gridSpan w:val="5"/>
          </w:tcPr>
          <w:p>
            <w:pPr>
              <w:ind w:left="20"/>
              <w:spacing w:after="0"/>
              <w:rPr>
                <w:sz w:val="20"/>
                <w:szCs w:val="20"/>
                <w:color w:val="auto"/>
              </w:rPr>
            </w:pPr>
            <w:r>
              <w:rPr>
                <w:rFonts w:ascii="Times New Roman" w:cs="Times New Roman" w:eastAsia="Times New Roman" w:hAnsi="Times New Roman"/>
                <w:sz w:val="20"/>
                <w:szCs w:val="20"/>
                <w:color w:val="auto"/>
              </w:rPr>
              <w:t>Agent May File Proofs of Claim</w:t>
            </w:r>
          </w:p>
        </w:tc>
        <w:tc>
          <w:tcPr>
            <w:tcW w:w="3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w w:val="99"/>
              </w:rPr>
              <w:t>71</w:t>
            </w:r>
          </w:p>
        </w:tc>
        <w:tc>
          <w:tcPr>
            <w:tcW w:w="780" w:type="dxa"/>
            <w:vAlign w:val="bottom"/>
          </w:tcPr>
          <w:p>
            <w:pPr>
              <w:spacing w:after="0"/>
              <w:rPr>
                <w:sz w:val="24"/>
                <w:szCs w:val="24"/>
                <w:color w:val="auto"/>
              </w:rPr>
            </w:pPr>
          </w:p>
        </w:tc>
        <w:tc>
          <w:tcPr>
            <w:tcW w:w="6160" w:type="dxa"/>
            <w:vAlign w:val="bottom"/>
          </w:tcPr>
          <w:p>
            <w:pPr>
              <w:spacing w:after="0"/>
              <w:rPr>
                <w:sz w:val="24"/>
                <w:szCs w:val="24"/>
                <w:color w:val="auto"/>
              </w:rPr>
            </w:pPr>
          </w:p>
        </w:tc>
      </w:tr>
      <w:tr>
        <w:trPr>
          <w:trHeight w:val="337"/>
        </w:trPr>
        <w:tc>
          <w:tcPr>
            <w:tcW w:w="420" w:type="dxa"/>
            <w:vAlign w:val="bottom"/>
          </w:tcPr>
          <w:p>
            <w:pPr>
              <w:spacing w:after="0"/>
              <w:rPr>
                <w:sz w:val="24"/>
                <w:szCs w:val="24"/>
                <w:color w:val="auto"/>
              </w:rPr>
            </w:pPr>
          </w:p>
        </w:tc>
        <w:tc>
          <w:tcPr>
            <w:tcW w:w="940" w:type="dxa"/>
            <w:vAlign w:val="bottom"/>
            <w:gridSpan w:val="2"/>
          </w:tcPr>
          <w:p>
            <w:pPr>
              <w:ind w:left="420"/>
              <w:spacing w:after="0"/>
              <w:rPr>
                <w:sz w:val="20"/>
                <w:szCs w:val="20"/>
                <w:color w:val="auto"/>
              </w:rPr>
            </w:pPr>
            <w:r>
              <w:rPr>
                <w:rFonts w:ascii="Times New Roman" w:cs="Times New Roman" w:eastAsia="Times New Roman" w:hAnsi="Times New Roman"/>
                <w:sz w:val="20"/>
                <w:szCs w:val="20"/>
                <w:color w:val="auto"/>
                <w:w w:val="99"/>
              </w:rPr>
              <w:t>12.10.</w:t>
            </w:r>
          </w:p>
        </w:tc>
        <w:tc>
          <w:tcPr>
            <w:tcW w:w="2940" w:type="dxa"/>
            <w:vAlign w:val="bottom"/>
            <w:gridSpan w:val="5"/>
          </w:tcPr>
          <w:p>
            <w:pPr>
              <w:ind w:left="20"/>
              <w:spacing w:after="0"/>
              <w:rPr>
                <w:sz w:val="20"/>
                <w:szCs w:val="20"/>
                <w:color w:val="auto"/>
              </w:rPr>
            </w:pPr>
            <w:r>
              <w:rPr>
                <w:rFonts w:ascii="Times New Roman" w:cs="Times New Roman" w:eastAsia="Times New Roman" w:hAnsi="Times New Roman"/>
                <w:sz w:val="20"/>
                <w:szCs w:val="20"/>
                <w:color w:val="auto"/>
              </w:rPr>
              <w:t>Collateral and Guaranty Matters 71</w:t>
            </w:r>
          </w:p>
        </w:tc>
        <w:tc>
          <w:tcPr>
            <w:tcW w:w="780" w:type="dxa"/>
            <w:vAlign w:val="bottom"/>
          </w:tcPr>
          <w:p>
            <w:pPr>
              <w:spacing w:after="0"/>
              <w:rPr>
                <w:sz w:val="24"/>
                <w:szCs w:val="24"/>
                <w:color w:val="auto"/>
              </w:rPr>
            </w:pPr>
          </w:p>
        </w:tc>
        <w:tc>
          <w:tcPr>
            <w:tcW w:w="6160" w:type="dxa"/>
            <w:vAlign w:val="bottom"/>
          </w:tcPr>
          <w:p>
            <w:pPr>
              <w:spacing w:after="0"/>
              <w:rPr>
                <w:sz w:val="24"/>
                <w:szCs w:val="24"/>
                <w:color w:val="auto"/>
              </w:rPr>
            </w:pPr>
          </w:p>
        </w:tc>
      </w:tr>
      <w:tr>
        <w:trPr>
          <w:trHeight w:val="351"/>
        </w:trPr>
        <w:tc>
          <w:tcPr>
            <w:tcW w:w="420" w:type="dxa"/>
            <w:vAlign w:val="bottom"/>
          </w:tcPr>
          <w:p>
            <w:pPr>
              <w:spacing w:after="0"/>
              <w:rPr>
                <w:sz w:val="24"/>
                <w:szCs w:val="24"/>
                <w:color w:val="auto"/>
              </w:rPr>
            </w:pPr>
          </w:p>
        </w:tc>
        <w:tc>
          <w:tcPr>
            <w:tcW w:w="940" w:type="dxa"/>
            <w:vAlign w:val="bottom"/>
            <w:gridSpan w:val="2"/>
          </w:tcPr>
          <w:p>
            <w:pPr>
              <w:ind w:left="420"/>
              <w:spacing w:after="0"/>
              <w:rPr>
                <w:sz w:val="20"/>
                <w:szCs w:val="20"/>
                <w:color w:val="auto"/>
              </w:rPr>
            </w:pPr>
            <w:r>
              <w:rPr>
                <w:rFonts w:ascii="Times New Roman" w:cs="Times New Roman" w:eastAsia="Times New Roman" w:hAnsi="Times New Roman"/>
                <w:sz w:val="20"/>
                <w:szCs w:val="20"/>
                <w:color w:val="auto"/>
                <w:w w:val="99"/>
              </w:rPr>
              <w:t>12.11.</w:t>
            </w:r>
          </w:p>
        </w:tc>
        <w:tc>
          <w:tcPr>
            <w:tcW w:w="2620" w:type="dxa"/>
            <w:vAlign w:val="bottom"/>
            <w:gridSpan w:val="4"/>
          </w:tcPr>
          <w:p>
            <w:pPr>
              <w:ind w:left="20"/>
              <w:spacing w:after="0"/>
              <w:rPr>
                <w:sz w:val="20"/>
                <w:szCs w:val="20"/>
                <w:color w:val="auto"/>
              </w:rPr>
            </w:pPr>
            <w:r>
              <w:rPr>
                <w:rFonts w:ascii="Times New Roman" w:cs="Times New Roman" w:eastAsia="Times New Roman" w:hAnsi="Times New Roman"/>
                <w:sz w:val="20"/>
                <w:szCs w:val="20"/>
                <w:color w:val="auto"/>
              </w:rPr>
              <w:t>Indemnification by Lenders 73</w:t>
            </w: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160" w:type="dxa"/>
            <w:vAlign w:val="bottom"/>
          </w:tcPr>
          <w:p>
            <w:pPr>
              <w:spacing w:after="0"/>
              <w:rPr>
                <w:sz w:val="24"/>
                <w:szCs w:val="24"/>
                <w:color w:val="auto"/>
              </w:rPr>
            </w:pPr>
          </w:p>
        </w:tc>
      </w:tr>
      <w:tr>
        <w:trPr>
          <w:trHeight w:val="338"/>
        </w:trPr>
        <w:tc>
          <w:tcPr>
            <w:tcW w:w="420" w:type="dxa"/>
            <w:vAlign w:val="bottom"/>
          </w:tcPr>
          <w:p>
            <w:pPr>
              <w:spacing w:after="0"/>
              <w:rPr>
                <w:sz w:val="24"/>
                <w:szCs w:val="24"/>
                <w:color w:val="auto"/>
              </w:rPr>
            </w:pPr>
          </w:p>
        </w:tc>
        <w:tc>
          <w:tcPr>
            <w:tcW w:w="940" w:type="dxa"/>
            <w:vAlign w:val="bottom"/>
            <w:gridSpan w:val="2"/>
          </w:tcPr>
          <w:p>
            <w:pPr>
              <w:ind w:left="420"/>
              <w:spacing w:after="0"/>
              <w:rPr>
                <w:sz w:val="20"/>
                <w:szCs w:val="20"/>
                <w:color w:val="auto"/>
              </w:rPr>
            </w:pPr>
            <w:r>
              <w:rPr>
                <w:rFonts w:ascii="Times New Roman" w:cs="Times New Roman" w:eastAsia="Times New Roman" w:hAnsi="Times New Roman"/>
                <w:sz w:val="20"/>
                <w:szCs w:val="20"/>
                <w:color w:val="auto"/>
                <w:w w:val="99"/>
              </w:rPr>
              <w:t>12.12.</w:t>
            </w:r>
          </w:p>
        </w:tc>
        <w:tc>
          <w:tcPr>
            <w:tcW w:w="10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Patriot Act</w:t>
            </w:r>
          </w:p>
        </w:tc>
        <w:tc>
          <w:tcPr>
            <w:tcW w:w="34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w w:val="99"/>
              </w:rPr>
              <w:t>73</w:t>
            </w: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160" w:type="dxa"/>
            <w:vAlign w:val="bottom"/>
          </w:tcPr>
          <w:p>
            <w:pPr>
              <w:spacing w:after="0"/>
              <w:rPr>
                <w:sz w:val="24"/>
                <w:szCs w:val="24"/>
                <w:color w:val="auto"/>
              </w:rPr>
            </w:pPr>
          </w:p>
        </w:tc>
      </w:tr>
      <w:tr>
        <w:trPr>
          <w:trHeight w:val="973"/>
        </w:trPr>
        <w:tc>
          <w:tcPr>
            <w:tcW w:w="42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61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26" w:right="339" w:bottom="1440" w:gutter="0" w:footer="0" w:header="0"/>
        </w:sectPr>
      </w:pPr>
    </w:p>
    <w:bookmarkStart w:id="121" w:name="page122"/>
    <w:bookmarkEnd w:id="121"/>
    <w:p>
      <w:pPr>
        <w:spacing w:after="0" w:line="162" w:lineRule="exact"/>
        <w:rPr>
          <w:sz w:val="20"/>
          <w:szCs w:val="20"/>
          <w:color w:val="auto"/>
        </w:rPr>
      </w:pPr>
    </w:p>
    <w:p>
      <w:pPr>
        <w:jc w:val="right"/>
        <w:ind w:right="4379"/>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9"/>
          <w:szCs w:val="19"/>
          <w:color w:val="auto"/>
        </w:rPr>
        <w:t>iv</w:t>
      </w:r>
      <w:r>
        <w:rPr>
          <w:rFonts w:ascii="Times New Roman" w:cs="Times New Roman" w:eastAsia="Times New Roman" w:hAnsi="Times New Roman"/>
          <w:sz w:val="16"/>
          <w:szCs w:val="16"/>
          <w:color w:val="auto"/>
        </w:rPr>
        <w: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4905-3710-6484 v.17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600710</wp:posOffset>
            </wp:positionV>
            <wp:extent cx="7157720" cy="425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59"/>
          </w:cols>
          <w:pgMar w:left="400" w:top="1440" w:right="1440" w:bottom="1440" w:gutter="0" w:footer="0" w:header="0"/>
        </w:sectPr>
      </w:pPr>
    </w:p>
    <w:bookmarkStart w:id="122" w:name="page123"/>
    <w:bookmarkEnd w:id="122"/>
    <w:p>
      <w:pPr>
        <w:ind w:left="760"/>
        <w:spacing w:after="0"/>
        <w:rPr>
          <w:sz w:val="20"/>
          <w:szCs w:val="20"/>
          <w:color w:val="auto"/>
        </w:rPr>
      </w:pPr>
      <w:r>
        <w:rPr>
          <w:rFonts w:ascii="Times New Roman" w:cs="Times New Roman" w:eastAsia="Times New Roman" w:hAnsi="Times New Roman"/>
          <w:sz w:val="20"/>
          <w:szCs w:val="20"/>
          <w:color w:val="auto"/>
        </w:rPr>
        <w:t>12.13. Costs and Expenses; Indemnification 73</w:t>
      </w:r>
    </w:p>
    <w:p>
      <w:pPr>
        <w:spacing w:after="0" w:line="121" w:lineRule="exact"/>
        <w:rPr>
          <w:sz w:val="20"/>
          <w:szCs w:val="20"/>
          <w:color w:val="auto"/>
        </w:rPr>
      </w:pPr>
    </w:p>
    <w:tbl>
      <w:tblPr>
        <w:tblLayout w:type="fixed"/>
        <w:tblInd w:w="80" w:type="dxa"/>
        <w:tblCellMar>
          <w:top w:w="0" w:type="dxa"/>
          <w:left w:w="0" w:type="dxa"/>
          <w:bottom w:w="0" w:type="dxa"/>
          <w:right w:w="0" w:type="dxa"/>
        </w:tblCellMar>
      </w:tblPr>
      <w:tr>
        <w:trPr>
          <w:trHeight w:val="258"/>
        </w:trPr>
        <w:tc>
          <w:tcPr>
            <w:tcW w:w="340" w:type="dxa"/>
            <w:vAlign w:val="bottom"/>
          </w:tcPr>
          <w:p>
            <w:pPr>
              <w:spacing w:after="0"/>
              <w:rPr>
                <w:sz w:val="22"/>
                <w:szCs w:val="22"/>
                <w:color w:val="auto"/>
              </w:rPr>
            </w:pPr>
          </w:p>
        </w:tc>
        <w:tc>
          <w:tcPr>
            <w:tcW w:w="860" w:type="dxa"/>
            <w:vAlign w:val="bottom"/>
            <w:gridSpan w:val="2"/>
          </w:tcPr>
          <w:p>
            <w:pPr>
              <w:ind w:left="340"/>
              <w:spacing w:after="0"/>
              <w:rPr>
                <w:sz w:val="20"/>
                <w:szCs w:val="20"/>
                <w:color w:val="auto"/>
              </w:rPr>
            </w:pPr>
            <w:r>
              <w:rPr>
                <w:rFonts w:ascii="Times New Roman" w:cs="Times New Roman" w:eastAsia="Times New Roman" w:hAnsi="Times New Roman"/>
                <w:sz w:val="20"/>
                <w:szCs w:val="20"/>
                <w:color w:val="auto"/>
                <w:w w:val="99"/>
              </w:rPr>
              <w:t>12.14.</w:t>
            </w:r>
          </w:p>
        </w:tc>
        <w:tc>
          <w:tcPr>
            <w:tcW w:w="7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Survival</w:t>
            </w:r>
          </w:p>
        </w:tc>
        <w:tc>
          <w:tcPr>
            <w:tcW w:w="320" w:type="dxa"/>
            <w:vAlign w:val="bottom"/>
          </w:tcPr>
          <w:p>
            <w:pPr>
              <w:spacing w:after="0"/>
              <w:rPr>
                <w:sz w:val="22"/>
                <w:szCs w:val="22"/>
                <w:color w:val="auto"/>
              </w:rPr>
            </w:pPr>
          </w:p>
        </w:tc>
        <w:tc>
          <w:tcPr>
            <w:tcW w:w="3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w w:val="89"/>
              </w:rPr>
              <w:t>74</w:t>
            </w:r>
          </w:p>
        </w:tc>
        <w:tc>
          <w:tcPr>
            <w:tcW w:w="1880" w:type="dxa"/>
            <w:vAlign w:val="bottom"/>
          </w:tcPr>
          <w:p>
            <w:pPr>
              <w:spacing w:after="0"/>
              <w:rPr>
                <w:sz w:val="22"/>
                <w:szCs w:val="22"/>
                <w:color w:val="auto"/>
              </w:rPr>
            </w:pPr>
          </w:p>
        </w:tc>
      </w:tr>
      <w:tr>
        <w:trPr>
          <w:trHeight w:val="338"/>
        </w:trPr>
        <w:tc>
          <w:tcPr>
            <w:tcW w:w="340" w:type="dxa"/>
            <w:vAlign w:val="bottom"/>
          </w:tcPr>
          <w:p>
            <w:pPr>
              <w:spacing w:after="0"/>
              <w:rPr>
                <w:sz w:val="24"/>
                <w:szCs w:val="24"/>
                <w:color w:val="auto"/>
              </w:rPr>
            </w:pPr>
          </w:p>
        </w:tc>
        <w:tc>
          <w:tcPr>
            <w:tcW w:w="860" w:type="dxa"/>
            <w:vAlign w:val="bottom"/>
            <w:gridSpan w:val="2"/>
          </w:tcPr>
          <w:p>
            <w:pPr>
              <w:ind w:left="340"/>
              <w:spacing w:after="0"/>
              <w:rPr>
                <w:sz w:val="20"/>
                <w:szCs w:val="20"/>
                <w:color w:val="auto"/>
              </w:rPr>
            </w:pPr>
            <w:r>
              <w:rPr>
                <w:rFonts w:ascii="Times New Roman" w:cs="Times New Roman" w:eastAsia="Times New Roman" w:hAnsi="Times New Roman"/>
                <w:sz w:val="20"/>
                <w:szCs w:val="20"/>
                <w:color w:val="auto"/>
                <w:w w:val="99"/>
              </w:rPr>
              <w:t>12.15.</w:t>
            </w:r>
          </w:p>
        </w:tc>
        <w:tc>
          <w:tcPr>
            <w:tcW w:w="3240" w:type="dxa"/>
            <w:vAlign w:val="bottom"/>
            <w:gridSpan w:val="4"/>
          </w:tcPr>
          <w:p>
            <w:pPr>
              <w:ind w:left="20"/>
              <w:spacing w:after="0"/>
              <w:rPr>
                <w:sz w:val="20"/>
                <w:szCs w:val="20"/>
                <w:color w:val="auto"/>
              </w:rPr>
            </w:pPr>
            <w:r>
              <w:rPr>
                <w:rFonts w:ascii="Times New Roman" w:cs="Times New Roman" w:eastAsia="Times New Roman" w:hAnsi="Times New Roman"/>
                <w:sz w:val="20"/>
                <w:szCs w:val="20"/>
                <w:color w:val="auto"/>
              </w:rPr>
              <w:t>Erroneous Payments.  74</w:t>
            </w:r>
          </w:p>
        </w:tc>
      </w:tr>
      <w:tr>
        <w:trPr>
          <w:trHeight w:val="338"/>
        </w:trPr>
        <w:tc>
          <w:tcPr>
            <w:tcW w:w="340" w:type="dxa"/>
            <w:vAlign w:val="bottom"/>
          </w:tcPr>
          <w:p>
            <w:pPr>
              <w:spacing w:after="0"/>
              <w:rPr>
                <w:sz w:val="24"/>
                <w:szCs w:val="24"/>
                <w:color w:val="auto"/>
              </w:rPr>
            </w:pPr>
          </w:p>
        </w:tc>
        <w:tc>
          <w:tcPr>
            <w:tcW w:w="860" w:type="dxa"/>
            <w:vAlign w:val="bottom"/>
            <w:gridSpan w:val="2"/>
          </w:tcPr>
          <w:p>
            <w:pPr>
              <w:ind w:left="340"/>
              <w:spacing w:after="0"/>
              <w:rPr>
                <w:sz w:val="20"/>
                <w:szCs w:val="20"/>
                <w:color w:val="auto"/>
              </w:rPr>
            </w:pPr>
            <w:r>
              <w:rPr>
                <w:rFonts w:ascii="Times New Roman" w:cs="Times New Roman" w:eastAsia="Times New Roman" w:hAnsi="Times New Roman"/>
                <w:sz w:val="20"/>
                <w:szCs w:val="20"/>
                <w:color w:val="auto"/>
                <w:w w:val="99"/>
              </w:rPr>
              <w:t>12.16.</w:t>
            </w:r>
          </w:p>
        </w:tc>
        <w:tc>
          <w:tcPr>
            <w:tcW w:w="106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w w:val="98"/>
              </w:rPr>
              <w:t>Enforcement</w:t>
            </w:r>
          </w:p>
        </w:tc>
        <w:tc>
          <w:tcPr>
            <w:tcW w:w="300" w:type="dxa"/>
            <w:vAlign w:val="bottom"/>
          </w:tcPr>
          <w:p>
            <w:pPr>
              <w:spacing w:after="0"/>
              <w:rPr>
                <w:sz w:val="24"/>
                <w:szCs w:val="24"/>
                <w:color w:val="auto"/>
              </w:rPr>
            </w:pPr>
          </w:p>
        </w:tc>
        <w:tc>
          <w:tcPr>
            <w:tcW w:w="1880" w:type="dxa"/>
            <w:vAlign w:val="bottom"/>
          </w:tcPr>
          <w:p>
            <w:pPr>
              <w:jc w:val="right"/>
              <w:ind w:right="1481"/>
              <w:spacing w:after="0"/>
              <w:rPr>
                <w:sz w:val="20"/>
                <w:szCs w:val="20"/>
                <w:color w:val="auto"/>
              </w:rPr>
            </w:pPr>
            <w:r>
              <w:rPr>
                <w:rFonts w:ascii="Times New Roman" w:cs="Times New Roman" w:eastAsia="Times New Roman" w:hAnsi="Times New Roman"/>
                <w:sz w:val="20"/>
                <w:szCs w:val="20"/>
                <w:color w:val="auto"/>
              </w:rPr>
              <w:t>76</w:t>
            </w:r>
          </w:p>
        </w:tc>
      </w:tr>
      <w:tr>
        <w:trPr>
          <w:trHeight w:val="351"/>
        </w:trPr>
        <w:tc>
          <w:tcPr>
            <w:tcW w:w="3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5"/>
              </w:rPr>
              <w:t>13.</w:t>
            </w:r>
          </w:p>
        </w:tc>
        <w:tc>
          <w:tcPr>
            <w:tcW w:w="160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GUARANTY 77</w:t>
            </w: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80" w:type="dxa"/>
            <w:vAlign w:val="bottom"/>
          </w:tcPr>
          <w:p>
            <w:pPr>
              <w:spacing w:after="0"/>
              <w:rPr>
                <w:sz w:val="24"/>
                <w:szCs w:val="24"/>
                <w:color w:val="auto"/>
              </w:rPr>
            </w:pPr>
          </w:p>
        </w:tc>
      </w:tr>
      <w:tr>
        <w:trPr>
          <w:trHeight w:val="338"/>
        </w:trPr>
        <w:tc>
          <w:tcPr>
            <w:tcW w:w="340" w:type="dxa"/>
            <w:vAlign w:val="bottom"/>
          </w:tcPr>
          <w:p>
            <w:pPr>
              <w:spacing w:after="0"/>
              <w:rPr>
                <w:sz w:val="24"/>
                <w:szCs w:val="24"/>
                <w:color w:val="auto"/>
              </w:rPr>
            </w:pPr>
          </w:p>
        </w:tc>
        <w:tc>
          <w:tcPr>
            <w:tcW w:w="760" w:type="dxa"/>
            <w:vAlign w:val="bottom"/>
          </w:tcPr>
          <w:p>
            <w:pPr>
              <w:ind w:left="340"/>
              <w:spacing w:after="0"/>
              <w:rPr>
                <w:sz w:val="20"/>
                <w:szCs w:val="20"/>
                <w:color w:val="auto"/>
              </w:rPr>
            </w:pPr>
            <w:r>
              <w:rPr>
                <w:rFonts w:ascii="Times New Roman" w:cs="Times New Roman" w:eastAsia="Times New Roman" w:hAnsi="Times New Roman"/>
                <w:sz w:val="20"/>
                <w:szCs w:val="20"/>
                <w:color w:val="auto"/>
                <w:w w:val="99"/>
              </w:rPr>
              <w:t>13.1.</w:t>
            </w:r>
          </w:p>
        </w:tc>
        <w:tc>
          <w:tcPr>
            <w:tcW w:w="100" w:type="dxa"/>
            <w:vAlign w:val="bottom"/>
          </w:tcPr>
          <w:p>
            <w:pPr>
              <w:spacing w:after="0"/>
              <w:rPr>
                <w:sz w:val="24"/>
                <w:szCs w:val="24"/>
                <w:color w:val="auto"/>
              </w:rPr>
            </w:pPr>
          </w:p>
        </w:tc>
        <w:tc>
          <w:tcPr>
            <w:tcW w:w="1360" w:type="dxa"/>
            <w:vAlign w:val="bottom"/>
            <w:gridSpan w:val="3"/>
          </w:tcPr>
          <w:p>
            <w:pPr>
              <w:ind w:left="260"/>
              <w:spacing w:after="0"/>
              <w:rPr>
                <w:sz w:val="20"/>
                <w:szCs w:val="20"/>
                <w:color w:val="auto"/>
              </w:rPr>
            </w:pPr>
            <w:r>
              <w:rPr>
                <w:rFonts w:ascii="Times New Roman" w:cs="Times New Roman" w:eastAsia="Times New Roman" w:hAnsi="Times New Roman"/>
                <w:sz w:val="20"/>
                <w:szCs w:val="20"/>
                <w:color w:val="auto"/>
              </w:rPr>
              <w:t>Guaranty 77</w:t>
            </w:r>
          </w:p>
        </w:tc>
        <w:tc>
          <w:tcPr>
            <w:tcW w:w="1880" w:type="dxa"/>
            <w:vAlign w:val="bottom"/>
          </w:tcPr>
          <w:p>
            <w:pPr>
              <w:spacing w:after="0"/>
              <w:rPr>
                <w:sz w:val="24"/>
                <w:szCs w:val="24"/>
                <w:color w:val="auto"/>
              </w:rPr>
            </w:pPr>
          </w:p>
        </w:tc>
      </w:tr>
      <w:tr>
        <w:trPr>
          <w:trHeight w:val="351"/>
        </w:trPr>
        <w:tc>
          <w:tcPr>
            <w:tcW w:w="340" w:type="dxa"/>
            <w:vAlign w:val="bottom"/>
          </w:tcPr>
          <w:p>
            <w:pPr>
              <w:spacing w:after="0"/>
              <w:rPr>
                <w:sz w:val="24"/>
                <w:szCs w:val="24"/>
                <w:color w:val="auto"/>
              </w:rPr>
            </w:pPr>
          </w:p>
        </w:tc>
        <w:tc>
          <w:tcPr>
            <w:tcW w:w="760" w:type="dxa"/>
            <w:vAlign w:val="bottom"/>
          </w:tcPr>
          <w:p>
            <w:pPr>
              <w:ind w:left="340"/>
              <w:spacing w:after="0"/>
              <w:rPr>
                <w:sz w:val="20"/>
                <w:szCs w:val="20"/>
                <w:color w:val="auto"/>
              </w:rPr>
            </w:pPr>
            <w:r>
              <w:rPr>
                <w:rFonts w:ascii="Times New Roman" w:cs="Times New Roman" w:eastAsia="Times New Roman" w:hAnsi="Times New Roman"/>
                <w:sz w:val="20"/>
                <w:szCs w:val="20"/>
                <w:color w:val="auto"/>
                <w:w w:val="99"/>
              </w:rPr>
              <w:t>13.2.</w:t>
            </w:r>
          </w:p>
        </w:tc>
        <w:tc>
          <w:tcPr>
            <w:tcW w:w="3340" w:type="dxa"/>
            <w:vAlign w:val="bottom"/>
            <w:gridSpan w:val="5"/>
          </w:tcPr>
          <w:p>
            <w:pPr>
              <w:ind w:left="20"/>
              <w:spacing w:after="0"/>
              <w:rPr>
                <w:sz w:val="20"/>
                <w:szCs w:val="20"/>
                <w:color w:val="auto"/>
              </w:rPr>
            </w:pPr>
            <w:r>
              <w:rPr>
                <w:rFonts w:ascii="Times New Roman" w:cs="Times New Roman" w:eastAsia="Times New Roman" w:hAnsi="Times New Roman"/>
                <w:sz w:val="20"/>
                <w:szCs w:val="20"/>
                <w:color w:val="auto"/>
              </w:rPr>
              <w:t>Limitation of Guaranty 77</w:t>
            </w:r>
          </w:p>
        </w:tc>
      </w:tr>
      <w:tr>
        <w:trPr>
          <w:trHeight w:val="338"/>
        </w:trPr>
        <w:tc>
          <w:tcPr>
            <w:tcW w:w="340" w:type="dxa"/>
            <w:vAlign w:val="bottom"/>
          </w:tcPr>
          <w:p>
            <w:pPr>
              <w:spacing w:after="0"/>
              <w:rPr>
                <w:sz w:val="24"/>
                <w:szCs w:val="24"/>
                <w:color w:val="auto"/>
              </w:rPr>
            </w:pPr>
          </w:p>
        </w:tc>
        <w:tc>
          <w:tcPr>
            <w:tcW w:w="760" w:type="dxa"/>
            <w:vAlign w:val="bottom"/>
          </w:tcPr>
          <w:p>
            <w:pPr>
              <w:ind w:left="340"/>
              <w:spacing w:after="0"/>
              <w:rPr>
                <w:sz w:val="20"/>
                <w:szCs w:val="20"/>
                <w:color w:val="auto"/>
              </w:rPr>
            </w:pPr>
            <w:r>
              <w:rPr>
                <w:rFonts w:ascii="Times New Roman" w:cs="Times New Roman" w:eastAsia="Times New Roman" w:hAnsi="Times New Roman"/>
                <w:sz w:val="20"/>
                <w:szCs w:val="20"/>
                <w:color w:val="auto"/>
                <w:w w:val="99"/>
              </w:rPr>
              <w:t>13.3.</w:t>
            </w:r>
          </w:p>
        </w:tc>
        <w:tc>
          <w:tcPr>
            <w:tcW w:w="3340" w:type="dxa"/>
            <w:vAlign w:val="bottom"/>
            <w:gridSpan w:val="5"/>
          </w:tcPr>
          <w:p>
            <w:pPr>
              <w:ind w:left="20"/>
              <w:spacing w:after="0"/>
              <w:rPr>
                <w:sz w:val="20"/>
                <w:szCs w:val="20"/>
                <w:color w:val="auto"/>
              </w:rPr>
            </w:pPr>
            <w:r>
              <w:rPr>
                <w:rFonts w:ascii="Times New Roman" w:cs="Times New Roman" w:eastAsia="Times New Roman" w:hAnsi="Times New Roman"/>
                <w:sz w:val="20"/>
                <w:szCs w:val="20"/>
                <w:color w:val="auto"/>
              </w:rPr>
              <w:t>Authorization; Other Agreements 77</w:t>
            </w:r>
          </w:p>
        </w:tc>
      </w:tr>
      <w:tr>
        <w:trPr>
          <w:trHeight w:val="351"/>
        </w:trPr>
        <w:tc>
          <w:tcPr>
            <w:tcW w:w="340" w:type="dxa"/>
            <w:vAlign w:val="bottom"/>
          </w:tcPr>
          <w:p>
            <w:pPr>
              <w:spacing w:after="0"/>
              <w:rPr>
                <w:sz w:val="24"/>
                <w:szCs w:val="24"/>
                <w:color w:val="auto"/>
              </w:rPr>
            </w:pPr>
          </w:p>
        </w:tc>
        <w:tc>
          <w:tcPr>
            <w:tcW w:w="760" w:type="dxa"/>
            <w:vAlign w:val="bottom"/>
          </w:tcPr>
          <w:p>
            <w:pPr>
              <w:ind w:left="340"/>
              <w:spacing w:after="0"/>
              <w:rPr>
                <w:sz w:val="20"/>
                <w:szCs w:val="20"/>
                <w:color w:val="auto"/>
              </w:rPr>
            </w:pPr>
            <w:r>
              <w:rPr>
                <w:rFonts w:ascii="Times New Roman" w:cs="Times New Roman" w:eastAsia="Times New Roman" w:hAnsi="Times New Roman"/>
                <w:sz w:val="20"/>
                <w:szCs w:val="20"/>
                <w:color w:val="auto"/>
                <w:w w:val="99"/>
              </w:rPr>
              <w:t>13.4.</w:t>
            </w:r>
          </w:p>
        </w:tc>
        <w:tc>
          <w:tcPr>
            <w:tcW w:w="3340" w:type="dxa"/>
            <w:vAlign w:val="bottom"/>
            <w:gridSpan w:val="5"/>
          </w:tcPr>
          <w:p>
            <w:pPr>
              <w:ind w:left="20"/>
              <w:spacing w:after="0"/>
              <w:rPr>
                <w:sz w:val="20"/>
                <w:szCs w:val="20"/>
                <w:color w:val="auto"/>
              </w:rPr>
            </w:pPr>
            <w:r>
              <w:rPr>
                <w:rFonts w:ascii="Times New Roman" w:cs="Times New Roman" w:eastAsia="Times New Roman" w:hAnsi="Times New Roman"/>
                <w:sz w:val="20"/>
                <w:szCs w:val="20"/>
                <w:color w:val="auto"/>
                <w:w w:val="99"/>
              </w:rPr>
              <w:t>Guaranty Absolute and Unconditional 78</w:t>
            </w:r>
          </w:p>
        </w:tc>
      </w:tr>
      <w:tr>
        <w:trPr>
          <w:trHeight w:val="338"/>
        </w:trPr>
        <w:tc>
          <w:tcPr>
            <w:tcW w:w="340" w:type="dxa"/>
            <w:vAlign w:val="bottom"/>
          </w:tcPr>
          <w:p>
            <w:pPr>
              <w:spacing w:after="0"/>
              <w:rPr>
                <w:sz w:val="24"/>
                <w:szCs w:val="24"/>
                <w:color w:val="auto"/>
              </w:rPr>
            </w:pPr>
          </w:p>
        </w:tc>
        <w:tc>
          <w:tcPr>
            <w:tcW w:w="760" w:type="dxa"/>
            <w:vAlign w:val="bottom"/>
          </w:tcPr>
          <w:p>
            <w:pPr>
              <w:ind w:left="340"/>
              <w:spacing w:after="0"/>
              <w:rPr>
                <w:sz w:val="20"/>
                <w:szCs w:val="20"/>
                <w:color w:val="auto"/>
              </w:rPr>
            </w:pPr>
            <w:r>
              <w:rPr>
                <w:rFonts w:ascii="Times New Roman" w:cs="Times New Roman" w:eastAsia="Times New Roman" w:hAnsi="Times New Roman"/>
                <w:sz w:val="20"/>
                <w:szCs w:val="20"/>
                <w:color w:val="auto"/>
                <w:w w:val="99"/>
              </w:rPr>
              <w:t>13.5.</w:t>
            </w:r>
          </w:p>
        </w:tc>
        <w:tc>
          <w:tcPr>
            <w:tcW w:w="1160" w:type="dxa"/>
            <w:vAlign w:val="bottom"/>
            <w:gridSpan w:val="3"/>
          </w:tcPr>
          <w:p>
            <w:pPr>
              <w:ind w:left="20"/>
              <w:spacing w:after="0"/>
              <w:rPr>
                <w:sz w:val="20"/>
                <w:szCs w:val="20"/>
                <w:color w:val="auto"/>
              </w:rPr>
            </w:pPr>
            <w:r>
              <w:rPr>
                <w:rFonts w:ascii="Times New Roman" w:cs="Times New Roman" w:eastAsia="Times New Roman" w:hAnsi="Times New Roman"/>
                <w:sz w:val="20"/>
                <w:szCs w:val="20"/>
                <w:color w:val="auto"/>
              </w:rPr>
              <w:t>Waivers 78</w:t>
            </w:r>
          </w:p>
        </w:tc>
        <w:tc>
          <w:tcPr>
            <w:tcW w:w="300" w:type="dxa"/>
            <w:vAlign w:val="bottom"/>
          </w:tcPr>
          <w:p>
            <w:pPr>
              <w:spacing w:after="0"/>
              <w:rPr>
                <w:sz w:val="24"/>
                <w:szCs w:val="24"/>
                <w:color w:val="auto"/>
              </w:rPr>
            </w:pPr>
          </w:p>
        </w:tc>
        <w:tc>
          <w:tcPr>
            <w:tcW w:w="1880" w:type="dxa"/>
            <w:vAlign w:val="bottom"/>
          </w:tcPr>
          <w:p>
            <w:pPr>
              <w:spacing w:after="0"/>
              <w:rPr>
                <w:sz w:val="24"/>
                <w:szCs w:val="24"/>
                <w:color w:val="auto"/>
              </w:rPr>
            </w:pPr>
          </w:p>
        </w:tc>
      </w:tr>
      <w:tr>
        <w:trPr>
          <w:trHeight w:val="338"/>
        </w:trPr>
        <w:tc>
          <w:tcPr>
            <w:tcW w:w="340" w:type="dxa"/>
            <w:vAlign w:val="bottom"/>
          </w:tcPr>
          <w:p>
            <w:pPr>
              <w:spacing w:after="0"/>
              <w:rPr>
                <w:sz w:val="24"/>
                <w:szCs w:val="24"/>
                <w:color w:val="auto"/>
              </w:rPr>
            </w:pPr>
          </w:p>
        </w:tc>
        <w:tc>
          <w:tcPr>
            <w:tcW w:w="760" w:type="dxa"/>
            <w:vAlign w:val="bottom"/>
          </w:tcPr>
          <w:p>
            <w:pPr>
              <w:ind w:left="340"/>
              <w:spacing w:after="0"/>
              <w:rPr>
                <w:sz w:val="20"/>
                <w:szCs w:val="20"/>
                <w:color w:val="auto"/>
              </w:rPr>
            </w:pPr>
            <w:r>
              <w:rPr>
                <w:rFonts w:ascii="Times New Roman" w:cs="Times New Roman" w:eastAsia="Times New Roman" w:hAnsi="Times New Roman"/>
                <w:sz w:val="20"/>
                <w:szCs w:val="20"/>
                <w:color w:val="auto"/>
                <w:w w:val="99"/>
              </w:rPr>
              <w:t>13.6.</w:t>
            </w:r>
          </w:p>
        </w:tc>
        <w:tc>
          <w:tcPr>
            <w:tcW w:w="100" w:type="dxa"/>
            <w:vAlign w:val="bottom"/>
          </w:tcPr>
          <w:p>
            <w:pPr>
              <w:spacing w:after="0"/>
              <w:rPr>
                <w:sz w:val="24"/>
                <w:szCs w:val="24"/>
                <w:color w:val="auto"/>
              </w:rPr>
            </w:pPr>
          </w:p>
        </w:tc>
        <w:tc>
          <w:tcPr>
            <w:tcW w:w="1060" w:type="dxa"/>
            <w:vAlign w:val="bottom"/>
            <w:gridSpan w:val="2"/>
          </w:tcPr>
          <w:p>
            <w:pPr>
              <w:ind w:left="260"/>
              <w:spacing w:after="0"/>
              <w:rPr>
                <w:sz w:val="20"/>
                <w:szCs w:val="20"/>
                <w:color w:val="auto"/>
              </w:rPr>
            </w:pPr>
            <w:r>
              <w:rPr>
                <w:rFonts w:ascii="Times New Roman" w:cs="Times New Roman" w:eastAsia="Times New Roman" w:hAnsi="Times New Roman"/>
                <w:sz w:val="20"/>
                <w:szCs w:val="20"/>
                <w:color w:val="auto"/>
              </w:rPr>
              <w:t>Reliance</w:t>
            </w:r>
          </w:p>
        </w:tc>
        <w:tc>
          <w:tcPr>
            <w:tcW w:w="3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w w:val="89"/>
              </w:rPr>
              <w:t>79</w:t>
            </w:r>
          </w:p>
        </w:tc>
        <w:tc>
          <w:tcPr>
            <w:tcW w:w="1880" w:type="dxa"/>
            <w:vAlign w:val="bottom"/>
          </w:tcPr>
          <w:p>
            <w:pPr>
              <w:spacing w:after="0"/>
              <w:rPr>
                <w:sz w:val="24"/>
                <w:szCs w:val="24"/>
                <w:color w:val="auto"/>
              </w:rPr>
            </w:pPr>
          </w:p>
        </w:tc>
      </w:tr>
      <w:tr>
        <w:trPr>
          <w:trHeight w:val="351"/>
        </w:trPr>
        <w:tc>
          <w:tcPr>
            <w:tcW w:w="340" w:type="dxa"/>
            <w:vAlign w:val="bottom"/>
          </w:tcPr>
          <w:p>
            <w:pPr>
              <w:spacing w:after="0"/>
              <w:rPr>
                <w:sz w:val="24"/>
                <w:szCs w:val="24"/>
                <w:color w:val="auto"/>
              </w:rPr>
            </w:pPr>
          </w:p>
        </w:tc>
        <w:tc>
          <w:tcPr>
            <w:tcW w:w="760" w:type="dxa"/>
            <w:vAlign w:val="bottom"/>
          </w:tcPr>
          <w:p>
            <w:pPr>
              <w:ind w:left="340"/>
              <w:spacing w:after="0"/>
              <w:rPr>
                <w:sz w:val="20"/>
                <w:szCs w:val="20"/>
                <w:color w:val="auto"/>
              </w:rPr>
            </w:pPr>
            <w:r>
              <w:rPr>
                <w:rFonts w:ascii="Times New Roman" w:cs="Times New Roman" w:eastAsia="Times New Roman" w:hAnsi="Times New Roman"/>
                <w:sz w:val="20"/>
                <w:szCs w:val="20"/>
                <w:color w:val="auto"/>
                <w:w w:val="99"/>
              </w:rPr>
              <w:t>13.7.</w:t>
            </w:r>
          </w:p>
        </w:tc>
        <w:tc>
          <w:tcPr>
            <w:tcW w:w="100" w:type="dxa"/>
            <w:vAlign w:val="bottom"/>
          </w:tcPr>
          <w:p>
            <w:pPr>
              <w:spacing w:after="0"/>
              <w:rPr>
                <w:sz w:val="24"/>
                <w:szCs w:val="24"/>
                <w:color w:val="auto"/>
              </w:rPr>
            </w:pPr>
          </w:p>
        </w:tc>
        <w:tc>
          <w:tcPr>
            <w:tcW w:w="1360" w:type="dxa"/>
            <w:vAlign w:val="bottom"/>
            <w:gridSpan w:val="3"/>
          </w:tcPr>
          <w:p>
            <w:pPr>
              <w:ind w:left="260"/>
              <w:spacing w:after="0"/>
              <w:rPr>
                <w:sz w:val="20"/>
                <w:szCs w:val="20"/>
                <w:color w:val="auto"/>
              </w:rPr>
            </w:pPr>
            <w:r>
              <w:rPr>
                <w:rFonts w:ascii="Times New Roman" w:cs="Times New Roman" w:eastAsia="Times New Roman" w:hAnsi="Times New Roman"/>
                <w:sz w:val="20"/>
                <w:szCs w:val="20"/>
                <w:color w:val="auto"/>
              </w:rPr>
              <w:t>Contribution</w:t>
            </w:r>
          </w:p>
        </w:tc>
        <w:tc>
          <w:tcPr>
            <w:tcW w:w="1880" w:type="dxa"/>
            <w:vAlign w:val="bottom"/>
          </w:tcPr>
          <w:p>
            <w:pPr>
              <w:jc w:val="right"/>
              <w:ind w:right="1481"/>
              <w:spacing w:after="0"/>
              <w:rPr>
                <w:sz w:val="20"/>
                <w:szCs w:val="20"/>
                <w:color w:val="auto"/>
              </w:rPr>
            </w:pPr>
            <w:r>
              <w:rPr>
                <w:rFonts w:ascii="Times New Roman" w:cs="Times New Roman" w:eastAsia="Times New Roman" w:hAnsi="Times New Roman"/>
                <w:sz w:val="20"/>
                <w:szCs w:val="20"/>
                <w:color w:val="auto"/>
              </w:rPr>
              <w:t>79</w:t>
            </w:r>
          </w:p>
        </w:tc>
      </w:tr>
      <w:tr>
        <w:trPr>
          <w:trHeight w:val="338"/>
        </w:trPr>
        <w:tc>
          <w:tcPr>
            <w:tcW w:w="3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5"/>
              </w:rPr>
              <w:t>14.</w:t>
            </w:r>
          </w:p>
        </w:tc>
        <w:tc>
          <w:tcPr>
            <w:tcW w:w="160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DEFINITIONS</w:t>
            </w:r>
          </w:p>
        </w:tc>
        <w:tc>
          <w:tcPr>
            <w:tcW w:w="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79</w:t>
            </w:r>
          </w:p>
        </w:tc>
        <w:tc>
          <w:tcPr>
            <w:tcW w:w="300" w:type="dxa"/>
            <w:vAlign w:val="bottom"/>
          </w:tcPr>
          <w:p>
            <w:pPr>
              <w:spacing w:after="0"/>
              <w:rPr>
                <w:sz w:val="24"/>
                <w:szCs w:val="24"/>
                <w:color w:val="auto"/>
              </w:rPr>
            </w:pPr>
          </w:p>
        </w:tc>
        <w:tc>
          <w:tcPr>
            <w:tcW w:w="1880" w:type="dxa"/>
            <w:vAlign w:val="bottom"/>
          </w:tcPr>
          <w:p>
            <w:pPr>
              <w:spacing w:after="0"/>
              <w:rPr>
                <w:sz w:val="24"/>
                <w:szCs w:val="24"/>
                <w:color w:val="auto"/>
              </w:rPr>
            </w:pPr>
          </w:p>
        </w:tc>
      </w:tr>
      <w:tr>
        <w:trPr>
          <w:trHeight w:val="338"/>
        </w:trPr>
        <w:tc>
          <w:tcPr>
            <w:tcW w:w="340" w:type="dxa"/>
            <w:vAlign w:val="bottom"/>
          </w:tcPr>
          <w:p>
            <w:pPr>
              <w:spacing w:after="0"/>
              <w:rPr>
                <w:sz w:val="24"/>
                <w:szCs w:val="24"/>
                <w:color w:val="auto"/>
              </w:rPr>
            </w:pPr>
          </w:p>
        </w:tc>
        <w:tc>
          <w:tcPr>
            <w:tcW w:w="760" w:type="dxa"/>
            <w:vAlign w:val="bottom"/>
          </w:tcPr>
          <w:p>
            <w:pPr>
              <w:ind w:left="340"/>
              <w:spacing w:after="0"/>
              <w:rPr>
                <w:sz w:val="20"/>
                <w:szCs w:val="20"/>
                <w:color w:val="auto"/>
              </w:rPr>
            </w:pPr>
            <w:r>
              <w:rPr>
                <w:rFonts w:ascii="Times New Roman" w:cs="Times New Roman" w:eastAsia="Times New Roman" w:hAnsi="Times New Roman"/>
                <w:sz w:val="20"/>
                <w:szCs w:val="20"/>
                <w:color w:val="auto"/>
                <w:w w:val="99"/>
              </w:rPr>
              <w:t>14.1.</w:t>
            </w:r>
          </w:p>
        </w:tc>
        <w:tc>
          <w:tcPr>
            <w:tcW w:w="100" w:type="dxa"/>
            <w:vAlign w:val="bottom"/>
          </w:tcPr>
          <w:p>
            <w:pPr>
              <w:spacing w:after="0"/>
              <w:rPr>
                <w:sz w:val="24"/>
                <w:szCs w:val="24"/>
                <w:color w:val="auto"/>
              </w:rPr>
            </w:pPr>
          </w:p>
        </w:tc>
        <w:tc>
          <w:tcPr>
            <w:tcW w:w="1360" w:type="dxa"/>
            <w:vAlign w:val="bottom"/>
            <w:gridSpan w:val="3"/>
          </w:tcPr>
          <w:p>
            <w:pPr>
              <w:ind w:left="260"/>
              <w:spacing w:after="0"/>
              <w:rPr>
                <w:sz w:val="20"/>
                <w:szCs w:val="20"/>
                <w:color w:val="auto"/>
              </w:rPr>
            </w:pPr>
            <w:r>
              <w:rPr>
                <w:rFonts w:ascii="Times New Roman" w:cs="Times New Roman" w:eastAsia="Times New Roman" w:hAnsi="Times New Roman"/>
                <w:sz w:val="20"/>
                <w:szCs w:val="20"/>
                <w:color w:val="auto"/>
              </w:rPr>
              <w:t>Definitions</w:t>
            </w:r>
          </w:p>
        </w:tc>
        <w:tc>
          <w:tcPr>
            <w:tcW w:w="1880" w:type="dxa"/>
            <w:vAlign w:val="bottom"/>
          </w:tcPr>
          <w:p>
            <w:pPr>
              <w:jc w:val="right"/>
              <w:ind w:right="1481"/>
              <w:spacing w:after="0"/>
              <w:rPr>
                <w:sz w:val="20"/>
                <w:szCs w:val="20"/>
                <w:color w:val="auto"/>
              </w:rPr>
            </w:pPr>
            <w:r>
              <w:rPr>
                <w:rFonts w:ascii="Times New Roman" w:cs="Times New Roman" w:eastAsia="Times New Roman" w:hAnsi="Times New Roman"/>
                <w:sz w:val="20"/>
                <w:szCs w:val="20"/>
                <w:color w:val="auto"/>
              </w:rPr>
              <w:t>79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right"/>
        <w:ind w:right="4439"/>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9"/>
          <w:szCs w:val="19"/>
          <w:color w:val="auto"/>
        </w:rPr>
        <w:t>v</w:t>
      </w:r>
      <w:r>
        <w:rPr>
          <w:rFonts w:ascii="Times New Roman" w:cs="Times New Roman" w:eastAsia="Times New Roman" w:hAnsi="Times New Roman"/>
          <w:sz w:val="16"/>
          <w:szCs w:val="16"/>
          <w:color w:val="auto"/>
        </w:rPr>
        <w:t>-</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4905-3710-6484 v.17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610870</wp:posOffset>
            </wp:positionV>
            <wp:extent cx="7157720" cy="425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26" w:right="1440" w:bottom="1440" w:gutter="0" w:footer="0" w:header="0"/>
        </w:sectPr>
      </w:pPr>
    </w:p>
    <w:bookmarkStart w:id="123" w:name="page124"/>
    <w:bookmarkEnd w:id="123"/>
    <w:p>
      <w:pPr>
        <w:jc w:val="center"/>
        <w:spacing w:after="0"/>
        <w:rPr>
          <w:sz w:val="20"/>
          <w:szCs w:val="20"/>
          <w:color w:val="auto"/>
        </w:rPr>
      </w:pPr>
      <w:r>
        <w:rPr>
          <w:rFonts w:ascii="Times New Roman" w:cs="Times New Roman" w:eastAsia="Times New Roman" w:hAnsi="Times New Roman"/>
          <w:sz w:val="20"/>
          <w:szCs w:val="20"/>
          <w:b w:val="1"/>
          <w:bCs w:val="1"/>
          <w:color w:val="auto"/>
        </w:rPr>
        <w:t>LOAN AGREEMENT</w:t>
      </w:r>
    </w:p>
    <w:p>
      <w:pPr>
        <w:spacing w:after="0" w:line="216"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b w:val="1"/>
          <w:bCs w:val="1"/>
          <w:color w:val="auto"/>
        </w:rPr>
        <w:t xml:space="preserve">THIS LOAN AGREEMENT </w:t>
      </w:r>
      <w:r>
        <w:rPr>
          <w:rFonts w:ascii="Times New Roman" w:cs="Times New Roman" w:eastAsia="Times New Roman" w:hAnsi="Times New Roman"/>
          <w:sz w:val="20"/>
          <w:szCs w:val="20"/>
          <w:color w:val="auto"/>
        </w:rPr>
        <w:t>(this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20"/>
          <w:szCs w:val="20"/>
          <w:b w:val="1"/>
          <w:bCs w:val="1"/>
          <w:color w:val="auto"/>
        </w:rPr>
        <w:t>Agreement</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20"/>
          <w:szCs w:val="20"/>
          <w:color w:val="auto"/>
        </w:rPr>
        <w:t>), dated as of May 8, 2025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20"/>
          <w:szCs w:val="20"/>
          <w:b w:val="1"/>
          <w:bCs w:val="1"/>
          <w:color w:val="auto"/>
        </w:rPr>
        <w:t>Closing Date</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20"/>
          <w:szCs w:val="20"/>
          <w:color w:val="auto"/>
        </w:rPr>
        <w:t>), is by and among AXSOME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THERAPEUTICS, INC., a Delaware corporation (as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20"/>
          <w:szCs w:val="20"/>
          <w:b w:val="1"/>
          <w:bCs w:val="1"/>
          <w:color w:val="auto"/>
        </w:rPr>
        <w:t>Borrower</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20"/>
          <w:szCs w:val="20"/>
          <w:color w:val="auto"/>
        </w:rPr>
        <w:t xml:space="preserve">), each other Person from time to time party hereto that is designated as a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9"/>
          <w:szCs w:val="19"/>
          <w:b w:val="1"/>
          <w:bCs w:val="1"/>
          <w:color w:val="auto"/>
        </w:rPr>
        <w:t>Credit Party</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9"/>
          <w:szCs w:val="19"/>
          <w:color w:val="auto"/>
        </w:rPr>
        <w:t>(as defined below), WILMINGTON TRUST, NATIONAL ASSOCIATION (as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9"/>
          <w:szCs w:val="19"/>
          <w:b w:val="1"/>
          <w:bCs w:val="1"/>
          <w:color w:val="auto"/>
        </w:rPr>
        <w:t>Agent</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9"/>
          <w:szCs w:val="19"/>
          <w:color w:val="auto"/>
        </w:rPr>
        <w:t>), Blackstone Alternative Credit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9"/>
          <w:szCs w:val="19"/>
          <w:color w:val="auto"/>
        </w:rPr>
        <w:t xml:space="preserve">Advisors LP and Blackstone Life Sciences Advisors L.L.C., (collectively, as the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9"/>
          <w:szCs w:val="19"/>
          <w:b w:val="1"/>
          <w:bCs w:val="1"/>
          <w:color w:val="auto"/>
        </w:rPr>
        <w:t>Blackstone Representative</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9"/>
          <w:szCs w:val="19"/>
          <w:color w:val="auto"/>
        </w:rPr>
        <w:t xml:space="preserve"> and each lender from time to time party hereto (each individually a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9"/>
          <w:szCs w:val="19"/>
          <w:b w:val="1"/>
          <w:bCs w:val="1"/>
          <w:color w:val="auto"/>
        </w:rPr>
        <w:t>Lender</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9"/>
          <w:szCs w:val="19"/>
          <w:color w:val="auto"/>
        </w:rPr>
        <w:t xml:space="preserve"> and collectively, the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9"/>
          <w:szCs w:val="19"/>
          <w:b w:val="1"/>
          <w:bCs w:val="1"/>
          <w:color w:val="auto"/>
        </w:rPr>
        <w:t>Lenders</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9"/>
          <w:szCs w:val="19"/>
          <w:color w:val="auto"/>
        </w:rPr>
        <w:t>).</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W I T N E S S E T H:</w:t>
      </w:r>
    </w:p>
    <w:p>
      <w:pPr>
        <w:spacing w:after="0" w:line="216" w:lineRule="exact"/>
        <w:rPr>
          <w:sz w:val="20"/>
          <w:szCs w:val="20"/>
          <w:color w:val="auto"/>
        </w:rPr>
      </w:pPr>
    </w:p>
    <w:p>
      <w:pPr>
        <w:jc w:val="both"/>
        <w:ind w:firstLine="749"/>
        <w:spacing w:after="0" w:line="268" w:lineRule="auto"/>
        <w:rPr>
          <w:sz w:val="20"/>
          <w:szCs w:val="20"/>
          <w:color w:val="auto"/>
        </w:rPr>
      </w:pPr>
      <w:r>
        <w:rPr>
          <w:rFonts w:ascii="Times New Roman" w:cs="Times New Roman" w:eastAsia="Times New Roman" w:hAnsi="Times New Roman"/>
          <w:sz w:val="19"/>
          <w:szCs w:val="19"/>
          <w:b w:val="1"/>
          <w:bCs w:val="1"/>
          <w:color w:val="auto"/>
        </w:rPr>
        <w:t>WHEREAS</w:t>
      </w:r>
      <w:r>
        <w:rPr>
          <w:rFonts w:ascii="Times New Roman" w:cs="Times New Roman" w:eastAsia="Times New Roman" w:hAnsi="Times New Roman"/>
          <w:sz w:val="19"/>
          <w:szCs w:val="19"/>
          <w:color w:val="auto"/>
        </w:rPr>
        <w:t>, the Lenders have agreed, subject to the terms and conditions set forth herein, to extend certain credit facilities to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Borrower consisting of (i) Initial Term Loans in an aggregate principal amount equal to $120,000,000, (ii) Tranche A Delayed Draw Term Loans in an aggregate principal amount equal to $90,000,000, (iii) Tranche B Delayed Draw Term Loans in an aggregate principal amount equal to $90,000,000 and (iv) Revolving Credit Loans in an aggregate principal amount at any time outstanding not to exceed $70,000,000;</w:t>
      </w:r>
    </w:p>
    <w:p>
      <w:pPr>
        <w:spacing w:after="0" w:line="158"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the proceeds of the Loans shall be used (i) to refinance the Existing Indebtedness on the Closing Date, (ii) to pay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fees, costs, and expenses in connection with the funding of the Term Loans and Revolving Credit Loans and (iii) for general corporate purposes of Borrower and its Subsidiaries;</w:t>
      </w:r>
    </w:p>
    <w:p>
      <w:pPr>
        <w:spacing w:after="0" w:line="169" w:lineRule="exact"/>
        <w:rPr>
          <w:sz w:val="20"/>
          <w:szCs w:val="20"/>
          <w:color w:val="auto"/>
        </w:rPr>
      </w:pPr>
    </w:p>
    <w:p>
      <w:pPr>
        <w:jc w:val="both"/>
        <w:ind w:firstLine="749"/>
        <w:spacing w:after="0" w:line="273" w:lineRule="auto"/>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Borrower desires to secure the Obligations by granting to Agent, for the benefit of the Secured Parties, a security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interest in and Lien upon the Collateral granted by it pursuant to the Collateral Documents; and</w:t>
      </w:r>
    </w:p>
    <w:p>
      <w:pPr>
        <w:spacing w:after="0" w:line="152" w:lineRule="exact"/>
        <w:rPr>
          <w:sz w:val="20"/>
          <w:szCs w:val="20"/>
          <w:color w:val="auto"/>
        </w:rPr>
      </w:pPr>
    </w:p>
    <w:p>
      <w:pPr>
        <w:jc w:val="both"/>
        <w:ind w:firstLine="749"/>
        <w:spacing w:after="0" w:line="273" w:lineRule="auto"/>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subject to the terms hereof, each Guarantor is willing to guarantee all of the Obligations and to grant to Agent, for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benefit of the Secured Parties, a security interest in and Lien upon the Collateral granted by it pursuant to the Collateral Documents.</w:t>
      </w:r>
    </w:p>
    <w:p>
      <w:pPr>
        <w:spacing w:after="0" w:line="152" w:lineRule="exact"/>
        <w:rPr>
          <w:sz w:val="20"/>
          <w:szCs w:val="20"/>
          <w:color w:val="auto"/>
        </w:rPr>
      </w:pPr>
    </w:p>
    <w:p>
      <w:pPr>
        <w:jc w:val="both"/>
        <w:ind w:firstLine="749"/>
        <w:spacing w:after="0" w:line="273" w:lineRule="auto"/>
        <w:rPr>
          <w:sz w:val="20"/>
          <w:szCs w:val="20"/>
          <w:color w:val="auto"/>
        </w:rPr>
      </w:pPr>
      <w:r>
        <w:rPr>
          <w:rFonts w:ascii="Times New Roman" w:cs="Times New Roman" w:eastAsia="Times New Roman" w:hAnsi="Times New Roman"/>
          <w:sz w:val="20"/>
          <w:szCs w:val="20"/>
          <w:b w:val="1"/>
          <w:bCs w:val="1"/>
          <w:color w:val="auto"/>
        </w:rPr>
        <w:t>NOW, THEREFORE</w:t>
      </w:r>
      <w:r>
        <w:rPr>
          <w:rFonts w:ascii="Times New Roman" w:cs="Times New Roman" w:eastAsia="Times New Roman" w:hAnsi="Times New Roman"/>
          <w:sz w:val="20"/>
          <w:szCs w:val="20"/>
          <w:color w:val="auto"/>
        </w:rPr>
        <w:t>, in consideration of the mutual agreements, provisions and covenants contained herein, the parties hereto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agree as follows:</w:t>
      </w:r>
    </w:p>
    <w:p>
      <w:pPr>
        <w:spacing w:after="0" w:line="165" w:lineRule="exact"/>
        <w:rPr>
          <w:sz w:val="20"/>
          <w:szCs w:val="20"/>
          <w:color w:val="auto"/>
        </w:rPr>
      </w:pPr>
    </w:p>
    <w:p>
      <w:pPr>
        <w:ind w:left="1160" w:hanging="403"/>
        <w:spacing w:after="0"/>
        <w:tabs>
          <w:tab w:leader="none" w:pos="1160" w:val="left"/>
        </w:tabs>
        <w:numPr>
          <w:ilvl w:val="0"/>
          <w:numId w:val="4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ACCOUNTING AND OTHER TERMS</w:t>
      </w:r>
    </w:p>
    <w:p>
      <w:pPr>
        <w:spacing w:after="0" w:line="220"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 xml:space="preserve">Except as otherwise expressly provided herein, all accounting terms not otherwise defined in this Agreement shall have the meanings assigned to them in conformity with GAAP. All accounting calculations and determinations must be made following GAAP. Unless otherwise expressly provided, all financial covenants and financial terms shall be computed on a consolidated basis for the Borrower and its Subsidiaries, in each case without duplication. If at any time any change in GAAP would affect the computation of any financial requirement set forth in any Loan Document, and either Borrower or the Blackstone Representative shall so request, the Blackstone Representative and Borrower shall negotiate in good faith to amend such requirement to preserve the original intent thereof in light of such change in GAAP;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until so amended (i) such requirement shall continue to be computed in accordance with GAAP prior to such change therein, and (ii) the Borrower shall provide to the Lenders a written reconciliation in form and substance reasonably satisfactory to the Lenders, between calculations of any baskets and other requirements hereunder, before and after giving effect to such change or issuance.</w:t>
      </w:r>
    </w:p>
    <w:p>
      <w:pPr>
        <w:spacing w:after="0" w:line="192"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 xml:space="preserve">Capitalized terms not otherwise defined in this Agreement shall have the meanings set forth in </w:t>
      </w:r>
      <w:r>
        <w:rPr>
          <w:rFonts w:ascii="Times New Roman" w:cs="Times New Roman" w:eastAsia="Times New Roman" w:hAnsi="Times New Roman"/>
          <w:sz w:val="20"/>
          <w:szCs w:val="20"/>
          <w:u w:val="single" w:color="auto"/>
          <w:color w:val="auto"/>
        </w:rPr>
        <w:t>Section 14</w:t>
      </w:r>
      <w:r>
        <w:rPr>
          <w:rFonts w:ascii="Times New Roman" w:cs="Times New Roman" w:eastAsia="Times New Roman" w:hAnsi="Times New Roman"/>
          <w:sz w:val="20"/>
          <w:szCs w:val="20"/>
          <w:color w:val="auto"/>
        </w:rPr>
        <w:t>. All other terms contained in this Agreement, unless otherwise indicated, shall have the meaning provided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5407025</wp:posOffset>
            </wp:positionH>
            <wp:positionV relativeFrom="paragraph">
              <wp:posOffset>-192405</wp:posOffset>
            </wp:positionV>
            <wp:extent cx="31115"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30">
                      <a:extLst>
                        <a:ext uri="{28A0092B-C50C-407E-A947-70E740481C1C}"/>
                      </a:extLst>
                    </a:blip>
                    <a:srcRect/>
                    <a:stretch>
                      <a:fillRect/>
                    </a:stretch>
                  </pic:blipFill>
                  <pic:spPr bwMode="auto">
                    <a:xfrm>
                      <a:off x="0" y="0"/>
                      <a:ext cx="31115" cy="8255"/>
                    </a:xfrm>
                    <a:prstGeom prst="rect">
                      <a:avLst/>
                    </a:prstGeom>
                    <a:noFill/>
                  </pic:spPr>
                </pic:pic>
              </a:graphicData>
            </a:graphic>
          </wp:anchor>
        </w:drawing>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22" w:right="419" w:bottom="1440" w:gutter="0" w:footer="0" w:header="0"/>
        </w:sectPr>
      </w:pPr>
    </w:p>
    <w:bookmarkStart w:id="124" w:name="page125"/>
    <w:bookmarkEnd w:id="124"/>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4905-3710-6484 v.17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610870</wp:posOffset>
            </wp:positionV>
            <wp:extent cx="7157720" cy="425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125" w:name="page126"/>
    <w:bookmarkEnd w:id="125"/>
    <w:p>
      <w:pPr>
        <w:jc w:val="both"/>
        <w:spacing w:after="0" w:line="269" w:lineRule="auto"/>
        <w:rPr>
          <w:sz w:val="20"/>
          <w:szCs w:val="20"/>
          <w:color w:val="auto"/>
        </w:rPr>
      </w:pPr>
      <w:r>
        <w:rPr>
          <w:rFonts w:ascii="Times New Roman" w:cs="Times New Roman" w:eastAsia="Times New Roman" w:hAnsi="Times New Roman"/>
          <w:sz w:val="20"/>
          <w:szCs w:val="20"/>
          <w:color w:val="auto"/>
        </w:rPr>
        <w:t>by the Code to the extent such terms are defined therein. All references to “Dollars” or “$” are United States Dollars, unless otherwise noted, and all payments made by the Credit Parties to the Agent or the Lenders with respect to the Obligations shall be in Dollars.</w:t>
      </w:r>
    </w:p>
    <w:p>
      <w:pPr>
        <w:spacing w:after="0" w:line="15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 xml:space="preserve">For purposes of determining compliance with </w:t>
      </w:r>
      <w:r>
        <w:rPr>
          <w:rFonts w:ascii="Times New Roman" w:cs="Times New Roman" w:eastAsia="Times New Roman" w:hAnsi="Times New Roman"/>
          <w:sz w:val="20"/>
          <w:szCs w:val="20"/>
          <w:u w:val="single" w:color="auto"/>
          <w:color w:val="auto"/>
        </w:rPr>
        <w:t>Section 6</w:t>
      </w:r>
      <w:r>
        <w:rPr>
          <w:rFonts w:ascii="Times New Roman" w:cs="Times New Roman" w:eastAsia="Times New Roman" w:hAnsi="Times New Roman"/>
          <w:sz w:val="20"/>
          <w:szCs w:val="20"/>
          <w:color w:val="auto"/>
        </w:rPr>
        <w:t xml:space="preserve"> with respect to the amount of any Indebtedness or Investment in a currency other than Dollars, no Default or Event of Default shall be deemed to have occurred solely as a result of changes in rates of currency exchange occurring after the time such Indebtedness or Investment is incurred, made or acquired (so long as such Indebtedness or Investment, at the time incurred, made or acquired, was permitted hereunder).</w:t>
      </w:r>
    </w:p>
    <w:p>
      <w:pPr>
        <w:spacing w:after="0" w:line="180"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0"/>
          <w:szCs w:val="20"/>
          <w:color w:val="auto"/>
        </w:rPr>
        <w:t>The Agent does not warrant or accept responsibility for, and shall not have any liability with respect to (a) the continuation of, administration of, submission of, calculation of, or any other matter related to the Term SOFR Reference Rate, Adjusted Term SOFR or Term SOFR, or any component definition thereof or rates referred to in the definition thereof, or any alternative, successor or replacement rate thereto (including any Benchmark Replacement), including whether the composition or characteristics of any such alternative, successor or replacement rate (including any Benchmark Replacement) will be similar to, or produce the same value or economic equivalence of, or have the same volume or liquidity as, the Term SOFR Reference Rate, Adjusted Term SOFR, Term SOFR or any other Benchmark prior to its discontinuance or unavailability, or (b) the effect, implementation or composition of any Conforming Changes. The Agent and its affiliates or other related entities may engage in transactions that affect the calculation of the Term SOFR Reference Rate, Term SOFR, Adjusted Term SOFR, any alternative, successor or replacement rate (including any Benchmark Replacement) or any relevant adjustments thereto, in each case, in a manner adverse to Borrower. The Agent may select information sources or services in its reasonable discretion to ascertain the Term SOFR Reference Rate, Term SOFR, Adjusted Term SOFR or any other Benchmark, in each case pursuant to the terms of this Agreement, and shall have no liability to Borrower, any Lender or any other person or entity for damages of any kind, including direct or indirect, special, punitive, incidental or consequential damages, costs, losses or expenses (whether in tort, contract or otherwise, and whether at law or in equity), for any error or calculation of any such rate (or component thereof) provided by any such information source or service.</w:t>
      </w:r>
    </w:p>
    <w:p>
      <w:pPr>
        <w:spacing w:after="0" w:line="194"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For all purposes under the Loan Documents, in connection with any division or plan of division under Delaware law (or any comparable event under a different jurisdiction’s laws), including a statutory division pursuant to Section 18-217 of the Delaware Limited Liability Company Act: (a) if any asset or property of any Person becomes the asset or property of one or more different Persons, then such asset or property shall be deemed to have been disposed of from the original Person to the subsequent Person(s) on the date such division becomes effective; (b) if any obligation or liability of any Person becomes the obligation or liability of one or more different Person(s), then the original Person shall be deemed to have been automatically released from such obligation or liability, and such obligation or liability shall be deemed to have been assumed by the subsequent Person(s), in each case, on the date such division becomes effective; and (c) if any new Person comes into existence, such new Person shall be deemed to have been organized on the first date of its existence by the holders of its Equity Interests on the date such division becomes effective.</w:t>
      </w:r>
    </w:p>
    <w:p>
      <w:pPr>
        <w:spacing w:after="0" w:line="182" w:lineRule="exact"/>
        <w:rPr>
          <w:sz w:val="20"/>
          <w:szCs w:val="20"/>
          <w:color w:val="auto"/>
        </w:rPr>
      </w:pPr>
    </w:p>
    <w:p>
      <w:pPr>
        <w:ind w:left="1160" w:hanging="403"/>
        <w:spacing w:after="0"/>
        <w:tabs>
          <w:tab w:leader="none" w:pos="1160" w:val="left"/>
        </w:tabs>
        <w:numPr>
          <w:ilvl w:val="0"/>
          <w:numId w:val="4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LOANS AND TERMS OF PAYMENT</w:t>
      </w:r>
    </w:p>
    <w:p>
      <w:pPr>
        <w:spacing w:after="0" w:line="215" w:lineRule="exact"/>
        <w:rPr>
          <w:rFonts w:ascii="Times New Roman" w:cs="Times New Roman" w:eastAsia="Times New Roman" w:hAnsi="Times New Roman"/>
          <w:sz w:val="20"/>
          <w:szCs w:val="20"/>
          <w:b w:val="1"/>
          <w:bCs w:val="1"/>
          <w:color w:val="auto"/>
        </w:rPr>
      </w:pPr>
    </w:p>
    <w:p>
      <w:pPr>
        <w:ind w:left="1160" w:hanging="403"/>
        <w:spacing w:after="0"/>
        <w:tabs>
          <w:tab w:leader="none" w:pos="1160" w:val="left"/>
        </w:tabs>
        <w:numPr>
          <w:ilvl w:val="0"/>
          <w:numId w:val="4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Promise to Pay</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Borrower hereby unconditionally promises to pay to the Lenders the outstanding principal amount of the Loans advanced to the Borrower by such Lenders, and accrued and unpaid interest thereon, and any other amounts due hereunder as and when due in accordance with this Agreement.</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26" w:right="41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4"/>
          <w:szCs w:val="14"/>
          <w:color w:val="auto"/>
        </w:rPr>
        <w:t>4905-3710-6484 v.17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610870</wp:posOffset>
            </wp:positionV>
            <wp:extent cx="7157720" cy="425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399" w:right="1440" w:bottom="1440" w:gutter="0" w:footer="0" w:header="0"/>
        </w:sectPr>
      </w:pPr>
    </w:p>
    <w:bookmarkStart w:id="127" w:name="page128"/>
    <w:bookmarkEnd w:id="127"/>
    <w:p>
      <w:pPr>
        <w:ind w:left="840"/>
        <w:spacing w:after="0"/>
        <w:rPr>
          <w:sz w:val="20"/>
          <w:szCs w:val="20"/>
          <w:color w:val="auto"/>
        </w:rPr>
      </w:pPr>
      <w:r>
        <w:rPr>
          <w:rFonts w:ascii="Times New Roman" w:cs="Times New Roman" w:eastAsia="Times New Roman" w:hAnsi="Times New Roman"/>
          <w:sz w:val="20"/>
          <w:szCs w:val="20"/>
          <w:b w:val="1"/>
          <w:bCs w:val="1"/>
          <w:color w:val="auto"/>
        </w:rPr>
        <w:t>2.2. Commitments.</w:t>
      </w:r>
    </w:p>
    <w:p>
      <w:pPr>
        <w:spacing w:after="0" w:line="220" w:lineRule="exact"/>
        <w:rPr>
          <w:sz w:val="20"/>
          <w:szCs w:val="20"/>
          <w:color w:val="auto"/>
        </w:rPr>
      </w:pPr>
    </w:p>
    <w:p>
      <w:pPr>
        <w:ind w:left="1500"/>
        <w:spacing w:after="0"/>
        <w:tabs>
          <w:tab w:leader="none" w:pos="1880" w:val="left"/>
        </w:tabs>
        <w:rPr>
          <w:sz w:val="20"/>
          <w:szCs w:val="20"/>
          <w:color w:val="auto"/>
        </w:rPr>
      </w:pPr>
      <w:r>
        <w:rPr>
          <w:rFonts w:ascii="Times New Roman" w:cs="Times New Roman" w:eastAsia="Times New Roman" w:hAnsi="Times New Roman"/>
          <w:sz w:val="20"/>
          <w:szCs w:val="20"/>
          <w:color w:val="auto"/>
        </w:rPr>
        <w:t>(a)</w:t>
      </w:r>
      <w:r>
        <w:rPr>
          <w:sz w:val="20"/>
          <w:szCs w:val="20"/>
          <w:color w:val="auto"/>
        </w:rPr>
        <w:tab/>
      </w:r>
      <w:r>
        <w:rPr>
          <w:rFonts w:ascii="Times New Roman" w:cs="Times New Roman" w:eastAsia="Times New Roman" w:hAnsi="Times New Roman"/>
          <w:sz w:val="19"/>
          <w:szCs w:val="19"/>
          <w:u w:val="single" w:color="auto"/>
          <w:color w:val="auto"/>
        </w:rPr>
        <w:t>Availability; Borrowing</w:t>
      </w:r>
      <w:r>
        <w:rPr>
          <w:rFonts w:ascii="Times New Roman" w:cs="Times New Roman" w:eastAsia="Times New Roman" w:hAnsi="Times New Roman"/>
          <w:sz w:val="19"/>
          <w:szCs w:val="19"/>
          <w:color w:val="auto"/>
        </w:rPr>
        <w:t>. Subject to the terms and conditions of this Agreement (including</w:t>
      </w:r>
      <w:r>
        <w:rPr>
          <w:rFonts w:ascii="Times New Roman" w:cs="Times New Roman" w:eastAsia="Times New Roman" w:hAnsi="Times New Roman"/>
          <w:sz w:val="19"/>
          <w:szCs w:val="19"/>
          <w:u w:val="single" w:color="auto"/>
          <w:color w:val="auto"/>
        </w:rPr>
        <w:t xml:space="preserve"> Sections 3.1</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 xml:space="preserve"> 3.2</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 xml:space="preserve"> 3.3 </w:t>
      </w:r>
      <w:r>
        <w:rPr>
          <w:rFonts w:ascii="Times New Roman" w:cs="Times New Roman" w:eastAsia="Times New Roman" w:hAnsi="Times New Roman"/>
          <w:sz w:val="19"/>
          <w:szCs w:val="19"/>
          <w:color w:val="auto"/>
        </w:rPr>
        <w:t>and</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3.4</w:t>
      </w:r>
      <w:r>
        <w:rPr>
          <w:rFonts w:ascii="Times New Roman" w:cs="Times New Roman" w:eastAsia="Times New Roman" w:hAnsi="Times New Roman"/>
          <w:sz w:val="20"/>
          <w:szCs w:val="20"/>
          <w:color w:val="auto"/>
        </w:rPr>
        <w:t>):</w:t>
      </w:r>
    </w:p>
    <w:p>
      <w:pPr>
        <w:spacing w:after="0" w:line="194" w:lineRule="exact"/>
        <w:rPr>
          <w:sz w:val="20"/>
          <w:szCs w:val="20"/>
          <w:color w:val="auto"/>
        </w:rPr>
      </w:pPr>
    </w:p>
    <w:p>
      <w:pPr>
        <w:jc w:val="both"/>
        <w:ind w:left="840" w:firstLine="1489"/>
        <w:spacing w:after="0" w:line="254" w:lineRule="auto"/>
        <w:tabs>
          <w:tab w:leader="none" w:pos="2561"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Lender with an Initial Term Loan Commitment severally and not jointly agrees to make to Borrower on the Closing Date initial term loans denominated in Dollars equal to such Lender’s Initial Term Loan Commitment (collectively, the “</w:t>
      </w:r>
      <w:r>
        <w:rPr>
          <w:rFonts w:ascii="Times New Roman" w:cs="Times New Roman" w:eastAsia="Times New Roman" w:hAnsi="Times New Roman"/>
          <w:sz w:val="20"/>
          <w:szCs w:val="20"/>
          <w:b w:val="1"/>
          <w:bCs w:val="1"/>
          <w:color w:val="auto"/>
        </w:rPr>
        <w:t>Initial Term Loan</w:t>
      </w:r>
      <w:r>
        <w:rPr>
          <w:rFonts w:ascii="Times New Roman" w:cs="Times New Roman" w:eastAsia="Times New Roman" w:hAnsi="Times New Roman"/>
          <w:sz w:val="20"/>
          <w:szCs w:val="20"/>
          <w:color w:val="auto"/>
        </w:rPr>
        <w:t>”). After repayment or prepayment, the Initial Term Loan may not be re-borrowed.</w:t>
      </w:r>
    </w:p>
    <w:p>
      <w:pPr>
        <w:spacing w:after="0" w:line="174" w:lineRule="exact"/>
        <w:rPr>
          <w:sz w:val="20"/>
          <w:szCs w:val="20"/>
          <w:color w:val="auto"/>
        </w:rPr>
      </w:pPr>
    </w:p>
    <w:p>
      <w:pPr>
        <w:jc w:val="both"/>
        <w:ind w:left="840" w:firstLine="1498"/>
        <w:spacing w:after="0" w:line="246" w:lineRule="auto"/>
        <w:rPr>
          <w:sz w:val="20"/>
          <w:szCs w:val="20"/>
          <w:color w:val="auto"/>
        </w:rPr>
      </w:pPr>
      <w:r>
        <w:rPr>
          <w:rFonts w:ascii="Times New Roman" w:cs="Times New Roman" w:eastAsia="Times New Roman" w:hAnsi="Times New Roman"/>
          <w:sz w:val="20"/>
          <w:szCs w:val="20"/>
          <w:color w:val="auto"/>
        </w:rPr>
        <w:t>(ii)At any time and from time to time during the Tranche A Delayed Draw Commitment Period, each Lender with a Tranche A Delayed Draw Commitment severally and not jointly agrees to make to Borrower on the applicable Funding Date delayed draw term loans denominated in Dollars in an aggregate amount not to exceed the Tranche A Delayed Draw Commitment of such Lender (the “</w:t>
      </w:r>
      <w:r>
        <w:rPr>
          <w:rFonts w:ascii="Times New Roman" w:cs="Times New Roman" w:eastAsia="Times New Roman" w:hAnsi="Times New Roman"/>
          <w:sz w:val="20"/>
          <w:szCs w:val="20"/>
          <w:b w:val="1"/>
          <w:bCs w:val="1"/>
          <w:color w:val="auto"/>
        </w:rPr>
        <w:t>Tranche A Delayed Draw Term Loans</w:t>
      </w:r>
      <w:r>
        <w:rPr>
          <w:rFonts w:ascii="Times New Roman" w:cs="Times New Roman" w:eastAsia="Times New Roman" w:hAnsi="Times New Roman"/>
          <w:sz w:val="20"/>
          <w:szCs w:val="20"/>
          <w:color w:val="auto"/>
        </w:rPr>
        <w:t>”). After repayment or prepayment, the Tranche A Delayed Draw Term Loans may not be re-borrowed.</w:t>
      </w:r>
    </w:p>
    <w:p>
      <w:pPr>
        <w:spacing w:after="0" w:line="185" w:lineRule="exact"/>
        <w:rPr>
          <w:sz w:val="20"/>
          <w:szCs w:val="20"/>
          <w:color w:val="auto"/>
        </w:rPr>
      </w:pPr>
    </w:p>
    <w:p>
      <w:pPr>
        <w:jc w:val="both"/>
        <w:ind w:left="840" w:firstLine="1498"/>
        <w:spacing w:after="0" w:line="246" w:lineRule="auto"/>
        <w:rPr>
          <w:sz w:val="20"/>
          <w:szCs w:val="20"/>
          <w:color w:val="auto"/>
        </w:rPr>
      </w:pPr>
      <w:r>
        <w:rPr>
          <w:rFonts w:ascii="Times New Roman" w:cs="Times New Roman" w:eastAsia="Times New Roman" w:hAnsi="Times New Roman"/>
          <w:sz w:val="20"/>
          <w:szCs w:val="20"/>
          <w:color w:val="auto"/>
        </w:rPr>
        <w:t>(iii)At any time and from time to time during the Tranche B Delayed Draw Commitment Period, each Lender with a Tranche B Delayed Draw Commitment severally and not jointly agrees to make to Borrower on the applicable Funding Date delayed draw term loans denominated in Dollars in an aggregate amount not to exceed such Lender’s Tranche B Delayed Draw Commitment (the “</w:t>
      </w:r>
      <w:r>
        <w:rPr>
          <w:rFonts w:ascii="Times New Roman" w:cs="Times New Roman" w:eastAsia="Times New Roman" w:hAnsi="Times New Roman"/>
          <w:sz w:val="20"/>
          <w:szCs w:val="20"/>
          <w:b w:val="1"/>
          <w:bCs w:val="1"/>
          <w:color w:val="auto"/>
        </w:rPr>
        <w:t>Tranche B Delayed Draw Term Loans</w:t>
      </w:r>
      <w:r>
        <w:rPr>
          <w:rFonts w:ascii="Times New Roman" w:cs="Times New Roman" w:eastAsia="Times New Roman" w:hAnsi="Times New Roman"/>
          <w:sz w:val="20"/>
          <w:szCs w:val="20"/>
          <w:color w:val="auto"/>
        </w:rPr>
        <w:t>”). After repayment or prepayment, the Tranche B Delayed Draw Term Loans may not be re-borrowed.</w:t>
      </w:r>
    </w:p>
    <w:p>
      <w:pPr>
        <w:spacing w:after="0" w:line="185" w:lineRule="exact"/>
        <w:rPr>
          <w:sz w:val="20"/>
          <w:szCs w:val="20"/>
          <w:color w:val="auto"/>
        </w:rPr>
      </w:pPr>
    </w:p>
    <w:p>
      <w:pPr>
        <w:jc w:val="both"/>
        <w:ind w:left="840" w:firstLine="1498"/>
        <w:spacing w:after="0" w:line="249" w:lineRule="auto"/>
        <w:rPr>
          <w:sz w:val="20"/>
          <w:szCs w:val="20"/>
          <w:color w:val="auto"/>
        </w:rPr>
      </w:pPr>
      <w:r>
        <w:rPr>
          <w:rFonts w:ascii="Times New Roman" w:cs="Times New Roman" w:eastAsia="Times New Roman" w:hAnsi="Times New Roman"/>
          <w:sz w:val="20"/>
          <w:szCs w:val="20"/>
          <w:color w:val="auto"/>
        </w:rPr>
        <w:t>(iv)At any time prior to the Maturity Date, each Lender with a Revolving Credit Commitment severally and not jointly agrees to make to Borrower on the applicable Funding Date revolving loans denominated in Dollars in an aggregate amount not to exceed such Lender’s Revolving Credit Commitment (the “</w:t>
      </w:r>
      <w:r>
        <w:rPr>
          <w:rFonts w:ascii="Times New Roman" w:cs="Times New Roman" w:eastAsia="Times New Roman" w:hAnsi="Times New Roman"/>
          <w:sz w:val="20"/>
          <w:szCs w:val="20"/>
          <w:b w:val="1"/>
          <w:bCs w:val="1"/>
          <w:color w:val="auto"/>
        </w:rPr>
        <w:t>Revolving Credit Loan</w:t>
      </w:r>
      <w:r>
        <w:rPr>
          <w:rFonts w:ascii="Times New Roman" w:cs="Times New Roman" w:eastAsia="Times New Roman" w:hAnsi="Times New Roman"/>
          <w:sz w:val="20"/>
          <w:szCs w:val="20"/>
          <w:color w:val="auto"/>
        </w:rPr>
        <w:t>”). Revolving Credit Loans may be repaid and prepaid (without premium or penalty) and reborrowed in accordance with the provisions of this Agreement.</w:t>
      </w:r>
    </w:p>
    <w:p>
      <w:pPr>
        <w:spacing w:after="0" w:line="180" w:lineRule="exact"/>
        <w:rPr>
          <w:sz w:val="20"/>
          <w:szCs w:val="20"/>
          <w:color w:val="auto"/>
        </w:rPr>
      </w:pPr>
    </w:p>
    <w:p>
      <w:pPr>
        <w:jc w:val="both"/>
        <w:ind w:left="840" w:firstLine="1414"/>
        <w:spacing w:after="0" w:line="241" w:lineRule="auto"/>
        <w:tabs>
          <w:tab w:leader="none" w:pos="2658"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Borrower shall give the Agent irrevocable written notice in the form of the Borrowing Notice attached hereto as </w:t>
      </w:r>
      <w:r>
        <w:rPr>
          <w:rFonts w:ascii="Times New Roman" w:cs="Times New Roman" w:eastAsia="Times New Roman" w:hAnsi="Times New Roman"/>
          <w:sz w:val="20"/>
          <w:szCs w:val="20"/>
          <w:u w:val="single" w:color="auto"/>
          <w:color w:val="auto"/>
        </w:rPr>
        <w:t>Exhibit C</w:t>
      </w:r>
      <w:r>
        <w:rPr>
          <w:rFonts w:ascii="Times New Roman" w:cs="Times New Roman" w:eastAsia="Times New Roman" w:hAnsi="Times New Roman"/>
          <w:sz w:val="20"/>
          <w:szCs w:val="20"/>
          <w:color w:val="auto"/>
        </w:rPr>
        <w:t xml:space="preserve"> (the “</w:t>
      </w:r>
      <w:r>
        <w:rPr>
          <w:rFonts w:ascii="Times New Roman" w:cs="Times New Roman" w:eastAsia="Times New Roman" w:hAnsi="Times New Roman"/>
          <w:sz w:val="20"/>
          <w:szCs w:val="20"/>
          <w:b w:val="1"/>
          <w:bCs w:val="1"/>
          <w:color w:val="auto"/>
        </w:rPr>
        <w:t>Borrowing Notice</w:t>
      </w:r>
      <w:r>
        <w:rPr>
          <w:rFonts w:ascii="Times New Roman" w:cs="Times New Roman" w:eastAsia="Times New Roman" w:hAnsi="Times New Roman"/>
          <w:sz w:val="20"/>
          <w:szCs w:val="20"/>
          <w:color w:val="auto"/>
        </w:rPr>
        <w:t>”) (which notice must be received by the Agent prior to 1:00 p.m. Eastern Standard Time, five (5) Business Days prior to the anticipated Funding Date) requesting that the Lenders make the applicable Loans on the applicable Funding Date and specifying (w) the amount to be borrowed, (x) the Class of Loans to be borrowed, (y) the Funding Date (which shall be a Business Day) and (z) the wiring information of the account of the Borrower in which the proceeds of the requested Loans are to be disbursed. Upon receipt of such notice, the Agent shall promptly notify each Lender thereof. On the Funding Date set forth in the applicable Borrowing Notice, each such Lender shall fund (x) in the case of the Borrowing being made on the Closing Date, as directed by Borrower pursuant to the Payment / Advance Form an amount in immediately available funds equal to the Loans to be made by such Lender in accordance with the terms hereof and (y) in the case of any Borrowing being made after the Closing Date, the amount of such Lender’s pro rata share (based on the applicable Commitments) of such borrowing to Agent, to the account of the Agent specified for such purpose, prior to 1:00 p.m. (New York time), on the Funding Date and the proceeds of such Borrowing received by the Agent will then be made available to the Borrower by Agent by wire transferring such proceeds to the account of the Borrower designated in the applicable Borrowing Notice on the requested Funding Date. The Borrower may not request more than three (3) Borrowings of Revolving Credit Loans per calendar quarter. The Borrower may not request more than two (2) Borrowings of Tranche A Delayed Draw Term Loans during the Tranche A Delayed Draw Commitment Period. The Borrower may not request more than two (2) Borrowings of Tranche B Delayed Draw Term Loans during the Tranche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603250</wp:posOffset>
            </wp:positionV>
            <wp:extent cx="7157720" cy="425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22" w:right="419" w:bottom="1440" w:gutter="0" w:footer="0" w:header="0"/>
        </w:sectPr>
      </w:pPr>
    </w:p>
    <w:bookmarkStart w:id="128" w:name="page129"/>
    <w:bookmarkEnd w:id="128"/>
    <w:p>
      <w:pPr>
        <w:spacing w:after="0" w:line="153" w:lineRule="exact"/>
        <w:rPr>
          <w:sz w:val="20"/>
          <w:szCs w:val="20"/>
          <w:color w:val="auto"/>
        </w:rPr>
      </w:pPr>
    </w:p>
    <w:p>
      <w:pPr>
        <w:jc w:val="right"/>
        <w:ind w:right="4499"/>
        <w:spacing w:after="0"/>
        <w:rPr>
          <w:sz w:val="20"/>
          <w:szCs w:val="20"/>
          <w:color w:val="auto"/>
        </w:rPr>
      </w:pPr>
      <w:r>
        <w:rPr>
          <w:rFonts w:ascii="Times New Roman" w:cs="Times New Roman" w:eastAsia="Times New Roman" w:hAnsi="Times New Roman"/>
          <w:sz w:val="18"/>
          <w:szCs w:val="18"/>
          <w:color w:val="auto"/>
        </w:rPr>
        <w:t>3</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4905-3710-6484 v.17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600710</wp:posOffset>
            </wp:positionV>
            <wp:extent cx="7157720" cy="425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129" w:name="page130"/>
    <w:bookmarkEnd w:id="129"/>
    <w:p>
      <w:pPr>
        <w:jc w:val="both"/>
        <w:spacing w:after="0" w:line="246" w:lineRule="auto"/>
        <w:rPr>
          <w:sz w:val="20"/>
          <w:szCs w:val="20"/>
          <w:color w:val="auto"/>
        </w:rPr>
      </w:pPr>
      <w:r>
        <w:rPr>
          <w:rFonts w:ascii="Times New Roman" w:cs="Times New Roman" w:eastAsia="Times New Roman" w:hAnsi="Times New Roman"/>
          <w:sz w:val="20"/>
          <w:szCs w:val="20"/>
          <w:color w:val="auto"/>
        </w:rPr>
        <w:t>B Delayed Draw Commitment Period. Each Borrowing of Tranche A Delayed Draw Term Loans and Tranche B Delayed Draw Term Loans shall be in a minimum principal amount of $45,000,000 and integral multiples of $500,000 in excess thereof (unless Borrower and the Agent (acting at the direction of the Blackstone Representative) otherwise agree). Each Borrowing of Revolving Credit Loans shall be in a minimum principal amount of $20,000,000 and integral multiples of $1,000,000 in excess thereof (unless Borrower and the Agent (acting at the direction of the Blackstone Representative)) otherwise agree.</w:t>
      </w:r>
    </w:p>
    <w:p>
      <w:pPr>
        <w:spacing w:after="0" w:line="185" w:lineRule="exact"/>
        <w:rPr>
          <w:sz w:val="20"/>
          <w:szCs w:val="20"/>
          <w:color w:val="auto"/>
        </w:rPr>
      </w:pPr>
    </w:p>
    <w:p>
      <w:pPr>
        <w:jc w:val="both"/>
        <w:ind w:left="80" w:firstLine="1498"/>
        <w:spacing w:after="0" w:line="242" w:lineRule="auto"/>
        <w:rPr>
          <w:sz w:val="20"/>
          <w:szCs w:val="20"/>
          <w:color w:val="auto"/>
        </w:rPr>
      </w:pPr>
      <w:r>
        <w:rPr>
          <w:rFonts w:ascii="Times New Roman" w:cs="Times New Roman" w:eastAsia="Times New Roman" w:hAnsi="Times New Roman"/>
          <w:sz w:val="20"/>
          <w:szCs w:val="20"/>
          <w:color w:val="auto"/>
        </w:rPr>
        <w:t>(ii)The Initial Term Loan Commitment of each Lender shall be automatically and permanently reduced to zero upon the Closing Date immediately following the funding of the Initial Term Loans. The Tranche A Delayed Draw Commitment of each Lender shall be automatically and permanently reduced on a dollar-for-dollar basis upon each Funding Date with respect to the Tranche A Delayed Draw Term Loans by the principal amount of Tranche A Delayed Draw Term Loans funded on such Funding Date, and any remaining Tranche A Delayed Draw Commitments shall automatically and permanently be reduced to zero upon the expiration of the Tranche A Delayed Draw Commitment Period. The Tranche B Delayed Draw Commitment of each Lender shall be automatically and permanently reduced on a dollar-for-dollar basis upon each Funding Date with respect to the Tranche B Delayed Draw Term Loans by the principal amount of Tranche B Delayed Draw Term Loans funded on such Funding Date, and any remaining Tranche B Delayed Draw Commitments shall automatically and permanently be reduced to zero upon the expiration of the Tranche B Delayed Draw Commitment Period. The Revolving Credit Commitments of each Lender shall be automatically and permanently reduced to zero upon the Maturity Date.</w:t>
      </w:r>
    </w:p>
    <w:p>
      <w:pPr>
        <w:spacing w:after="0" w:line="190" w:lineRule="exact"/>
        <w:rPr>
          <w:sz w:val="20"/>
          <w:szCs w:val="20"/>
          <w:color w:val="auto"/>
        </w:rPr>
      </w:pPr>
    </w:p>
    <w:p>
      <w:pPr>
        <w:jc w:val="both"/>
        <w:ind w:left="80" w:firstLine="1498"/>
        <w:spacing w:after="0" w:line="241" w:lineRule="auto"/>
        <w:rPr>
          <w:sz w:val="20"/>
          <w:szCs w:val="20"/>
          <w:color w:val="auto"/>
        </w:rPr>
      </w:pPr>
      <w:r>
        <w:rPr>
          <w:rFonts w:ascii="Times New Roman" w:cs="Times New Roman" w:eastAsia="Times New Roman" w:hAnsi="Times New Roman"/>
          <w:sz w:val="20"/>
          <w:szCs w:val="20"/>
          <w:color w:val="auto"/>
        </w:rPr>
        <w:t xml:space="preserve">(iii)Unless the Agent shall have been notified by any Lender prior to the date of any Borrowing that such Lender does not intend to make available to the Agent its portion of the borrowing to be made on such date, the Agent may assume that such Lender has made such amount available to the Agent on such date of borrowing, and the Agent, in reliance upon such assumption, may (in its sole discretion and without any obligation to do so) make available to the Borrower a corresponding amount. If such corresponding amount is not in fact made available to the Agent by such Lender and the Agent has made available the same to the Borrower, the Agent shall be entitled to recover such corresponding amount from such Lender together with interest at the greater of the Federal Funds Rate and a rate determined by the Agent in accordance with banking industry rules on interbank compensation. If such Lender does not pay such corresponding amount forthwith upon the Agent’s demand therefor, the Agent shall promptly notify the Borrower and the Borrower shall promptly pay such corresponding amount to the Agent. The Agent shall also be entitled to recover from the Borrower interest on such corresponding amount in respect of each day from the date such corresponding amount was made available by the Agent to the Borrower, to the date such corresponding amount is recovered by the Agent, at a rate per annum equal to the rate of interest then applicable to the applicable Loans pursuant to </w:t>
      </w:r>
      <w:r>
        <w:rPr>
          <w:rFonts w:ascii="Times New Roman" w:cs="Times New Roman" w:eastAsia="Times New Roman" w:hAnsi="Times New Roman"/>
          <w:sz w:val="20"/>
          <w:szCs w:val="20"/>
          <w:u w:val="single" w:color="auto"/>
          <w:color w:val="auto"/>
        </w:rPr>
        <w:t>Section 2.3(a)</w:t>
      </w: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910590</wp:posOffset>
            </wp:positionH>
            <wp:positionV relativeFrom="paragraph">
              <wp:posOffset>-22225</wp:posOffset>
            </wp:positionV>
            <wp:extent cx="31115"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7">
                      <a:extLst>
                        <a:ext uri="{28A0092B-C50C-407E-A947-70E740481C1C}"/>
                      </a:extLst>
                    </a:blip>
                    <a:srcRect/>
                    <a:stretch>
                      <a:fillRect/>
                    </a:stretch>
                  </pic:blipFill>
                  <pic:spPr bwMode="auto">
                    <a:xfrm>
                      <a:off x="0" y="0"/>
                      <a:ext cx="31115" cy="8890"/>
                    </a:xfrm>
                    <a:prstGeom prst="rect">
                      <a:avLst/>
                    </a:prstGeom>
                    <a:noFill/>
                  </pic:spPr>
                </pic:pic>
              </a:graphicData>
            </a:graphic>
          </wp:anchor>
        </w:drawing>
      </w:r>
    </w:p>
    <w:p>
      <w:pPr>
        <w:spacing w:after="0" w:line="177" w:lineRule="exact"/>
        <w:rPr>
          <w:sz w:val="20"/>
          <w:szCs w:val="20"/>
          <w:color w:val="auto"/>
        </w:rPr>
      </w:pPr>
    </w:p>
    <w:p>
      <w:pPr>
        <w:ind w:left="-680" w:firstLine="1490"/>
        <w:spacing w:after="0" w:line="269" w:lineRule="auto"/>
        <w:tabs>
          <w:tab w:leader="none" w:pos="1269" w:val="left"/>
        </w:tabs>
        <w:numPr>
          <w:ilvl w:val="0"/>
          <w:numId w:val="50"/>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Repayment</w:t>
      </w:r>
      <w:r>
        <w:rPr>
          <w:rFonts w:ascii="Times New Roman" w:cs="Times New Roman" w:eastAsia="Times New Roman" w:hAnsi="Times New Roman"/>
          <w:sz w:val="20"/>
          <w:szCs w:val="20"/>
          <w:color w:val="auto"/>
        </w:rPr>
        <w:t>. Borrower shall, on the Maturity Date, repay the outstanding principal amount of the Loans to the Agent, for the ratable account of the Lenders, together with all accrued and unpaid interest and fees, and all other Obligations.</w:t>
      </w:r>
    </w:p>
    <w:p>
      <w:pPr>
        <w:spacing w:after="0" w:line="159" w:lineRule="exact"/>
        <w:rPr>
          <w:rFonts w:ascii="Times New Roman" w:cs="Times New Roman" w:eastAsia="Times New Roman" w:hAnsi="Times New Roman"/>
          <w:sz w:val="20"/>
          <w:szCs w:val="20"/>
          <w:u w:val="single" w:color="auto"/>
          <w:color w:val="auto"/>
        </w:rPr>
      </w:pPr>
    </w:p>
    <w:p>
      <w:pPr>
        <w:ind w:left="1280" w:hanging="470"/>
        <w:spacing w:after="0"/>
        <w:tabs>
          <w:tab w:leader="none" w:pos="1280" w:val="left"/>
        </w:tabs>
        <w:numPr>
          <w:ilvl w:val="0"/>
          <w:numId w:val="50"/>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Prepayment of Loans</w:t>
      </w:r>
      <w:r>
        <w:rPr>
          <w:rFonts w:ascii="Times New Roman" w:cs="Times New Roman" w:eastAsia="Times New Roman" w:hAnsi="Times New Roman"/>
          <w:sz w:val="20"/>
          <w:szCs w:val="20"/>
          <w:color w:val="auto"/>
        </w:rPr>
        <w:t>.</w:t>
      </w:r>
    </w:p>
    <w:p>
      <w:pPr>
        <w:spacing w:after="0" w:line="202" w:lineRule="exact"/>
        <w:rPr>
          <w:rFonts w:ascii="Times New Roman" w:cs="Times New Roman" w:eastAsia="Times New Roman" w:hAnsi="Times New Roman"/>
          <w:sz w:val="20"/>
          <w:szCs w:val="20"/>
          <w:u w:val="single" w:color="auto"/>
          <w:color w:val="auto"/>
        </w:rPr>
      </w:pPr>
    </w:p>
    <w:p>
      <w:pPr>
        <w:jc w:val="both"/>
        <w:ind w:firstLine="1569"/>
        <w:spacing w:after="0" w:line="249" w:lineRule="auto"/>
        <w:tabs>
          <w:tab w:leader="none" w:pos="1968" w:val="left"/>
        </w:tabs>
        <w:numPr>
          <w:ilvl w:val="1"/>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Borrower shall have the option, at any time after the applicable Funding Date, to (x) prepay, in whole or in part, such Loans advanced by such Lenders under this Agreement or (y) if any sum payable to any Lender by Borrower will on the date of payment required to be increased under Section 2.6(b)(iv) (as a result of a change in law or published practice after the date of this Agreement) or any Lender claims indemnification from Borrower under Section 2.5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595630</wp:posOffset>
            </wp:positionV>
            <wp:extent cx="7157720" cy="425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1913255</wp:posOffset>
            </wp:positionH>
            <wp:positionV relativeFrom="paragraph">
              <wp:posOffset>-745490</wp:posOffset>
            </wp:positionV>
            <wp:extent cx="31115" cy="88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9">
                      <a:extLst>
                        <a:ext uri="{28A0092B-C50C-407E-A947-70E740481C1C}"/>
                      </a:extLst>
                    </a:blip>
                    <a:srcRect/>
                    <a:stretch>
                      <a:fillRect/>
                    </a:stretch>
                  </pic:blipFill>
                  <pic:spPr bwMode="auto">
                    <a:xfrm>
                      <a:off x="0" y="0"/>
                      <a:ext cx="31115" cy="8890"/>
                    </a:xfrm>
                    <a:prstGeom prst="rect">
                      <a:avLst/>
                    </a:prstGeom>
                    <a:noFill/>
                  </pic:spPr>
                </pic:pic>
              </a:graphicData>
            </a:graphic>
          </wp:anchor>
        </w:drawing>
      </w:r>
    </w:p>
    <w:p>
      <w:pPr>
        <w:sectPr>
          <w:pgSz w:w="11900" w:h="16838" w:orient="portrait"/>
          <w:cols w:equalWidth="0" w:num="1">
            <w:col w:w="10400"/>
          </w:cols>
          <w:pgMar w:left="1080" w:top="1426" w:right="419" w:bottom="1440" w:gutter="0" w:footer="0" w:header="0"/>
        </w:sectPr>
      </w:pPr>
    </w:p>
    <w:bookmarkStart w:id="130" w:name="page131"/>
    <w:bookmarkEnd w:id="130"/>
    <w:p>
      <w:pPr>
        <w:spacing w:after="0" w:line="140" w:lineRule="exact"/>
        <w:rPr>
          <w:sz w:val="20"/>
          <w:szCs w:val="20"/>
          <w:color w:val="auto"/>
        </w:rPr>
      </w:pPr>
    </w:p>
    <w:p>
      <w:pPr>
        <w:jc w:val="right"/>
        <w:ind w:right="4499"/>
        <w:spacing w:after="0"/>
        <w:rPr>
          <w:sz w:val="20"/>
          <w:szCs w:val="20"/>
          <w:color w:val="auto"/>
        </w:rPr>
      </w:pPr>
      <w:r>
        <w:rPr>
          <w:rFonts w:ascii="Times New Roman" w:cs="Times New Roman" w:eastAsia="Times New Roman" w:hAnsi="Times New Roman"/>
          <w:sz w:val="18"/>
          <w:szCs w:val="18"/>
          <w:color w:val="auto"/>
        </w:rPr>
        <w:t>4</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4905-3710-6484 v.17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600710</wp:posOffset>
            </wp:positionV>
            <wp:extent cx="7157720" cy="425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131" w:name="page132"/>
    <w:bookmarkEnd w:id="131"/>
    <w:p>
      <w:pPr>
        <w:jc w:val="both"/>
        <w:ind w:left="9"/>
        <w:spacing w:after="0" w:line="254" w:lineRule="auto"/>
        <w:rPr>
          <w:sz w:val="20"/>
          <w:szCs w:val="20"/>
          <w:color w:val="auto"/>
        </w:rPr>
      </w:pPr>
      <w:r>
        <w:rPr>
          <w:rFonts w:ascii="Times New Roman" w:cs="Times New Roman" w:eastAsia="Times New Roman" w:hAnsi="Times New Roman"/>
          <w:sz w:val="19"/>
          <w:szCs w:val="19"/>
          <w:color w:val="auto"/>
        </w:rPr>
        <w:t>2.6(c), Borrower shall have the right to elect to cancel the Term Loan Commitment of that relevant Lender or Lenders only and shall have the right to elect to prepay such Lender’s or Lenders’ portion of the Term loan (a “</w:t>
      </w:r>
      <w:r>
        <w:rPr>
          <w:rFonts w:ascii="Times New Roman" w:cs="Times New Roman" w:eastAsia="Times New Roman" w:hAnsi="Times New Roman"/>
          <w:sz w:val="19"/>
          <w:szCs w:val="19"/>
          <w:b w:val="1"/>
          <w:bCs w:val="1"/>
          <w:color w:val="auto"/>
        </w:rPr>
        <w:t>Tax-Related Cancellation and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color w:val="auto"/>
        </w:rPr>
        <w:t>Prepayment</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that (A) Borrower shall provide written notice to the Agent of its election under this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u w:val="single" w:color="auto"/>
          <w:color w:val="auto"/>
        </w:rPr>
        <w:t>Section 2.2(c)(i)</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 xml:space="preserve">(which shall be irrevocable unless (i) the Agent (acting at the direction of the Blackstone Representative) otherwise consents in writing, and upon receipt of any such written notice, the Agent shall promptly notify each or, as the case may be, any relevant Lender thereof or (ii) in relation to a Tax-Related Cancellation and Prepayment if by or on the date of payment the circumstances which permitted notice to be made under paragraph (y) above no longer apply in which case Borrower’s written notice shall be deemed to have been revoked) to prepay all or only part of the Loans or, in the case of a Tax-Related Cancellation and Prepayment, the Term Loan Commitment of the relevant Lender or Lenders only, at least five (5) Business Days prior to such prepayment (or such later date as agreed by the Blackstone Representative and the Agent), and (B) such prepayment shall be accompanied by any and all accrued and unpaid interest on the principal amount to be prepaid to the date of prepayment, the Yield Protection Premium (if applicable), and all other amounts payable or accrued and not yet paid under this Agreement and the other Loan Documents. No Yield Protection Premium shall be payable in respect of or in relation to any Tax-Related Cancellation and Prepayment. Partial prepayments of the Loans shall be in an aggregate principal amount of $5,000,000 or any whole multiple of $1,000,000 in excess thereof or, if less, the entire amount thereof. Each notice of prepayment provided to the Agent under this </w:t>
      </w:r>
      <w:r>
        <w:rPr>
          <w:rFonts w:ascii="Times New Roman" w:cs="Times New Roman" w:eastAsia="Times New Roman" w:hAnsi="Times New Roman"/>
          <w:sz w:val="19"/>
          <w:szCs w:val="19"/>
          <w:u w:val="single" w:color="auto"/>
          <w:color w:val="auto"/>
        </w:rPr>
        <w:t>Section 2.2(c)(i)</w:t>
      </w:r>
      <w:r>
        <w:rPr>
          <w:rFonts w:ascii="Times New Roman" w:cs="Times New Roman" w:eastAsia="Times New Roman" w:hAnsi="Times New Roman"/>
          <w:sz w:val="19"/>
          <w:szCs w:val="19"/>
          <w:color w:val="auto"/>
        </w:rPr>
        <w:t xml:space="preserve"> shall specify the date (which shall be a Business Day) of such prepayments, the Class of Loans being prepaid, the amount of such prepayment and the amount of Yield Protection Premium (if applicable) payable as a result of such prepayment.</w:t>
      </w:r>
    </w:p>
    <w:p>
      <w:pPr>
        <w:spacing w:after="0" w:line="200" w:lineRule="exact"/>
        <w:rPr>
          <w:sz w:val="20"/>
          <w:szCs w:val="20"/>
          <w:color w:val="auto"/>
        </w:rPr>
      </w:pPr>
    </w:p>
    <w:p>
      <w:pPr>
        <w:jc w:val="both"/>
        <w:ind w:left="9" w:firstLine="1498"/>
        <w:spacing w:after="0" w:line="250" w:lineRule="auto"/>
        <w:rPr>
          <w:sz w:val="20"/>
          <w:szCs w:val="20"/>
          <w:color w:val="auto"/>
        </w:rPr>
      </w:pPr>
      <w:r>
        <w:rPr>
          <w:rFonts w:ascii="Times New Roman" w:cs="Times New Roman" w:eastAsia="Times New Roman" w:hAnsi="Times New Roman"/>
          <w:sz w:val="20"/>
          <w:szCs w:val="20"/>
          <w:color w:val="auto"/>
        </w:rPr>
        <w:t>(ii)Upon the occurrence of a Change in Control, Borrower shall immediately prepay all of the Loans in full in an amount equal to the sum of (A) all unpaid principal and any and all accrued and unpaid interest with respect to the Loans, and</w:t>
      </w:r>
    </w:p>
    <w:p>
      <w:pPr>
        <w:spacing w:after="0" w:line="2" w:lineRule="exact"/>
        <w:rPr>
          <w:sz w:val="20"/>
          <w:szCs w:val="20"/>
          <w:color w:val="auto"/>
        </w:rPr>
      </w:pPr>
    </w:p>
    <w:p>
      <w:pPr>
        <w:jc w:val="both"/>
        <w:ind w:left="9" w:hanging="9"/>
        <w:spacing w:after="0" w:line="241" w:lineRule="auto"/>
        <w:tabs>
          <w:tab w:leader="none" w:pos="324"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Yield Protection Premium (if applicable), and all other amounts payable or accrued and not yet paid under this Agreement and the other Loan Documents. Any prepayment required pursuant to this clause (ii) shall not be deemed to be the exclusive right or remedy of the Lenders with respect to such Change in Control, and such Change in Control shall constitute an Event of Default (and the Agent and Lenders shall have all rights and remedies in respect thereof).</w:t>
      </w:r>
    </w:p>
    <w:p>
      <w:pPr>
        <w:spacing w:after="0" w:line="188" w:lineRule="exact"/>
        <w:rPr>
          <w:sz w:val="20"/>
          <w:szCs w:val="20"/>
          <w:color w:val="auto"/>
        </w:rPr>
      </w:pPr>
    </w:p>
    <w:p>
      <w:pPr>
        <w:jc w:val="both"/>
        <w:ind w:left="9" w:firstLine="1498"/>
        <w:spacing w:after="0" w:line="242" w:lineRule="auto"/>
        <w:rPr>
          <w:sz w:val="20"/>
          <w:szCs w:val="20"/>
          <w:color w:val="auto"/>
        </w:rPr>
      </w:pPr>
      <w:r>
        <w:rPr>
          <w:rFonts w:ascii="Times New Roman" w:cs="Times New Roman" w:eastAsia="Times New Roman" w:hAnsi="Times New Roman"/>
          <w:sz w:val="20"/>
          <w:szCs w:val="20"/>
          <w:color w:val="auto"/>
        </w:rPr>
        <w:t>(iii)If at any time any Credit Party or any Subsidiary of a Credit Party shall incur Indebtedness not constituting Permitted Indebtedness, then (A) Borrower shall promptly notify the Agent in writing of such incurrence of Indebtedness (including the amount of the Net Issuance Proceeds received by a Credit Party or such Subsidiary in respect thereof) (and upon receipt of any such written notice the Agent shall promptly notify each relevant Lender thereof), and (B) immediately upon receipt by a Credit Party or such Subsidiary of the Net Issuance Proceeds of incurrence of such Indebtedness, Borrower shall deliver, or cause to be delivered, one hundred percent (100%) of such Net Issuance Proceeds to the Agent for distribution to the Lenders as a prepayment of the Term Loans, together with any and all accrued and unpaid interest with respect to the Term Loans so prepaid, and the Yield Protection Premium (if applicable). Any prepayment required pursuant to this clause (iii) shall not be deemed to be the exclusive right or remedy of the Lenders with respect to such incurrence of Indebtedness not constituting Permitted Indebtedness, and such incurrence shall constitute an Event of Default (and the Agent and Lenders shall have all rights and remedies in respect thereof).</w:t>
      </w:r>
    </w:p>
    <w:p>
      <w:pPr>
        <w:spacing w:after="0" w:line="190" w:lineRule="exact"/>
        <w:rPr>
          <w:sz w:val="20"/>
          <w:szCs w:val="20"/>
          <w:color w:val="auto"/>
        </w:rPr>
      </w:pPr>
    </w:p>
    <w:p>
      <w:pPr>
        <w:jc w:val="both"/>
        <w:ind w:left="9" w:firstLine="1498"/>
        <w:spacing w:after="0" w:line="274" w:lineRule="auto"/>
        <w:rPr>
          <w:sz w:val="20"/>
          <w:szCs w:val="20"/>
          <w:color w:val="auto"/>
        </w:rPr>
      </w:pPr>
      <w:r>
        <w:rPr>
          <w:rFonts w:ascii="Times New Roman" w:cs="Times New Roman" w:eastAsia="Times New Roman" w:hAnsi="Times New Roman"/>
          <w:sz w:val="19"/>
          <w:szCs w:val="19"/>
          <w:color w:val="auto"/>
        </w:rPr>
        <w:t>(iv)Upon the receipt by any Credit Party or any Subsidiary of Net Proceeds from the occurrence of any Asset Sale or Event of Loss, to the extent the aggregate amount of the Net Proceeds received by the Credit Parties and their Subsidiaries in connection with such Asset Sale or Event of Loss and all other such Asset Sales and Events of Loss received during the same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-534670</wp:posOffset>
            </wp:positionH>
            <wp:positionV relativeFrom="paragraph">
              <wp:posOffset>581025</wp:posOffset>
            </wp:positionV>
            <wp:extent cx="7157720" cy="425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329"/>
          </w:cols>
          <w:pgMar w:left="1151" w:top="1413" w:right="419" w:bottom="1440" w:gutter="0" w:footer="0" w:header="0"/>
        </w:sectPr>
      </w:pPr>
    </w:p>
    <w:bookmarkStart w:id="132" w:name="page133"/>
    <w:bookmarkEnd w:id="132"/>
    <w:p>
      <w:pPr>
        <w:spacing w:after="0" w:line="113" w:lineRule="exact"/>
        <w:rPr>
          <w:sz w:val="20"/>
          <w:szCs w:val="20"/>
          <w:color w:val="auto"/>
        </w:rPr>
      </w:pPr>
    </w:p>
    <w:p>
      <w:pPr>
        <w:jc w:val="right"/>
        <w:ind w:right="4499"/>
        <w:spacing w:after="0"/>
        <w:rPr>
          <w:sz w:val="20"/>
          <w:szCs w:val="20"/>
          <w:color w:val="auto"/>
        </w:rPr>
      </w:pPr>
      <w:r>
        <w:rPr>
          <w:rFonts w:ascii="Times New Roman" w:cs="Times New Roman" w:eastAsia="Times New Roman" w:hAnsi="Times New Roman"/>
          <w:sz w:val="18"/>
          <w:szCs w:val="18"/>
          <w:color w:val="auto"/>
        </w:rPr>
        <w:t>5</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4905-3710-6484 v.17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600710</wp:posOffset>
            </wp:positionV>
            <wp:extent cx="7157720" cy="425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133" w:name="page134"/>
    <w:bookmarkEnd w:id="133"/>
    <w:p>
      <w:pPr>
        <w:jc w:val="both"/>
        <w:ind w:left="677"/>
        <w:spacing w:after="0" w:line="243" w:lineRule="auto"/>
        <w:rPr>
          <w:sz w:val="20"/>
          <w:szCs w:val="20"/>
          <w:color w:val="auto"/>
        </w:rPr>
      </w:pPr>
      <w:r>
        <w:rPr>
          <w:rFonts w:ascii="Times New Roman" w:cs="Times New Roman" w:eastAsia="Times New Roman" w:hAnsi="Times New Roman"/>
          <w:sz w:val="20"/>
          <w:szCs w:val="20"/>
          <w:color w:val="auto"/>
        </w:rPr>
        <w:t>fiscal year exceeds $5,000,000, then (A) Borrower shall promptly notify the Agent in writing of such Asset Sale or Event of Loss (including the amount of the Net Proceeds received by a Credit Party or such Subsidiary in respect thereof) (and upon receipt of any such written notice the Agent shall promptly notify each relevant Lender thereof), and (B) promptly (and in any event, within three (3) Business Days (or such later date as agreed by the Blackstone Representative and the Agent)) upon receipt by a Credit Party or such Subsidiary of the Net Proceeds of such Asset Sale or Event of Loss, Borrower shall deliver, or cause to be delivered, one hundred percent (100%) of such Net Proceeds (in excess of the threshold set forth above) to the Agent for distribution to the Lenders as a prepayment of the Term Loans, together with any and all accrued and unpaid interest with respect to the Term Loans so prepaid, and the Yield Protection Premium (if applicable).</w:t>
      </w:r>
    </w:p>
    <w:p>
      <w:pPr>
        <w:spacing w:after="0" w:line="189" w:lineRule="exact"/>
        <w:rPr>
          <w:sz w:val="20"/>
          <w:szCs w:val="20"/>
          <w:color w:val="auto"/>
        </w:rPr>
      </w:pPr>
    </w:p>
    <w:p>
      <w:pPr>
        <w:jc w:val="both"/>
        <w:ind w:left="677" w:firstLine="1569"/>
        <w:spacing w:after="0" w:line="243" w:lineRule="auto"/>
        <w:tabs>
          <w:tab w:leader="none" w:pos="2645" w:val="left"/>
        </w:tabs>
        <w:numPr>
          <w:ilvl w:val="2"/>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clause (iv) above, and provided that no Default or Event of Default has occurred and is continuing, no prepayment of all (or a portion) of such Net Proceeds pursuant to clause (iv) above shall be required to the extent (i) a Credit Party or such Subsidiary reinvests the Net Proceeds (or applicable portion thereof) of any such Asset Sale or Event of Loss with respect to Collateral in assets or property of any Credit Party constituting Collateral of a kind then used or usable in the business of such Credit Party, or (ii) a Credit Party or such Subsidiary reinvests the Net Proceeds (or applicable portion thereof) of any such Asset Sale or Event of Loss with respect to assets that are not Collateral in assets or property of any Credit Party or Subsidiary of a kind then used or usable in the business of such Credit Party or Subsidiary, in each case within three hundred sixty-five (365) days after the date of receipt of such Net Proceeds. Pending such reinvestment, the Net Proceeds shall be deposited, and shall remain on deposit, in a Deposit Account subject to a Control Agreement.</w:t>
      </w:r>
    </w:p>
    <w:p>
      <w:pPr>
        <w:spacing w:after="0" w:line="185" w:lineRule="exact"/>
        <w:rPr>
          <w:rFonts w:ascii="Times New Roman" w:cs="Times New Roman" w:eastAsia="Times New Roman" w:hAnsi="Times New Roman"/>
          <w:sz w:val="20"/>
          <w:szCs w:val="20"/>
          <w:color w:val="auto"/>
        </w:rPr>
      </w:pPr>
    </w:p>
    <w:p>
      <w:pPr>
        <w:jc w:val="both"/>
        <w:ind w:left="-3" w:firstLine="1490"/>
        <w:spacing w:after="0" w:line="244" w:lineRule="auto"/>
        <w:tabs>
          <w:tab w:leader="none" w:pos="1946" w:val="left"/>
        </w:tabs>
        <w:numPr>
          <w:ilvl w:val="1"/>
          <w:numId w:val="53"/>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Allocation of Prepayments</w:t>
      </w:r>
      <w:r>
        <w:rPr>
          <w:rFonts w:ascii="Times New Roman" w:cs="Times New Roman" w:eastAsia="Times New Roman" w:hAnsi="Times New Roman"/>
          <w:sz w:val="20"/>
          <w:szCs w:val="20"/>
          <w:color w:val="auto"/>
        </w:rPr>
        <w:t>. Each prepayment or repayment by Borrower on account of principal of and interest on each Class of Loan shall be applied by the Agent on a pro rata basis according to the respective outstanding principal amounts of the Loans then held by the Lenders making up that Class. Each prepayment or repayment required to be made with respect to the Term Loans shall be applied by the Agent on a pro rata basis to the Initial Term Loans, Tranche A Delayed Draw Term Loans and Tranche B Delayed Draw Term Loans according to the respective outstanding principal amounts of the Loans of each such Class. In the case of a Tax-Related Cancellation and Prepayment the amount or amounts prepaid shall be applied in prepaying the outstanding principal balance of the applicable Class of Loan of the relevant Lender or Lenders as specified by Borrower to the Agent in writing.</w:t>
      </w:r>
    </w:p>
    <w:p>
      <w:pPr>
        <w:spacing w:after="0" w:line="185" w:lineRule="exact"/>
        <w:rPr>
          <w:rFonts w:ascii="Times New Roman" w:cs="Times New Roman" w:eastAsia="Times New Roman" w:hAnsi="Times New Roman"/>
          <w:sz w:val="20"/>
          <w:szCs w:val="20"/>
          <w:u w:val="single" w:color="auto"/>
          <w:color w:val="auto"/>
        </w:rPr>
      </w:pPr>
    </w:p>
    <w:p>
      <w:pPr>
        <w:jc w:val="both"/>
        <w:ind w:left="-3" w:firstLine="1490"/>
        <w:spacing w:after="0" w:line="256" w:lineRule="auto"/>
        <w:tabs>
          <w:tab w:leader="none" w:pos="1946" w:val="left"/>
        </w:tabs>
        <w:numPr>
          <w:ilvl w:val="1"/>
          <w:numId w:val="53"/>
        </w:numPr>
        <w:rPr>
          <w:rFonts w:ascii="Times New Roman" w:cs="Times New Roman" w:eastAsia="Times New Roman" w:hAnsi="Times New Roman"/>
          <w:sz w:val="19"/>
          <w:szCs w:val="19"/>
          <w:u w:val="single" w:color="auto"/>
          <w:color w:val="auto"/>
        </w:rPr>
      </w:pPr>
      <w:r>
        <w:rPr>
          <w:rFonts w:ascii="Times New Roman" w:cs="Times New Roman" w:eastAsia="Times New Roman" w:hAnsi="Times New Roman"/>
          <w:sz w:val="19"/>
          <w:szCs w:val="19"/>
          <w:u w:val="single" w:color="auto"/>
          <w:color w:val="auto"/>
        </w:rPr>
        <w:t>Declined Amounts</w:t>
      </w:r>
      <w:r>
        <w:rPr>
          <w:rFonts w:ascii="Times New Roman" w:cs="Times New Roman" w:eastAsia="Times New Roman" w:hAnsi="Times New Roman"/>
          <w:sz w:val="19"/>
          <w:szCs w:val="19"/>
          <w:color w:val="auto"/>
        </w:rPr>
        <w:t xml:space="preserve">. In the event of any mandatory prepayment of the Term Loans pursuant to </w:t>
      </w:r>
      <w:r>
        <w:rPr>
          <w:rFonts w:ascii="Times New Roman" w:cs="Times New Roman" w:eastAsia="Times New Roman" w:hAnsi="Times New Roman"/>
          <w:sz w:val="19"/>
          <w:szCs w:val="19"/>
          <w:u w:val="single" w:color="auto"/>
          <w:color w:val="auto"/>
        </w:rPr>
        <w:t>Section 2.3(c)(ii)</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(iii)</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(iv)</w:t>
      </w:r>
      <w:r>
        <w:rPr>
          <w:rFonts w:ascii="Times New Roman" w:cs="Times New Roman" w:eastAsia="Times New Roman" w:hAnsi="Times New Roman"/>
          <w:sz w:val="19"/>
          <w:szCs w:val="19"/>
          <w:color w:val="auto"/>
        </w:rPr>
        <w:t xml:space="preserve"> (an </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9"/>
          <w:szCs w:val="19"/>
          <w:b w:val="1"/>
          <w:bCs w:val="1"/>
          <w:color w:val="auto"/>
        </w:rPr>
        <w:t>Applicable Mandatory Prepayment</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9"/>
          <w:szCs w:val="19"/>
          <w:color w:val="auto"/>
        </w:rPr>
        <w:t xml:space="preserve">), (i) Borrower shall provide written notice to Agent no later than 12:00 p.m. Eastern Standard Time, three (3) Business Days prior to the Applicable Mandatory Prepayment, which notice shall specify the date of such prepayment and provide a reasonably detailed calculation of the amount of such prepayment and the Yield Protection Premium (if any) applicable thereto and (ii) each Lender may reject all or a portion of its share of such Applicable Mandatory Prepayment by written notice (each, a </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9"/>
          <w:szCs w:val="19"/>
          <w:b w:val="1"/>
          <w:bCs w:val="1"/>
          <w:color w:val="auto"/>
        </w:rPr>
        <w:t>Rejection Notice</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9"/>
          <w:szCs w:val="19"/>
          <w:color w:val="auto"/>
        </w:rPr>
        <w:t xml:space="preserve">) (each such Lender, a </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9"/>
          <w:szCs w:val="19"/>
          <w:b w:val="1"/>
          <w:bCs w:val="1"/>
          <w:color w:val="auto"/>
        </w:rPr>
        <w:t>Rejecting Lender</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9"/>
          <w:szCs w:val="19"/>
          <w:color w:val="auto"/>
        </w:rPr>
        <w:t>) to the Agent no later than 2:00 p.m. Eastern Standard Time, two</w:t>
      </w:r>
    </w:p>
    <w:p>
      <w:pPr>
        <w:jc w:val="both"/>
        <w:ind w:left="-3" w:firstLine="3"/>
        <w:spacing w:after="0"/>
        <w:tabs>
          <w:tab w:leader="none" w:pos="281"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Business Days after the date of such Lender</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20"/>
          <w:szCs w:val="20"/>
          <w:color w:val="auto"/>
        </w:rPr>
        <w:t xml:space="preserve">s receipt of notice of such Applicable Mandatory Prepayment as otherwise provided herein (the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20"/>
          <w:szCs w:val="20"/>
          <w:b w:val="1"/>
          <w:bCs w:val="1"/>
          <w:color w:val="auto"/>
        </w:rPr>
        <w:t>Rejection Deadline</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20"/>
          <w:szCs w:val="20"/>
          <w:color w:val="auto"/>
        </w:rPr>
        <w:t xml:space="preserve">). If a Lender fails to deliver a Rejection Notice to the Agent at or prior to the Rejection Deadline, such Lender shall be deemed to have accepted its ratable share of the Applicable Mandatory Prepayment. The aggregate portion of such Applicable Mandatory Prepayment that is rejected by Lenders pursuant to Rejection Notices shall be referred to as the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20"/>
          <w:szCs w:val="20"/>
          <w:b w:val="1"/>
          <w:bCs w:val="1"/>
          <w:color w:val="auto"/>
        </w:rPr>
        <w:t>Rejected Amount</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20"/>
          <w:szCs w:val="20"/>
          <w:color w:val="auto"/>
        </w:rPr>
        <w:t xml:space="preserve">. Such Rejected Amount shall be offered to each Lender holding the same Class of Loans as such Rejecting Lender that is not a Rejecting Lender </w:t>
      </w:r>
      <w:r>
        <w:rPr>
          <w:rFonts w:ascii="Times New Roman" w:cs="Times New Roman" w:eastAsia="Times New Roman" w:hAnsi="Times New Roman"/>
          <w:sz w:val="20"/>
          <w:szCs w:val="20"/>
          <w:i w:val="1"/>
          <w:iCs w:val="1"/>
          <w:color w:val="auto"/>
        </w:rPr>
        <w:t>pro rata</w:t>
      </w:r>
      <w:r>
        <w:rPr>
          <w:rFonts w:ascii="Times New Roman" w:cs="Times New Roman" w:eastAsia="Times New Roman" w:hAnsi="Times New Roman"/>
          <w:sz w:val="20"/>
          <w:szCs w:val="20"/>
          <w:color w:val="auto"/>
        </w:rPr>
        <w:t>, and such Lender may reject all or a portion of its share of the Rejected Amount pursuant to the procedures set forth in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immediately preceding sentence, and the aggregate portion of such Rejected Amount that is rejected by the Lenders shall be returned by the Agent to Borrower and may be used by Borrower in any manner not prohibited by the Loan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wp:posOffset>
            </wp:positionH>
            <wp:positionV relativeFrom="paragraph">
              <wp:posOffset>602615</wp:posOffset>
            </wp:positionV>
            <wp:extent cx="7157720" cy="425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77"/>
          </w:cols>
          <w:pgMar w:left="403" w:top="1426" w:right="419" w:bottom="1440" w:gutter="0" w:footer="0" w:header="0"/>
        </w:sectPr>
      </w:pPr>
    </w:p>
    <w:bookmarkStart w:id="134" w:name="page135"/>
    <w:bookmarkEnd w:id="134"/>
    <w:p>
      <w:pPr>
        <w:spacing w:after="0" w:line="113" w:lineRule="exact"/>
        <w:rPr>
          <w:sz w:val="20"/>
          <w:szCs w:val="20"/>
          <w:color w:val="auto"/>
        </w:rPr>
      </w:pPr>
    </w:p>
    <w:p>
      <w:pPr>
        <w:jc w:val="right"/>
        <w:ind w:right="4499"/>
        <w:spacing w:after="0"/>
        <w:rPr>
          <w:sz w:val="20"/>
          <w:szCs w:val="20"/>
          <w:color w:val="auto"/>
        </w:rPr>
      </w:pPr>
      <w:r>
        <w:rPr>
          <w:rFonts w:ascii="Times New Roman" w:cs="Times New Roman" w:eastAsia="Times New Roman" w:hAnsi="Times New Roman"/>
          <w:sz w:val="18"/>
          <w:szCs w:val="18"/>
          <w:color w:val="auto"/>
        </w:rPr>
        <w:t>6</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4905-3710-6484 v.17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600710</wp:posOffset>
            </wp:positionV>
            <wp:extent cx="7157720" cy="425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135" w:name="page136"/>
    <w:bookmarkEnd w:id="135"/>
    <w:p>
      <w:pPr>
        <w:jc w:val="both"/>
        <w:ind w:left="-760" w:firstLine="1505"/>
        <w:spacing w:after="0" w:line="253" w:lineRule="auto"/>
        <w:tabs>
          <w:tab w:leader="none" w:pos="1133" w:val="left"/>
        </w:tabs>
        <w:numPr>
          <w:ilvl w:val="0"/>
          <w:numId w:val="5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Yield Protection Premium</w:t>
      </w:r>
      <w:r>
        <w:rPr>
          <w:rFonts w:ascii="Times New Roman" w:cs="Times New Roman" w:eastAsia="Times New Roman" w:hAnsi="Times New Roman"/>
          <w:sz w:val="19"/>
          <w:szCs w:val="19"/>
          <w:color w:val="auto"/>
        </w:rPr>
        <w:t xml:space="preserve">. Upon the occurrence of a Yield Protection Premium Trigger Event, Borrower shall pay to the Agent, for the account of the Lenders, the Yield Protection Premium, plus any and all accrued but unpaid interest on the amount of principal being so prepaid through and including the date of prepayment. Any such Yield Protection Premium shall be fully earned on the date due and payable and shall not be refundable or subject to proration for any reason. Notwithstanding anything to the contrary in this Agreement or any other Loan Document, it is understood and agreed that if a Yield Protection Premium Trigger Event occurs under clauses (a)(ii), (b), (c) or (d) of the definition thereof, the Yield Protection Premium, determined as of the date of such acceleration or event, shall be automatically due and payable and shall be treated and deemed as though the entire principal amount of the Term Loans were voluntarily prepaid as of such date and shall constitute part of the Obligations for all purposes herein. Any Yield Protection Premium payable in accordance with this </w:t>
      </w:r>
      <w:r>
        <w:rPr>
          <w:rFonts w:ascii="Times New Roman" w:cs="Times New Roman" w:eastAsia="Times New Roman" w:hAnsi="Times New Roman"/>
          <w:sz w:val="19"/>
          <w:szCs w:val="19"/>
          <w:u w:val="single" w:color="auto"/>
          <w:color w:val="auto"/>
        </w:rPr>
        <w:t>Section 2.2(f)</w:t>
      </w:r>
      <w:r>
        <w:rPr>
          <w:rFonts w:ascii="Times New Roman" w:cs="Times New Roman" w:eastAsia="Times New Roman" w:hAnsi="Times New Roman"/>
          <w:sz w:val="19"/>
          <w:szCs w:val="19"/>
          <w:color w:val="auto"/>
        </w:rPr>
        <w:t xml:space="preserve"> shall be presumed to be equal to the liquidated damages sustained by the Lenders as the result of the occurrence of the Yield Protection Premium Trigger Event, and Borrower and Guarantors agree that it is reasonable under the circumstances currently existing. The Yield Protection Premium, if any, shall also be due and payable in the event the Obligations (or this Agreement) are satisfied or released by foreclosure (whether by power of judicial proceeding), deed in lieu of foreclosure, or by any other means or if the Obligations are reinstated pursuant to Section 1124 of the Bankruptcy Code (with the Yield Protection Premium being determined as of the date of such foreclosure, deed in lieu of foreclosure, reinstatement or other event). If the Yield Protection Premium becomes due and payable pursuant to this Agreement, such Yield Protection Premium shall be deemed to be principal of the Term Loans, and interest shall accrue on the full principal amount of the Term Loans (including the Yield Protection Premium) from and after the applicable Yield Protection Premium Trigger Event. In the event the Yield Protection Premium is determined not to be due or payable by order of any court of competent jurisdiction, including by operation of the Bankruptcy Code, despite such a triggering event having occurred, the Yield Protection Premium shall nonetheless constitute Obligations under this Agreement for all purposes hereunder. BORROWER AND THE GUARANTORS EXPRESSLY WAIVE (TO THE FULLEST EXTENT THEY MAY LAWFULLY DO SO AND THE SAME IS NOT OUTSIDE THEIR LEGAL CAPACITY (WHETHER AS A RESULT OF FINANCIAL ASSISTANCE, CORPORATE BENEFIT, THIN CAPITALIZATION, CAPITAL MAINTENANCE OR LIQUIDITY MAINTENANCE RULES OR OTHER LEGAL PRINCIPLES)) THE PROVISIONS OF ANY PRESENT OR FUTURE STATUTE OR LAW THAT PROHIBITS OR MAY PROHIBIT THE COLLECTION OF THE FOREGOING YIELD PROTECTION PREMIUM IN CONNECTION WITH ANY SUCH PREPAYMENT, INCLUDING ANY VOLUNTARY OR INVOLUNTARY ACCELERATION OF THE OBLIGATIONS PURSUANT TO AN INSOLVENCY PROCEEDING OR OTHER PROCEEDING PURSUANT TO ANY INSOLVENCY LAWS OR PURSUANT TO A PLAN OF REORGANIZATION. The Credit Parties, the Agent and the Lenders acknowledge and agree that any Yield Protection Premium due and payable in accordance with this Agreement shall not constitute unmatured interest, whether under Section 5.02(b)(3) of the Bankruptcy Code or otherwise. Each Credit Party further acknowledges and agrees, and waives any argument to the contrary, that payment of such amount does not constitute a penalty or an otherwise unenforceable or invalid obligation. Borrower and Guarantors expressly agree that (i) the Yield Protection Premium is reasonable and is the product of an arm’s length transaction between sophisticated business people, ably represented by counsel, (ii) the Yield Protection Premium shall be payable notwithstanding the then-prevailing market rates at the time payment is made, (iii) there has been a course of conduct between the Lenders and the Credit Parties giving specific consideration in this transaction for such agreement to pay the Yield Protection Premium, (iv) the Credit Parties shall be estopped hereafter from claiming differently than as agreed to in this </w:t>
      </w:r>
      <w:r>
        <w:rPr>
          <w:rFonts w:ascii="Times New Roman" w:cs="Times New Roman" w:eastAsia="Times New Roman" w:hAnsi="Times New Roman"/>
          <w:sz w:val="19"/>
          <w:szCs w:val="19"/>
          <w:u w:val="single" w:color="auto"/>
          <w:color w:val="auto"/>
        </w:rPr>
        <w:t>Section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2.2(f)</w:t>
      </w:r>
      <w:r>
        <w:rPr>
          <w:rFonts w:ascii="Times New Roman" w:cs="Times New Roman" w:eastAsia="Times New Roman" w:hAnsi="Times New Roman"/>
          <w:sz w:val="19"/>
          <w:szCs w:val="19"/>
          <w:color w:val="auto"/>
        </w:rPr>
        <w:t>, (v) their agreement to pay the Yield Protection Premium is a material inducement to the Lenders to provide the Commitments and make Term Loans, and (vi) the Yield Protection Premium represents a good faith, reasonable estimate and calculation of the lost profits or damages of the Lenders, and that it would be impractical and extremely difficult to ascertain the actual amount of damages to the Lenders or profits lost by the Lenders as a result of such Yield Protection Premium Trigger Event.</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2.3. Payment of Interest on the Credit Extensions.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621030</wp:posOffset>
            </wp:positionV>
            <wp:extent cx="7157720" cy="425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00"/>
          </w:cols>
          <w:pgMar w:left="1080" w:top="1426" w:right="419" w:bottom="1440" w:gutter="0" w:footer="0" w:header="0"/>
        </w:sectPr>
      </w:pPr>
    </w:p>
    <w:bookmarkStart w:id="136" w:name="page137"/>
    <w:bookmarkEnd w:id="136"/>
    <w:p>
      <w:pPr>
        <w:spacing w:after="0" w:line="99" w:lineRule="exact"/>
        <w:rPr>
          <w:sz w:val="20"/>
          <w:szCs w:val="20"/>
          <w:color w:val="auto"/>
        </w:rPr>
      </w:pPr>
    </w:p>
    <w:p>
      <w:pPr>
        <w:jc w:val="right"/>
        <w:ind w:right="4479"/>
        <w:spacing w:after="0"/>
        <w:rPr>
          <w:sz w:val="20"/>
          <w:szCs w:val="20"/>
          <w:color w:val="auto"/>
        </w:rPr>
      </w:pPr>
      <w:r>
        <w:rPr>
          <w:rFonts w:ascii="Times New Roman" w:cs="Times New Roman" w:eastAsia="Times New Roman" w:hAnsi="Times New Roman"/>
          <w:sz w:val="18"/>
          <w:szCs w:val="18"/>
          <w:color w:val="auto"/>
        </w:rPr>
        <w:t>7</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4905-3710-6484 v.17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600710</wp:posOffset>
            </wp:positionV>
            <wp:extent cx="7157720" cy="425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137" w:name="page138"/>
    <w:bookmarkEnd w:id="137"/>
    <w:p>
      <w:pPr>
        <w:ind w:left="1060" w:hanging="395"/>
        <w:spacing w:after="0"/>
        <w:tabs>
          <w:tab w:leader="none" w:pos="1060"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Interest Rate</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jc w:val="both"/>
        <w:ind w:firstLine="1489"/>
        <w:spacing w:after="0" w:line="254" w:lineRule="auto"/>
        <w:tabs>
          <w:tab w:leader="none" w:pos="1721" w:val="left"/>
        </w:tabs>
        <w:numPr>
          <w:ilvl w:val="1"/>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Subject to </w:t>
      </w:r>
      <w:r>
        <w:rPr>
          <w:rFonts w:ascii="Times New Roman" w:cs="Times New Roman" w:eastAsia="Times New Roman" w:hAnsi="Times New Roman"/>
          <w:sz w:val="20"/>
          <w:szCs w:val="20"/>
          <w:u w:val="single" w:color="auto"/>
          <w:color w:val="auto"/>
        </w:rPr>
        <w:t>Section 2.3(b)</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Section 2.3(e)</w:t>
      </w:r>
      <w:r>
        <w:rPr>
          <w:rFonts w:ascii="Times New Roman" w:cs="Times New Roman" w:eastAsia="Times New Roman" w:hAnsi="Times New Roman"/>
          <w:sz w:val="20"/>
          <w:szCs w:val="20"/>
          <w:color w:val="auto"/>
        </w:rPr>
        <w:t xml:space="preserve">, the principal amount outstanding under the Loans shall accrue interest at a per annum rate equal to Adjusted Term SOFR plus the Applicable Margin, which interest shall be payable quarterly in arrears in accordance with this </w:t>
      </w:r>
      <w:r>
        <w:rPr>
          <w:rFonts w:ascii="Times New Roman" w:cs="Times New Roman" w:eastAsia="Times New Roman" w:hAnsi="Times New Roman"/>
          <w:sz w:val="20"/>
          <w:szCs w:val="20"/>
          <w:u w:val="single" w:color="auto"/>
          <w:color w:val="auto"/>
        </w:rPr>
        <w:t>Section 2.3</w:t>
      </w: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2286635</wp:posOffset>
            </wp:positionH>
            <wp:positionV relativeFrom="paragraph">
              <wp:posOffset>-36830</wp:posOffset>
            </wp:positionV>
            <wp:extent cx="31115"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7">
                      <a:extLst>
                        <a:ext uri="{28A0092B-C50C-407E-A947-70E740481C1C}"/>
                      </a:extLst>
                    </a:blip>
                    <a:srcRect/>
                    <a:stretch>
                      <a:fillRect/>
                    </a:stretch>
                  </pic:blipFill>
                  <pic:spPr bwMode="auto">
                    <a:xfrm>
                      <a:off x="0" y="0"/>
                      <a:ext cx="31115" cy="8255"/>
                    </a:xfrm>
                    <a:prstGeom prst="rect">
                      <a:avLst/>
                    </a:prstGeom>
                    <a:noFill/>
                  </pic:spPr>
                </pic:pic>
              </a:graphicData>
            </a:graphic>
          </wp:anchor>
        </w:drawing>
      </w:r>
    </w:p>
    <w:p>
      <w:pPr>
        <w:spacing w:after="0" w:line="154" w:lineRule="exact"/>
        <w:rPr>
          <w:sz w:val="20"/>
          <w:szCs w:val="20"/>
          <w:color w:val="auto"/>
        </w:rPr>
      </w:pPr>
    </w:p>
    <w:p>
      <w:pPr>
        <w:jc w:val="both"/>
        <w:ind w:firstLine="1498"/>
        <w:spacing w:after="0" w:line="254" w:lineRule="auto"/>
        <w:rPr>
          <w:sz w:val="20"/>
          <w:szCs w:val="20"/>
          <w:color w:val="auto"/>
        </w:rPr>
      </w:pPr>
      <w:r>
        <w:rPr>
          <w:rFonts w:ascii="Times New Roman" w:cs="Times New Roman" w:eastAsia="Times New Roman" w:hAnsi="Times New Roman"/>
          <w:sz w:val="20"/>
          <w:szCs w:val="20"/>
          <w:color w:val="auto"/>
        </w:rPr>
        <w:t xml:space="preserve">(ii)Interest shall accrue on the Loans commencing on, and including, the day on which such Loans are made, and shall not accrue on Loans, or any portion thereof, for the day on which such Loans or such portion is paid;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such Loan that is repaid on the same day on which it is made shall bear interest for one (1) day.</w:t>
      </w:r>
    </w:p>
    <w:p>
      <w:pPr>
        <w:spacing w:after="0" w:line="174" w:lineRule="exact"/>
        <w:rPr>
          <w:sz w:val="20"/>
          <w:szCs w:val="20"/>
          <w:color w:val="auto"/>
        </w:rPr>
      </w:pPr>
    </w:p>
    <w:p>
      <w:pPr>
        <w:jc w:val="both"/>
        <w:ind w:left="-840" w:firstLine="1505"/>
        <w:spacing w:after="0" w:line="244" w:lineRule="auto"/>
        <w:tabs>
          <w:tab w:leader="none" w:pos="1053"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Default Rate</w:t>
      </w:r>
      <w:r>
        <w:rPr>
          <w:rFonts w:ascii="Times New Roman" w:cs="Times New Roman" w:eastAsia="Times New Roman" w:hAnsi="Times New Roman"/>
          <w:sz w:val="20"/>
          <w:szCs w:val="20"/>
          <w:color w:val="auto"/>
        </w:rPr>
        <w:t>. Following the occurrence and during the continuance of an Event of Default, all Obligations shall bear interest, after as well as before judgment, at a per annum rate equal to 2.00%</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 xml:space="preserve"> plus the rate otherwise applicable to the Term Loans, Revolving Credit Loans or other Obligations as provided in </w:t>
      </w:r>
      <w:r>
        <w:rPr>
          <w:rFonts w:ascii="Times New Roman" w:cs="Times New Roman" w:eastAsia="Times New Roman" w:hAnsi="Times New Roman"/>
          <w:sz w:val="20"/>
          <w:szCs w:val="20"/>
          <w:u w:val="single" w:color="auto"/>
          <w:color w:val="auto"/>
        </w:rPr>
        <w:t>Sections 2.3(a)</w:t>
      </w:r>
      <w:r>
        <w:rPr>
          <w:rFonts w:ascii="Times New Roman" w:cs="Times New Roman" w:eastAsia="Times New Roman" w:hAnsi="Times New Roman"/>
          <w:sz w:val="20"/>
          <w:szCs w:val="20"/>
          <w:color w:val="auto"/>
        </w:rPr>
        <w:t xml:space="preserve"> (the “</w:t>
      </w:r>
      <w:r>
        <w:rPr>
          <w:rFonts w:ascii="Times New Roman" w:cs="Times New Roman" w:eastAsia="Times New Roman" w:hAnsi="Times New Roman"/>
          <w:sz w:val="20"/>
          <w:szCs w:val="20"/>
          <w:b w:val="1"/>
          <w:bCs w:val="1"/>
          <w:color w:val="auto"/>
        </w:rPr>
        <w:t>Default Rate</w:t>
      </w:r>
      <w:r>
        <w:rPr>
          <w:rFonts w:ascii="Times New Roman" w:cs="Times New Roman" w:eastAsia="Times New Roman" w:hAnsi="Times New Roman"/>
          <w:sz w:val="20"/>
          <w:szCs w:val="20"/>
          <w:color w:val="auto"/>
        </w:rPr>
        <w:t xml:space="preserve">”), and such interest shall be payable entirely in cash on demand of the Blackstone Representative (notice of which shall be provided to the Agent) or, in the case of an Event of Default under </w:t>
      </w:r>
      <w:r>
        <w:rPr>
          <w:rFonts w:ascii="Times New Roman" w:cs="Times New Roman" w:eastAsia="Times New Roman" w:hAnsi="Times New Roman"/>
          <w:sz w:val="20"/>
          <w:szCs w:val="20"/>
          <w:u w:val="single" w:color="auto"/>
          <w:color w:val="auto"/>
        </w:rPr>
        <w:t>Section 7.5</w:t>
      </w:r>
      <w:r>
        <w:rPr>
          <w:rFonts w:ascii="Times New Roman" w:cs="Times New Roman" w:eastAsia="Times New Roman" w:hAnsi="Times New Roman"/>
          <w:sz w:val="20"/>
          <w:szCs w:val="20"/>
          <w:color w:val="auto"/>
        </w:rPr>
        <w:t xml:space="preserve">, automatically following such Event of Default without demand. Payment or acceptance of the increased interest rate provided in this </w:t>
      </w:r>
      <w:r>
        <w:rPr>
          <w:rFonts w:ascii="Times New Roman" w:cs="Times New Roman" w:eastAsia="Times New Roman" w:hAnsi="Times New Roman"/>
          <w:sz w:val="20"/>
          <w:szCs w:val="20"/>
          <w:u w:val="single" w:color="auto"/>
          <w:color w:val="auto"/>
        </w:rPr>
        <w:t>Section 2.3(b)</w:t>
      </w:r>
      <w:r>
        <w:rPr>
          <w:rFonts w:ascii="Times New Roman" w:cs="Times New Roman" w:eastAsia="Times New Roman" w:hAnsi="Times New Roman"/>
          <w:sz w:val="20"/>
          <w:szCs w:val="20"/>
          <w:color w:val="auto"/>
        </w:rPr>
        <w:t xml:space="preserve"> is not a permitted alternative to timely payment and shall not constitute a waiver of any Event of Default or otherwise prejudice or limit any rights or remedies of the Agent, the Blackstone Representative or the Lenders.</w:t>
      </w:r>
    </w:p>
    <w:p>
      <w:pPr>
        <w:spacing w:after="0" w:line="185" w:lineRule="exact"/>
        <w:rPr>
          <w:rFonts w:ascii="Times New Roman" w:cs="Times New Roman" w:eastAsia="Times New Roman" w:hAnsi="Times New Roman"/>
          <w:sz w:val="20"/>
          <w:szCs w:val="20"/>
          <w:color w:val="auto"/>
        </w:rPr>
      </w:pPr>
    </w:p>
    <w:p>
      <w:pPr>
        <w:ind w:left="1060" w:hanging="395"/>
        <w:spacing w:after="0"/>
        <w:tabs>
          <w:tab w:leader="none" w:pos="1060"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360-Day Year</w:t>
      </w:r>
      <w:r>
        <w:rPr>
          <w:rFonts w:ascii="Times New Roman" w:cs="Times New Roman" w:eastAsia="Times New Roman" w:hAnsi="Times New Roman"/>
          <w:sz w:val="20"/>
          <w:szCs w:val="20"/>
          <w:color w:val="auto"/>
        </w:rPr>
        <w:t>. Interest shall be computed on the basis of a year of 360 days and the actual number of days elapsed.</w:t>
      </w:r>
    </w:p>
    <w:p>
      <w:pPr>
        <w:spacing w:after="0" w:line="215" w:lineRule="exact"/>
        <w:rPr>
          <w:rFonts w:ascii="Times New Roman" w:cs="Times New Roman" w:eastAsia="Times New Roman" w:hAnsi="Times New Roman"/>
          <w:sz w:val="20"/>
          <w:szCs w:val="20"/>
          <w:color w:val="auto"/>
        </w:rPr>
      </w:pPr>
    </w:p>
    <w:p>
      <w:pPr>
        <w:ind w:left="1060" w:hanging="395"/>
        <w:spacing w:after="0"/>
        <w:tabs>
          <w:tab w:leader="none" w:pos="1060"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Payments</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jc w:val="both"/>
        <w:ind w:firstLine="1489"/>
        <w:spacing w:after="0" w:line="241" w:lineRule="auto"/>
        <w:tabs>
          <w:tab w:leader="none" w:pos="1721" w:val="left"/>
        </w:tabs>
        <w:numPr>
          <w:ilvl w:val="1"/>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Except as otherwise expressly provided herein, all loan payments (and any other payments hereunder) by Borrower hereunder shall be made on the date specified herein to such bank account of the Agent specified in writing by Agent from time to time to the Borrower and the Lenders. Interest is payable quarterly on each Interest Date, beginning on June 30, 2025, on the date of any payment or prepayment or acceleration, in whole or in part, of principal outstanding on the Loans, on the principal amount so paid or prepaid or accelerated, and on the Maturity Date. Payments of principal or interest received after 2:00 p.m. Eastern Standard Time on such date are considered received at the opening of business on the next Business Day. When a payment is due on a day that is not a Business Day, the payment is due the next Business Day and additional fees or interest, as applicable, shall continue to accrue until paid. All payments to be made by Borrower hereunder or under any other Loan Document, including payments of principal and interest made hereunder and pursuant to any other Loan Document, and all fees, expenses, indemnities and reimbursements, shall be made without set-off, recoupment or counterclaim, in lawful money of the United States and in immediately available funds (subject to </w:t>
      </w:r>
      <w:r>
        <w:rPr>
          <w:rFonts w:ascii="Times New Roman" w:cs="Times New Roman" w:eastAsia="Times New Roman" w:hAnsi="Times New Roman"/>
          <w:sz w:val="20"/>
          <w:szCs w:val="20"/>
          <w:u w:val="single" w:color="auto"/>
          <w:color w:val="auto"/>
        </w:rPr>
        <w:t>Section 2.3(d)(iii)</w:t>
      </w:r>
      <w:r>
        <w:rPr>
          <w:rFonts w:ascii="Times New Roman" w:cs="Times New Roman" w:eastAsia="Times New Roman" w:hAnsi="Times New Roman"/>
          <w:sz w:val="20"/>
          <w:szCs w:val="20"/>
          <w:color w:val="auto"/>
        </w:rPr>
        <w:t xml:space="preserve"> below). The Agent shall distribute such payments on a pro rata basis to each relevant Lender promptly upon receipt in like funds as received, net of any amounts owing by such Lender pursuant to </w:t>
      </w:r>
      <w:r>
        <w:rPr>
          <w:rFonts w:ascii="Times New Roman" w:cs="Times New Roman" w:eastAsia="Times New Roman" w:hAnsi="Times New Roman"/>
          <w:sz w:val="20"/>
          <w:szCs w:val="20"/>
          <w:u w:val="single" w:color="auto"/>
          <w:color w:val="auto"/>
        </w:rPr>
        <w:t>Section 12.14</w:t>
      </w: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1697355</wp:posOffset>
            </wp:positionH>
            <wp:positionV relativeFrom="paragraph">
              <wp:posOffset>-22225</wp:posOffset>
            </wp:positionV>
            <wp:extent cx="31115" cy="88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8">
                      <a:extLst>
                        <a:ext uri="{28A0092B-C50C-407E-A947-70E740481C1C}"/>
                      </a:extLst>
                    </a:blip>
                    <a:srcRect/>
                    <a:stretch>
                      <a:fillRect/>
                    </a:stretch>
                  </pic:blipFill>
                  <pic:spPr bwMode="auto">
                    <a:xfrm>
                      <a:off x="0" y="0"/>
                      <a:ext cx="31115" cy="8890"/>
                    </a:xfrm>
                    <a:prstGeom prst="rect">
                      <a:avLst/>
                    </a:prstGeom>
                    <a:noFill/>
                  </pic:spPr>
                </pic:pic>
              </a:graphicData>
            </a:graphic>
          </wp:anchor>
        </w:drawing>
      </w:r>
    </w:p>
    <w:p>
      <w:pPr>
        <w:spacing w:after="0" w:line="177" w:lineRule="exact"/>
        <w:rPr>
          <w:sz w:val="20"/>
          <w:szCs w:val="20"/>
          <w:color w:val="auto"/>
        </w:rPr>
      </w:pPr>
    </w:p>
    <w:p>
      <w:pPr>
        <w:jc w:val="both"/>
        <w:ind w:firstLine="1498"/>
        <w:spacing w:after="0" w:line="245" w:lineRule="auto"/>
        <w:rPr>
          <w:sz w:val="20"/>
          <w:szCs w:val="20"/>
          <w:color w:val="auto"/>
        </w:rPr>
      </w:pPr>
      <w:r>
        <w:rPr>
          <w:rFonts w:ascii="Times New Roman" w:cs="Times New Roman" w:eastAsia="Times New Roman" w:hAnsi="Times New Roman"/>
          <w:sz w:val="20"/>
          <w:szCs w:val="20"/>
          <w:color w:val="auto"/>
        </w:rPr>
        <w:t>(ii)If, other than as expressly provided elsewhere herein or required by court order, any Lender shall obtain payment in respect of any principal or interest on account of the Loans made by it any payment (whether voluntary, involuntary, through the exercise of any right of setoff, or otherwise) in excess of its ratable share (or other share contemplated hereunder) thereof, such Lender shall (A) immediately notify the Agent of such fact, and (B) hold such amounts in trust for the benefit of Agent and the other Lenders and promptly pay or deliver to the Agent, for application to the Loan made by such Lender pursuant to this Agreement, such excess amounts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-540385</wp:posOffset>
            </wp:positionH>
            <wp:positionV relativeFrom="paragraph">
              <wp:posOffset>598805</wp:posOffset>
            </wp:positionV>
            <wp:extent cx="7157720" cy="425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320"/>
          </w:cols>
          <w:pgMar w:left="1160" w:top="1426" w:right="419" w:bottom="1440" w:gutter="0" w:footer="0" w:header="0"/>
        </w:sectPr>
      </w:pPr>
    </w:p>
    <w:bookmarkStart w:id="138" w:name="page139"/>
    <w:bookmarkEnd w:id="138"/>
    <w:p>
      <w:pPr>
        <w:spacing w:after="0" w:line="59" w:lineRule="exact"/>
        <w:rPr>
          <w:sz w:val="20"/>
          <w:szCs w:val="20"/>
          <w:color w:val="auto"/>
        </w:rPr>
      </w:pPr>
    </w:p>
    <w:p>
      <w:pPr>
        <w:jc w:val="right"/>
        <w:ind w:right="4499"/>
        <w:spacing w:after="0"/>
        <w:rPr>
          <w:sz w:val="20"/>
          <w:szCs w:val="20"/>
          <w:color w:val="auto"/>
        </w:rPr>
      </w:pPr>
      <w:r>
        <w:rPr>
          <w:rFonts w:ascii="Times New Roman" w:cs="Times New Roman" w:eastAsia="Times New Roman" w:hAnsi="Times New Roman"/>
          <w:sz w:val="18"/>
          <w:szCs w:val="18"/>
          <w:color w:val="auto"/>
        </w:rPr>
        <w:t>8</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4905-3710-6484 v.17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600710</wp:posOffset>
            </wp:positionV>
            <wp:extent cx="7157720" cy="425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139" w:name="page140"/>
    <w:bookmarkEnd w:id="139"/>
    <w:p>
      <w:pPr>
        <w:jc w:val="both"/>
        <w:spacing w:after="0" w:line="249" w:lineRule="auto"/>
        <w:rPr>
          <w:sz w:val="20"/>
          <w:szCs w:val="20"/>
          <w:color w:val="auto"/>
        </w:rPr>
      </w:pPr>
      <w:r>
        <w:rPr>
          <w:rFonts w:ascii="Times New Roman" w:cs="Times New Roman" w:eastAsia="Times New Roman" w:hAnsi="Times New Roman"/>
          <w:sz w:val="20"/>
          <w:szCs w:val="20"/>
          <w:color w:val="auto"/>
        </w:rPr>
        <w:t>the form received. The provisions of this paragraph shall not be construed to apply to (x) any payment made by Borrower pursuant to and in accordance with the express terms of this Agreement as in effect from time to time (including the application of funds arising from the existence of a Defaulting Lender), or (y) any payment obtained by a Lender as consideration for the assignment of or sale of a participation in any of its Loans to any assignee or participant permitted hereunder.</w:t>
      </w:r>
    </w:p>
    <w:p>
      <w:pPr>
        <w:spacing w:after="0" w:line="166" w:lineRule="exact"/>
        <w:rPr>
          <w:sz w:val="20"/>
          <w:szCs w:val="20"/>
          <w:color w:val="auto"/>
        </w:rPr>
      </w:pPr>
    </w:p>
    <w:p>
      <w:pPr>
        <w:jc w:val="both"/>
        <w:ind w:firstLine="1498"/>
        <w:spacing w:after="0"/>
        <w:rPr>
          <w:sz w:val="20"/>
          <w:szCs w:val="20"/>
          <w:color w:val="auto"/>
        </w:rPr>
      </w:pPr>
      <w:r>
        <w:rPr>
          <w:rFonts w:ascii="Times New Roman" w:cs="Times New Roman" w:eastAsia="Times New Roman" w:hAnsi="Times New Roman"/>
          <w:sz w:val="20"/>
          <w:szCs w:val="20"/>
          <w:color w:val="auto"/>
        </w:rPr>
        <w:t xml:space="preserve">(iii)Interest shall be payable in cash in lawful money of the United States and in immediately available funds;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solely with respect to any Interest Date occurring on or prior to the second anniversary of the Closing Date, the Borrower may, in its sole discretion by delivering an irrevocable written notice thereof in the form of Exhibit H hereto (a “</w:t>
      </w:r>
      <w:r>
        <w:rPr>
          <w:rFonts w:ascii="Times New Roman" w:cs="Times New Roman" w:eastAsia="Times New Roman" w:hAnsi="Times New Roman"/>
          <w:sz w:val="20"/>
          <w:szCs w:val="20"/>
          <w:b w:val="1"/>
          <w:bCs w:val="1"/>
          <w:color w:val="auto"/>
        </w:rPr>
        <w:t>PIK</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Election Notice</w:t>
      </w:r>
      <w:r>
        <w:rPr>
          <w:rFonts w:ascii="Times New Roman" w:cs="Times New Roman" w:eastAsia="Times New Roman" w:hAnsi="Times New Roman"/>
          <w:sz w:val="20"/>
          <w:szCs w:val="20"/>
          <w:color w:val="auto"/>
        </w:rPr>
        <w:t>”) to Agent prior to the applicable Interest Date (which notice shall be delivered to Agent not later than 11:00</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a.m., five (5) Business Days prior to such Interest Date) solely with respect to the Term Loans, elect (such election, a “</w:t>
      </w:r>
      <w:r>
        <w:rPr>
          <w:rFonts w:ascii="Times New Roman" w:cs="Times New Roman" w:eastAsia="Times New Roman" w:hAnsi="Times New Roman"/>
          <w:sz w:val="20"/>
          <w:szCs w:val="20"/>
          <w:b w:val="1"/>
          <w:bCs w:val="1"/>
          <w:color w:val="auto"/>
        </w:rPr>
        <w:t>PIK</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Election</w:t>
      </w:r>
      <w:r>
        <w:rPr>
          <w:rFonts w:ascii="Times New Roman" w:cs="Times New Roman" w:eastAsia="Times New Roman" w:hAnsi="Times New Roman"/>
          <w:sz w:val="20"/>
          <w:szCs w:val="20"/>
          <w:color w:val="auto"/>
        </w:rPr>
        <w:t>”) to pay a portion of the interest payable on such Interest Date corresponding to half of the Applicable Margin (without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giving effect to the Additional PIK Rate) for the Term Loans, plus the Additional PIK Rate, in kind (in lieu of payment in cash for such portion, with the remainder to be paid in cash) by adding such amounts so elected to be paid in kind to the aggregate outstanding principal balance of the Term Loans then outstanding on such Interest Date;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if a PIK Election has not been made on or prior to the date of any prepayment in respect of any Term Loans during the then current Interest Period, the interest payable on the date of such prepayment shall be calculated assuming a PIK Election will not be made in respect of such Interest Period, regardless of whether a PIK Election is subsequently made for such Interest Period. In the case of any such PIK Election, the “Applicable Margin” with respect to such Interest Period shall increase as provided in the definition of “Applicable Margin”. It is understood and agreed that in the event of a PIK Election, the Additional PIK Rate shall be paid in kind by automatically capitalizing without the action of any Person the amount thereof and adding such amount to the outstanding principal amount of the applicable Term Loan on the applicable Interest Date. Interest on the Term Loans that is paid in kind shall automatically constitute a part of the outstanding amount of such Term Loan for all purposes hereof (including the accrual of interest thereon at the rates applicable to such Term Loan generally). Notwithstanding the foregoing, the Borrower may not make a PIK Election or pay any interest in kind at any time an or Event of Default has occurred and is continuing. Any PIK Election Notice delivered by the Borrower for an Interest Period shall be deemed to apply only to such Interest Period and not to any subsequent Interest Period (unless a PIK Election Notice shall be delivered for such subsequent Interest Period in accordance with the terms hereof).</w:t>
      </w:r>
    </w:p>
    <w:p>
      <w:pPr>
        <w:spacing w:after="0" w:line="219" w:lineRule="exact"/>
        <w:rPr>
          <w:sz w:val="20"/>
          <w:szCs w:val="20"/>
          <w:color w:val="auto"/>
        </w:rPr>
      </w:pPr>
    </w:p>
    <w:p>
      <w:pPr>
        <w:jc w:val="both"/>
        <w:ind w:firstLine="1498"/>
        <w:spacing w:after="0" w:line="244" w:lineRule="auto"/>
        <w:rPr>
          <w:sz w:val="20"/>
          <w:szCs w:val="20"/>
          <w:color w:val="auto"/>
        </w:rPr>
      </w:pPr>
      <w:r>
        <w:rPr>
          <w:rFonts w:ascii="Times New Roman" w:cs="Times New Roman" w:eastAsia="Times New Roman" w:hAnsi="Times New Roman"/>
          <w:sz w:val="20"/>
          <w:szCs w:val="20"/>
          <w:color w:val="auto"/>
        </w:rPr>
        <w:t xml:space="preserve">(iv)The obligations of the Lenders hereunder to make Loans and to make payments pursuant to </w:t>
      </w:r>
      <w:r>
        <w:rPr>
          <w:rFonts w:ascii="Times New Roman" w:cs="Times New Roman" w:eastAsia="Times New Roman" w:hAnsi="Times New Roman"/>
          <w:sz w:val="20"/>
          <w:szCs w:val="20"/>
          <w:u w:val="single" w:color="auto"/>
          <w:color w:val="auto"/>
        </w:rPr>
        <w:t>Section 12.13</w:t>
      </w:r>
      <w:r>
        <w:rPr>
          <w:rFonts w:ascii="Times New Roman" w:cs="Times New Roman" w:eastAsia="Times New Roman" w:hAnsi="Times New Roman"/>
          <w:sz w:val="20"/>
          <w:szCs w:val="20"/>
          <w:color w:val="auto"/>
        </w:rPr>
        <w:t xml:space="preserve"> are several and not joint. The failure of any Lender to make any Loan or to make any payment under </w:t>
      </w:r>
      <w:r>
        <w:rPr>
          <w:rFonts w:ascii="Times New Roman" w:cs="Times New Roman" w:eastAsia="Times New Roman" w:hAnsi="Times New Roman"/>
          <w:sz w:val="20"/>
          <w:szCs w:val="20"/>
          <w:u w:val="single" w:color="auto"/>
          <w:color w:val="auto"/>
        </w:rPr>
        <w:t>Section 12.13</w:t>
      </w:r>
      <w:r>
        <w:rPr>
          <w:rFonts w:ascii="Times New Roman" w:cs="Times New Roman" w:eastAsia="Times New Roman" w:hAnsi="Times New Roman"/>
          <w:sz w:val="20"/>
          <w:szCs w:val="20"/>
          <w:color w:val="auto"/>
        </w:rPr>
        <w:t xml:space="preserve"> on any date required hereunder shall not relieve any other Lender of its corresponding obligation to do so on such date, and no Lender shall be responsible for the failure of any other Lender to so make its Loan or to make its payment under </w:t>
      </w:r>
      <w:r>
        <w:rPr>
          <w:rFonts w:ascii="Times New Roman" w:cs="Times New Roman" w:eastAsia="Times New Roman" w:hAnsi="Times New Roman"/>
          <w:sz w:val="20"/>
          <w:szCs w:val="20"/>
          <w:u w:val="single" w:color="auto"/>
          <w:color w:val="auto"/>
        </w:rPr>
        <w:t>Section 12.13</w:t>
      </w:r>
      <w:r>
        <w:rPr>
          <w:rFonts w:ascii="Times New Roman" w:cs="Times New Roman" w:eastAsia="Times New Roman" w:hAnsi="Times New Roman"/>
          <w:sz w:val="20"/>
          <w:szCs w:val="20"/>
          <w:color w:val="auto"/>
        </w:rPr>
        <w:t xml:space="preserve">. If any Lender shall fail to make any payment required to be made by it pursuant to </w:t>
      </w:r>
      <w:r>
        <w:rPr>
          <w:rFonts w:ascii="Times New Roman" w:cs="Times New Roman" w:eastAsia="Times New Roman" w:hAnsi="Times New Roman"/>
          <w:sz w:val="20"/>
          <w:szCs w:val="20"/>
          <w:u w:val="single" w:color="auto"/>
          <w:color w:val="auto"/>
        </w:rPr>
        <w:t>Section 12.13</w:t>
      </w:r>
      <w:r>
        <w:rPr>
          <w:rFonts w:ascii="Times New Roman" w:cs="Times New Roman" w:eastAsia="Times New Roman" w:hAnsi="Times New Roman"/>
          <w:sz w:val="20"/>
          <w:szCs w:val="20"/>
          <w:color w:val="auto"/>
        </w:rPr>
        <w:t>, then the Agent may, in its discretion and notwithstanding any contrary provision hereof, apply any amounts thereafter received by the Agent for the account of such Lender under any Loan Document to satisfy such Lender’s obligation to the Agent.</w:t>
      </w:r>
    </w:p>
    <w:p>
      <w:pPr>
        <w:spacing w:after="0" w:line="186" w:lineRule="exact"/>
        <w:rPr>
          <w:sz w:val="20"/>
          <w:szCs w:val="20"/>
          <w:color w:val="auto"/>
        </w:rPr>
      </w:pPr>
    </w:p>
    <w:p>
      <w:pPr>
        <w:jc w:val="both"/>
        <w:ind w:firstLine="1498"/>
        <w:spacing w:after="0" w:line="246" w:lineRule="auto"/>
        <w:rPr>
          <w:sz w:val="20"/>
          <w:szCs w:val="20"/>
          <w:color w:val="auto"/>
        </w:rPr>
      </w:pPr>
      <w:r>
        <w:rPr>
          <w:rFonts w:ascii="Times New Roman" w:cs="Times New Roman" w:eastAsia="Times New Roman" w:hAnsi="Times New Roman"/>
          <w:sz w:val="20"/>
          <w:szCs w:val="20"/>
          <w:color w:val="auto"/>
        </w:rPr>
        <w:t>(v)Unless the Agent shall have received notice from the Borrower prior to the date on which any payment is due to the Agent for the account of the Lenders hereunder that the Borrower will not make such payment, the Agent may assume that the Borrower has made such payment on such date in accordance herewith and may, in reliance upon such assumption and in its sole discretion, distribute to the Lenders the amount due. In such event, if the Borrower has not in fact made such payment, then each of the Lenders severally agrees to repay to the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-540385</wp:posOffset>
            </wp:positionH>
            <wp:positionV relativeFrom="paragraph">
              <wp:posOffset>599440</wp:posOffset>
            </wp:positionV>
            <wp:extent cx="7157720" cy="425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320"/>
          </w:cols>
          <w:pgMar w:left="1160" w:top="1426" w:right="419" w:bottom="1440" w:gutter="0" w:footer="0" w:header="0"/>
        </w:sectPr>
      </w:pPr>
    </w:p>
    <w:bookmarkStart w:id="140" w:name="page141"/>
    <w:bookmarkEnd w:id="140"/>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forthwith on demand the amount so distributed to such Lender with interest thereon, for each day from and</w:t>
      </w:r>
    </w:p>
    <w:p>
      <w:pPr>
        <w:spacing w:after="0" w:line="15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9</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4905-3710-6484 v.17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600710</wp:posOffset>
            </wp:positionV>
            <wp:extent cx="7157720" cy="425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141" w:name="page142"/>
    <w:bookmarkEnd w:id="141"/>
    <w:p>
      <w:pPr>
        <w:ind w:left="760"/>
        <w:spacing w:after="0" w:line="269" w:lineRule="auto"/>
        <w:rPr>
          <w:sz w:val="20"/>
          <w:szCs w:val="20"/>
          <w:color w:val="auto"/>
        </w:rPr>
      </w:pPr>
      <w:r>
        <w:rPr>
          <w:rFonts w:ascii="Times New Roman" w:cs="Times New Roman" w:eastAsia="Times New Roman" w:hAnsi="Times New Roman"/>
          <w:sz w:val="20"/>
          <w:szCs w:val="20"/>
          <w:color w:val="auto"/>
        </w:rPr>
        <w:t>including the date such amount is distributed to it to but excluding the date of payment to the Agent, at the greater of the Federal Funds Rate and a rate determined by the Agent in accordance with banking industry rules on interbank compensation.</w:t>
      </w:r>
    </w:p>
    <w:p>
      <w:pPr>
        <w:spacing w:after="0" w:line="159" w:lineRule="exact"/>
        <w:rPr>
          <w:sz w:val="20"/>
          <w:szCs w:val="20"/>
          <w:color w:val="auto"/>
        </w:rPr>
      </w:pPr>
    </w:p>
    <w:p>
      <w:pPr>
        <w:ind w:left="1500"/>
        <w:spacing w:after="0"/>
        <w:tabs>
          <w:tab w:leader="none" w:pos="1900" w:val="left"/>
        </w:tabs>
        <w:rPr>
          <w:sz w:val="20"/>
          <w:szCs w:val="20"/>
          <w:color w:val="auto"/>
        </w:rPr>
      </w:pPr>
      <w:r>
        <w:rPr>
          <w:rFonts w:ascii="Times New Roman" w:cs="Times New Roman" w:eastAsia="Times New Roman" w:hAnsi="Times New Roman"/>
          <w:sz w:val="20"/>
          <w:szCs w:val="20"/>
          <w:color w:val="auto"/>
        </w:rPr>
        <w:t>(e)</w:t>
      </w:r>
      <w:r>
        <w:rPr>
          <w:sz w:val="20"/>
          <w:szCs w:val="20"/>
          <w:color w:val="auto"/>
        </w:rPr>
        <w:tab/>
      </w:r>
      <w:r>
        <w:rPr>
          <w:rFonts w:ascii="Times New Roman" w:cs="Times New Roman" w:eastAsia="Times New Roman" w:hAnsi="Times New Roman"/>
          <w:sz w:val="20"/>
          <w:szCs w:val="20"/>
          <w:u w:val="single" w:color="auto"/>
          <w:color w:val="auto"/>
        </w:rPr>
        <w:t>Inability to Determine Rates</w:t>
      </w:r>
      <w:r>
        <w:rPr>
          <w:rFonts w:ascii="Times New Roman" w:cs="Times New Roman" w:eastAsia="Times New Roman" w:hAnsi="Times New Roman"/>
          <w:sz w:val="20"/>
          <w:szCs w:val="20"/>
          <w:color w:val="auto"/>
        </w:rPr>
        <w:t>. Subject to</w:t>
      </w:r>
      <w:r>
        <w:rPr>
          <w:rFonts w:ascii="Times New Roman" w:cs="Times New Roman" w:eastAsia="Times New Roman" w:hAnsi="Times New Roman"/>
          <w:sz w:val="20"/>
          <w:szCs w:val="20"/>
          <w:u w:val="single" w:color="auto"/>
          <w:color w:val="auto"/>
        </w:rPr>
        <w:t xml:space="preserve"> Section 2.9</w:t>
      </w:r>
      <w:r>
        <w:rPr>
          <w:rFonts w:ascii="Times New Roman" w:cs="Times New Roman" w:eastAsia="Times New Roman" w:hAnsi="Times New Roman"/>
          <w:sz w:val="20"/>
          <w:szCs w:val="20"/>
          <w:color w:val="auto"/>
        </w:rPr>
        <w:t>, if, on or prior to the first day of any Interest Period for any</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SOFR Loan:</w:t>
      </w:r>
    </w:p>
    <w:p>
      <w:pPr>
        <w:spacing w:after="0" w:line="194" w:lineRule="exact"/>
        <w:rPr>
          <w:sz w:val="20"/>
          <w:szCs w:val="20"/>
          <w:color w:val="auto"/>
        </w:rPr>
      </w:pPr>
    </w:p>
    <w:p>
      <w:pPr>
        <w:ind w:left="760" w:firstLine="1569"/>
        <w:spacing w:after="0" w:line="269" w:lineRule="auto"/>
        <w:tabs>
          <w:tab w:leader="none" w:pos="2555"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Agent determines (which determination shall be conclusive and binding absent manifest error) that “Adjusted Term SOFR” cannot be determined pursuant to the definition thereof, or</w:t>
      </w:r>
    </w:p>
    <w:p>
      <w:pPr>
        <w:spacing w:after="0" w:line="159" w:lineRule="exact"/>
        <w:rPr>
          <w:sz w:val="20"/>
          <w:szCs w:val="20"/>
          <w:color w:val="auto"/>
        </w:rPr>
      </w:pPr>
    </w:p>
    <w:p>
      <w:pPr>
        <w:jc w:val="both"/>
        <w:ind w:left="760" w:firstLine="1572"/>
        <w:spacing w:after="0" w:line="249" w:lineRule="auto"/>
        <w:rPr>
          <w:sz w:val="20"/>
          <w:szCs w:val="20"/>
          <w:color w:val="auto"/>
        </w:rPr>
      </w:pPr>
      <w:r>
        <w:rPr>
          <w:rFonts w:ascii="Times New Roman" w:cs="Times New Roman" w:eastAsia="Times New Roman" w:hAnsi="Times New Roman"/>
          <w:sz w:val="20"/>
          <w:szCs w:val="20"/>
          <w:color w:val="auto"/>
        </w:rPr>
        <w:t>(ii)the Required Lenders determine that for any reason in connection with any request for a SOFR Loan or a conversion thereto or a continuation thereof that Adjusted Term SOFR for any requested Interest Period with respect to a proposed SOFR Loan does not adequately and fairly reflect the cost to such Lenders of funding such Loan, and the Required Lenders have provided notice of such determination to the Agent,</w:t>
      </w:r>
    </w:p>
    <w:p>
      <w:pPr>
        <w:spacing w:after="0" w:line="16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the Agent shall promptly so notify Borrower and each Lender. Upon notice thereof by the Agent to Borrower, any obligation of the Lenders to make SOFR Loans, and any right of Borrower to continue SOFR Loans, shall be suspended (to the extent of the affected SOFR Loans or affected Interest Periods) until the Agent (with respect to clause (ii), at the instruction of the Required Lenders) revokes such notice. Upon receipt of such notice, Borrower may revoke any pending request for a borrowing of SOFR Loans.</w:t>
      </w:r>
    </w:p>
    <w:p>
      <w:pPr>
        <w:spacing w:after="0" w:line="139" w:lineRule="exact"/>
        <w:rPr>
          <w:sz w:val="20"/>
          <w:szCs w:val="20"/>
          <w:color w:val="auto"/>
        </w:rPr>
      </w:pPr>
    </w:p>
    <w:p>
      <w:pPr>
        <w:jc w:val="both"/>
        <w:ind w:firstLine="1505"/>
        <w:spacing w:after="0" w:line="245" w:lineRule="auto"/>
        <w:tabs>
          <w:tab w:leader="none" w:pos="1893"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Term SOFR Conforming Changes</w:t>
      </w:r>
      <w:r>
        <w:rPr>
          <w:rFonts w:ascii="Times New Roman" w:cs="Times New Roman" w:eastAsia="Times New Roman" w:hAnsi="Times New Roman"/>
          <w:sz w:val="20"/>
          <w:szCs w:val="20"/>
          <w:color w:val="auto"/>
        </w:rPr>
        <w:t>. In connection with the use or administration of Term SOFR, the Agent acting at the direction of the Blackstone Representative (in consultation with Borrower) shall endeavor in good faith to make Conforming Changes from time to time and, notwithstanding anything to the contrary herein or in any other Loan Document, any amendments implementing such Conforming Changes shall become effective without any further action or consent of any other party to this Agreement or any other Loan Document. The Agent shall promptly notify the Lenders and Borrower of the effectiveness of any Conforming Changes in connection with the use or administration of Term SOFR.</w:t>
      </w:r>
    </w:p>
    <w:p>
      <w:pPr>
        <w:spacing w:after="0" w:line="170" w:lineRule="exact"/>
        <w:rPr>
          <w:rFonts w:ascii="Times New Roman" w:cs="Times New Roman" w:eastAsia="Times New Roman" w:hAnsi="Times New Roman"/>
          <w:sz w:val="20"/>
          <w:szCs w:val="20"/>
          <w:color w:val="auto"/>
        </w:rPr>
      </w:pPr>
    </w:p>
    <w:p>
      <w:pPr>
        <w:jc w:val="both"/>
        <w:ind w:firstLine="1505"/>
        <w:spacing w:after="0" w:line="243" w:lineRule="auto"/>
        <w:tabs>
          <w:tab w:leader="none" w:pos="1907"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Illegality</w:t>
      </w:r>
      <w:r>
        <w:rPr>
          <w:rFonts w:ascii="Times New Roman" w:cs="Times New Roman" w:eastAsia="Times New Roman" w:hAnsi="Times New Roman"/>
          <w:sz w:val="20"/>
          <w:szCs w:val="20"/>
          <w:color w:val="auto"/>
        </w:rPr>
        <w:t xml:space="preserve">. If any Lender determines that any Law has made it unlawful, or that any Governmental Authority has asserted that it is unlawful, for any Lender or its applicable lending office to make, maintain or fund Loans whose interest is determined by reference to SOFR, the Term SOFR Reference Rate, Adjusted Term SOFR or Term SOFR, or to determine or charge interest rates based upon SOFR, the Term SOFR Reference Rate, Adjusted Term SOFR or Term SOFR, then, upon notice thereof by such Lender to Borrower (through the Agent), any obligation of the Lenders to make SOFR Loans shall be suspended. Upon receipt of such notice, Borrower shall, if necessary to avoid such illegality, upon demand from any Lender (with a copy to the Agent), prepay all SOFR Loans on the last day of the Interest Period therefor, if all affected Lenders may lawfully continue to maintain such SOFR Loans to such day, or immediately, if any Lender may not lawfully continue to maintain such SOFR Loans to such day. Upon any such prepayment, Borrower shall also pay accrued interest on the amount so prepaid or converted, together with any additional amounts required pursuant to </w:t>
      </w:r>
      <w:r>
        <w:rPr>
          <w:rFonts w:ascii="Times New Roman" w:cs="Times New Roman" w:eastAsia="Times New Roman" w:hAnsi="Times New Roman"/>
          <w:sz w:val="20"/>
          <w:szCs w:val="20"/>
          <w:u w:val="single" w:color="auto"/>
          <w:color w:val="auto"/>
        </w:rPr>
        <w:t>Section 2.5</w:t>
      </w:r>
      <w:r>
        <w:rPr>
          <w:rFonts w:ascii="Times New Roman" w:cs="Times New Roman" w:eastAsia="Times New Roman" w:hAnsi="Times New Roman"/>
          <w:sz w:val="20"/>
          <w:szCs w:val="20"/>
          <w:color w:val="auto"/>
        </w:rPr>
        <w:t>.</w:t>
      </w:r>
    </w:p>
    <w:p>
      <w:pPr>
        <w:spacing w:after="0" w:line="18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0"/>
          <w:szCs w:val="20"/>
          <w:b w:val="1"/>
          <w:bCs w:val="1"/>
          <w:color w:val="auto"/>
        </w:rPr>
        <w:t xml:space="preserve">2.4.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Reserved</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0"/>
          <w:szCs w:val="20"/>
          <w:b w:val="1"/>
          <w:bCs w:val="1"/>
          <w:color w:val="auto"/>
        </w:rPr>
        <w:t>2.5. Requirements of Law; Increased Costs</w:t>
      </w:r>
      <w:r>
        <w:rPr>
          <w:rFonts w:ascii="Times New Roman" w:cs="Times New Roman" w:eastAsia="Times New Roman" w:hAnsi="Times New Roman"/>
          <w:sz w:val="20"/>
          <w:szCs w:val="20"/>
          <w:color w:val="auto"/>
        </w:rPr>
        <w:t>. In the event that any applicable Change in Law:</w:t>
      </w:r>
    </w:p>
    <w:p>
      <w:pPr>
        <w:spacing w:after="0" w:line="220" w:lineRule="exact"/>
        <w:rPr>
          <w:sz w:val="20"/>
          <w:szCs w:val="20"/>
          <w:color w:val="auto"/>
        </w:rPr>
      </w:pPr>
    </w:p>
    <w:p>
      <w:pPr>
        <w:ind w:firstLine="1505"/>
        <w:spacing w:after="0" w:line="269" w:lineRule="auto"/>
        <w:tabs>
          <w:tab w:leader="none" w:pos="1893"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Does or shall subject the Agent or any Lender to any Tax of any kind whatsoever with respect to this Agreement or the Loans made hereunder (except, in each case, Indemnified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582930</wp:posOffset>
            </wp:positionV>
            <wp:extent cx="7157720" cy="425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13" w:right="419" w:bottom="1440" w:gutter="0" w:footer="0" w:header="0"/>
        </w:sectPr>
      </w:pPr>
    </w:p>
    <w:bookmarkStart w:id="142" w:name="page143"/>
    <w:bookmarkEnd w:id="142"/>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 xml:space="preserve">Taxes described in </w:t>
      </w:r>
      <w:r>
        <w:rPr>
          <w:rFonts w:ascii="Times New Roman" w:cs="Times New Roman" w:eastAsia="Times New Roman" w:hAnsi="Times New Roman"/>
          <w:sz w:val="19"/>
          <w:szCs w:val="19"/>
          <w:u w:val="single" w:color="auto"/>
          <w:color w:val="auto"/>
        </w:rPr>
        <w:t>clauses (b)</w:t>
      </w:r>
      <w:r>
        <w:rPr>
          <w:rFonts w:ascii="Times New Roman" w:cs="Times New Roman" w:eastAsia="Times New Roman" w:hAnsi="Times New Roman"/>
          <w:sz w:val="19"/>
          <w:szCs w:val="19"/>
          <w:color w:val="auto"/>
        </w:rPr>
        <w:t xml:space="preserve"> through </w:t>
      </w:r>
      <w:r>
        <w:rPr>
          <w:rFonts w:ascii="Times New Roman" w:cs="Times New Roman" w:eastAsia="Times New Roman" w:hAnsi="Times New Roman"/>
          <w:sz w:val="19"/>
          <w:szCs w:val="19"/>
          <w:u w:val="single" w:color="auto"/>
          <w:color w:val="auto"/>
        </w:rPr>
        <w:t>(d)</w:t>
      </w:r>
      <w:r>
        <w:rPr>
          <w:rFonts w:ascii="Times New Roman" w:cs="Times New Roman" w:eastAsia="Times New Roman" w:hAnsi="Times New Roman"/>
          <w:sz w:val="19"/>
          <w:szCs w:val="19"/>
          <w:color w:val="auto"/>
        </w:rPr>
        <w:t xml:space="preserve"> of the definition of Excluded Taxes, and Connection Income Taxes);</w:t>
      </w:r>
    </w:p>
    <w:p>
      <w:pPr>
        <w:spacing w:after="0" w:line="40"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10</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4905-3710-6484 v.17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600710</wp:posOffset>
            </wp:positionV>
            <wp:extent cx="7157720" cy="425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143" w:name="page144"/>
    <w:bookmarkEnd w:id="143"/>
    <w:p>
      <w:pPr>
        <w:jc w:val="both"/>
        <w:ind w:firstLine="1490"/>
        <w:spacing w:after="0" w:line="254" w:lineRule="auto"/>
        <w:tabs>
          <w:tab w:leader="none" w:pos="1949"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Does or shall impose, modify or hold applicable any reserve, capital requirement, special deposit, compulsory loan, insurance charge or similar requirements against assets held by, or deposits or other liabilities in or for the account of, advances or loans by, or other credit extended by, or any other acquisition of funds by, the Agent or any Lender; or</w:t>
      </w:r>
    </w:p>
    <w:p>
      <w:pPr>
        <w:spacing w:after="0" w:line="174" w:lineRule="exact"/>
        <w:rPr>
          <w:rFonts w:ascii="Times New Roman" w:cs="Times New Roman" w:eastAsia="Times New Roman" w:hAnsi="Times New Roman"/>
          <w:sz w:val="20"/>
          <w:szCs w:val="20"/>
          <w:color w:val="auto"/>
        </w:rPr>
      </w:pPr>
    </w:p>
    <w:p>
      <w:pPr>
        <w:jc w:val="both"/>
        <w:ind w:firstLine="1490"/>
        <w:spacing w:after="0" w:line="249" w:lineRule="auto"/>
        <w:tabs>
          <w:tab w:leader="none" w:pos="1949"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Does or shall impose on the Agent or any Lender any other condition (other than Taxes); and the result of any of the foregoing is to increase the cost to the Agent or any Lender (as determined by such Person in good faith using calculation methods customary in the industry) of making, renewing or maintaining its Loan, or to reduce any amount receivable in respect thereof, or to reduce the rate of return on the capital of the Agent or any Lender or any Person controlling the Agent or any Lender,</w:t>
      </w:r>
    </w:p>
    <w:p>
      <w:pPr>
        <w:spacing w:after="0" w:line="180"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 xml:space="preserve">then, in any such case, Borrower shall promptly pay to the Agent or such Lender, as applicable, within thirty (30) days of its receipt of the certificate described below, any additional amounts necessary to compensate the Agent or such Lender for such additional cost or reduced amounts receivable, or rate of return as reasonably determined by Agent or such Lender with respect to this Agreement, or the Loans made hereunder. If the Agent or any Lender becomes entitled to claim any additional amounts pursuant to this </w:t>
      </w:r>
      <w:r>
        <w:rPr>
          <w:rFonts w:ascii="Times New Roman" w:cs="Times New Roman" w:eastAsia="Times New Roman" w:hAnsi="Times New Roman"/>
          <w:sz w:val="20"/>
          <w:szCs w:val="20"/>
          <w:u w:val="single" w:color="auto"/>
          <w:color w:val="auto"/>
        </w:rPr>
        <w:t>Section 2.5</w:t>
      </w:r>
      <w:r>
        <w:rPr>
          <w:rFonts w:ascii="Times New Roman" w:cs="Times New Roman" w:eastAsia="Times New Roman" w:hAnsi="Times New Roman"/>
          <w:sz w:val="20"/>
          <w:szCs w:val="20"/>
          <w:color w:val="auto"/>
        </w:rPr>
        <w:t xml:space="preserve">, it shall promptly notify Borrower (and such Lender shall promptly notify the Agent) in writing of the event by reason of which it has become so entitled, and a certificate as to any additional amounts payable pursuant to the foregoing sentence containing the calculation thereof in reasonable detail submitted by the Agent or such Lender to Borrower shall be conclusive in the absence of manifest error. The provisions hereof shall survive the termination of this Agreement and the payment of the outstanding Loans and all other Obligations. Failure or delay on the part of Agent or any Lender to demand compensation for any increased costs or reduction in amounts received or receivable, or reduction in return on capital under this </w:t>
      </w:r>
      <w:r>
        <w:rPr>
          <w:rFonts w:ascii="Times New Roman" w:cs="Times New Roman" w:eastAsia="Times New Roman" w:hAnsi="Times New Roman"/>
          <w:sz w:val="20"/>
          <w:szCs w:val="20"/>
          <w:u w:val="single" w:color="auto"/>
          <w:color w:val="auto"/>
        </w:rPr>
        <w:t>Section 2.5</w:t>
      </w:r>
      <w:r>
        <w:rPr>
          <w:rFonts w:ascii="Times New Roman" w:cs="Times New Roman" w:eastAsia="Times New Roman" w:hAnsi="Times New Roman"/>
          <w:sz w:val="20"/>
          <w:szCs w:val="20"/>
          <w:color w:val="auto"/>
        </w:rPr>
        <w:t xml:space="preserve">, shall not constitute a waiver of the Agent’s or any Lender’s right to demand such compensation;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Borrower shall not be under any obligation to compensate the Agent or any Lender under this </w:t>
      </w:r>
      <w:r>
        <w:rPr>
          <w:rFonts w:ascii="Times New Roman" w:cs="Times New Roman" w:eastAsia="Times New Roman" w:hAnsi="Times New Roman"/>
          <w:sz w:val="20"/>
          <w:szCs w:val="20"/>
          <w:u w:val="single" w:color="auto"/>
          <w:color w:val="auto"/>
        </w:rPr>
        <w:t>Section 2.5</w:t>
      </w:r>
      <w:r>
        <w:rPr>
          <w:rFonts w:ascii="Times New Roman" w:cs="Times New Roman" w:eastAsia="Times New Roman" w:hAnsi="Times New Roman"/>
          <w:sz w:val="20"/>
          <w:szCs w:val="20"/>
          <w:color w:val="auto"/>
        </w:rPr>
        <w:t xml:space="preserve"> with respect to increased costs or reductions with respect to any period prior to the date that is one hundred eighty (180) days prior to the date of the delivery of the notice required pursuant to the foregoing provisions of this paragraph;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that if the Change in Law giving rise to such increased costs or reductions is retroactive, then the 180-day period referred to above shall be extended to include the period of retroactive effect thereof.</w:t>
      </w:r>
    </w:p>
    <w:p>
      <w:pPr>
        <w:spacing w:after="0" w:line="190"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0"/>
          <w:szCs w:val="20"/>
          <w:b w:val="1"/>
          <w:bCs w:val="1"/>
          <w:color w:val="auto"/>
        </w:rPr>
        <w:t>2.6. Taxes; Withholding, Etc.</w:t>
      </w:r>
    </w:p>
    <w:p>
      <w:pPr>
        <w:spacing w:after="0" w:line="220" w:lineRule="exact"/>
        <w:rPr>
          <w:sz w:val="20"/>
          <w:szCs w:val="20"/>
          <w:color w:val="auto"/>
        </w:rPr>
      </w:pPr>
    </w:p>
    <w:p>
      <w:pPr>
        <w:jc w:val="both"/>
        <w:ind w:firstLine="1490"/>
        <w:spacing w:after="0" w:line="244" w:lineRule="auto"/>
        <w:tabs>
          <w:tab w:leader="none" w:pos="1949" w:val="left"/>
        </w:tabs>
        <w:numPr>
          <w:ilvl w:val="1"/>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sums payable by any Credit Party hereunder and under the other Loan Documents shall (except to the extent required by Requirements of Law) be paid free and clear of, and without any deduction or withholding on account of, any Tax imposed, levied, collected, withheld or assessed by any Governmental Authority. In addition, Borrower shall timely pay to the relevant Governmental Authority in accordance with Requirements of Law, or at the option of the Agent timely reimburse it for the payment of, and indemnify and hold the Agent and each Lender harmless from, Other Taxes, and as soon as practicable after the date of paying such sum, Borrower shall furnish to the Agent or such Lender the original or a certified copy of a receipt evidencing payment thereof, a copy of the return reporting such payment or other evidence of such payment reasonably satisfactory to the Agent.</w:t>
      </w:r>
    </w:p>
    <w:p>
      <w:pPr>
        <w:spacing w:after="0" w:line="185" w:lineRule="exact"/>
        <w:rPr>
          <w:rFonts w:ascii="Times New Roman" w:cs="Times New Roman" w:eastAsia="Times New Roman" w:hAnsi="Times New Roman"/>
          <w:sz w:val="20"/>
          <w:szCs w:val="20"/>
          <w:color w:val="auto"/>
        </w:rPr>
      </w:pPr>
    </w:p>
    <w:p>
      <w:pPr>
        <w:jc w:val="both"/>
        <w:ind w:firstLine="1490"/>
        <w:spacing w:after="0" w:line="258" w:lineRule="auto"/>
        <w:tabs>
          <w:tab w:leader="none" w:pos="1949" w:val="left"/>
        </w:tabs>
        <w:numPr>
          <w:ilvl w:val="1"/>
          <w:numId w:val="6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any Credit Party or any other Person is required by Requirements of Law to make any deduction or withholding on account of any Tax (as determined in the good faith discretion of an applicable Credit Party) from any sum paid or payable by any Credit Party to the Agent or any Lender under any of the Loan Documents: (i) that Credit Party shall notify the Agent or such Lender, as applicable, in writing of any such requirement or any change in any such requirement promptly after a Credit Party becomes aware of it;</w:t>
      </w:r>
    </w:p>
    <w:p>
      <w:pPr>
        <w:jc w:val="both"/>
        <w:ind w:firstLine="3"/>
        <w:spacing w:after="0" w:line="242" w:lineRule="auto"/>
        <w:tabs>
          <w:tab w:leader="none" w:pos="314"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that Credit Party shall be entitled to make any such withholding or deduction; (iii) that Credit Party shall timely pay any such Tax before the date on which penalties attach thereto, such payment to be made (if the liability to pay is imposed on any Credit Party) for its own account or (if that liability is imposed on such Lender, as the case may be) on behalf of and in the name of Lender, the full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600710</wp:posOffset>
            </wp:positionV>
            <wp:extent cx="7157720" cy="425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400" w:top="1426" w:right="419" w:bottom="1440" w:gutter="0" w:footer="0" w:header="0"/>
        </w:sectPr>
      </w:pPr>
    </w:p>
    <w:bookmarkStart w:id="144" w:name="page145"/>
    <w:bookmarkEnd w:id="144"/>
    <w:p>
      <w:pPr>
        <w:spacing w:after="0" w:line="140"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11</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4905-3710-6484 v.17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600710</wp:posOffset>
            </wp:positionV>
            <wp:extent cx="7157720" cy="425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59"/>
          </w:cols>
          <w:pgMar w:left="400" w:top="1440" w:right="1440" w:bottom="1440" w:gutter="0" w:footer="0" w:header="0"/>
        </w:sectPr>
      </w:pPr>
    </w:p>
    <w:bookmarkStart w:id="145" w:name="page146"/>
    <w:bookmarkEnd w:id="145"/>
    <w:p>
      <w:pPr>
        <w:jc w:val="both"/>
        <w:spacing w:after="0" w:line="242" w:lineRule="auto"/>
        <w:rPr>
          <w:sz w:val="20"/>
          <w:szCs w:val="20"/>
          <w:color w:val="auto"/>
        </w:rPr>
      </w:pPr>
      <w:r>
        <w:rPr>
          <w:rFonts w:ascii="Times New Roman" w:cs="Times New Roman" w:eastAsia="Times New Roman" w:hAnsi="Times New Roman"/>
          <w:sz w:val="20"/>
          <w:szCs w:val="20"/>
          <w:color w:val="auto"/>
        </w:rPr>
        <w:t xml:space="preserve">amount deducted or withheld to the relevant Governmental Authority in accordance with Requirements of Law; (iv) if the Tax is an Indemnified Tax, the sum payable by such Credit Party in respect of which the relevant deduction, withholding or payment of Indemnified Tax is required shall be increased to the extent necessary to ensure that, after the making of that deduction, withholding or payment (including any deductions for Indemnified Taxes applicable to additional sums payable under this </w:t>
      </w:r>
      <w:r>
        <w:rPr>
          <w:rFonts w:ascii="Times New Roman" w:cs="Times New Roman" w:eastAsia="Times New Roman" w:hAnsi="Times New Roman"/>
          <w:sz w:val="20"/>
          <w:szCs w:val="20"/>
          <w:u w:val="single" w:color="auto"/>
          <w:color w:val="auto"/>
        </w:rPr>
        <w:t>Section 2.6(b)</w:t>
      </w:r>
      <w:r>
        <w:rPr>
          <w:rFonts w:ascii="Times New Roman" w:cs="Times New Roman" w:eastAsia="Times New Roman" w:hAnsi="Times New Roman"/>
          <w:sz w:val="20"/>
          <w:szCs w:val="20"/>
          <w:color w:val="auto"/>
        </w:rPr>
        <w:t>), such Lender receives on the due date a net sum equal to what it would have received had no such deduction, withholding or payment of Indemnified Tax been required or made; and (v) as soon as practicable after paying any sum from which it is required by Requirements of Law to make any deduction or withholding, Borrower shall deliver to each Lender evidence reasonably satisfactory to Lender of such deduction, withholding or payment and of the remittance thereof to the relevant taxing or other Governmental Authority, including, if reasonably available, the original or certified copy of a receipt issued by such Governmental Authority evidencing such payment or a copy of the return reporting such payment.</w:t>
      </w:r>
    </w:p>
    <w:p>
      <w:pPr>
        <w:spacing w:after="0" w:line="179" w:lineRule="exact"/>
        <w:rPr>
          <w:sz w:val="20"/>
          <w:szCs w:val="20"/>
          <w:color w:val="auto"/>
        </w:rPr>
      </w:pPr>
    </w:p>
    <w:p>
      <w:pPr>
        <w:jc w:val="both"/>
        <w:ind w:left="80" w:firstLine="1490"/>
        <w:spacing w:after="0" w:line="242" w:lineRule="auto"/>
        <w:tabs>
          <w:tab w:leader="none" w:pos="2029" w:val="left"/>
        </w:tabs>
        <w:numPr>
          <w:ilvl w:val="1"/>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Borrower shall indemnify each Lender or, as applicable (and without double counting), the Agent for the full amount of any Indemnified Taxes (including Indemnified Taxes imposed or asserted on or attributable to amounts payable under this </w:t>
      </w:r>
      <w:r>
        <w:rPr>
          <w:rFonts w:ascii="Times New Roman" w:cs="Times New Roman" w:eastAsia="Times New Roman" w:hAnsi="Times New Roman"/>
          <w:sz w:val="20"/>
          <w:szCs w:val="20"/>
          <w:u w:val="single" w:color="auto"/>
          <w:color w:val="auto"/>
        </w:rPr>
        <w:t>Section 2.6</w:t>
      </w:r>
      <w:r>
        <w:rPr>
          <w:rFonts w:ascii="Times New Roman" w:cs="Times New Roman" w:eastAsia="Times New Roman" w:hAnsi="Times New Roman"/>
          <w:sz w:val="20"/>
          <w:szCs w:val="20"/>
          <w:color w:val="auto"/>
        </w:rPr>
        <w:t xml:space="preserve">) payable or paid by such Lender or the Agent, or required to be withheld or deducted from a payment to such Lender or the Agent, and any reasonable expenses arising therefrom or with respect thereto, whether or not such Indemnified Taxes were correctly or legally imposed or asserted by the relevant Governmental Authority, and any indemnification payment pursuant to this </w:t>
      </w:r>
      <w:r>
        <w:rPr>
          <w:rFonts w:ascii="Times New Roman" w:cs="Times New Roman" w:eastAsia="Times New Roman" w:hAnsi="Times New Roman"/>
          <w:sz w:val="20"/>
          <w:szCs w:val="20"/>
          <w:u w:val="single" w:color="auto"/>
          <w:color w:val="auto"/>
        </w:rPr>
        <w:t>Section 2.6(c)</w:t>
      </w:r>
      <w:r>
        <w:rPr>
          <w:rFonts w:ascii="Times New Roman" w:cs="Times New Roman" w:eastAsia="Times New Roman" w:hAnsi="Times New Roman"/>
          <w:sz w:val="20"/>
          <w:szCs w:val="20"/>
          <w:color w:val="auto"/>
        </w:rPr>
        <w:t xml:space="preserve"> shall be made to the Agent or any Lender within thirty (30) days from written demand therefor, except that no payment shall be due from the Borrower under this </w:t>
      </w:r>
      <w:r>
        <w:rPr>
          <w:rFonts w:ascii="Times New Roman" w:cs="Times New Roman" w:eastAsia="Times New Roman" w:hAnsi="Times New Roman"/>
          <w:sz w:val="20"/>
          <w:szCs w:val="20"/>
          <w:u w:val="single" w:color="auto"/>
          <w:color w:val="auto"/>
        </w:rPr>
        <w:t>Section 2.6(c)</w:t>
      </w:r>
      <w:r>
        <w:rPr>
          <w:rFonts w:ascii="Times New Roman" w:cs="Times New Roman" w:eastAsia="Times New Roman" w:hAnsi="Times New Roman"/>
          <w:sz w:val="20"/>
          <w:szCs w:val="20"/>
          <w:color w:val="auto"/>
        </w:rPr>
        <w:t xml:space="preserve"> to the extent that the relevant Lender has been compensated by an increased payment under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2.6(b)(iv)</w:t>
      </w:r>
      <w:r>
        <w:rPr>
          <w:rFonts w:ascii="Times New Roman" w:cs="Times New Roman" w:eastAsia="Times New Roman" w:hAnsi="Times New Roman"/>
          <w:sz w:val="20"/>
          <w:szCs w:val="20"/>
          <w:color w:val="auto"/>
        </w:rPr>
        <w:t xml:space="preserve"> above. In the case of the first and the second sentence of this Section 2.6(c), a certificate as to the amount of such payment or liability delivered to Borrower by Lender (with a copy to the Agent), or by the Agent on its own behalf or on behalf of Lender, shall be conclusive absent manifest error.</w:t>
      </w:r>
    </w:p>
    <w:p>
      <w:pPr>
        <w:spacing w:after="0" w:line="192" w:lineRule="exact"/>
        <w:rPr>
          <w:rFonts w:ascii="Times New Roman" w:cs="Times New Roman" w:eastAsia="Times New Roman" w:hAnsi="Times New Roman"/>
          <w:sz w:val="20"/>
          <w:szCs w:val="20"/>
          <w:color w:val="auto"/>
        </w:rPr>
      </w:pPr>
    </w:p>
    <w:p>
      <w:pPr>
        <w:ind w:left="2040" w:hanging="470"/>
        <w:spacing w:after="0"/>
        <w:tabs>
          <w:tab w:leader="none" w:pos="2040" w:val="left"/>
        </w:tabs>
        <w:numPr>
          <w:ilvl w:val="1"/>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Reserved</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ind w:left="2040" w:hanging="470"/>
        <w:spacing w:after="0"/>
        <w:tabs>
          <w:tab w:leader="none" w:pos="2040" w:val="left"/>
        </w:tabs>
        <w:numPr>
          <w:ilvl w:val="1"/>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Status of Lenders</w:t>
      </w:r>
      <w:r>
        <w:rPr>
          <w:rFonts w:ascii="Times New Roman" w:cs="Times New Roman" w:eastAsia="Times New Roman" w:hAnsi="Times New Roman"/>
          <w:sz w:val="20"/>
          <w:szCs w:val="20"/>
          <w:color w:val="auto"/>
        </w:rPr>
        <w:t>.</w:t>
      </w:r>
    </w:p>
    <w:p>
      <w:pPr>
        <w:spacing w:after="0" w:line="202" w:lineRule="exact"/>
        <w:rPr>
          <w:rFonts w:ascii="Times New Roman" w:cs="Times New Roman" w:eastAsia="Times New Roman" w:hAnsi="Times New Roman"/>
          <w:sz w:val="20"/>
          <w:szCs w:val="20"/>
          <w:color w:val="auto"/>
        </w:rPr>
      </w:pPr>
    </w:p>
    <w:p>
      <w:pPr>
        <w:jc w:val="both"/>
        <w:ind w:left="840" w:firstLine="1489"/>
        <w:spacing w:after="0" w:line="255" w:lineRule="auto"/>
        <w:tabs>
          <w:tab w:leader="none" w:pos="2561" w:val="left"/>
        </w:tabs>
        <w:numPr>
          <w:ilvl w:val="2"/>
          <w:numId w:val="6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Any Lender that is entitled to an exemption from or reduction of withholding Tax with respect to payments made under any Loan Document shall deliver to Borrower and the Agent, at the time or times reasonably requested by Borrower or the Agent, such properly completed and executed documentation reasonably requested by Borrower or the Agent as will permit such payments to be made without withholding or at a reduced rate of withholding. In addition, any Lender, if reasonably requested by Borrower or the Agent, shall deliver such other documentation prescribed by applicable law or reasonably requested by Borrower or the Agent as will enable Borrower or the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w:t>
      </w:r>
      <w:r>
        <w:rPr>
          <w:rFonts w:ascii="Times New Roman" w:cs="Times New Roman" w:eastAsia="Times New Roman" w:hAnsi="Times New Roman"/>
          <w:sz w:val="19"/>
          <w:szCs w:val="19"/>
          <w:u w:val="single" w:color="auto"/>
          <w:color w:val="auto"/>
        </w:rPr>
        <w:t>Section 2.6(e)(ii)(1), (ii)</w:t>
      </w:r>
    </w:p>
    <w:p>
      <w:pPr>
        <w:jc w:val="both"/>
        <w:ind w:left="840" w:hanging="9"/>
        <w:spacing w:after="0" w:line="242" w:lineRule="auto"/>
        <w:tabs>
          <w:tab w:leader="none" w:pos="1140" w:val="left"/>
        </w:tabs>
        <w:numPr>
          <w:ilvl w:val="0"/>
          <w:numId w:val="65"/>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 xml:space="preserve">and </w:t>
      </w:r>
      <w:r>
        <w:rPr>
          <w:rFonts w:ascii="Times New Roman" w:cs="Times New Roman" w:eastAsia="Times New Roman" w:hAnsi="Times New Roman"/>
          <w:sz w:val="20"/>
          <w:szCs w:val="20"/>
          <w:u w:val="single" w:color="auto"/>
          <w:color w:val="auto"/>
        </w:rPr>
        <w:t>(ii)(4)</w:t>
      </w:r>
      <w:r>
        <w:rPr>
          <w:rFonts w:ascii="Times New Roman" w:cs="Times New Roman" w:eastAsia="Times New Roman" w:hAnsi="Times New Roman"/>
          <w:sz w:val="20"/>
          <w:szCs w:val="20"/>
          <w:color w:val="auto"/>
        </w:rPr>
        <w:t xml:space="preserve"> below) shall not be required if in the Lender’s reasonable judgment, such completion, execution or submission would subject such Lender to any material unreimbursed cost or expense or would materially prejudice the legal or commercial position of such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2200275</wp:posOffset>
            </wp:positionH>
            <wp:positionV relativeFrom="paragraph">
              <wp:posOffset>-1760855</wp:posOffset>
            </wp:positionV>
            <wp:extent cx="31115"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7">
                      <a:extLst>
                        <a:ext uri="{28A0092B-C50C-407E-A947-70E740481C1C}"/>
                      </a:extLst>
                    </a:blip>
                    <a:srcRect/>
                    <a:stretch>
                      <a:fillRect/>
                    </a:stretch>
                  </pic:blipFill>
                  <pic:spPr bwMode="auto">
                    <a:xfrm>
                      <a:off x="0" y="0"/>
                      <a:ext cx="31115" cy="8255"/>
                    </a:xfrm>
                    <a:prstGeom prst="rect">
                      <a:avLst/>
                    </a:prstGeom>
                    <a:noFill/>
                  </pic:spPr>
                </pic:pic>
              </a:graphicData>
            </a:graphic>
          </wp:anchor>
        </w:drawing>
      </w:r>
    </w:p>
    <w:p>
      <w:pPr>
        <w:spacing w:after="0" w:line="167" w:lineRule="exact"/>
        <w:rPr>
          <w:sz w:val="20"/>
          <w:szCs w:val="20"/>
          <w:color w:val="auto"/>
        </w:rPr>
      </w:pPr>
    </w:p>
    <w:p>
      <w:pPr>
        <w:ind w:left="2320"/>
        <w:spacing w:after="0"/>
        <w:rPr>
          <w:sz w:val="20"/>
          <w:szCs w:val="20"/>
          <w:color w:val="auto"/>
        </w:rPr>
      </w:pPr>
      <w:r>
        <w:rPr>
          <w:rFonts w:ascii="Times New Roman" w:cs="Times New Roman" w:eastAsia="Times New Roman" w:hAnsi="Times New Roman"/>
          <w:sz w:val="20"/>
          <w:szCs w:val="20"/>
          <w:color w:val="auto"/>
        </w:rPr>
        <w:t>(ii)Without limiting the generality of the foregoing, in the event that Borrower is a U.S. Borrower:</w:t>
      </w:r>
    </w:p>
    <w:p>
      <w:pPr>
        <w:spacing w:after="0" w:line="216" w:lineRule="exact"/>
        <w:rPr>
          <w:sz w:val="20"/>
          <w:szCs w:val="20"/>
          <w:color w:val="auto"/>
        </w:rPr>
      </w:pPr>
    </w:p>
    <w:p>
      <w:pPr>
        <w:jc w:val="both"/>
        <w:ind w:left="3080" w:hanging="2"/>
        <w:spacing w:after="0" w:line="254" w:lineRule="auto"/>
        <w:tabs>
          <w:tab w:leader="none" w:pos="3476"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Lender that is a U.S. Person shall deliver to Borrower and the Agent on or prior to the date on which such Lender becomes a Lender under this Agreement (and from time to time thereafter upon the reasonable request of Borrower or the Agent), executed copies of IRS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592455</wp:posOffset>
            </wp:positionV>
            <wp:extent cx="7157720" cy="425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13" w:right="419" w:bottom="1440" w:gutter="0" w:footer="0" w:header="0"/>
        </w:sectPr>
      </w:pPr>
    </w:p>
    <w:bookmarkStart w:id="146" w:name="page147"/>
    <w:bookmarkEnd w:id="146"/>
    <w:p>
      <w:pPr>
        <w:spacing w:after="0" w:line="153" w:lineRule="exact"/>
        <w:rPr>
          <w:sz w:val="20"/>
          <w:szCs w:val="20"/>
          <w:color w:val="auto"/>
        </w:rPr>
      </w:pPr>
    </w:p>
    <w:p>
      <w:pPr>
        <w:jc w:val="right"/>
        <w:ind w:right="4459"/>
        <w:spacing w:after="0"/>
        <w:rPr>
          <w:sz w:val="20"/>
          <w:szCs w:val="20"/>
          <w:color w:val="auto"/>
        </w:rPr>
      </w:pPr>
      <w:r>
        <w:rPr>
          <w:rFonts w:ascii="Times New Roman" w:cs="Times New Roman" w:eastAsia="Times New Roman" w:hAnsi="Times New Roman"/>
          <w:sz w:val="18"/>
          <w:szCs w:val="18"/>
          <w:color w:val="auto"/>
        </w:rPr>
        <w:t>12</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4905-3710-6484 v.17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600710</wp:posOffset>
            </wp:positionV>
            <wp:extent cx="7157720" cy="425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20"/>
          <w:szCs w:val="20"/>
          <w:color w:val="auto"/>
        </w:rPr>
        <w:t>Form W-9 certifying that such Lender is exempt from U.S. federal backup withholding tax;</w:t>
      </w:r>
    </w:p>
    <w:p>
      <w:pPr>
        <w:spacing w:after="0" w:line="216" w:lineRule="exact"/>
        <w:rPr>
          <w:sz w:val="20"/>
          <w:szCs w:val="20"/>
          <w:color w:val="auto"/>
        </w:rPr>
      </w:pPr>
    </w:p>
    <w:p>
      <w:pPr>
        <w:jc w:val="both"/>
        <w:ind w:firstLine="8"/>
        <w:spacing w:after="0" w:line="254" w:lineRule="auto"/>
        <w:tabs>
          <w:tab w:leader="none" w:pos="396"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Foreign Lender shall, to the extent it is legally entitled to do so, deliver to Borrower and the Agent (in such number of copies as shall be requested by the recipient) on or prior to the date on which such Foreign Lender becomes a Lender under this Agreement (and from time to time thereafter upon the reasonable request of Borrower or the Agent), whichever of the following is applicable:</w:t>
      </w:r>
    </w:p>
    <w:p>
      <w:pPr>
        <w:spacing w:after="0" w:line="174" w:lineRule="exact"/>
        <w:rPr>
          <w:rFonts w:ascii="Times New Roman" w:cs="Times New Roman" w:eastAsia="Times New Roman" w:hAnsi="Times New Roman"/>
          <w:sz w:val="20"/>
          <w:szCs w:val="20"/>
          <w:color w:val="auto"/>
        </w:rPr>
      </w:pPr>
    </w:p>
    <w:p>
      <w:pPr>
        <w:jc w:val="both"/>
        <w:ind w:left="760" w:hanging="3"/>
        <w:spacing w:after="0" w:line="245" w:lineRule="auto"/>
        <w:tabs>
          <w:tab w:leader="none" w:pos="1029" w:val="left"/>
        </w:tabs>
        <w:numPr>
          <w:ilvl w:val="1"/>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a Foreign Lender claiming the benefits of an income tax treaty to which the United States is a party (x) with respect to payments of interest under any Loan Document, executed copies of IRS Form W-8BEN or W-8BEN-E, as applicable, establishing an exemption from, or reduction of, U.S. federal withholding Tax pursuant to the “interest” article of such tax treaty and (y) with respect to any other applicable payments under any Loan Document, IRS Form W-8BEN or W-8BEN-E, as applicable, establishing an exemption from, or reduction of, U.S. federal withholding Tax pursuant to the “business profits” or “other income” article of such tax treaty;</w:t>
      </w:r>
    </w:p>
    <w:p>
      <w:pPr>
        <w:spacing w:after="0" w:line="170" w:lineRule="exact"/>
        <w:rPr>
          <w:rFonts w:ascii="Times New Roman" w:cs="Times New Roman" w:eastAsia="Times New Roman" w:hAnsi="Times New Roman"/>
          <w:sz w:val="20"/>
          <w:szCs w:val="20"/>
          <w:color w:val="auto"/>
        </w:rPr>
      </w:pPr>
    </w:p>
    <w:p>
      <w:pPr>
        <w:ind w:left="1020" w:hanging="263"/>
        <w:spacing w:after="0"/>
        <w:tabs>
          <w:tab w:leader="none" w:pos="1020" w:val="left"/>
        </w:tabs>
        <w:numPr>
          <w:ilvl w:val="1"/>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executed copies of IRS Form W-8ECI;</w:t>
      </w:r>
    </w:p>
    <w:p>
      <w:pPr>
        <w:spacing w:after="0" w:line="215" w:lineRule="exact"/>
        <w:rPr>
          <w:rFonts w:ascii="Times New Roman" w:cs="Times New Roman" w:eastAsia="Times New Roman" w:hAnsi="Times New Roman"/>
          <w:sz w:val="20"/>
          <w:szCs w:val="20"/>
          <w:color w:val="auto"/>
        </w:rPr>
      </w:pPr>
    </w:p>
    <w:p>
      <w:pPr>
        <w:jc w:val="both"/>
        <w:ind w:left="760" w:hanging="3"/>
        <w:spacing w:after="0" w:line="246" w:lineRule="auto"/>
        <w:tabs>
          <w:tab w:leader="none" w:pos="1029" w:val="left"/>
        </w:tabs>
        <w:numPr>
          <w:ilvl w:val="1"/>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a Foreign Lender claiming the benefits of the exemption for portfolio interest under Section 881(c) of the IRC, (x) a certificate in a form reasonably acceptable to Borrower to the effect that such Foreign Lender is not a “bank” within the meaning of Section 881(c)(3)(A) of the IRC, a “10 percent shareholder” of Borrower within the meaning of Section 881(c)(3)(B) of the IRC, or a “controlled foreign corporation” related to Borrower described in Section 881(c)(3)(C) of the IRC (a “</w:t>
      </w:r>
      <w:r>
        <w:rPr>
          <w:rFonts w:ascii="Times New Roman" w:cs="Times New Roman" w:eastAsia="Times New Roman" w:hAnsi="Times New Roman"/>
          <w:sz w:val="20"/>
          <w:szCs w:val="20"/>
          <w:b w:val="1"/>
          <w:bCs w:val="1"/>
          <w:color w:val="auto"/>
        </w:rPr>
        <w:t>U.S. Tax Compliance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Certificate</w:t>
      </w:r>
      <w:r>
        <w:rPr>
          <w:rFonts w:ascii="Times New Roman" w:cs="Times New Roman" w:eastAsia="Times New Roman" w:hAnsi="Times New Roman"/>
          <w:sz w:val="20"/>
          <w:szCs w:val="20"/>
          <w:color w:val="auto"/>
        </w:rPr>
        <w:t>”), and (y) executed copies of IRS Form W-8BEN or W-8BEN-E, as applicable; or</w:t>
      </w:r>
    </w:p>
    <w:p>
      <w:pPr>
        <w:spacing w:after="0" w:line="184" w:lineRule="exact"/>
        <w:rPr>
          <w:rFonts w:ascii="Times New Roman" w:cs="Times New Roman" w:eastAsia="Times New Roman" w:hAnsi="Times New Roman"/>
          <w:sz w:val="20"/>
          <w:szCs w:val="20"/>
          <w:color w:val="auto"/>
        </w:rPr>
      </w:pPr>
    </w:p>
    <w:p>
      <w:pPr>
        <w:jc w:val="both"/>
        <w:ind w:left="760" w:hanging="3"/>
        <w:spacing w:after="0" w:line="245" w:lineRule="auto"/>
        <w:tabs>
          <w:tab w:leader="none" w:pos="1029" w:val="left"/>
        </w:tabs>
        <w:numPr>
          <w:ilvl w:val="1"/>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to the extent a Foreign Lender is not the beneficial owner, executed copies of IRS Form W-8IMY, accompanied by IRS Form W-8ECI, IRS Form W-8BEN, IRS Form W-8BEN-E, a U.S. Tax Compliance Certificate in a form reasonably acceptable to Borrower, IRS Form W-9, and/or other certification documents from each beneficial owner, as applicable;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the Foreign Lender is a partnership, and one or more direct or indirect partners of such Foreign Lender are claiming the portfolio interest exemption, such Foreign Lender may provide a U.S. Tax Compliance Certificate in a form reasonably acceptable to Borrower on behalf of each such direct and indirect partner;</w:t>
      </w:r>
    </w:p>
    <w:p>
      <w:pPr>
        <w:spacing w:after="0" w:line="197" w:lineRule="exact"/>
        <w:rPr>
          <w:rFonts w:ascii="Times New Roman" w:cs="Times New Roman" w:eastAsia="Times New Roman" w:hAnsi="Times New Roman"/>
          <w:sz w:val="20"/>
          <w:szCs w:val="20"/>
          <w:color w:val="auto"/>
        </w:rPr>
      </w:pPr>
    </w:p>
    <w:p>
      <w:pPr>
        <w:jc w:val="both"/>
        <w:ind w:firstLine="8"/>
        <w:spacing w:after="0" w:line="254" w:lineRule="auto"/>
        <w:tabs>
          <w:tab w:leader="none" w:pos="396"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Foreign Lender shall, to the extent it is legally entitled to do so, deliver to Borrower and the Agent (in such number of copies as shall be requested by the recipient) on or prior to the date on which such Foreign Lender becomes a Lender under this Agreement (and from time to time thereafter upon the reasonable request of Borrower or the Agent), executed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592455</wp:posOffset>
            </wp:positionV>
            <wp:extent cx="7157720" cy="425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6" w:right="339" w:bottom="1440" w:gutter="0" w:footer="0" w:header="0"/>
        </w:sectPr>
      </w:pPr>
    </w:p>
    <w:bookmarkStart w:id="148" w:name="page149"/>
    <w:bookmarkEnd w:id="148"/>
    <w:p>
      <w:pPr>
        <w:spacing w:after="0" w:line="153"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13</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4905-3710-6484 v.17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610870</wp:posOffset>
            </wp:positionV>
            <wp:extent cx="7157720" cy="425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149" w:name="page150"/>
    <w:bookmarkEnd w:id="149"/>
    <w:p>
      <w:pPr>
        <w:jc w:val="both"/>
        <w:ind w:left="3000"/>
        <w:spacing w:after="0" w:line="249" w:lineRule="auto"/>
        <w:rPr>
          <w:sz w:val="20"/>
          <w:szCs w:val="20"/>
          <w:color w:val="auto"/>
        </w:rPr>
      </w:pPr>
      <w:r>
        <w:rPr>
          <w:rFonts w:ascii="Times New Roman" w:cs="Times New Roman" w:eastAsia="Times New Roman" w:hAnsi="Times New Roman"/>
          <w:sz w:val="20"/>
          <w:szCs w:val="20"/>
          <w:color w:val="auto"/>
        </w:rPr>
        <w:t>copies of any other form prescribed by applicable law as a basis for claiming exemption from or a reduction in U.S. federal withholding Tax, duly completed, together with such supplementary documentation as may be prescribed by applicable law to permit Borrower or the Agent to determine the withholding or deduction required to be made; and</w:t>
      </w:r>
    </w:p>
    <w:p>
      <w:pPr>
        <w:spacing w:after="0" w:line="166" w:lineRule="exact"/>
        <w:rPr>
          <w:sz w:val="20"/>
          <w:szCs w:val="20"/>
          <w:color w:val="auto"/>
        </w:rPr>
      </w:pPr>
    </w:p>
    <w:p>
      <w:pPr>
        <w:jc w:val="both"/>
        <w:ind w:left="3000" w:firstLine="3"/>
        <w:spacing w:after="0" w:line="242" w:lineRule="auto"/>
        <w:tabs>
          <w:tab w:leader="none" w:pos="3396"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 payment made to a Lender under any Loan Document would be subject to U.S. federal withholding Tax imposed by FATCA if such Lender were to fail to comply with the applicable reporting requirements of FATCA (including those contained in Section 1471(b) or 1472(b) of the IRC, as applicable), such Lender shall deliver to Borrower and the Agent at the time or times prescribed by law, and at such time or times reasonably requested by Borrower or the Agent, such documentation prescribed by applicable law (including as prescribed by Section 1471(b)(3)(C)(i) of the IRC), and such additional documentation reasonably requested by Borrower or the Agent as may be necessary for Borrower and the Agent to comply with their obligations under FATCA, and to determine that such Lender has complied with such Lender’s obligations under FATCA or to determine the amount to deduct and withhold from such payment. Solely for purposes of this clause (4), “FATCA” shall include any amendments made to FATCA after the date of this Agreement.</w:t>
      </w:r>
    </w:p>
    <w:p>
      <w:pPr>
        <w:spacing w:after="0" w:line="190" w:lineRule="exact"/>
        <w:rPr>
          <w:sz w:val="20"/>
          <w:szCs w:val="20"/>
          <w:color w:val="auto"/>
        </w:rPr>
      </w:pPr>
    </w:p>
    <w:p>
      <w:pPr>
        <w:ind w:right="20"/>
        <w:spacing w:after="0" w:line="269" w:lineRule="auto"/>
        <w:rPr>
          <w:sz w:val="20"/>
          <w:szCs w:val="20"/>
          <w:color w:val="auto"/>
        </w:rPr>
      </w:pPr>
      <w:r>
        <w:rPr>
          <w:rFonts w:ascii="Times New Roman" w:cs="Times New Roman" w:eastAsia="Times New Roman" w:hAnsi="Times New Roman"/>
          <w:sz w:val="20"/>
          <w:szCs w:val="20"/>
          <w:color w:val="auto"/>
        </w:rPr>
        <w:t>Each Lender agrees that if any form or certification it previously delivered expires, or becomes obsolete or inaccurate in any respect, it shall update such form or certification, or promptly notify Borrower and the Agent in writing of its legal inability to do so.</w:t>
      </w:r>
    </w:p>
    <w:p>
      <w:pPr>
        <w:spacing w:after="0" w:line="173" w:lineRule="exact"/>
        <w:rPr>
          <w:sz w:val="20"/>
          <w:szCs w:val="20"/>
          <w:color w:val="auto"/>
        </w:rPr>
      </w:pPr>
    </w:p>
    <w:p>
      <w:pPr>
        <w:jc w:val="both"/>
        <w:ind w:firstLine="1580"/>
        <w:spacing w:after="0" w:line="246" w:lineRule="auto"/>
        <w:tabs>
          <w:tab w:leader="none" w:pos="2036"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a Credit Party is required to make a deduction or withholding on account of any Tax (as determined in the good faith discretion of an applicable Credit Party) from any sum paid or payable by any Credit Party to the Agent or any Lender under any of the Loan Documents, and without any prejudice to the application of </w:t>
      </w:r>
      <w:r>
        <w:rPr>
          <w:rFonts w:ascii="Times New Roman" w:cs="Times New Roman" w:eastAsia="Times New Roman" w:hAnsi="Times New Roman"/>
          <w:sz w:val="20"/>
          <w:szCs w:val="20"/>
          <w:u w:val="single" w:color="auto"/>
          <w:color w:val="auto"/>
        </w:rPr>
        <w:t>Section 2.6(b)(iv)</w:t>
      </w:r>
      <w:r>
        <w:rPr>
          <w:rFonts w:ascii="Times New Roman" w:cs="Times New Roman" w:eastAsia="Times New Roman" w:hAnsi="Times New Roman"/>
          <w:sz w:val="20"/>
          <w:szCs w:val="20"/>
          <w:color w:val="auto"/>
        </w:rPr>
        <w:t xml:space="preserve"> and specifically the timing of any payment made pursuant to </w:t>
      </w:r>
      <w:r>
        <w:rPr>
          <w:rFonts w:ascii="Times New Roman" w:cs="Times New Roman" w:eastAsia="Times New Roman" w:hAnsi="Times New Roman"/>
          <w:sz w:val="20"/>
          <w:szCs w:val="20"/>
          <w:u w:val="single" w:color="auto"/>
          <w:color w:val="auto"/>
        </w:rPr>
        <w:t>2.6(b)(iv)</w:t>
      </w:r>
      <w:r>
        <w:rPr>
          <w:rFonts w:ascii="Times New Roman" w:cs="Times New Roman" w:eastAsia="Times New Roman" w:hAnsi="Times New Roman"/>
          <w:sz w:val="20"/>
          <w:szCs w:val="20"/>
          <w:color w:val="auto"/>
        </w:rPr>
        <w:t>, then the Credit Party and relevant Lender shall cooperate in good faith to try to obtain an applicable exemption from such deduction or withholding on account of Tax.</w:t>
      </w:r>
    </w:p>
    <w:p>
      <w:pPr>
        <w:spacing w:after="0" w:line="184" w:lineRule="exact"/>
        <w:rPr>
          <w:rFonts w:ascii="Times New Roman" w:cs="Times New Roman" w:eastAsia="Times New Roman" w:hAnsi="Times New Roman"/>
          <w:sz w:val="20"/>
          <w:szCs w:val="20"/>
          <w:color w:val="auto"/>
        </w:rPr>
      </w:pPr>
    </w:p>
    <w:p>
      <w:pPr>
        <w:jc w:val="both"/>
        <w:ind w:firstLine="1580"/>
        <w:spacing w:after="0" w:line="241" w:lineRule="auto"/>
        <w:tabs>
          <w:tab w:leader="none" w:pos="2036"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any party determines, in its sole discretion exercised in good faith, that it has received a refund of any Taxes as to which it has been indemnified pursuant to this </w:t>
      </w:r>
      <w:r>
        <w:rPr>
          <w:rFonts w:ascii="Times New Roman" w:cs="Times New Roman" w:eastAsia="Times New Roman" w:hAnsi="Times New Roman"/>
          <w:sz w:val="20"/>
          <w:szCs w:val="20"/>
          <w:u w:val="single" w:color="auto"/>
          <w:color w:val="auto"/>
        </w:rPr>
        <w:t>Section 2.6</w:t>
      </w:r>
      <w:r>
        <w:rPr>
          <w:rFonts w:ascii="Times New Roman" w:cs="Times New Roman" w:eastAsia="Times New Roman" w:hAnsi="Times New Roman"/>
          <w:sz w:val="20"/>
          <w:szCs w:val="20"/>
          <w:color w:val="auto"/>
        </w:rPr>
        <w:t xml:space="preserve"> (including by the payment of additional amounts pursuant to this </w:t>
      </w:r>
      <w:r>
        <w:rPr>
          <w:rFonts w:ascii="Times New Roman" w:cs="Times New Roman" w:eastAsia="Times New Roman" w:hAnsi="Times New Roman"/>
          <w:sz w:val="20"/>
          <w:szCs w:val="20"/>
          <w:u w:val="single" w:color="auto"/>
          <w:color w:val="auto"/>
        </w:rPr>
        <w:t>Section 2.6</w:t>
      </w:r>
      <w:r>
        <w:rPr>
          <w:rFonts w:ascii="Times New Roman" w:cs="Times New Roman" w:eastAsia="Times New Roman" w:hAnsi="Times New Roman"/>
          <w:sz w:val="20"/>
          <w:szCs w:val="20"/>
          <w:color w:val="auto"/>
        </w:rPr>
        <w:t>), it shall pay to the indemnifying party an amount equal to such refund (but only to the extent of indemnity payments made under this Section with respect to the Taxes giving rise to such refund), net of all out-of-pocket expenses (including Taxes) of such indemnified party and without interest (other than any interest paid by the relevant Governmental Authority with respect to such refund). Such indemnifying party, upon the request of such indemnified party, shall repay to such indemnified party the amount paid over pursuant to this paragraph (g) (plus any penalties, interest or other charges imposed by the relevant Governmental Authority) in the event that such indemnified party is required to repay such refund to such Governmental Authority. Notwithstanding anything to the contrary in this paragraph (g), in no event shall the indemnified party be required to pay any amount to an indemnifying party pursuant to this paragraph (g) the payment of which would place the indemnified party in a less favorable net after-Tax position than the indemnified party would have been in if the Tax subject to indemnification and giving rise to such refund had not been deducted, withheld or otherwise imposed, and the indemnification payments or additional amounts with respect to such Tax had never been paid. This paragraph (g) shall not be construed to require any indemnified party to make available its Tax returns (or any other information relating to its Taxes that it deems confidential) to the indemnifying party or any other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606425</wp:posOffset>
            </wp:positionV>
            <wp:extent cx="7157720" cy="425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6" w:right="339" w:bottom="1440" w:gutter="0" w:footer="0" w:header="0"/>
        </w:sectPr>
      </w:pPr>
    </w:p>
    <w:bookmarkStart w:id="150" w:name="page151"/>
    <w:bookmarkEnd w:id="150"/>
    <w:p>
      <w:pPr>
        <w:spacing w:after="0" w:line="342"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14</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4905-3710-6484 v.17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600710</wp:posOffset>
            </wp:positionV>
            <wp:extent cx="7157720" cy="425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151" w:name="page152"/>
    <w:bookmarkEnd w:id="151"/>
    <w:p>
      <w:pPr>
        <w:ind w:left="920" w:hanging="470"/>
        <w:spacing w:after="0"/>
        <w:tabs>
          <w:tab w:leader="none" w:pos="920"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215" w:lineRule="exact"/>
        <w:rPr>
          <w:rFonts w:ascii="Times New Roman" w:cs="Times New Roman" w:eastAsia="Times New Roman" w:hAnsi="Times New Roman"/>
          <w:sz w:val="20"/>
          <w:szCs w:val="20"/>
          <w:color w:val="auto"/>
        </w:rPr>
      </w:pPr>
    </w:p>
    <w:p>
      <w:pPr>
        <w:jc w:val="both"/>
        <w:ind w:left="-1040" w:firstLine="1490"/>
        <w:spacing w:after="0" w:line="254" w:lineRule="auto"/>
        <w:tabs>
          <w:tab w:leader="none" w:pos="909"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Lender agrees that if any form or certification it previously delivered expires or becomes obsolete or inaccurate in any respect, it shall update such form or certification, or promptly notify Borrower and the Agent in writing of its legal inability to do so.</w:t>
      </w:r>
    </w:p>
    <w:p>
      <w:pPr>
        <w:spacing w:after="0" w:line="174" w:lineRule="exact"/>
        <w:rPr>
          <w:rFonts w:ascii="Times New Roman" w:cs="Times New Roman" w:eastAsia="Times New Roman" w:hAnsi="Times New Roman"/>
          <w:sz w:val="20"/>
          <w:szCs w:val="20"/>
          <w:color w:val="auto"/>
        </w:rPr>
      </w:pPr>
    </w:p>
    <w:p>
      <w:pPr>
        <w:jc w:val="both"/>
        <w:ind w:left="-1040" w:firstLine="1490"/>
        <w:spacing w:after="0" w:line="254" w:lineRule="auto"/>
        <w:tabs>
          <w:tab w:leader="none" w:pos="909"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party’s obligations under this </w:t>
      </w:r>
      <w:r>
        <w:rPr>
          <w:rFonts w:ascii="Times New Roman" w:cs="Times New Roman" w:eastAsia="Times New Roman" w:hAnsi="Times New Roman"/>
          <w:sz w:val="20"/>
          <w:szCs w:val="20"/>
          <w:u w:val="single" w:color="auto"/>
          <w:color w:val="auto"/>
        </w:rPr>
        <w:t>Section 2.6</w:t>
      </w:r>
      <w:r>
        <w:rPr>
          <w:rFonts w:ascii="Times New Roman" w:cs="Times New Roman" w:eastAsia="Times New Roman" w:hAnsi="Times New Roman"/>
          <w:sz w:val="20"/>
          <w:szCs w:val="20"/>
          <w:color w:val="auto"/>
        </w:rPr>
        <w:t xml:space="preserve"> shall survive the resignation or replacement of Agent or any assignment of rights by, or the replacement of, a Lender, the termination of the Commitments and the repayment, satisfaction or discharge of all obligations under any Loan Document.</w:t>
      </w:r>
    </w:p>
    <w:p>
      <w:pPr>
        <w:spacing w:after="0" w:line="18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b w:val="1"/>
          <w:bCs w:val="1"/>
          <w:color w:val="auto"/>
        </w:rPr>
        <w:t>2.7. Fees</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jc w:val="both"/>
        <w:ind w:left="-1040" w:firstLine="1490"/>
        <w:spacing w:after="0" w:line="256" w:lineRule="auto"/>
        <w:tabs>
          <w:tab w:leader="none" w:pos="909" w:val="left"/>
        </w:tabs>
        <w:numPr>
          <w:ilvl w:val="0"/>
          <w:numId w:val="7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For the period from the Closing Date to the Maturity Date, the Borrower shall pay to the Agent, for the account of each Lender with a Revolving Credit Commitment, according to such Lender’s ratable share of the Revolving Credit Commitments (as adjusted from time to time), a commitment fee (the “</w:t>
      </w:r>
      <w:r>
        <w:rPr>
          <w:rFonts w:ascii="Times New Roman" w:cs="Times New Roman" w:eastAsia="Times New Roman" w:hAnsi="Times New Roman"/>
          <w:sz w:val="19"/>
          <w:szCs w:val="19"/>
          <w:b w:val="1"/>
          <w:bCs w:val="1"/>
          <w:color w:val="auto"/>
        </w:rPr>
        <w:t>Commitment Fee</w:t>
      </w:r>
      <w:r>
        <w:rPr>
          <w:rFonts w:ascii="Times New Roman" w:cs="Times New Roman" w:eastAsia="Times New Roman" w:hAnsi="Times New Roman"/>
          <w:sz w:val="19"/>
          <w:szCs w:val="19"/>
          <w:color w:val="auto"/>
        </w:rPr>
        <w:t>”) equal to 0.50% per annum multiplied by the amount by which the Revolving Credit Commitment exceeds the average daily Revolving Credit Loans for the applicable period. The Commitment Fee shall be payable quarterly on each Interest Date, beginning on June 30, 2025, on the date of any termination, in whole or in part, of the Revolving Credit Commitments, with respect to the amount of Revolving Credit Commitment terminated, and on the Maturity Date. The Commitment Fee shall be computed for the actual number of days elapsed on the basis of a year of three hundred sixty (360) days. The parties hereto agree that, provided that the conditions of Section 2.6(e) have been satisfied with respect to a Lender, payments to such Lender in respect of the Commitment Fee shall not be subject to withholding under Chapter 3 of the IRC, unless otherwise required by a Change in Law or a “final determination” within the meaning of Section 1313 of the IRC (or any similar provision of state or local applicable law).</w:t>
      </w:r>
    </w:p>
    <w:p>
      <w:pPr>
        <w:spacing w:after="0" w:line="180" w:lineRule="exact"/>
        <w:rPr>
          <w:rFonts w:ascii="Times New Roman" w:cs="Times New Roman" w:eastAsia="Times New Roman" w:hAnsi="Times New Roman"/>
          <w:sz w:val="19"/>
          <w:szCs w:val="19"/>
          <w:color w:val="auto"/>
        </w:rPr>
      </w:pPr>
    </w:p>
    <w:p>
      <w:pPr>
        <w:ind w:left="-1040" w:firstLine="1490"/>
        <w:spacing w:after="0" w:line="269" w:lineRule="auto"/>
        <w:tabs>
          <w:tab w:leader="none" w:pos="909"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Borrower shall pay the amounts required to be paid in the Lender Fee Letter and the Agent Fee Letter, in the manner and at the times required by each such letter.</w:t>
      </w:r>
    </w:p>
    <w:p>
      <w:pPr>
        <w:spacing w:after="0" w:line="15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b w:val="1"/>
          <w:bCs w:val="1"/>
          <w:color w:val="auto"/>
        </w:rPr>
        <w:t>2.8. Register; Term Loan Note; Revolving Loan Note</w:t>
      </w:r>
      <w:r>
        <w:rPr>
          <w:rFonts w:ascii="Times New Roman" w:cs="Times New Roman" w:eastAsia="Times New Roman" w:hAnsi="Times New Roman"/>
          <w:sz w:val="20"/>
          <w:szCs w:val="20"/>
          <w:color w:val="auto"/>
        </w:rPr>
        <w:t>.</w:t>
      </w:r>
    </w:p>
    <w:p>
      <w:pPr>
        <w:spacing w:after="0" w:line="233" w:lineRule="exact"/>
        <w:rPr>
          <w:sz w:val="20"/>
          <w:szCs w:val="20"/>
          <w:color w:val="auto"/>
        </w:rPr>
      </w:pPr>
    </w:p>
    <w:p>
      <w:pPr>
        <w:jc w:val="both"/>
        <w:ind w:left="-1040" w:firstLine="1490"/>
        <w:spacing w:after="0" w:line="242" w:lineRule="auto"/>
        <w:tabs>
          <w:tab w:leader="none" w:pos="909" w:val="left"/>
        </w:tabs>
        <w:numPr>
          <w:ilvl w:val="1"/>
          <w:numId w:val="72"/>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Register</w:t>
      </w:r>
      <w:r>
        <w:rPr>
          <w:rFonts w:ascii="Times New Roman" w:cs="Times New Roman" w:eastAsia="Times New Roman" w:hAnsi="Times New Roman"/>
          <w:sz w:val="20"/>
          <w:szCs w:val="20"/>
          <w:color w:val="auto"/>
        </w:rPr>
        <w:t>. The Agent, acting solely for this purpose as a non-fiduciary agent of Borrower, shall maintain a copy of each Assignment and Assumption, and a register for the recordation of the names and addresses of the Lenders, and the Commitments of, and principal amounts (and related stated interest amounts) of the Loans and the amounts due owing to each Lender pursuant to the terms hereof from time to time (the “</w:t>
      </w:r>
      <w:r>
        <w:rPr>
          <w:rFonts w:ascii="Times New Roman" w:cs="Times New Roman" w:eastAsia="Times New Roman" w:hAnsi="Times New Roman"/>
          <w:sz w:val="20"/>
          <w:szCs w:val="20"/>
          <w:b w:val="1"/>
          <w:bCs w:val="1"/>
          <w:color w:val="auto"/>
        </w:rPr>
        <w:t>Register</w:t>
      </w:r>
      <w:r>
        <w:rPr>
          <w:rFonts w:ascii="Times New Roman" w:cs="Times New Roman" w:eastAsia="Times New Roman" w:hAnsi="Times New Roman"/>
          <w:sz w:val="20"/>
          <w:szCs w:val="20"/>
          <w:color w:val="auto"/>
        </w:rPr>
        <w:t xml:space="preserve">”). The entries in the Register shall be conclusive, absent manifest error, and Borrower, the Agent and the Lenders shall treat each Person whose name is recorded in the Register pursuant to the terms hereof as a Lender hereunder for all purposes of this Agreement, notwithstanding notice to the contrary. The Register shall be available for inspection by Borrower, Agent and any Lender (solely with respect to itself), at any reasonable time and from time to time upon reasonable prior notice. Any assignment of any interest in any Loan or other obligation hereunder shall be effective only upon appropriate entries with respect thereto being made in the Register. This </w:t>
      </w:r>
      <w:r>
        <w:rPr>
          <w:rFonts w:ascii="Times New Roman" w:cs="Times New Roman" w:eastAsia="Times New Roman" w:hAnsi="Times New Roman"/>
          <w:sz w:val="20"/>
          <w:szCs w:val="20"/>
          <w:u w:val="single" w:color="auto"/>
          <w:color w:val="auto"/>
        </w:rPr>
        <w:t>Section 2.8</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Section 11.1</w:t>
      </w:r>
      <w:r>
        <w:rPr>
          <w:rFonts w:ascii="Times New Roman" w:cs="Times New Roman" w:eastAsia="Times New Roman" w:hAnsi="Times New Roman"/>
          <w:sz w:val="20"/>
          <w:szCs w:val="20"/>
          <w:color w:val="auto"/>
        </w:rPr>
        <w:t xml:space="preserve"> shall be construed so that the Loans are at all times maintained in “registered form” within the meaning of Section 163(f), 871(h)(2) and 881(c)(2) of the IRC and any related Treasury Regulations (or any other relevant or successor provisions of the IRC or of such Treasury Regulations).</w:t>
      </w:r>
    </w:p>
    <w:p>
      <w:pPr>
        <w:spacing w:after="0" w:line="203" w:lineRule="exact"/>
        <w:rPr>
          <w:rFonts w:ascii="Times New Roman" w:cs="Times New Roman" w:eastAsia="Times New Roman" w:hAnsi="Times New Roman"/>
          <w:sz w:val="20"/>
          <w:szCs w:val="20"/>
          <w:u w:val="single" w:color="auto"/>
          <w:color w:val="auto"/>
        </w:rPr>
      </w:pPr>
    </w:p>
    <w:p>
      <w:pPr>
        <w:ind w:left="-1040" w:firstLine="1490"/>
        <w:spacing w:after="0" w:line="269" w:lineRule="auto"/>
        <w:tabs>
          <w:tab w:leader="none" w:pos="909" w:val="left"/>
        </w:tabs>
        <w:numPr>
          <w:ilvl w:val="1"/>
          <w:numId w:val="72"/>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Term Loan Note</w:t>
      </w:r>
      <w:r>
        <w:rPr>
          <w:rFonts w:ascii="Times New Roman" w:cs="Times New Roman" w:eastAsia="Times New Roman" w:hAnsi="Times New Roman"/>
          <w:sz w:val="20"/>
          <w:szCs w:val="20"/>
          <w:color w:val="auto"/>
        </w:rPr>
        <w:t>. Borrower shall execute and deliver to each Lender, upon request, to evidence such Lender’s Term Loans, a Term Loan Note.</w:t>
      </w:r>
    </w:p>
    <w:p>
      <w:pPr>
        <w:spacing w:after="0" w:line="159" w:lineRule="exact"/>
        <w:rPr>
          <w:rFonts w:ascii="Times New Roman" w:cs="Times New Roman" w:eastAsia="Times New Roman" w:hAnsi="Times New Roman"/>
          <w:sz w:val="20"/>
          <w:szCs w:val="20"/>
          <w:u w:val="single" w:color="auto"/>
          <w:color w:val="auto"/>
        </w:rPr>
      </w:pPr>
    </w:p>
    <w:p>
      <w:pPr>
        <w:ind w:left="-1040" w:firstLine="1416"/>
        <w:spacing w:after="0" w:line="269" w:lineRule="auto"/>
        <w:tabs>
          <w:tab w:leader="none" w:pos="769"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Revolving Loan Note</w:t>
      </w:r>
      <w:r>
        <w:rPr>
          <w:rFonts w:ascii="Times New Roman" w:cs="Times New Roman" w:eastAsia="Times New Roman" w:hAnsi="Times New Roman"/>
          <w:sz w:val="20"/>
          <w:szCs w:val="20"/>
          <w:color w:val="auto"/>
        </w:rPr>
        <w:t>. Borrower shall execute and deliver to each Lender, upon request, to evidence such Revolving Lender’s Revolving Credit Loans, a Revolving Loan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582930</wp:posOffset>
            </wp:positionV>
            <wp:extent cx="7157720" cy="425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40"/>
          </w:cols>
          <w:pgMar w:left="1440" w:top="1426" w:right="419" w:bottom="1440" w:gutter="0" w:footer="0" w:header="0"/>
        </w:sectPr>
      </w:pPr>
    </w:p>
    <w:bookmarkStart w:id="152" w:name="page153"/>
    <w:bookmarkEnd w:id="152"/>
    <w:p>
      <w:pPr>
        <w:spacing w:after="0" w:line="200" w:lineRule="exact"/>
        <w:rPr>
          <w:sz w:val="20"/>
          <w:szCs w:val="20"/>
          <w:color w:val="auto"/>
        </w:rPr>
      </w:pPr>
    </w:p>
    <w:p>
      <w:pPr>
        <w:spacing w:after="0" w:line="210"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15</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4905-3710-6484 v.17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600710</wp:posOffset>
            </wp:positionV>
            <wp:extent cx="7157720" cy="425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59"/>
          </w:cols>
          <w:pgMar w:left="400" w:top="1440" w:right="1440" w:bottom="1440" w:gutter="0" w:footer="0" w:header="0"/>
        </w:sectPr>
      </w:pPr>
    </w:p>
    <w:bookmarkStart w:id="153" w:name="page154"/>
    <w:bookmarkEnd w:id="153"/>
    <w:p>
      <w:pPr>
        <w:spacing w:after="0"/>
        <w:rPr>
          <w:sz w:val="20"/>
          <w:szCs w:val="20"/>
          <w:color w:val="auto"/>
        </w:rPr>
      </w:pPr>
      <w:r>
        <w:rPr>
          <w:rFonts w:ascii="Times New Roman" w:cs="Times New Roman" w:eastAsia="Times New Roman" w:hAnsi="Times New Roman"/>
          <w:sz w:val="20"/>
          <w:szCs w:val="20"/>
          <w:b w:val="1"/>
          <w:bCs w:val="1"/>
          <w:color w:val="auto"/>
        </w:rPr>
        <w:t>2.9. Benchmark Replacement Setting.</w:t>
      </w:r>
    </w:p>
    <w:p>
      <w:pPr>
        <w:spacing w:after="0" w:line="220" w:lineRule="exact"/>
        <w:rPr>
          <w:sz w:val="20"/>
          <w:szCs w:val="20"/>
          <w:color w:val="auto"/>
        </w:rPr>
      </w:pPr>
    </w:p>
    <w:p>
      <w:pPr>
        <w:jc w:val="both"/>
        <w:ind w:left="-680" w:firstLine="1500"/>
        <w:spacing w:after="0" w:line="243" w:lineRule="auto"/>
        <w:tabs>
          <w:tab w:leader="none" w:pos="1282" w:val="left"/>
        </w:tabs>
        <w:numPr>
          <w:ilvl w:val="0"/>
          <w:numId w:val="74"/>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Benchmark Replacement</w:t>
      </w:r>
      <w:r>
        <w:rPr>
          <w:rFonts w:ascii="Times New Roman" w:cs="Times New Roman" w:eastAsia="Times New Roman" w:hAnsi="Times New Roman"/>
          <w:sz w:val="20"/>
          <w:szCs w:val="20"/>
          <w:color w:val="auto"/>
        </w:rPr>
        <w:t>. Notwithstanding anything to the contrary herein or in any other Loan Document, upon the occurrence of a Benchmark Transition Event, the Agent (acting at the direction of the Blackstone Representative), the Blackstone Representative and Borrower may amend this Agreement to replace the then-current Benchmark with a Benchmark Replacement. Any such amendment with respect to a Benchmark Transition Event shall become effective at 5:00 p.m. (New York City time) on the fifth (5</w:t>
      </w:r>
      <w:r>
        <w:rPr>
          <w:rFonts w:ascii="Times New Roman" w:cs="Times New Roman" w:eastAsia="Times New Roman" w:hAnsi="Times New Roman"/>
          <w:sz w:val="13"/>
          <w:szCs w:val="13"/>
          <w:color w:val="auto"/>
        </w:rPr>
        <w:t>th</w:t>
      </w:r>
      <w:r>
        <w:rPr>
          <w:rFonts w:ascii="Times New Roman" w:cs="Times New Roman" w:eastAsia="Times New Roman" w:hAnsi="Times New Roman"/>
          <w:sz w:val="20"/>
          <w:szCs w:val="20"/>
          <w:color w:val="auto"/>
        </w:rPr>
        <w:t xml:space="preserve">) Business Day after the Agent has posted such proposed amendment to all affected Lenders and Borrower so long as the Agent has not received, by such time, written notice of objection to such amendment from Lenders comprising the Required Lenders. No replacement of a Benchmark with a Benchmark Replacement pursuant to this </w:t>
      </w:r>
      <w:r>
        <w:rPr>
          <w:rFonts w:ascii="Times New Roman" w:cs="Times New Roman" w:eastAsia="Times New Roman" w:hAnsi="Times New Roman"/>
          <w:sz w:val="20"/>
          <w:szCs w:val="20"/>
          <w:u w:val="single" w:color="auto"/>
          <w:color w:val="auto"/>
        </w:rPr>
        <w:t>Section 2.9(a)</w:t>
      </w:r>
      <w:r>
        <w:rPr>
          <w:rFonts w:ascii="Times New Roman" w:cs="Times New Roman" w:eastAsia="Times New Roman" w:hAnsi="Times New Roman"/>
          <w:sz w:val="20"/>
          <w:szCs w:val="20"/>
          <w:color w:val="auto"/>
        </w:rPr>
        <w:t xml:space="preserve"> shall occur prior to the applicable Benchmark Transition Start Date.</w:t>
      </w:r>
    </w:p>
    <w:p>
      <w:pPr>
        <w:spacing w:after="0" w:line="189" w:lineRule="exact"/>
        <w:rPr>
          <w:rFonts w:ascii="Times New Roman" w:cs="Times New Roman" w:eastAsia="Times New Roman" w:hAnsi="Times New Roman"/>
          <w:sz w:val="20"/>
          <w:szCs w:val="20"/>
          <w:u w:val="single" w:color="auto"/>
          <w:color w:val="auto"/>
        </w:rPr>
      </w:pPr>
    </w:p>
    <w:p>
      <w:pPr>
        <w:jc w:val="both"/>
        <w:ind w:left="-680" w:firstLine="1500"/>
        <w:spacing w:after="0" w:line="246" w:lineRule="auto"/>
        <w:tabs>
          <w:tab w:leader="none" w:pos="1282" w:val="left"/>
        </w:tabs>
        <w:numPr>
          <w:ilvl w:val="0"/>
          <w:numId w:val="74"/>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Benchmark Replacement Conforming Changes</w:t>
      </w:r>
      <w:r>
        <w:rPr>
          <w:rFonts w:ascii="Times New Roman" w:cs="Times New Roman" w:eastAsia="Times New Roman" w:hAnsi="Times New Roman"/>
          <w:sz w:val="20"/>
          <w:szCs w:val="20"/>
          <w:color w:val="auto"/>
        </w:rPr>
        <w:t>. In connection with the use, administration, adoption or implementation of a Benchmark Replacement, the Agent acting at the direction of the Blackstone Representative (in consultation with Borrower) shall have the right to make Conforming Changes from time to time and, notwithstanding anything to the contrary herein or in any other Loan Document, any amendments implementing such Conforming Changes shall become effective without any further action or consent of any other party to this Agreement or any other Loan Document.</w:t>
      </w:r>
    </w:p>
    <w:p>
      <w:pPr>
        <w:spacing w:after="0" w:line="184" w:lineRule="exact"/>
        <w:rPr>
          <w:rFonts w:ascii="Times New Roman" w:cs="Times New Roman" w:eastAsia="Times New Roman" w:hAnsi="Times New Roman"/>
          <w:sz w:val="20"/>
          <w:szCs w:val="20"/>
          <w:u w:val="single" w:color="auto"/>
          <w:color w:val="auto"/>
        </w:rPr>
      </w:pPr>
    </w:p>
    <w:p>
      <w:pPr>
        <w:jc w:val="both"/>
        <w:ind w:left="-680" w:firstLine="1500"/>
        <w:spacing w:after="0" w:line="243" w:lineRule="auto"/>
        <w:tabs>
          <w:tab w:leader="none" w:pos="1282" w:val="left"/>
        </w:tabs>
        <w:numPr>
          <w:ilvl w:val="0"/>
          <w:numId w:val="74"/>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Notices; Standards for Decisions and Determinations</w:t>
      </w:r>
      <w:r>
        <w:rPr>
          <w:rFonts w:ascii="Times New Roman" w:cs="Times New Roman" w:eastAsia="Times New Roman" w:hAnsi="Times New Roman"/>
          <w:sz w:val="20"/>
          <w:szCs w:val="20"/>
          <w:color w:val="auto"/>
        </w:rPr>
        <w:t xml:space="preserve">. The Agent shall promptly notify Borrower and the Lenders of (i) the implementation of any Benchmark Replacement and (ii) the effectiveness of any Conforming Changes in connection with the use, administration, adoption or implementation of a Benchmark Replacement. The Agent shall promptly notify Borrower of the removal or reinstatement of any tenor of a Benchmark pursuant to </w:t>
      </w:r>
      <w:r>
        <w:rPr>
          <w:rFonts w:ascii="Times New Roman" w:cs="Times New Roman" w:eastAsia="Times New Roman" w:hAnsi="Times New Roman"/>
          <w:sz w:val="20"/>
          <w:szCs w:val="20"/>
          <w:u w:val="single" w:color="auto"/>
          <w:color w:val="auto"/>
        </w:rPr>
        <w:t>Section 2.9(d)</w:t>
      </w:r>
      <w:r>
        <w:rPr>
          <w:rFonts w:ascii="Times New Roman" w:cs="Times New Roman" w:eastAsia="Times New Roman" w:hAnsi="Times New Roman"/>
          <w:sz w:val="20"/>
          <w:szCs w:val="20"/>
          <w:color w:val="auto"/>
        </w:rPr>
        <w:t xml:space="preserve">. Any determination, decision or election that may be made by the Agent or, if applicable, any Lender (or group of Lenders) pursuant to this </w:t>
      </w:r>
      <w:r>
        <w:rPr>
          <w:rFonts w:ascii="Times New Roman" w:cs="Times New Roman" w:eastAsia="Times New Roman" w:hAnsi="Times New Roman"/>
          <w:sz w:val="20"/>
          <w:szCs w:val="20"/>
          <w:u w:val="single" w:color="auto"/>
          <w:color w:val="auto"/>
        </w:rPr>
        <w:t>Section 2.9</w:t>
      </w:r>
      <w:r>
        <w:rPr>
          <w:rFonts w:ascii="Times New Roman" w:cs="Times New Roman" w:eastAsia="Times New Roman" w:hAnsi="Times New Roman"/>
          <w:sz w:val="20"/>
          <w:szCs w:val="20"/>
          <w:color w:val="auto"/>
        </w:rPr>
        <w:t xml:space="preserve">, including any determination with respect to a tenor, rate or adjustment, or of the occurrence or non-occurrence of an event, circumstance or date. and any decision to take or refrain from taking any action or any selection, shall be conclusive and binding absent manifest error, and may be made in its or their sole discretion and without consent from any other party to this Agreement or any other Loan Document, except, in each case, as expressly required pursuant to this </w:t>
      </w:r>
      <w:r>
        <w:rPr>
          <w:rFonts w:ascii="Times New Roman" w:cs="Times New Roman" w:eastAsia="Times New Roman" w:hAnsi="Times New Roman"/>
          <w:sz w:val="20"/>
          <w:szCs w:val="20"/>
          <w:u w:val="single" w:color="auto"/>
          <w:color w:val="auto"/>
        </w:rPr>
        <w:t>Section 2.9</w:t>
      </w:r>
      <w:r>
        <w:rPr>
          <w:rFonts w:ascii="Times New Roman" w:cs="Times New Roman" w:eastAsia="Times New Roman" w:hAnsi="Times New Roman"/>
          <w:sz w:val="20"/>
          <w:szCs w:val="20"/>
          <w:color w:val="auto"/>
        </w:rPr>
        <w:t>.</w:t>
      </w:r>
    </w:p>
    <w:p>
      <w:pPr>
        <w:spacing w:after="0" w:line="185" w:lineRule="exact"/>
        <w:rPr>
          <w:rFonts w:ascii="Times New Roman" w:cs="Times New Roman" w:eastAsia="Times New Roman" w:hAnsi="Times New Roman"/>
          <w:sz w:val="20"/>
          <w:szCs w:val="20"/>
          <w:u w:val="single" w:color="auto"/>
          <w:color w:val="auto"/>
        </w:rPr>
      </w:pPr>
    </w:p>
    <w:p>
      <w:pPr>
        <w:jc w:val="both"/>
        <w:ind w:left="-680" w:firstLine="1500"/>
        <w:spacing w:after="0" w:line="254" w:lineRule="auto"/>
        <w:tabs>
          <w:tab w:leader="none" w:pos="1282" w:val="left"/>
        </w:tabs>
        <w:numPr>
          <w:ilvl w:val="0"/>
          <w:numId w:val="74"/>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Benchmark Unavailability Period</w:t>
      </w:r>
      <w:r>
        <w:rPr>
          <w:rFonts w:ascii="Times New Roman" w:cs="Times New Roman" w:eastAsia="Times New Roman" w:hAnsi="Times New Roman"/>
          <w:sz w:val="20"/>
          <w:szCs w:val="20"/>
          <w:color w:val="auto"/>
        </w:rPr>
        <w:t>. Upon Borrower’s receipt of notice of the commencement of a Benchmark Unavailability Period, Borrower may revoke any pending request for a Borrowing of or continuation of SOFR Loans to be made, converted or continued during any Benchmark Unavailability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379730</wp:posOffset>
            </wp:positionH>
            <wp:positionV relativeFrom="paragraph">
              <wp:posOffset>-611505</wp:posOffset>
            </wp:positionV>
            <wp:extent cx="31115"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6">
                      <a:extLst>
                        <a:ext uri="{28A0092B-C50C-407E-A947-70E740481C1C}"/>
                      </a:extLst>
                    </a:blip>
                    <a:srcRect/>
                    <a:stretch>
                      <a:fillRect/>
                    </a:stretch>
                  </pic:blipFill>
                  <pic:spPr bwMode="auto">
                    <a:xfrm>
                      <a:off x="0" y="0"/>
                      <a:ext cx="31115" cy="8255"/>
                    </a:xfrm>
                    <a:prstGeom prst="rect">
                      <a:avLst/>
                    </a:prstGeom>
                    <a:noFill/>
                  </pic:spPr>
                </pic:pic>
              </a:graphicData>
            </a:graphic>
          </wp:anchor>
        </w:drawing>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2.10. Incremental Term Loans.</w:t>
      </w:r>
    </w:p>
    <w:p>
      <w:pPr>
        <w:spacing w:after="0" w:line="220" w:lineRule="exact"/>
        <w:rPr>
          <w:sz w:val="20"/>
          <w:szCs w:val="20"/>
          <w:color w:val="auto"/>
        </w:rPr>
      </w:pPr>
    </w:p>
    <w:p>
      <w:pPr>
        <w:jc w:val="both"/>
        <w:ind w:left="-680" w:firstLine="1500"/>
        <w:spacing w:after="0" w:line="245" w:lineRule="auto"/>
        <w:tabs>
          <w:tab w:leader="none" w:pos="1282"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the terms and conditions of this Agreement, Borrower may at any time and from time to time after the Closing Date, subject to the prior written consent of the Blackstone Representative and the Required Lenders (to be granted or withheld in their sole and absolute discretion), by notice to the Agent, the Blackstone Representative and the Lenders, request one or more additional Classes of Term Loans or additional Term Loans of the same Class of any existing Class of Term Loans (the “</w:t>
      </w:r>
      <w:r>
        <w:rPr>
          <w:rFonts w:ascii="Times New Roman" w:cs="Times New Roman" w:eastAsia="Times New Roman" w:hAnsi="Times New Roman"/>
          <w:sz w:val="20"/>
          <w:szCs w:val="20"/>
          <w:b w:val="1"/>
          <w:bCs w:val="1"/>
          <w:color w:val="auto"/>
        </w:rPr>
        <w:t>Incremental Term Loans</w:t>
      </w:r>
      <w:r>
        <w:rPr>
          <w:rFonts w:ascii="Times New Roman" w:cs="Times New Roman" w:eastAsia="Times New Roman" w:hAnsi="Times New Roman"/>
          <w:sz w:val="20"/>
          <w:szCs w:val="20"/>
          <w:color w:val="auto"/>
        </w:rPr>
        <w:t>” or the “</w:t>
      </w:r>
      <w:r>
        <w:rPr>
          <w:rFonts w:ascii="Times New Roman" w:cs="Times New Roman" w:eastAsia="Times New Roman" w:hAnsi="Times New Roman"/>
          <w:sz w:val="20"/>
          <w:szCs w:val="20"/>
          <w:b w:val="1"/>
          <w:bCs w:val="1"/>
          <w:color w:val="auto"/>
        </w:rPr>
        <w:t>Incremental Term Facilities</w:t>
      </w:r>
      <w:r>
        <w:rPr>
          <w:rFonts w:ascii="Times New Roman" w:cs="Times New Roman" w:eastAsia="Times New Roman" w:hAnsi="Times New Roman"/>
          <w:sz w:val="20"/>
          <w:szCs w:val="20"/>
          <w:color w:val="auto"/>
        </w:rPr>
        <w:t>”). Notwithstanding anything to the contrary herein, the aggregate principal amount of Incremental Term Facilities incurred hereunder shall not exceed $200,000,000 (the “</w:t>
      </w:r>
      <w:r>
        <w:rPr>
          <w:rFonts w:ascii="Times New Roman" w:cs="Times New Roman" w:eastAsia="Times New Roman" w:hAnsi="Times New Roman"/>
          <w:sz w:val="20"/>
          <w:szCs w:val="20"/>
          <w:b w:val="1"/>
          <w:bCs w:val="1"/>
          <w:color w:val="auto"/>
        </w:rPr>
        <w:t>Maximum Incremental Term Amount</w:t>
      </w:r>
      <w:r>
        <w:rPr>
          <w:rFonts w:ascii="Times New Roman" w:cs="Times New Roman" w:eastAsia="Times New Roman" w:hAnsi="Times New Roman"/>
          <w:sz w:val="20"/>
          <w:szCs w:val="20"/>
          <w:color w:val="auto"/>
        </w:rPr>
        <w:t>”).</w:t>
      </w:r>
    </w:p>
    <w:p>
      <w:pPr>
        <w:spacing w:after="0" w:line="184" w:lineRule="exact"/>
        <w:rPr>
          <w:rFonts w:ascii="Times New Roman" w:cs="Times New Roman" w:eastAsia="Times New Roman" w:hAnsi="Times New Roman"/>
          <w:sz w:val="20"/>
          <w:szCs w:val="20"/>
          <w:color w:val="auto"/>
        </w:rPr>
      </w:pPr>
    </w:p>
    <w:p>
      <w:pPr>
        <w:jc w:val="both"/>
        <w:ind w:left="-680" w:firstLine="1500"/>
        <w:spacing w:after="0" w:line="254" w:lineRule="auto"/>
        <w:tabs>
          <w:tab w:leader="none" w:pos="1282"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Unless otherwise specified in the applicable Incremental Term Supplement (as defined below), each Incremental Term Loan shall be on the same terms as, and shall be treated for all purposes as, the Initial Term Loans, respectively;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Yield Protection Premium (if any) applicable to such Incremental Term Loans shall be determined by Borrower, the Blackstone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592455</wp:posOffset>
            </wp:positionV>
            <wp:extent cx="7157720" cy="425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422" w:right="339" w:bottom="1440" w:gutter="0" w:footer="0" w:header="0"/>
        </w:sectPr>
      </w:pPr>
    </w:p>
    <w:bookmarkStart w:id="154" w:name="page155"/>
    <w:bookmarkEnd w:id="154"/>
    <w:p>
      <w:pPr>
        <w:spacing w:after="0" w:line="167" w:lineRule="exact"/>
        <w:rPr>
          <w:sz w:val="20"/>
          <w:szCs w:val="20"/>
          <w:color w:val="auto"/>
        </w:rPr>
      </w:pPr>
    </w:p>
    <w:p>
      <w:pPr>
        <w:jc w:val="right"/>
        <w:ind w:right="4379"/>
        <w:spacing w:after="0"/>
        <w:rPr>
          <w:sz w:val="20"/>
          <w:szCs w:val="20"/>
          <w:color w:val="auto"/>
        </w:rPr>
      </w:pPr>
      <w:r>
        <w:rPr>
          <w:rFonts w:ascii="Times New Roman" w:cs="Times New Roman" w:eastAsia="Times New Roman" w:hAnsi="Times New Roman"/>
          <w:sz w:val="18"/>
          <w:szCs w:val="18"/>
          <w:color w:val="auto"/>
        </w:rPr>
        <w:t>16</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4905-3710-6484 v.17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600710</wp:posOffset>
            </wp:positionV>
            <wp:extent cx="7157720" cy="425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59"/>
          </w:cols>
          <w:pgMar w:left="400" w:top="1440" w:right="1440" w:bottom="1440" w:gutter="0" w:footer="0" w:header="0"/>
        </w:sectPr>
      </w:pPr>
    </w:p>
    <w:bookmarkStart w:id="155" w:name="page156"/>
    <w:bookmarkEnd w:id="155"/>
    <w:p>
      <w:pPr>
        <w:jc w:val="both"/>
        <w:spacing w:after="0" w:line="246" w:lineRule="auto"/>
        <w:rPr>
          <w:sz w:val="20"/>
          <w:szCs w:val="20"/>
          <w:color w:val="auto"/>
        </w:rPr>
      </w:pPr>
      <w:r>
        <w:rPr>
          <w:rFonts w:ascii="Times New Roman" w:cs="Times New Roman" w:eastAsia="Times New Roman" w:hAnsi="Times New Roman"/>
          <w:sz w:val="20"/>
          <w:szCs w:val="20"/>
          <w:color w:val="auto"/>
        </w:rPr>
        <w:t xml:space="preserve">Representative and the Required Lenders by mutual agreement at the time of incurrence of such Incremental Term Loans and set forth in the applicable Incremental Term Supplement. Each Incremental Term Loan shall be in a minimum principal amount of $1,000,000 and integral multiples of $500,000 in excess thereof (unless Borrower and the Blackstone Representative otherwise agree);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amount may be less than $1,000,000, if such amount represents all the remaining availability under Maximum Incremental Term Amount set forth above.</w:t>
      </w:r>
    </w:p>
    <w:p>
      <w:pPr>
        <w:spacing w:after="0" w:line="185" w:lineRule="exact"/>
        <w:rPr>
          <w:sz w:val="20"/>
          <w:szCs w:val="20"/>
          <w:color w:val="auto"/>
        </w:rPr>
      </w:pPr>
    </w:p>
    <w:p>
      <w:pPr>
        <w:ind w:firstLine="1490"/>
        <w:spacing w:after="0" w:line="269" w:lineRule="auto"/>
        <w:tabs>
          <w:tab w:leader="none" w:pos="1949"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notice from the Borrower pursuant to this </w:t>
      </w:r>
      <w:r>
        <w:rPr>
          <w:rFonts w:ascii="Times New Roman" w:cs="Times New Roman" w:eastAsia="Times New Roman" w:hAnsi="Times New Roman"/>
          <w:sz w:val="20"/>
          <w:szCs w:val="20"/>
          <w:u w:val="single" w:color="auto"/>
          <w:color w:val="auto"/>
        </w:rPr>
        <w:t>Section 2.10</w:t>
      </w:r>
      <w:r>
        <w:rPr>
          <w:rFonts w:ascii="Times New Roman" w:cs="Times New Roman" w:eastAsia="Times New Roman" w:hAnsi="Times New Roman"/>
          <w:sz w:val="20"/>
          <w:szCs w:val="20"/>
          <w:color w:val="auto"/>
        </w:rPr>
        <w:t xml:space="preserve"> shall set forth the requested amount and type of the relevant Incremental Term Facilities.</w:t>
      </w:r>
    </w:p>
    <w:p>
      <w:pPr>
        <w:spacing w:after="0" w:line="145" w:lineRule="exact"/>
        <w:rPr>
          <w:rFonts w:ascii="Times New Roman" w:cs="Times New Roman" w:eastAsia="Times New Roman" w:hAnsi="Times New Roman"/>
          <w:sz w:val="20"/>
          <w:szCs w:val="20"/>
          <w:color w:val="auto"/>
        </w:rPr>
      </w:pPr>
    </w:p>
    <w:p>
      <w:pPr>
        <w:jc w:val="both"/>
        <w:ind w:firstLine="1490"/>
        <w:spacing w:after="0" w:line="243" w:lineRule="auto"/>
        <w:tabs>
          <w:tab w:leader="none" w:pos="1949"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Commitments in respect of Incremental Term Facilities shall become commitments under this Agreement pursuant to a supplement (an “</w:t>
      </w:r>
      <w:r>
        <w:rPr>
          <w:rFonts w:ascii="Times New Roman" w:cs="Times New Roman" w:eastAsia="Times New Roman" w:hAnsi="Times New Roman"/>
          <w:sz w:val="20"/>
          <w:szCs w:val="20"/>
          <w:b w:val="1"/>
          <w:bCs w:val="1"/>
          <w:color w:val="auto"/>
        </w:rPr>
        <w:t>Incremental Term Supplement</w:t>
      </w:r>
      <w:r>
        <w:rPr>
          <w:rFonts w:ascii="Times New Roman" w:cs="Times New Roman" w:eastAsia="Times New Roman" w:hAnsi="Times New Roman"/>
          <w:sz w:val="20"/>
          <w:szCs w:val="20"/>
          <w:color w:val="auto"/>
        </w:rPr>
        <w:t>”) to this Agreement and, as appropriate, the other Loan Documents, executed by the Borrower, each Lender agreeing to provide such commitment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 Lender shall be obligated to provide any loans or commitments under any Incremental Term Facility unless it so agrees), the Blackstone Representative, the Required Lenders and the Agent. Incremental Term Loans shall be a “Term Loan” for all purposes of this Agreement and the other Loan Documents. The effectiveness of any Incremental Term Supplement and the occurrence of any credit event (including the making of a Loan) pursuant to such Incremental Term Supplement may be subject to the satisfaction of such additional conditions as the parties thereto shall agree. Borrower shall use the proceeds of the Incremental Term Facilities to fund business development activities (including product acquisitions and product in-licensing) and such other purposes as shall be set forth in the applicable Incremental Term Supplement.</w:t>
      </w:r>
    </w:p>
    <w:p>
      <w:pPr>
        <w:spacing w:after="0" w:line="185" w:lineRule="exact"/>
        <w:rPr>
          <w:rFonts w:ascii="Times New Roman" w:cs="Times New Roman" w:eastAsia="Times New Roman" w:hAnsi="Times New Roman"/>
          <w:sz w:val="20"/>
          <w:szCs w:val="20"/>
          <w:color w:val="auto"/>
        </w:rPr>
      </w:pPr>
    </w:p>
    <w:p>
      <w:pPr>
        <w:ind w:left="1960" w:hanging="470"/>
        <w:spacing w:after="0"/>
        <w:tabs>
          <w:tab w:leader="none" w:pos="1960"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Notwithstanding anything to the contrary, this </w:t>
      </w:r>
      <w:r>
        <w:rPr>
          <w:rFonts w:ascii="Times New Roman" w:cs="Times New Roman" w:eastAsia="Times New Roman" w:hAnsi="Times New Roman"/>
          <w:sz w:val="20"/>
          <w:szCs w:val="20"/>
          <w:u w:val="single" w:color="auto"/>
          <w:color w:val="auto"/>
        </w:rPr>
        <w:t>Section 2.10</w:t>
      </w:r>
      <w:r>
        <w:rPr>
          <w:rFonts w:ascii="Times New Roman" w:cs="Times New Roman" w:eastAsia="Times New Roman" w:hAnsi="Times New Roman"/>
          <w:sz w:val="20"/>
          <w:szCs w:val="20"/>
          <w:color w:val="auto"/>
        </w:rPr>
        <w:t xml:space="preserve"> shall supersede any provisions in </w:t>
      </w:r>
      <w:r>
        <w:rPr>
          <w:rFonts w:ascii="Times New Roman" w:cs="Times New Roman" w:eastAsia="Times New Roman" w:hAnsi="Times New Roman"/>
          <w:sz w:val="20"/>
          <w:szCs w:val="20"/>
          <w:u w:val="single" w:color="auto"/>
          <w:color w:val="auto"/>
        </w:rPr>
        <w:t>Section 11.5</w:t>
      </w:r>
      <w:r>
        <w:rPr>
          <w:rFonts w:ascii="Times New Roman" w:cs="Times New Roman" w:eastAsia="Times New Roman" w:hAnsi="Times New Roman"/>
          <w:sz w:val="20"/>
          <w:szCs w:val="20"/>
          <w:color w:val="auto"/>
        </w:rPr>
        <w:t xml:space="preserve"> to the</w:t>
      </w:r>
    </w:p>
    <w:p>
      <w:pPr>
        <w:spacing w:after="0" w:line="21"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contrary.</w:t>
      </w:r>
    </w:p>
    <w:p>
      <w:pPr>
        <w:spacing w:after="0" w:line="190" w:lineRule="exact"/>
        <w:rPr>
          <w:sz w:val="20"/>
          <w:szCs w:val="20"/>
          <w:color w:val="auto"/>
        </w:rPr>
      </w:pPr>
    </w:p>
    <w:p>
      <w:pPr>
        <w:ind w:left="1080" w:hanging="403"/>
        <w:spacing w:after="0"/>
        <w:tabs>
          <w:tab w:leader="none" w:pos="1080" w:val="left"/>
        </w:tabs>
        <w:numPr>
          <w:ilvl w:val="0"/>
          <w:numId w:val="7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CONDITIONS</w:t>
      </w:r>
    </w:p>
    <w:p>
      <w:pPr>
        <w:spacing w:after="0" w:line="216" w:lineRule="exact"/>
        <w:rPr>
          <w:sz w:val="20"/>
          <w:szCs w:val="20"/>
          <w:color w:val="auto"/>
        </w:rPr>
      </w:pPr>
    </w:p>
    <w:p>
      <w:pPr>
        <w:ind w:firstLine="669"/>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3.1. Conditions Precedent to Closing Date </w:t>
      </w:r>
      <w:r>
        <w:rPr>
          <w:rFonts w:ascii="Times New Roman" w:cs="Times New Roman" w:eastAsia="Times New Roman" w:hAnsi="Times New Roman"/>
          <w:sz w:val="20"/>
          <w:szCs w:val="20"/>
          <w:color w:val="auto"/>
        </w:rPr>
        <w:t>. The effectiveness of this Agreement and the occurrence of the Closing Date is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subject to the satisfaction (or waiver in accordance with </w:t>
      </w:r>
      <w:r>
        <w:rPr>
          <w:rFonts w:ascii="Times New Roman" w:cs="Times New Roman" w:eastAsia="Times New Roman" w:hAnsi="Times New Roman"/>
          <w:sz w:val="20"/>
          <w:szCs w:val="20"/>
          <w:u w:val="single" w:color="auto"/>
          <w:color w:val="auto"/>
        </w:rPr>
        <w:t>Section 11.5</w:t>
      </w:r>
      <w:r>
        <w:rPr>
          <w:rFonts w:ascii="Times New Roman" w:cs="Times New Roman" w:eastAsia="Times New Roman" w:hAnsi="Times New Roman"/>
          <w:sz w:val="20"/>
          <w:szCs w:val="20"/>
          <w:color w:val="auto"/>
        </w:rPr>
        <w:t xml:space="preserve"> hereof) of the following conditions:</w:t>
      </w:r>
    </w:p>
    <w:p>
      <w:pPr>
        <w:spacing w:after="0" w:line="156" w:lineRule="exact"/>
        <w:rPr>
          <w:sz w:val="20"/>
          <w:szCs w:val="20"/>
          <w:color w:val="auto"/>
        </w:rPr>
      </w:pPr>
    </w:p>
    <w:p>
      <w:pPr>
        <w:jc w:val="both"/>
        <w:ind w:firstLine="1490"/>
        <w:spacing w:after="0" w:line="244" w:lineRule="auto"/>
        <w:tabs>
          <w:tab w:leader="none" w:pos="1949"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Agent’s and the Lenders’ receipt of (i) the Loan Documents (including, to the extent requested by a Lender, a Term Loan Note and/or Revolving Loan Note, executed by Borrower) executed and delivered by each applicable Credit Party and Lender, which Loan Documents shall be in form and substance reasonably satisfactory to the Blackstone Representative, the Disclosure Letter, and each other schedule to such Loan Documents (the Disclosure Letter and such other schedules to be in form and substance reasonably satisfactory to the Blackstone Representative), and (ii) the Collateral Documents dated as of the Closing Date, executed in escrow by each of the applicable Credit Parties and the Agent, to the extent applicable, and circulated but not released, which Collateral Documents shall be in form and substance reasonably satisfactory to the Agent and the Blackstone Representative;</w:t>
      </w:r>
    </w:p>
    <w:p>
      <w:pPr>
        <w:spacing w:after="0" w:line="172" w:lineRule="exact"/>
        <w:rPr>
          <w:rFonts w:ascii="Times New Roman" w:cs="Times New Roman" w:eastAsia="Times New Roman" w:hAnsi="Times New Roman"/>
          <w:sz w:val="20"/>
          <w:szCs w:val="20"/>
          <w:color w:val="auto"/>
        </w:rPr>
      </w:pPr>
    </w:p>
    <w:p>
      <w:pPr>
        <w:jc w:val="both"/>
        <w:ind w:firstLine="1490"/>
        <w:spacing w:after="0" w:line="243" w:lineRule="auto"/>
        <w:tabs>
          <w:tab w:leader="none" w:pos="1949"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Agent’s and the Lenders’ receipt of (i) true, correct and complete copies of the Operating Documents of each of the Credit Parties, and (ii) a Secretary’s/Directors’ Certificate (or equivalent thereof) with respect to each Credit Party dated the Closing Date, certifying </w:t>
      </w:r>
      <w:r>
        <w:rPr>
          <w:rFonts w:ascii="Times New Roman" w:cs="Times New Roman" w:eastAsia="Times New Roman" w:hAnsi="Times New Roman"/>
          <w:sz w:val="20"/>
          <w:szCs w:val="20"/>
          <w:i w:val="1"/>
          <w:iCs w:val="1"/>
          <w:color w:val="auto"/>
        </w:rPr>
        <w:t>inter alia</w:t>
      </w:r>
      <w:r>
        <w:rPr>
          <w:rFonts w:ascii="Times New Roman" w:cs="Times New Roman" w:eastAsia="Times New Roman" w:hAnsi="Times New Roman"/>
          <w:sz w:val="20"/>
          <w:szCs w:val="20"/>
          <w:color w:val="auto"/>
        </w:rPr>
        <w:t>: (u) that the foregoing copies are true, correct and complete (such Secretary’s Certificate to be in form and substance reasonably satisfactory to the Blackstone Representative), (v) that the Borrowing Resolutions are in full force and effect, true, correct, complete and have not been altered as of Closing Date; (w) the specimen signatures of the directors and/or legal representatives of the Credit Parties authorized to execute and deliver the Loan Documents which are to be attached to the Secretary’s/Directors’ Certificate; and (x) that, where applicable, all filings which are necessary for the Credit Parties’ entry into the Operating Documents to which they are party have been duly filed with the respective authority/ies; (y) that in executing the Loan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601980</wp:posOffset>
            </wp:positionV>
            <wp:extent cx="7157720" cy="425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400" w:top="1413" w:right="419" w:bottom="1440" w:gutter="0" w:footer="0" w:header="0"/>
        </w:sectPr>
      </w:pPr>
    </w:p>
    <w:bookmarkStart w:id="156" w:name="page157"/>
    <w:bookmarkEnd w:id="156"/>
    <w:p>
      <w:pPr>
        <w:spacing w:after="0" w:line="167"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17</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4905-3710-6484 v.17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600710</wp:posOffset>
            </wp:positionV>
            <wp:extent cx="7157720" cy="425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59"/>
          </w:cols>
          <w:pgMar w:left="400" w:top="1440" w:right="1440" w:bottom="1440" w:gutter="0" w:footer="0" w:header="0"/>
        </w:sectPr>
      </w:pPr>
    </w:p>
    <w:bookmarkStart w:id="157" w:name="page158"/>
    <w:bookmarkEnd w:id="157"/>
    <w:p>
      <w:pPr>
        <w:jc w:val="both"/>
        <w:spacing w:after="0" w:line="249" w:lineRule="auto"/>
        <w:rPr>
          <w:sz w:val="20"/>
          <w:szCs w:val="20"/>
          <w:color w:val="auto"/>
        </w:rPr>
      </w:pPr>
      <w:r>
        <w:rPr>
          <w:rFonts w:ascii="Times New Roman" w:cs="Times New Roman" w:eastAsia="Times New Roman" w:hAnsi="Times New Roman"/>
          <w:sz w:val="20"/>
          <w:szCs w:val="20"/>
          <w:color w:val="auto"/>
        </w:rPr>
        <w:t>Documents to which they are a party, each Credit Party would not cause any borrowing, guarantee, security or similar limit binding on the Credit Party to be exceeded nor would such Credit Party be in breach of any of its binding obligations or any law or regulation to which it is subject; and (z) the entry into the Loan Documents by each Credit Party is conducive to the attainment of the strategic objectives and is to be benefit of its corporate group;</w:t>
      </w:r>
    </w:p>
    <w:p>
      <w:pPr>
        <w:spacing w:after="0" w:line="166" w:lineRule="exact"/>
        <w:rPr>
          <w:sz w:val="20"/>
          <w:szCs w:val="20"/>
          <w:color w:val="auto"/>
        </w:rPr>
      </w:pPr>
    </w:p>
    <w:p>
      <w:pPr>
        <w:ind w:firstLine="1500"/>
        <w:spacing w:after="0" w:line="269" w:lineRule="auto"/>
        <w:tabs>
          <w:tab w:leader="none" w:pos="1962" w:val="left"/>
        </w:tabs>
        <w:numPr>
          <w:ilvl w:val="1"/>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Agent’s and the Lenders’ receipt of the Perfection Certificate for Borrower and the other Credit Parties, in form and substance reasonably satisfactory to the Blackstone Representative;</w:t>
      </w:r>
    </w:p>
    <w:p>
      <w:pPr>
        <w:spacing w:after="0" w:line="172" w:lineRule="exact"/>
        <w:rPr>
          <w:rFonts w:ascii="Times New Roman" w:cs="Times New Roman" w:eastAsia="Times New Roman" w:hAnsi="Times New Roman"/>
          <w:sz w:val="20"/>
          <w:szCs w:val="20"/>
          <w:color w:val="auto"/>
        </w:rPr>
      </w:pPr>
    </w:p>
    <w:p>
      <w:pPr>
        <w:ind w:right="20" w:firstLine="1500"/>
        <w:spacing w:after="0" w:line="269" w:lineRule="auto"/>
        <w:tabs>
          <w:tab w:leader="none" w:pos="1962" w:val="left"/>
        </w:tabs>
        <w:numPr>
          <w:ilvl w:val="1"/>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copies of the appropriate UCC financing statement forms and intellectual property filing documents, as applicable, with respect to the Collateral of the Credit Parties, in each case, for filing with the appropriate entity on or promptly after the Closing Date;</w:t>
      </w:r>
    </w:p>
    <w:p>
      <w:pPr>
        <w:spacing w:after="0" w:line="159" w:lineRule="exact"/>
        <w:rPr>
          <w:rFonts w:ascii="Times New Roman" w:cs="Times New Roman" w:eastAsia="Times New Roman" w:hAnsi="Times New Roman"/>
          <w:sz w:val="20"/>
          <w:szCs w:val="20"/>
          <w:color w:val="auto"/>
        </w:rPr>
      </w:pPr>
    </w:p>
    <w:p>
      <w:pPr>
        <w:jc w:val="both"/>
        <w:ind w:firstLine="1500"/>
        <w:spacing w:after="0" w:line="254" w:lineRule="auto"/>
        <w:tabs>
          <w:tab w:leader="none" w:pos="1962" w:val="left"/>
        </w:tabs>
        <w:numPr>
          <w:ilvl w:val="1"/>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Agent’s and the Lenders’ receipt of a good standing certificate and certificate of incumbency (or local law equivalent) for each Credit Party, certified by the Secretary of State (or the equivalent thereof) of the jurisdiction of incorporation or formation of such Credit Party as of a date no earlier than thirty (30) days prior to the Closing Date;</w:t>
      </w:r>
    </w:p>
    <w:p>
      <w:pPr>
        <w:spacing w:after="0" w:line="174" w:lineRule="exact"/>
        <w:rPr>
          <w:rFonts w:ascii="Times New Roman" w:cs="Times New Roman" w:eastAsia="Times New Roman" w:hAnsi="Times New Roman"/>
          <w:sz w:val="20"/>
          <w:szCs w:val="20"/>
          <w:color w:val="auto"/>
        </w:rPr>
      </w:pPr>
    </w:p>
    <w:p>
      <w:pPr>
        <w:ind w:firstLine="1500"/>
        <w:spacing w:after="0" w:line="269" w:lineRule="auto"/>
        <w:tabs>
          <w:tab w:leader="none" w:pos="1962" w:val="left"/>
        </w:tabs>
        <w:numPr>
          <w:ilvl w:val="1"/>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Agent’s and the Lenders’ receipt of completed Borrowing Resolutions with respect to the Loan Documents, in form and substance reasonably satisfactory to the Blackstone Representative;</w:t>
      </w:r>
    </w:p>
    <w:p>
      <w:pPr>
        <w:spacing w:after="0" w:line="159" w:lineRule="exact"/>
        <w:rPr>
          <w:rFonts w:ascii="Times New Roman" w:cs="Times New Roman" w:eastAsia="Times New Roman" w:hAnsi="Times New Roman"/>
          <w:sz w:val="20"/>
          <w:szCs w:val="20"/>
          <w:color w:val="auto"/>
        </w:rPr>
      </w:pPr>
    </w:p>
    <w:p>
      <w:pPr>
        <w:ind w:firstLine="1500"/>
        <w:spacing w:after="0" w:line="269" w:lineRule="auto"/>
        <w:tabs>
          <w:tab w:leader="none" w:pos="1962" w:val="left"/>
        </w:tabs>
        <w:numPr>
          <w:ilvl w:val="1"/>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Agent’s and the Lenders’ receipt of the Antecip Direct Agreement in form and substance reasonably satisfactory to the Agent;</w:t>
      </w:r>
    </w:p>
    <w:p>
      <w:pPr>
        <w:spacing w:after="0" w:line="159" w:lineRule="exact"/>
        <w:rPr>
          <w:rFonts w:ascii="Times New Roman" w:cs="Times New Roman" w:eastAsia="Times New Roman" w:hAnsi="Times New Roman"/>
          <w:sz w:val="20"/>
          <w:szCs w:val="20"/>
          <w:color w:val="auto"/>
        </w:rPr>
      </w:pPr>
    </w:p>
    <w:p>
      <w:pPr>
        <w:ind w:left="1960" w:hanging="460"/>
        <w:spacing w:after="0"/>
        <w:tabs>
          <w:tab w:leader="none" w:pos="1960" w:val="left"/>
        </w:tabs>
        <w:numPr>
          <w:ilvl w:val="1"/>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Blackstone Representative shall have received the Securities Purchase Agreement;</w:t>
      </w:r>
    </w:p>
    <w:p>
      <w:pPr>
        <w:spacing w:after="0" w:line="215" w:lineRule="exact"/>
        <w:rPr>
          <w:rFonts w:ascii="Times New Roman" w:cs="Times New Roman" w:eastAsia="Times New Roman" w:hAnsi="Times New Roman"/>
          <w:sz w:val="20"/>
          <w:szCs w:val="20"/>
          <w:color w:val="auto"/>
        </w:rPr>
      </w:pPr>
    </w:p>
    <w:p>
      <w:pPr>
        <w:jc w:val="both"/>
        <w:ind w:firstLine="1500"/>
        <w:spacing w:after="0" w:line="254" w:lineRule="auto"/>
        <w:tabs>
          <w:tab w:leader="none" w:pos="1962" w:val="left"/>
        </w:tabs>
        <w:numPr>
          <w:ilvl w:val="1"/>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Credit Party shall have obtained all Governmental Approvals and all consents of other Persons, if any, in each case that are necessary in connection with the transactions contemplated by the Loan Documents and each of the foregoing shall be in full force and effect and in form and substance reasonably satisfactory to the Blackstone Representative;</w:t>
      </w:r>
    </w:p>
    <w:p>
      <w:pPr>
        <w:spacing w:after="0" w:line="174" w:lineRule="exact"/>
        <w:rPr>
          <w:rFonts w:ascii="Times New Roman" w:cs="Times New Roman" w:eastAsia="Times New Roman" w:hAnsi="Times New Roman"/>
          <w:sz w:val="20"/>
          <w:szCs w:val="20"/>
          <w:color w:val="auto"/>
        </w:rPr>
      </w:pPr>
    </w:p>
    <w:p>
      <w:pPr>
        <w:ind w:right="20" w:firstLine="1500"/>
        <w:spacing w:after="0" w:line="269" w:lineRule="auto"/>
        <w:tabs>
          <w:tab w:leader="none" w:pos="1962" w:val="left"/>
        </w:tabs>
        <w:numPr>
          <w:ilvl w:val="1"/>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Agent’s and the Lenders’ receipt of a legal opinion of DLA Piper LLP (US) in form and substance reasonably satisfactory to the Blackstone Representative;</w:t>
      </w:r>
    </w:p>
    <w:p>
      <w:pPr>
        <w:spacing w:after="0" w:line="159" w:lineRule="exact"/>
        <w:rPr>
          <w:rFonts w:ascii="Times New Roman" w:cs="Times New Roman" w:eastAsia="Times New Roman" w:hAnsi="Times New Roman"/>
          <w:sz w:val="20"/>
          <w:szCs w:val="20"/>
          <w:color w:val="auto"/>
        </w:rPr>
      </w:pPr>
    </w:p>
    <w:p>
      <w:pPr>
        <w:jc w:val="both"/>
        <w:ind w:firstLine="1500"/>
        <w:spacing w:after="0" w:line="249" w:lineRule="auto"/>
        <w:tabs>
          <w:tab w:leader="none" w:pos="1962" w:val="left"/>
        </w:tabs>
        <w:numPr>
          <w:ilvl w:val="1"/>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Agent’s and the Lenders’ receipt of (i) evidence that the products liability and general liability insurance policies maintained regarding any Collateral are in full force and effect, and (ii) appropriate evidence showing loss payable or additional insured clauses or endorsements in favor of the Agent (such evidence to be in form and substance reasonably satisfactory to the Blackstone Representative);</w:t>
      </w:r>
    </w:p>
    <w:p>
      <w:pPr>
        <w:spacing w:after="0" w:line="179" w:lineRule="exact"/>
        <w:rPr>
          <w:rFonts w:ascii="Times New Roman" w:cs="Times New Roman" w:eastAsia="Times New Roman" w:hAnsi="Times New Roman"/>
          <w:sz w:val="20"/>
          <w:szCs w:val="20"/>
          <w:color w:val="auto"/>
        </w:rPr>
      </w:pPr>
    </w:p>
    <w:p>
      <w:pPr>
        <w:jc w:val="both"/>
        <w:ind w:firstLine="1500"/>
        <w:spacing w:after="0" w:line="254" w:lineRule="auto"/>
        <w:tabs>
          <w:tab w:leader="none" w:pos="1962" w:val="left"/>
        </w:tabs>
        <w:numPr>
          <w:ilvl w:val="1"/>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Agent’s and the Lenders’ receipt of all documentation and other information required by bank regulatory authorities under applicable “know-your-customer” and anti-money laundering rules and regulations, including the U.S.A. Patriot Act (Title III of Pub. L. 107-56 (signed into law October 26, 2001)) (the “</w:t>
      </w:r>
      <w:r>
        <w:rPr>
          <w:rFonts w:ascii="Times New Roman" w:cs="Times New Roman" w:eastAsia="Times New Roman" w:hAnsi="Times New Roman"/>
          <w:sz w:val="20"/>
          <w:szCs w:val="20"/>
          <w:b w:val="1"/>
          <w:bCs w:val="1"/>
          <w:color w:val="auto"/>
        </w:rPr>
        <w:t>Patriot Act</w:t>
      </w:r>
      <w:r>
        <w:rPr>
          <w:rFonts w:ascii="Times New Roman" w:cs="Times New Roman" w:eastAsia="Times New Roman" w:hAnsi="Times New Roman"/>
          <w:sz w:val="20"/>
          <w:szCs w:val="20"/>
          <w:color w:val="auto"/>
        </w:rPr>
        <w:t>”);</w:t>
      </w:r>
    </w:p>
    <w:p>
      <w:pPr>
        <w:spacing w:after="0" w:line="174" w:lineRule="exact"/>
        <w:rPr>
          <w:rFonts w:ascii="Times New Roman" w:cs="Times New Roman" w:eastAsia="Times New Roman" w:hAnsi="Times New Roman"/>
          <w:sz w:val="20"/>
          <w:szCs w:val="20"/>
          <w:color w:val="auto"/>
        </w:rPr>
      </w:pPr>
    </w:p>
    <w:p>
      <w:pPr>
        <w:ind w:firstLine="1500"/>
        <w:spacing w:after="0" w:line="269" w:lineRule="auto"/>
        <w:tabs>
          <w:tab w:leader="none" w:pos="1962" w:val="left"/>
        </w:tabs>
        <w:numPr>
          <w:ilvl w:val="1"/>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Agent’s and the Lenders’ receipt of the Agent Fee Letter and the Blackstone Representative’s receipt of the Lender Fee Letter, and payment of Lender and Agent Expenses and other fees then due as specified in </w:t>
      </w:r>
      <w:r>
        <w:rPr>
          <w:rFonts w:ascii="Times New Roman" w:cs="Times New Roman" w:eastAsia="Times New Roman" w:hAnsi="Times New Roman"/>
          <w:sz w:val="20"/>
          <w:szCs w:val="20"/>
          <w:u w:val="single" w:color="auto"/>
          <w:color w:val="auto"/>
        </w:rPr>
        <w:t>Sections 2.7</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11.2</w:t>
      </w:r>
      <w:r>
        <w:rPr>
          <w:rFonts w:ascii="Times New Roman" w:cs="Times New Roman" w:eastAsia="Times New Roman" w:hAnsi="Times New Roman"/>
          <w:sz w:val="20"/>
          <w:szCs w:val="20"/>
          <w:color w:val="auto"/>
        </w:rPr>
        <w:t xml:space="preserve"> hereof;</w:t>
      </w:r>
    </w:p>
    <w:p>
      <w:pPr>
        <w:spacing w:after="0" w:line="159" w:lineRule="exact"/>
        <w:rPr>
          <w:rFonts w:ascii="Times New Roman" w:cs="Times New Roman" w:eastAsia="Times New Roman" w:hAnsi="Times New Roman"/>
          <w:sz w:val="20"/>
          <w:szCs w:val="20"/>
          <w:color w:val="auto"/>
        </w:rPr>
      </w:pPr>
    </w:p>
    <w:p>
      <w:pPr>
        <w:jc w:val="both"/>
        <w:ind w:firstLine="1500"/>
        <w:spacing w:after="0" w:line="254" w:lineRule="auto"/>
        <w:tabs>
          <w:tab w:leader="none" w:pos="1962" w:val="left"/>
        </w:tabs>
        <w:numPr>
          <w:ilvl w:val="1"/>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Agent’s and the Lenders’ receipt of a certificate, dated the Closing Date and signed by a Responsible Officer of Borrower, confirming (i) there is no Adverse Proceeding pending or, to the Knowledge of the Credit Parties, threatened, that (x) contests the transactions contemplated by the Loan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592455</wp:posOffset>
            </wp:positionV>
            <wp:extent cx="7157720" cy="425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400" w:top="1426" w:right="339" w:bottom="1440" w:gutter="0" w:footer="0" w:header="0"/>
        </w:sectPr>
      </w:pPr>
    </w:p>
    <w:bookmarkStart w:id="158" w:name="page159"/>
    <w:bookmarkEnd w:id="158"/>
    <w:p>
      <w:pPr>
        <w:jc w:val="right"/>
        <w:ind w:right="4379"/>
        <w:spacing w:after="0"/>
        <w:rPr>
          <w:sz w:val="20"/>
          <w:szCs w:val="20"/>
          <w:color w:val="auto"/>
        </w:rPr>
      </w:pPr>
      <w:r>
        <w:rPr>
          <w:rFonts w:ascii="Times New Roman" w:cs="Times New Roman" w:eastAsia="Times New Roman" w:hAnsi="Times New Roman"/>
          <w:sz w:val="18"/>
          <w:szCs w:val="18"/>
          <w:color w:val="auto"/>
        </w:rPr>
        <w:t>18</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4905-3710-6484 v.17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600710</wp:posOffset>
            </wp:positionV>
            <wp:extent cx="7157720" cy="425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59"/>
          </w:cols>
          <w:pgMar w:left="400" w:top="1431" w:right="1440" w:bottom="1440" w:gutter="0" w:footer="0" w:header="0"/>
        </w:sectPr>
      </w:pPr>
    </w:p>
    <w:bookmarkStart w:id="159" w:name="page160"/>
    <w:bookmarkEnd w:id="159"/>
    <w:p>
      <w:pPr>
        <w:jc w:val="both"/>
        <w:spacing w:after="0" w:line="254" w:lineRule="auto"/>
        <w:rPr>
          <w:sz w:val="20"/>
          <w:szCs w:val="20"/>
          <w:color w:val="auto"/>
        </w:rPr>
      </w:pPr>
      <w:r>
        <w:rPr>
          <w:rFonts w:ascii="Times New Roman" w:cs="Times New Roman" w:eastAsia="Times New Roman" w:hAnsi="Times New Roman"/>
          <w:sz w:val="20"/>
          <w:szCs w:val="20"/>
          <w:color w:val="auto"/>
        </w:rPr>
        <w:t xml:space="preserve">Documents or (y) individually or in the aggregate could reasonably be expected to result in a Material Adverse Change, except as set forth on </w:t>
      </w:r>
      <w:r>
        <w:rPr>
          <w:rFonts w:ascii="Times New Roman" w:cs="Times New Roman" w:eastAsia="Times New Roman" w:hAnsi="Times New Roman"/>
          <w:sz w:val="20"/>
          <w:szCs w:val="20"/>
          <w:u w:val="single" w:color="auto"/>
          <w:color w:val="auto"/>
        </w:rPr>
        <w:t>Schedule 4.7</w:t>
      </w:r>
      <w:r>
        <w:rPr>
          <w:rFonts w:ascii="Times New Roman" w:cs="Times New Roman" w:eastAsia="Times New Roman" w:hAnsi="Times New Roman"/>
          <w:sz w:val="20"/>
          <w:szCs w:val="20"/>
          <w:color w:val="auto"/>
        </w:rPr>
        <w:t xml:space="preserve"> of the Disclosure Letter (such certificate to be in form and substance reasonably satisfactory to the Agent) and (ii) that Borrower and its Subsidiaries, on a consolidated basis, are Solvent;</w:t>
      </w:r>
    </w:p>
    <w:p>
      <w:pPr>
        <w:spacing w:after="0" w:line="174" w:lineRule="exact"/>
        <w:rPr>
          <w:sz w:val="20"/>
          <w:szCs w:val="20"/>
          <w:color w:val="auto"/>
        </w:rPr>
      </w:pPr>
    </w:p>
    <w:p>
      <w:pPr>
        <w:ind w:firstLine="1500"/>
        <w:spacing w:after="0" w:line="269" w:lineRule="auto"/>
        <w:tabs>
          <w:tab w:leader="none" w:pos="1962" w:val="left"/>
        </w:tabs>
        <w:numPr>
          <w:ilvl w:val="0"/>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Blackstone Representative’s receipt on or prior to the Closing Date of copies of each Material Contract identified as such in </w:t>
      </w:r>
      <w:r>
        <w:rPr>
          <w:rFonts w:ascii="Times New Roman" w:cs="Times New Roman" w:eastAsia="Times New Roman" w:hAnsi="Times New Roman"/>
          <w:sz w:val="20"/>
          <w:szCs w:val="20"/>
          <w:u w:val="single" w:color="auto"/>
          <w:color w:val="auto"/>
        </w:rPr>
        <w:t>Schedule 4.12</w:t>
      </w:r>
      <w:r>
        <w:rPr>
          <w:rFonts w:ascii="Times New Roman" w:cs="Times New Roman" w:eastAsia="Times New Roman" w:hAnsi="Times New Roman"/>
          <w:sz w:val="20"/>
          <w:szCs w:val="20"/>
          <w:color w:val="auto"/>
        </w:rPr>
        <w:t xml:space="preserve"> to the Disclosure Letter;</w:t>
      </w:r>
    </w:p>
    <w:p>
      <w:pPr>
        <w:spacing w:after="0" w:line="159" w:lineRule="exact"/>
        <w:rPr>
          <w:rFonts w:ascii="Times New Roman" w:cs="Times New Roman" w:eastAsia="Times New Roman" w:hAnsi="Times New Roman"/>
          <w:sz w:val="20"/>
          <w:szCs w:val="20"/>
          <w:color w:val="auto"/>
        </w:rPr>
      </w:pPr>
    </w:p>
    <w:p>
      <w:pPr>
        <w:jc w:val="both"/>
        <w:ind w:firstLine="1500"/>
        <w:spacing w:after="0" w:line="244" w:lineRule="auto"/>
        <w:tabs>
          <w:tab w:leader="none" w:pos="1962" w:val="left"/>
        </w:tabs>
        <w:numPr>
          <w:ilvl w:val="0"/>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Existing Indebtedness (other than Contingent Obligations (including indemnification obligations) that by their terms are to survive the termination of the relevant loan documentation and debt instruments evidencing the Existing Indebtedness) shall have been (or substantially concurrently with making of the Initial Term Loan on the Closing Date shall be) repaid or satisfied and discharged, and in connection therewith all guarantees and Liens in respect thereof shall have been released (including any reassignment, as applicable) on the Closing Date, and the Agent shall have received customary payoff letters and lien release documents in form and substance reasonably satisfactory to the Blackstone Representative relating to all such Existing Indebtedness, which payoff documentation and releases shall become effective pursuant to their terms;</w:t>
      </w:r>
    </w:p>
    <w:p>
      <w:pPr>
        <w:spacing w:after="0" w:line="185" w:lineRule="exact"/>
        <w:rPr>
          <w:rFonts w:ascii="Times New Roman" w:cs="Times New Roman" w:eastAsia="Times New Roman" w:hAnsi="Times New Roman"/>
          <w:sz w:val="20"/>
          <w:szCs w:val="20"/>
          <w:color w:val="auto"/>
        </w:rPr>
      </w:pPr>
    </w:p>
    <w:p>
      <w:pPr>
        <w:ind w:firstLine="1500"/>
        <w:spacing w:after="0" w:line="269" w:lineRule="auto"/>
        <w:tabs>
          <w:tab w:leader="none" w:pos="1962" w:val="left"/>
        </w:tabs>
        <w:numPr>
          <w:ilvl w:val="0"/>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Agent’s and Blackstone Representative’s receipt on or prior to the Closing Date of the Intercompany Subordination Agreement;</w:t>
      </w:r>
    </w:p>
    <w:p>
      <w:pPr>
        <w:spacing w:after="0" w:line="159" w:lineRule="exact"/>
        <w:rPr>
          <w:rFonts w:ascii="Times New Roman" w:cs="Times New Roman" w:eastAsia="Times New Roman" w:hAnsi="Times New Roman"/>
          <w:sz w:val="20"/>
          <w:szCs w:val="20"/>
          <w:color w:val="auto"/>
        </w:rPr>
      </w:pPr>
    </w:p>
    <w:p>
      <w:pPr>
        <w:jc w:val="both"/>
        <w:ind w:firstLine="1500"/>
        <w:spacing w:after="0" w:line="245" w:lineRule="auto"/>
        <w:tabs>
          <w:tab w:leader="none" w:pos="1962" w:val="left"/>
        </w:tabs>
        <w:numPr>
          <w:ilvl w:val="0"/>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representations and warranties made by the Credit Parties in </w:t>
      </w:r>
      <w:r>
        <w:rPr>
          <w:rFonts w:ascii="Times New Roman" w:cs="Times New Roman" w:eastAsia="Times New Roman" w:hAnsi="Times New Roman"/>
          <w:sz w:val="20"/>
          <w:szCs w:val="20"/>
          <w:u w:val="single" w:color="auto"/>
          <w:color w:val="auto"/>
        </w:rPr>
        <w:t>Section 4</w:t>
      </w:r>
      <w:r>
        <w:rPr>
          <w:rFonts w:ascii="Times New Roman" w:cs="Times New Roman" w:eastAsia="Times New Roman" w:hAnsi="Times New Roman"/>
          <w:sz w:val="20"/>
          <w:szCs w:val="20"/>
          <w:color w:val="auto"/>
        </w:rPr>
        <w:t xml:space="preserve"> of this Agreement and in the other Loan Documents are true and correct in all material respects, unless any such representation or warranty is stated to relate to a specific earlier date, in which case such representation or warranty shall be true and correct in all material respects as of such earlier date (it being understood that any representation or warranty that is qualified as to “materiality,” “Material Adverse Change,” or similar language shall be true and correct in all respects, in each case, on the Closing Date (both with and without giving effect to the Initial Term Loan) or as of such earlier date, as applicable);</w:t>
      </w:r>
    </w:p>
    <w:p>
      <w:pPr>
        <w:spacing w:after="0" w:line="184" w:lineRule="exact"/>
        <w:rPr>
          <w:rFonts w:ascii="Times New Roman" w:cs="Times New Roman" w:eastAsia="Times New Roman" w:hAnsi="Times New Roman"/>
          <w:sz w:val="20"/>
          <w:szCs w:val="20"/>
          <w:color w:val="auto"/>
        </w:rPr>
      </w:pPr>
    </w:p>
    <w:p>
      <w:pPr>
        <w:ind w:left="1960" w:hanging="460"/>
        <w:spacing w:after="0"/>
        <w:tabs>
          <w:tab w:leader="none" w:pos="1960" w:val="left"/>
        </w:tabs>
        <w:numPr>
          <w:ilvl w:val="0"/>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there shall not have occurred (i) any Material Adverse Change or (ii) any Default or Event of Default;</w:t>
      </w:r>
    </w:p>
    <w:p>
      <w:pPr>
        <w:spacing w:after="0" w:line="215" w:lineRule="exact"/>
        <w:rPr>
          <w:rFonts w:ascii="Times New Roman" w:cs="Times New Roman" w:eastAsia="Times New Roman" w:hAnsi="Times New Roman"/>
          <w:sz w:val="20"/>
          <w:szCs w:val="20"/>
          <w:color w:val="auto"/>
        </w:rPr>
      </w:pPr>
    </w:p>
    <w:p>
      <w:pPr>
        <w:ind w:left="1960" w:hanging="460"/>
        <w:spacing w:after="0"/>
        <w:tabs>
          <w:tab w:leader="none" w:pos="1960" w:val="left"/>
        </w:tabs>
        <w:numPr>
          <w:ilvl w:val="0"/>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Lenders shall be satisfied with lien searches regarding the Credit Parties made as of a date reasonably close to</w:t>
      </w:r>
    </w:p>
    <w:p>
      <w:pPr>
        <w:spacing w:after="0" w:line="21"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Closing Date;</w:t>
      </w:r>
    </w:p>
    <w:p>
      <w:pPr>
        <w:spacing w:after="0" w:line="193" w:lineRule="exact"/>
        <w:rPr>
          <w:rFonts w:ascii="Times New Roman" w:cs="Times New Roman" w:eastAsia="Times New Roman" w:hAnsi="Times New Roman"/>
          <w:sz w:val="20"/>
          <w:szCs w:val="20"/>
          <w:color w:val="auto"/>
        </w:rPr>
      </w:pPr>
    </w:p>
    <w:p>
      <w:pPr>
        <w:jc w:val="both"/>
        <w:ind w:firstLine="1500"/>
        <w:spacing w:after="0" w:line="245" w:lineRule="auto"/>
        <w:tabs>
          <w:tab w:leader="none" w:pos="1962" w:val="left"/>
        </w:tabs>
        <w:numPr>
          <w:ilvl w:val="0"/>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Agent’s receipt of all certificates (in the case of Equity Interests that are certificated securities (as defined in the UCC)) evidencing the issued and outstanding capital securities owned by each Credit Party that are required to be pledged and so delivered under the Security Agreement, together with stock powers or assignments, as applicable, properly endorsed for transfer to the Agent or duly executed in blank, in each case reasonably satisfactory to the Agent, or, in the case of Equity Interests that are uncertificated securities (as defined in the UCC), an executed uncertificated stock control agreement among the issuer, the registered owner and the Agent substantially in the form attached as an Annex to the Security Agreement; and</w:t>
      </w:r>
    </w:p>
    <w:p>
      <w:pPr>
        <w:spacing w:after="0" w:line="184" w:lineRule="exact"/>
        <w:rPr>
          <w:rFonts w:ascii="Times New Roman" w:cs="Times New Roman" w:eastAsia="Times New Roman" w:hAnsi="Times New Roman"/>
          <w:sz w:val="20"/>
          <w:szCs w:val="20"/>
          <w:color w:val="auto"/>
        </w:rPr>
      </w:pPr>
    </w:p>
    <w:p>
      <w:pPr>
        <w:jc w:val="both"/>
        <w:ind w:firstLine="1500"/>
        <w:spacing w:after="0" w:line="254" w:lineRule="auto"/>
        <w:tabs>
          <w:tab w:leader="none" w:pos="1962" w:val="left"/>
        </w:tabs>
        <w:numPr>
          <w:ilvl w:val="0"/>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Agent’s and the Lenders’ receipt on or prior to the Closing Date of (x) the Borrowing Notice in accordance with the terms of </w:t>
      </w:r>
      <w:r>
        <w:rPr>
          <w:rFonts w:ascii="Times New Roman" w:cs="Times New Roman" w:eastAsia="Times New Roman" w:hAnsi="Times New Roman"/>
          <w:sz w:val="20"/>
          <w:szCs w:val="20"/>
          <w:u w:val="single" w:color="auto"/>
          <w:color w:val="auto"/>
        </w:rPr>
        <w:t>Section 2.2(a)(v)</w:t>
      </w:r>
      <w:r>
        <w:rPr>
          <w:rFonts w:ascii="Times New Roman" w:cs="Times New Roman" w:eastAsia="Times New Roman" w:hAnsi="Times New Roman"/>
          <w:sz w:val="20"/>
          <w:szCs w:val="20"/>
          <w:color w:val="auto"/>
        </w:rPr>
        <w:t xml:space="preserve"> and (y) the Payment / Advance Form in each case in form and substance satisfactory to the Blackstone Representative.</w:t>
      </w:r>
    </w:p>
    <w:p>
      <w:pPr>
        <w:spacing w:after="0" w:line="174" w:lineRule="exact"/>
        <w:rPr>
          <w:sz w:val="20"/>
          <w:szCs w:val="20"/>
          <w:color w:val="auto"/>
        </w:rPr>
      </w:pPr>
    </w:p>
    <w:p>
      <w:pPr>
        <w:jc w:val="both"/>
        <w:ind w:firstLine="674"/>
        <w:spacing w:after="0" w:line="254" w:lineRule="auto"/>
        <w:rPr>
          <w:sz w:val="20"/>
          <w:szCs w:val="20"/>
          <w:color w:val="auto"/>
        </w:rPr>
      </w:pPr>
      <w:r>
        <w:rPr>
          <w:rFonts w:ascii="Times New Roman" w:cs="Times New Roman" w:eastAsia="Times New Roman" w:hAnsi="Times New Roman"/>
          <w:sz w:val="20"/>
          <w:szCs w:val="20"/>
          <w:color w:val="auto"/>
        </w:rPr>
        <w:t xml:space="preserve">For purposes of determining compliance with the conditions specified in </w:t>
      </w:r>
      <w:r>
        <w:rPr>
          <w:rFonts w:ascii="Times New Roman" w:cs="Times New Roman" w:eastAsia="Times New Roman" w:hAnsi="Times New Roman"/>
          <w:sz w:val="20"/>
          <w:szCs w:val="20"/>
          <w:u w:val="single" w:color="auto"/>
          <w:color w:val="auto"/>
        </w:rPr>
        <w:t>Section 3.1</w:t>
      </w:r>
      <w:r>
        <w:rPr>
          <w:rFonts w:ascii="Times New Roman" w:cs="Times New Roman" w:eastAsia="Times New Roman" w:hAnsi="Times New Roman"/>
          <w:sz w:val="20"/>
          <w:szCs w:val="20"/>
          <w:color w:val="auto"/>
        </w:rPr>
        <w:t xml:space="preserve"> on the Closing Date, each Lender that has signed this Agreement shall be deemed to have consented to, approved, or accepted or to be satisfied with, each document or other matter required thereunder to be consented to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592455</wp:posOffset>
            </wp:positionV>
            <wp:extent cx="7157720" cy="425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400" w:top="1426" w:right="339" w:bottom="1440" w:gutter="0" w:footer="0" w:header="0"/>
        </w:sectPr>
      </w:pPr>
    </w:p>
    <w:bookmarkStart w:id="160" w:name="page161"/>
    <w:bookmarkEnd w:id="160"/>
    <w:p>
      <w:pPr>
        <w:spacing w:after="0" w:line="200" w:lineRule="exact"/>
        <w:rPr>
          <w:sz w:val="20"/>
          <w:szCs w:val="20"/>
          <w:color w:val="auto"/>
        </w:rPr>
      </w:pPr>
    </w:p>
    <w:p>
      <w:pPr>
        <w:spacing w:after="0" w:line="210" w:lineRule="exact"/>
        <w:rPr>
          <w:sz w:val="20"/>
          <w:szCs w:val="20"/>
          <w:color w:val="auto"/>
        </w:rPr>
      </w:pPr>
    </w:p>
    <w:p>
      <w:pPr>
        <w:jc w:val="right"/>
        <w:ind w:right="4379"/>
        <w:spacing w:after="0"/>
        <w:rPr>
          <w:sz w:val="20"/>
          <w:szCs w:val="20"/>
          <w:color w:val="auto"/>
        </w:rPr>
      </w:pPr>
      <w:r>
        <w:rPr>
          <w:rFonts w:ascii="Times New Roman" w:cs="Times New Roman" w:eastAsia="Times New Roman" w:hAnsi="Times New Roman"/>
          <w:sz w:val="18"/>
          <w:szCs w:val="18"/>
          <w:color w:val="auto"/>
        </w:rPr>
        <w:t>19</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4905-3710-6484 v.17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600710</wp:posOffset>
            </wp:positionV>
            <wp:extent cx="7157720" cy="425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59"/>
          </w:cols>
          <w:pgMar w:left="400" w:top="1440" w:right="1440" w:bottom="1440" w:gutter="0" w:footer="0" w:header="0"/>
        </w:sectPr>
      </w:pPr>
    </w:p>
    <w:bookmarkStart w:id="161" w:name="page162"/>
    <w:bookmarkEnd w:id="161"/>
    <w:p>
      <w:pPr>
        <w:spacing w:after="0" w:line="269" w:lineRule="auto"/>
        <w:rPr>
          <w:sz w:val="20"/>
          <w:szCs w:val="20"/>
          <w:color w:val="auto"/>
        </w:rPr>
      </w:pPr>
      <w:r>
        <w:rPr>
          <w:rFonts w:ascii="Times New Roman" w:cs="Times New Roman" w:eastAsia="Times New Roman" w:hAnsi="Times New Roman"/>
          <w:sz w:val="20"/>
          <w:szCs w:val="20"/>
          <w:color w:val="auto"/>
        </w:rPr>
        <w:t>approved by or acceptable or satisfactory to a Lender unless the Agent shall have received written notice from such Lender prior to the proposed Closing Date specifying its objection thereto.</w:t>
      </w:r>
    </w:p>
    <w:p>
      <w:pPr>
        <w:spacing w:after="0" w:line="142" w:lineRule="exact"/>
        <w:rPr>
          <w:sz w:val="20"/>
          <w:szCs w:val="20"/>
          <w:color w:val="auto"/>
        </w:rPr>
      </w:pPr>
    </w:p>
    <w:p>
      <w:pPr>
        <w:ind w:firstLine="749"/>
        <w:spacing w:after="0" w:line="273" w:lineRule="auto"/>
        <w:rPr>
          <w:sz w:val="20"/>
          <w:szCs w:val="20"/>
          <w:color w:val="auto"/>
        </w:rPr>
      </w:pPr>
      <w:r>
        <w:rPr>
          <w:rFonts w:ascii="Times New Roman" w:cs="Times New Roman" w:eastAsia="Times New Roman" w:hAnsi="Times New Roman"/>
          <w:sz w:val="20"/>
          <w:szCs w:val="20"/>
          <w:b w:val="1"/>
          <w:bCs w:val="1"/>
          <w:color w:val="auto"/>
        </w:rPr>
        <w:t>3.2. Conditions to Each Credit Extension</w:t>
      </w:r>
      <w:r>
        <w:rPr>
          <w:rFonts w:ascii="Times New Roman" w:cs="Times New Roman" w:eastAsia="Times New Roman" w:hAnsi="Times New Roman"/>
          <w:sz w:val="20"/>
          <w:szCs w:val="20"/>
          <w:color w:val="auto"/>
        </w:rPr>
        <w:t>. The obligation of each Lender to make any Credit Extension requested to be made by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it hereunder on any date is subject to the satisfaction or waiver of the following conditions precedent:</w:t>
      </w:r>
    </w:p>
    <w:p>
      <w:pPr>
        <w:spacing w:after="0" w:line="156" w:lineRule="exact"/>
        <w:rPr>
          <w:sz w:val="20"/>
          <w:szCs w:val="20"/>
          <w:color w:val="auto"/>
        </w:rPr>
      </w:pPr>
    </w:p>
    <w:p>
      <w:pPr>
        <w:jc w:val="both"/>
        <w:ind w:firstLine="1580"/>
        <w:spacing w:after="0" w:line="245" w:lineRule="auto"/>
        <w:tabs>
          <w:tab w:leader="none" w:pos="2033" w:val="left"/>
        </w:tabs>
        <w:numPr>
          <w:ilvl w:val="0"/>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representations and warranties made by the Credit Parties in </w:t>
      </w:r>
      <w:r>
        <w:rPr>
          <w:rFonts w:ascii="Times New Roman" w:cs="Times New Roman" w:eastAsia="Times New Roman" w:hAnsi="Times New Roman"/>
          <w:sz w:val="20"/>
          <w:szCs w:val="20"/>
          <w:u w:val="single" w:color="auto"/>
          <w:color w:val="auto"/>
        </w:rPr>
        <w:t>Section 4</w:t>
      </w:r>
      <w:r>
        <w:rPr>
          <w:rFonts w:ascii="Times New Roman" w:cs="Times New Roman" w:eastAsia="Times New Roman" w:hAnsi="Times New Roman"/>
          <w:sz w:val="20"/>
          <w:szCs w:val="20"/>
          <w:color w:val="auto"/>
        </w:rPr>
        <w:t xml:space="preserve"> of this Agreement and in the other Loan Documents are true and correct in all material respects, unless any such representation or warranty is stated to relate to a specific earlier date, in which case such representation or warranty shall be true and correct in all material respects as of such earlier date (it being understood that any representation or warranty that is qualified as to “materiality,” “Material Adverse Change,” or similar language shall be true and correct in all respects, in each case, on the date on which the Term Loan is made (both with and without giving effect to the Term Loan) or as of such earlier date, as applicable);</w:t>
      </w:r>
    </w:p>
    <w:p>
      <w:pPr>
        <w:spacing w:after="0" w:line="184" w:lineRule="exact"/>
        <w:rPr>
          <w:rFonts w:ascii="Times New Roman" w:cs="Times New Roman" w:eastAsia="Times New Roman" w:hAnsi="Times New Roman"/>
          <w:sz w:val="20"/>
          <w:szCs w:val="20"/>
          <w:color w:val="auto"/>
        </w:rPr>
      </w:pPr>
    </w:p>
    <w:p>
      <w:pPr>
        <w:ind w:left="2040" w:hanging="460"/>
        <w:spacing w:after="0"/>
        <w:tabs>
          <w:tab w:leader="none" w:pos="2040" w:val="left"/>
        </w:tabs>
        <w:numPr>
          <w:ilvl w:val="0"/>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there shall not have occurred (i) any Material Adverse Change or (ii) any Default or Event of Default;</w:t>
      </w:r>
    </w:p>
    <w:p>
      <w:pPr>
        <w:spacing w:after="0" w:line="202" w:lineRule="exact"/>
        <w:rPr>
          <w:rFonts w:ascii="Times New Roman" w:cs="Times New Roman" w:eastAsia="Times New Roman" w:hAnsi="Times New Roman"/>
          <w:sz w:val="20"/>
          <w:szCs w:val="20"/>
          <w:color w:val="auto"/>
        </w:rPr>
      </w:pPr>
    </w:p>
    <w:p>
      <w:pPr>
        <w:ind w:firstLine="1580"/>
        <w:spacing w:after="0" w:line="269" w:lineRule="auto"/>
        <w:tabs>
          <w:tab w:leader="none" w:pos="2033" w:val="left"/>
        </w:tabs>
        <w:numPr>
          <w:ilvl w:val="0"/>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a borrowing of Tranche A Delayed Draw Term Loans, such borrowing shall occur during the Tranche A Delayed Draw Commitment Period;</w:t>
      </w:r>
    </w:p>
    <w:p>
      <w:pPr>
        <w:spacing w:after="0" w:line="159" w:lineRule="exact"/>
        <w:rPr>
          <w:rFonts w:ascii="Times New Roman" w:cs="Times New Roman" w:eastAsia="Times New Roman" w:hAnsi="Times New Roman"/>
          <w:sz w:val="20"/>
          <w:szCs w:val="20"/>
          <w:color w:val="auto"/>
        </w:rPr>
      </w:pPr>
    </w:p>
    <w:p>
      <w:pPr>
        <w:ind w:firstLine="1580"/>
        <w:spacing w:after="0" w:line="269" w:lineRule="auto"/>
        <w:tabs>
          <w:tab w:leader="none" w:pos="2033" w:val="left"/>
        </w:tabs>
        <w:numPr>
          <w:ilvl w:val="0"/>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a borrowing of Tranche B Delayed Draw Term Loans, such borrowing shall occur during the Tranche B Delayed Draw Commitment Period; and</w:t>
      </w:r>
    </w:p>
    <w:p>
      <w:pPr>
        <w:spacing w:after="0" w:line="159" w:lineRule="exact"/>
        <w:rPr>
          <w:rFonts w:ascii="Times New Roman" w:cs="Times New Roman" w:eastAsia="Times New Roman" w:hAnsi="Times New Roman"/>
          <w:sz w:val="20"/>
          <w:szCs w:val="20"/>
          <w:color w:val="auto"/>
        </w:rPr>
      </w:pPr>
    </w:p>
    <w:p>
      <w:pPr>
        <w:ind w:left="2040" w:hanging="460"/>
        <w:spacing w:after="0"/>
        <w:tabs>
          <w:tab w:leader="none" w:pos="2040" w:val="left"/>
        </w:tabs>
        <w:numPr>
          <w:ilvl w:val="0"/>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Agent shall have received a fully executed Borrowing Notice in accordance with </w:t>
      </w:r>
      <w:r>
        <w:rPr>
          <w:rFonts w:ascii="Times New Roman" w:cs="Times New Roman" w:eastAsia="Times New Roman" w:hAnsi="Times New Roman"/>
          <w:sz w:val="20"/>
          <w:szCs w:val="20"/>
          <w:u w:val="single" w:color="auto"/>
          <w:color w:val="auto"/>
        </w:rPr>
        <w:t>Section 2.2(a)(v)</w:t>
      </w: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6452235</wp:posOffset>
            </wp:positionH>
            <wp:positionV relativeFrom="paragraph">
              <wp:posOffset>-10795</wp:posOffset>
            </wp:positionV>
            <wp:extent cx="31115"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5">
                      <a:extLst>
                        <a:ext uri="{28A0092B-C50C-407E-A947-70E740481C1C}"/>
                      </a:extLst>
                    </a:blip>
                    <a:srcRect/>
                    <a:stretch>
                      <a:fillRect/>
                    </a:stretch>
                  </pic:blipFill>
                  <pic:spPr bwMode="auto">
                    <a:xfrm>
                      <a:off x="0" y="0"/>
                      <a:ext cx="31115" cy="8255"/>
                    </a:xfrm>
                    <a:prstGeom prst="rect">
                      <a:avLst/>
                    </a:prstGeom>
                    <a:noFill/>
                  </pic:spPr>
                </pic:pic>
              </a:graphicData>
            </a:graphic>
          </wp:anchor>
        </w:drawing>
      </w:r>
    </w:p>
    <w:p>
      <w:pPr>
        <w:spacing w:after="0" w:line="196"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 xml:space="preserve">Each delivery of a Borrowing Notice or notice requesting the issuance, amendment, extension and the acceptance by the Borrower of the proceeds of such Credit Extension shall constitute a representation and warranty by the Borrower that on the date of such Credit Extension (both immediately before and after giving effect to such Credit Extension and the application of the proceeds thereof) the conditions contained in this </w:t>
      </w:r>
      <w:r>
        <w:rPr>
          <w:rFonts w:ascii="Times New Roman" w:cs="Times New Roman" w:eastAsia="Times New Roman" w:hAnsi="Times New Roman"/>
          <w:sz w:val="20"/>
          <w:szCs w:val="20"/>
          <w:u w:val="single" w:color="auto"/>
          <w:color w:val="auto"/>
        </w:rPr>
        <w:t>Section 3.2</w:t>
      </w:r>
      <w:r>
        <w:rPr>
          <w:rFonts w:ascii="Times New Roman" w:cs="Times New Roman" w:eastAsia="Times New Roman" w:hAnsi="Times New Roman"/>
          <w:sz w:val="20"/>
          <w:szCs w:val="20"/>
          <w:color w:val="auto"/>
        </w:rPr>
        <w:t xml:space="preserve"> have been satisfied. The Borrower shall provide such information as the Agent may request to confirm that the conditions in this </w:t>
      </w:r>
      <w:r>
        <w:rPr>
          <w:rFonts w:ascii="Times New Roman" w:cs="Times New Roman" w:eastAsia="Times New Roman" w:hAnsi="Times New Roman"/>
          <w:sz w:val="20"/>
          <w:szCs w:val="20"/>
          <w:u w:val="single" w:color="auto"/>
          <w:color w:val="auto"/>
        </w:rPr>
        <w:t>Section 3.2</w:t>
      </w:r>
      <w:r>
        <w:rPr>
          <w:rFonts w:ascii="Times New Roman" w:cs="Times New Roman" w:eastAsia="Times New Roman" w:hAnsi="Times New Roman"/>
          <w:sz w:val="20"/>
          <w:szCs w:val="20"/>
          <w:color w:val="auto"/>
        </w:rPr>
        <w:t xml:space="preserve"> have been satisfied.</w:t>
      </w:r>
    </w:p>
    <w:p>
      <w:pPr>
        <w:spacing w:after="0" w:line="167"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b w:val="1"/>
          <w:bCs w:val="1"/>
          <w:color w:val="auto"/>
        </w:rPr>
        <w:t>3.3. Covenant to Deliver</w:t>
      </w:r>
      <w:r>
        <w:rPr>
          <w:rFonts w:ascii="Times New Roman" w:cs="Times New Roman" w:eastAsia="Times New Roman" w:hAnsi="Times New Roman"/>
          <w:sz w:val="20"/>
          <w:szCs w:val="20"/>
          <w:color w:val="auto"/>
        </w:rPr>
        <w:t>. The Credit Parties agree to deliver to the Agent and the Lenders, if applicable, each item required to be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delivered to the Agent and the Lenders, if applicable, under this Agreement as a condition precedent to any Credit Extension. The Credit Parties expressly agree that a Credit Extension made prior to the receipt by Agent and the Lenders, if applicable, of any such item shall not constitute a waiver by the Agent, the Blackstone Representative or any Lender of the Credit Parties’ obligation to deliver such item, and the making of any Credit Extension in the absence of any such item required to have been delivered by the date of such Credit Extension shall be in the Agent’s (acting at the direction of the Required Lenders) sole discretion.</w:t>
      </w:r>
    </w:p>
    <w:p>
      <w:pPr>
        <w:spacing w:after="0" w:line="179"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b w:val="1"/>
          <w:bCs w:val="1"/>
          <w:color w:val="auto"/>
        </w:rPr>
        <w:t>3.4. Procedures for Borrowing</w:t>
      </w:r>
      <w:r>
        <w:rPr>
          <w:rFonts w:ascii="Times New Roman" w:cs="Times New Roman" w:eastAsia="Times New Roman" w:hAnsi="Times New Roman"/>
          <w:sz w:val="20"/>
          <w:szCs w:val="20"/>
          <w:color w:val="auto"/>
        </w:rPr>
        <w:t>. Subject to the prior satisfaction of all other applicable conditions to the making of any Loan set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forth in this Agreement, to obtain such Loan, Borrower shall deliver to the Agent by electronic mail or facsimile a completed Payment/Advance Form in the form of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xml:space="preserve"> hereto executed by a Responsible Officer of Borrower unless waived by the Blackstone Representative.</w:t>
      </w:r>
    </w:p>
    <w:p>
      <w:pPr>
        <w:spacing w:after="0" w:line="176" w:lineRule="exact"/>
        <w:rPr>
          <w:sz w:val="20"/>
          <w:szCs w:val="20"/>
          <w:color w:val="auto"/>
        </w:rPr>
      </w:pPr>
    </w:p>
    <w:p>
      <w:pPr>
        <w:ind w:left="1160" w:hanging="403"/>
        <w:spacing w:after="0"/>
        <w:tabs>
          <w:tab w:leader="none" w:pos="1160" w:val="left"/>
        </w:tabs>
        <w:numPr>
          <w:ilvl w:val="0"/>
          <w:numId w:val="8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REPRESENTATIONS AND WARRANTIES</w:t>
      </w:r>
    </w:p>
    <w:p>
      <w:pPr>
        <w:spacing w:after="0" w:line="220" w:lineRule="exact"/>
        <w:rPr>
          <w:sz w:val="20"/>
          <w:szCs w:val="20"/>
          <w:color w:val="auto"/>
        </w:rPr>
      </w:pPr>
    </w:p>
    <w:p>
      <w:pPr>
        <w:ind w:firstLine="749"/>
        <w:spacing w:after="0" w:line="269" w:lineRule="auto"/>
        <w:rPr>
          <w:sz w:val="20"/>
          <w:szCs w:val="20"/>
          <w:color w:val="auto"/>
        </w:rPr>
      </w:pPr>
      <w:r>
        <w:rPr>
          <w:rFonts w:ascii="Times New Roman" w:cs="Times New Roman" w:eastAsia="Times New Roman" w:hAnsi="Times New Roman"/>
          <w:sz w:val="20"/>
          <w:szCs w:val="20"/>
          <w:color w:val="auto"/>
        </w:rPr>
        <w:t>In order to induce the Agent, the Blackstone Representative and the Lenders to enter into this Agreement and make the Credit Extensions from time to time, each Credit Party, jointly and severally,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582930</wp:posOffset>
            </wp:positionV>
            <wp:extent cx="7157720" cy="425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26" w:right="419" w:bottom="1440" w:gutter="0" w:footer="0" w:header="0"/>
        </w:sectPr>
      </w:pPr>
    </w:p>
    <w:bookmarkStart w:id="162" w:name="page163"/>
    <w:bookmarkEnd w:id="162"/>
    <w:p>
      <w:pPr>
        <w:jc w:val="right"/>
        <w:ind w:right="4459"/>
        <w:spacing w:after="0"/>
        <w:rPr>
          <w:sz w:val="20"/>
          <w:szCs w:val="20"/>
          <w:color w:val="auto"/>
        </w:rPr>
      </w:pPr>
      <w:r>
        <w:rPr>
          <w:rFonts w:ascii="Times New Roman" w:cs="Times New Roman" w:eastAsia="Times New Roman" w:hAnsi="Times New Roman"/>
          <w:sz w:val="18"/>
          <w:szCs w:val="18"/>
          <w:color w:val="auto"/>
        </w:rPr>
        <w:t>20</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4905-3710-6484 v.17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600710</wp:posOffset>
            </wp:positionV>
            <wp:extent cx="7157720" cy="425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17" w:right="1440" w:bottom="1440" w:gutter="0" w:footer="0" w:header="0"/>
        </w:sectPr>
      </w:pPr>
    </w:p>
    <w:bookmarkStart w:id="163" w:name="page164"/>
    <w:bookmarkEnd w:id="163"/>
    <w:p>
      <w:pPr>
        <w:jc w:val="both"/>
        <w:spacing w:after="0" w:line="254" w:lineRule="auto"/>
        <w:rPr>
          <w:sz w:val="20"/>
          <w:szCs w:val="20"/>
          <w:color w:val="auto"/>
        </w:rPr>
      </w:pPr>
      <w:r>
        <w:rPr>
          <w:rFonts w:ascii="Times New Roman" w:cs="Times New Roman" w:eastAsia="Times New Roman" w:hAnsi="Times New Roman"/>
          <w:sz w:val="20"/>
          <w:szCs w:val="20"/>
          <w:color w:val="auto"/>
        </w:rPr>
        <w:t>represents and warrants on behalf of itself and its Subsidiaries, to the Agent, the Blackstone Representative and each Lender that the following statements are true and correct as of the Closing Date and on each Funding Date (both with and without giving effect to such Loan) and as of any other date on which the representations and warranties are required to be made:</w:t>
      </w:r>
    </w:p>
    <w:p>
      <w:pPr>
        <w:spacing w:after="0" w:line="17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0"/>
          <w:szCs w:val="20"/>
          <w:b w:val="1"/>
          <w:bCs w:val="1"/>
          <w:color w:val="auto"/>
        </w:rPr>
        <w:t>4.1. Due Organization, Power and Authority</w:t>
      </w:r>
      <w:r>
        <w:rPr>
          <w:rFonts w:ascii="Times New Roman" w:cs="Times New Roman" w:eastAsia="Times New Roman" w:hAnsi="Times New Roman"/>
          <w:sz w:val="20"/>
          <w:szCs w:val="20"/>
          <w:color w:val="auto"/>
        </w:rPr>
        <w:t>. Each of Borrower and each of its Subsidiaries</w:t>
      </w:r>
    </w:p>
    <w:p>
      <w:pPr>
        <w:spacing w:after="0" w:line="26" w:lineRule="exact"/>
        <w:rPr>
          <w:sz w:val="20"/>
          <w:szCs w:val="20"/>
          <w:color w:val="auto"/>
        </w:rPr>
      </w:pPr>
    </w:p>
    <w:p>
      <w:pPr>
        <w:jc w:val="both"/>
        <w:ind w:firstLine="8"/>
        <w:spacing w:after="0" w:line="239" w:lineRule="auto"/>
        <w:tabs>
          <w:tab w:leader="none" w:pos="279" w:val="left"/>
        </w:tabs>
        <w:numPr>
          <w:ilvl w:val="0"/>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is duly incorporated, organized or formed, and validly existing and, where applicable, in good standing under the laws of its jurisdiction of incorporation, organization or formation identified on </w:t>
      </w:r>
      <w:r>
        <w:rPr>
          <w:rFonts w:ascii="Times New Roman" w:cs="Times New Roman" w:eastAsia="Times New Roman" w:hAnsi="Times New Roman"/>
          <w:sz w:val="20"/>
          <w:szCs w:val="20"/>
          <w:u w:val="single" w:color="auto"/>
          <w:color w:val="auto"/>
        </w:rPr>
        <w:t>Schedule 4.15</w:t>
      </w:r>
      <w:r>
        <w:rPr>
          <w:rFonts w:ascii="Times New Roman" w:cs="Times New Roman" w:eastAsia="Times New Roman" w:hAnsi="Times New Roman"/>
          <w:sz w:val="20"/>
          <w:szCs w:val="20"/>
          <w:color w:val="auto"/>
        </w:rPr>
        <w:t xml:space="preserve"> of the Disclosure Letter, (b) has all requisite power and authority to</w:t>
      </w:r>
    </w:p>
    <w:p>
      <w:pPr>
        <w:jc w:val="both"/>
        <w:ind w:firstLine="8"/>
        <w:spacing w:after="0"/>
        <w:tabs>
          <w:tab w:leader="none" w:pos="237" w:val="left"/>
        </w:tabs>
        <w:numPr>
          <w:ilvl w:val="0"/>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own, lease, license and operate its assets and properties and to carry on its business as currently conducted, and (ii) execute and deliver the Loan Documents to which it is a party and to perform its obligations thereunder and otherwise carry out the transactions contemplated thereby, (c) is duly qualified and, where applicable, in good standing under the laws of each jurisdiction where its ownership, lease, license or operation of assets or properties or the conduct of its business requires such qualification, and (d) has all requisite Governmental Approvals to operate its business as currently conducted, except, in each case referred to in clauses (a) (other than with respect to Borrower and any other Credit Party), (b)(i), (c) or (d) above, to the extent that failure to do so could not, individually or in the aggregate, reasonably be expected to result in a Material Adverse Change.</w:t>
      </w:r>
    </w:p>
    <w:p>
      <w:pPr>
        <w:spacing w:after="0" w:line="18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0"/>
          <w:szCs w:val="20"/>
          <w:b w:val="1"/>
          <w:bCs w:val="1"/>
          <w:color w:val="auto"/>
        </w:rPr>
        <w:t>4.2. Equity Interests</w:t>
      </w:r>
      <w:r>
        <w:rPr>
          <w:rFonts w:ascii="Times New Roman" w:cs="Times New Roman" w:eastAsia="Times New Roman" w:hAnsi="Times New Roman"/>
          <w:sz w:val="20"/>
          <w:szCs w:val="20"/>
          <w:color w:val="auto"/>
        </w:rPr>
        <w:t>. As of the Closing Date, all of the outstanding Equity Interests in each</w:t>
      </w:r>
    </w:p>
    <w:p>
      <w:pPr>
        <w:spacing w:after="0" w:line="26"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0"/>
          <w:szCs w:val="20"/>
          <w:color w:val="auto"/>
        </w:rPr>
        <w:t xml:space="preserve">Subsidiary of Borrower have been duly authorized and validly issued, are fully paid and, in the case of Equity Interests representing corporate interests, are non-assessable, and all such Equity Interests owned directly by Borrower or any other Credit Party are owned free and clear of all Liens except for Permitted Liens. </w:t>
      </w:r>
      <w:r>
        <w:rPr>
          <w:rFonts w:ascii="Times New Roman" w:cs="Times New Roman" w:eastAsia="Times New Roman" w:hAnsi="Times New Roman"/>
          <w:sz w:val="20"/>
          <w:szCs w:val="20"/>
          <w:u w:val="single" w:color="auto"/>
          <w:color w:val="auto"/>
        </w:rPr>
        <w:t>Schedule 4.2</w:t>
      </w:r>
      <w:r>
        <w:rPr>
          <w:rFonts w:ascii="Times New Roman" w:cs="Times New Roman" w:eastAsia="Times New Roman" w:hAnsi="Times New Roman"/>
          <w:sz w:val="20"/>
          <w:szCs w:val="20"/>
          <w:color w:val="auto"/>
        </w:rPr>
        <w:t xml:space="preserve"> of the Disclosure Letter identifies each Person, the Equity Interests of which are required to be pledged on the Closing Date pursuant to the Collateral Documents. As of the Closing Date, each Subsidiary (other than the Credit Parties) is an Immaterial Subsidiary.</w:t>
      </w:r>
    </w:p>
    <w:p>
      <w:pPr>
        <w:spacing w:after="0" w:line="183"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0"/>
          <w:szCs w:val="20"/>
          <w:b w:val="1"/>
          <w:bCs w:val="1"/>
          <w:color w:val="auto"/>
        </w:rPr>
        <w:t>4.3. Authorization; No Conflict</w:t>
      </w:r>
      <w:r>
        <w:rPr>
          <w:rFonts w:ascii="Times New Roman" w:cs="Times New Roman" w:eastAsia="Times New Roman" w:hAnsi="Times New Roman"/>
          <w:sz w:val="20"/>
          <w:szCs w:val="20"/>
          <w:color w:val="auto"/>
        </w:rPr>
        <w:t>. Except as set forth 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Schedule 4.3</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of the Disclosure Letter,</w:t>
      </w:r>
    </w:p>
    <w:p>
      <w:pPr>
        <w:spacing w:after="0" w:line="26"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color w:val="auto"/>
        </w:rPr>
        <w:t>the execution, delivery and performance by each Credit Party of the Loan Documents to which it is a party, and the consummation of the transactions contemplated thereby, (a) have been duly authorized by all necessary corporate or other organizational action and (b) do not and shall not (i) contravene the terms of any of such Credit Party</w:t>
      </w:r>
      <w:r>
        <w:rPr>
          <w:rFonts w:ascii="Times New Roman" w:cs="Times New Roman" w:eastAsia="Times New Roman" w:hAnsi="Times New Roman"/>
          <w:sz w:val="21"/>
          <w:szCs w:val="21"/>
          <w:color w:val="auto"/>
        </w:rPr>
        <w:t>’</w:t>
      </w:r>
      <w:r>
        <w:rPr>
          <w:rFonts w:ascii="Times New Roman" w:cs="Times New Roman" w:eastAsia="Times New Roman" w:hAnsi="Times New Roman"/>
          <w:sz w:val="20"/>
          <w:szCs w:val="20"/>
          <w:color w:val="auto"/>
        </w:rPr>
        <w:t>s Operating Documents, (ii) conflict with or result in any breach or contravention of, or require any payment to be made under (A) any provision of any security issued by such Credit Party or of any agreement, instrument or other undertaking to which such Credit Party is a party or affecting such Credit Party or the assets or properties of such Credit Party or any of its Subsidiaries or (B) any order, writ, judgment, injunction, decree, determination or award of any Governmental Authority by which such Credit Party or any of its properties or assets are subject, (iii) result in the creation of any Lien (other than under the Loan Documents) or (iv) violate any Requirements of Law, except, in the cases of clauses (b)(ii) and (b)(iv) above, to the extent that such conflict, breach, contravention, payment or violation could not, individually or in the aggregate, reasonably be expected to result in a Material Adverse Change.</w:t>
      </w:r>
    </w:p>
    <w:p>
      <w:pPr>
        <w:spacing w:after="0" w:line="18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0"/>
          <w:szCs w:val="20"/>
          <w:b w:val="1"/>
          <w:bCs w:val="1"/>
          <w:color w:val="auto"/>
        </w:rPr>
        <w:t>4.4. Government Consents; Third Party Consents</w:t>
      </w:r>
      <w:r>
        <w:rPr>
          <w:rFonts w:ascii="Times New Roman" w:cs="Times New Roman" w:eastAsia="Times New Roman" w:hAnsi="Times New Roman"/>
          <w:sz w:val="20"/>
          <w:szCs w:val="20"/>
          <w:color w:val="auto"/>
        </w:rPr>
        <w:t>. Except as set forth 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Schedule 4.4</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of</w:t>
      </w:r>
    </w:p>
    <w:p>
      <w:pPr>
        <w:spacing w:after="0" w:line="26"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color w:val="auto"/>
        </w:rPr>
        <w:t>the Disclosure Letter, no Governmental Approval or other approval, consent, exemption or authorization, or other action by, or notice to, or filing with, any Governmental Authority or any other Person (including any counterparty to any Material Contract) is necessary or required in connection with (a) the execution, delivery or performance by, or enforcement against, any Credit Party of this Agreement or any other Loan Document, or for the consummation of the transactions contemplated hereby or thereby, (b) the grant by any Credit Party of the Liens granted by it pursuant to the Collateral Documents, (c) the perfection or maintenance of the Liens created under the Collateral Documents (including the priority thereof) or (d) the exercise by the Agent or any Lender of its rights under the Loan Documents or the remedies in respect of the Collateral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602615</wp:posOffset>
            </wp:positionV>
            <wp:extent cx="7157720" cy="425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6" w:right="339" w:bottom="1440" w:gutter="0" w:footer="0" w:header="0"/>
        </w:sectPr>
      </w:pPr>
    </w:p>
    <w:bookmarkStart w:id="164" w:name="page165"/>
    <w:bookmarkEnd w:id="164"/>
    <w:p>
      <w:pPr>
        <w:jc w:val="both"/>
        <w:spacing w:after="0" w:line="254" w:lineRule="auto"/>
        <w:rPr>
          <w:sz w:val="20"/>
          <w:szCs w:val="20"/>
          <w:color w:val="auto"/>
        </w:rPr>
      </w:pPr>
      <w:r>
        <w:rPr>
          <w:rFonts w:ascii="Times New Roman" w:cs="Times New Roman" w:eastAsia="Times New Roman" w:hAnsi="Times New Roman"/>
          <w:sz w:val="20"/>
          <w:szCs w:val="20"/>
          <w:color w:val="auto"/>
        </w:rPr>
        <w:t>pursuant to the Collateral Documents, except for (i) filings necessary to perfect the Liens on the Collateral granted by the Credit Parties to the Agent in favor and for the benefit of the Secured Parties, (ii) the approvals, consents, exemptions, authorizations, actions, notices and filings which have been duly</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4905-3710-6484 v.17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600710</wp:posOffset>
            </wp:positionV>
            <wp:extent cx="7157720" cy="425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65" w:name="page166"/>
    <w:bookmarkEnd w:id="165"/>
    <w:p>
      <w:pPr>
        <w:jc w:val="both"/>
        <w:ind w:right="20"/>
        <w:spacing w:after="0" w:line="254" w:lineRule="auto"/>
        <w:rPr>
          <w:sz w:val="20"/>
          <w:szCs w:val="20"/>
          <w:color w:val="auto"/>
        </w:rPr>
      </w:pPr>
      <w:r>
        <w:rPr>
          <w:rFonts w:ascii="Times New Roman" w:cs="Times New Roman" w:eastAsia="Times New Roman" w:hAnsi="Times New Roman"/>
          <w:sz w:val="20"/>
          <w:szCs w:val="20"/>
          <w:color w:val="auto"/>
        </w:rPr>
        <w:t>obtained, taken, given or made and are in full force and effect, (iii) filings under state or federal securities laws and (iv) those approvals, consents, exemptions, authorizations or other actions, notices or filings, the failure of which to obtain or make could not, individually or in the aggregate, reasonably be expected to result in a Material Adverse Change.</w:t>
      </w:r>
    </w:p>
    <w:p>
      <w:pPr>
        <w:spacing w:after="0" w:line="17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0"/>
          <w:szCs w:val="20"/>
          <w:b w:val="1"/>
          <w:bCs w:val="1"/>
          <w:color w:val="auto"/>
        </w:rPr>
        <w:t>4.5. Binding Obligation</w:t>
      </w:r>
      <w:r>
        <w:rPr>
          <w:rFonts w:ascii="Times New Roman" w:cs="Times New Roman" w:eastAsia="Times New Roman" w:hAnsi="Times New Roman"/>
          <w:sz w:val="20"/>
          <w:szCs w:val="20"/>
          <w:color w:val="auto"/>
        </w:rPr>
        <w:t>. Each Loan Document has been duly executed and delivered by each</w:t>
      </w:r>
    </w:p>
    <w:p>
      <w:pPr>
        <w:spacing w:after="0" w:line="26"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0"/>
          <w:szCs w:val="20"/>
          <w:color w:val="auto"/>
        </w:rPr>
        <w:t>Credit Party that is a party thereto and constitutes a legal, valid and binding obligation of such Credit Party, enforceable against such Credit Party in accordance with its respective terms, except as such enforceability may be limited by bankruptcy, insolvency, reorganization, moratorium or similar laws relating to or limiting creditors’ rights generally, and, solely in the case of the Malta Credit Parties, subject to any applicable limitations under the law of Malta as set forth in the qualifications made in the opinion provided pursuant to Section 5.19(a)(ii) of this Agreement.</w:t>
      </w:r>
    </w:p>
    <w:p>
      <w:pPr>
        <w:spacing w:after="0" w:line="183"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0"/>
          <w:szCs w:val="20"/>
          <w:b w:val="1"/>
          <w:bCs w:val="1"/>
          <w:color w:val="auto"/>
        </w:rPr>
        <w:t>4.6. Collateral and Intellectual Property</w:t>
      </w:r>
      <w:r>
        <w:rPr>
          <w:rFonts w:ascii="Times New Roman" w:cs="Times New Roman" w:eastAsia="Times New Roman" w:hAnsi="Times New Roman"/>
          <w:sz w:val="20"/>
          <w:szCs w:val="20"/>
          <w:color w:val="auto"/>
        </w:rPr>
        <w:t>. In connection with this Agreement, each Credit</w:t>
      </w:r>
    </w:p>
    <w:p>
      <w:pPr>
        <w:spacing w:after="0" w:line="26"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Party has delivered to the Agent and the Lenders a completed perfection certificate signed by such Credit Party (with respect to all Credit Parties, collectively, the “</w:t>
      </w:r>
      <w:r>
        <w:rPr>
          <w:rFonts w:ascii="Times New Roman" w:cs="Times New Roman" w:eastAsia="Times New Roman" w:hAnsi="Times New Roman"/>
          <w:sz w:val="20"/>
          <w:szCs w:val="20"/>
          <w:b w:val="1"/>
          <w:bCs w:val="1"/>
          <w:color w:val="auto"/>
        </w:rPr>
        <w:t>Perfection Certificate</w:t>
      </w:r>
      <w:r>
        <w:rPr>
          <w:rFonts w:ascii="Times New Roman" w:cs="Times New Roman" w:eastAsia="Times New Roman" w:hAnsi="Times New Roman"/>
          <w:sz w:val="20"/>
          <w:szCs w:val="20"/>
          <w:color w:val="auto"/>
        </w:rPr>
        <w:t>”). Each Credit Party, jointly and severally, represents and warrants to the Agent and the Lenders that:</w:t>
      </w:r>
    </w:p>
    <w:p>
      <w:pPr>
        <w:spacing w:after="0" w:line="187" w:lineRule="exact"/>
        <w:rPr>
          <w:sz w:val="20"/>
          <w:szCs w:val="20"/>
          <w:color w:val="auto"/>
        </w:rPr>
      </w:pPr>
    </w:p>
    <w:p>
      <w:pPr>
        <w:jc w:val="both"/>
        <w:ind w:firstLine="1580"/>
        <w:spacing w:after="0" w:line="242" w:lineRule="auto"/>
        <w:tabs>
          <w:tab w:leader="none" w:pos="2036" w:val="left"/>
        </w:tabs>
        <w:numPr>
          <w:ilvl w:val="0"/>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 its exact legal name is that indicated on the Perfection Certificate and on the signature page hereof; (ii) it is an organization of the type and is organized in the jurisdiction set forth in the Perfection Certificate; (iii) the Perfection Certificate accurately sets forth its organizational identification number or accurately states that it has none; (iv) the Perfection Certificate accurately sets forth as of the Closing Date its place of business, or, if more than one, its chief executive office as well as its mailing address (if different than its chief executive office); (v) it (and each of its predecessors) has not, in the five (5) years prior to the Closing Date, changed its jurisdiction of formation, organizational structure or type, or any organizational number assigned by its jurisdiction; and (vi) all other information set forth on the Perfection Certificate pertaining to it and each of its Subsidiaries is accurate and complete in all material respects as of the Closing Date. If any Credit Party is not now a Registered Organization but later becomes one, it shall promptly notify the Agent of such occurrence and provide the Agent with such Credit Party’s organizational identification number. The Agent and the Lenders hereby agree that the Perfection Certificate shall be updated or deemed to be updated after the Closing Date to reflect information provided in any written notice delivered by any Credit Party to Lender pursuant to </w:t>
      </w:r>
      <w:r>
        <w:rPr>
          <w:rFonts w:ascii="Times New Roman" w:cs="Times New Roman" w:eastAsia="Times New Roman" w:hAnsi="Times New Roman"/>
          <w:sz w:val="20"/>
          <w:szCs w:val="20"/>
          <w:u w:val="single" w:color="auto"/>
          <w:color w:val="auto"/>
        </w:rPr>
        <w:t>Section 6.2(a)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update to the Perfection Certificate by any Credit Party pursuant to </w:t>
      </w:r>
      <w:r>
        <w:rPr>
          <w:rFonts w:ascii="Times New Roman" w:cs="Times New Roman" w:eastAsia="Times New Roman" w:hAnsi="Times New Roman"/>
          <w:sz w:val="20"/>
          <w:szCs w:val="20"/>
          <w:u w:val="single" w:color="auto"/>
          <w:color w:val="auto"/>
        </w:rPr>
        <w:t>Section 6.2(a)</w:t>
      </w:r>
      <w:r>
        <w:rPr>
          <w:rFonts w:ascii="Times New Roman" w:cs="Times New Roman" w:eastAsia="Times New Roman" w:hAnsi="Times New Roman"/>
          <w:sz w:val="20"/>
          <w:szCs w:val="20"/>
          <w:color w:val="auto"/>
        </w:rPr>
        <w:t xml:space="preserve"> shall not relieve any Credit Party of any other Obligation under this Agreement.</w:t>
      </w:r>
    </w:p>
    <w:p>
      <w:pPr>
        <w:spacing w:after="0" w:line="187" w:lineRule="exact"/>
        <w:rPr>
          <w:rFonts w:ascii="Times New Roman" w:cs="Times New Roman" w:eastAsia="Times New Roman" w:hAnsi="Times New Roman"/>
          <w:sz w:val="20"/>
          <w:szCs w:val="20"/>
          <w:color w:val="auto"/>
        </w:rPr>
      </w:pPr>
    </w:p>
    <w:p>
      <w:pPr>
        <w:jc w:val="both"/>
        <w:ind w:firstLine="1580"/>
        <w:spacing w:after="0" w:line="246" w:lineRule="auto"/>
        <w:tabs>
          <w:tab w:leader="none" w:pos="2036" w:val="left"/>
        </w:tabs>
        <w:numPr>
          <w:ilvl w:val="0"/>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it has good title to, has rights in, and the power to transfer each item of the Collateral upon which it purports to grant a Lien under any Collateral Document, free and clear of any and all Liens except Permitted Liens, except for such minor irregularities or defects in title that do not materially interfere with the Credit Parties’ ability to conduct their business as currently conducted, including any material loss of rights, and (ii) it has no Deposit Accounts maintained at a bank or other depository or financial institution other than the deposit or current accounts described in the Perfection Certificate delivered to Agent and the Lenders in connection herewith.</w:t>
      </w:r>
    </w:p>
    <w:p>
      <w:pPr>
        <w:spacing w:after="0" w:line="184" w:lineRule="exact"/>
        <w:rPr>
          <w:rFonts w:ascii="Times New Roman" w:cs="Times New Roman" w:eastAsia="Times New Roman" w:hAnsi="Times New Roman"/>
          <w:sz w:val="20"/>
          <w:szCs w:val="20"/>
          <w:color w:val="auto"/>
        </w:rPr>
      </w:pPr>
    </w:p>
    <w:p>
      <w:pPr>
        <w:jc w:val="both"/>
        <w:ind w:firstLine="1580"/>
        <w:spacing w:after="0" w:line="245" w:lineRule="auto"/>
        <w:tabs>
          <w:tab w:leader="none" w:pos="2036" w:val="left"/>
        </w:tabs>
        <w:numPr>
          <w:ilvl w:val="0"/>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 true, correct and complete list of each pending, registered or issued Patent, Copyright and Trademark that is owned or co-owned by, or exclusively or non-exclusively licensed to, any Credit Party or any of its Subsidiaries, including its name/title, current owner(s), registration, patent or application number, and registration or application date, is set forth on </w:t>
      </w:r>
      <w:r>
        <w:rPr>
          <w:rFonts w:ascii="Times New Roman" w:cs="Times New Roman" w:eastAsia="Times New Roman" w:hAnsi="Times New Roman"/>
          <w:sz w:val="20"/>
          <w:szCs w:val="20"/>
          <w:u w:val="single" w:color="auto"/>
          <w:color w:val="auto"/>
        </w:rPr>
        <w:t>Schedule 4.6(c)</w:t>
      </w:r>
      <w:r>
        <w:rPr>
          <w:rFonts w:ascii="Times New Roman" w:cs="Times New Roman" w:eastAsia="Times New Roman" w:hAnsi="Times New Roman"/>
          <w:sz w:val="20"/>
          <w:szCs w:val="20"/>
          <w:color w:val="auto"/>
        </w:rPr>
        <w:t xml:space="preserve"> of the Disclosure Letter. </w:t>
      </w:r>
      <w:r>
        <w:rPr>
          <w:rFonts w:ascii="Times New Roman" w:cs="Times New Roman" w:eastAsia="Times New Roman" w:hAnsi="Times New Roman"/>
          <w:sz w:val="20"/>
          <w:szCs w:val="20"/>
          <w:u w:val="single" w:color="auto"/>
          <w:color w:val="auto"/>
        </w:rPr>
        <w:t>Schedule 4.6(c)</w:t>
      </w:r>
      <w:r>
        <w:rPr>
          <w:rFonts w:ascii="Times New Roman" w:cs="Times New Roman" w:eastAsia="Times New Roman" w:hAnsi="Times New Roman"/>
          <w:sz w:val="20"/>
          <w:szCs w:val="20"/>
          <w:color w:val="auto"/>
        </w:rPr>
        <w:t xml:space="preserve"> of the Disclosure Letter includes all Product IP that is a pending, registered or issued Patent, Copyright or Trademark. Each item of owned or co-owned Product IP that is subject to a registration or pending application for registration before a Governmental Authority or Internet domain name registrar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598805</wp:posOffset>
            </wp:positionV>
            <wp:extent cx="7157720" cy="425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6" w:right="339" w:bottom="1440" w:gutter="0" w:footer="0" w:header="0"/>
        </w:sectPr>
      </w:pPr>
    </w:p>
    <w:bookmarkStart w:id="166" w:name="page167"/>
    <w:bookmarkEnd w:id="166"/>
    <w:p>
      <w:pPr>
        <w:spacing w:after="0" w:line="185"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Registered</w:t>
      </w:r>
      <w:r>
        <w:rPr>
          <w:rFonts w:ascii="Times New Roman" w:cs="Times New Roman" w:eastAsia="Times New Roman" w:hAnsi="Times New Roman"/>
          <w:sz w:val="20"/>
          <w:szCs w:val="20"/>
          <w:color w:val="auto"/>
        </w:rPr>
        <w:t>”) is subsisting, and no such item of Registered Product IP has lapsed, expired, been cancelled or invalidated or become abandoned and, to the Knowledge of the Credit Parties, each such</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4905-3710-6484 v.17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600710</wp:posOffset>
            </wp:positionV>
            <wp:extent cx="7157720" cy="425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7" w:name="page168"/>
    <w:bookmarkEnd w:id="167"/>
    <w:p>
      <w:pPr>
        <w:jc w:val="both"/>
        <w:spacing w:after="0" w:line="249" w:lineRule="auto"/>
        <w:rPr>
          <w:sz w:val="20"/>
          <w:szCs w:val="20"/>
          <w:color w:val="auto"/>
        </w:rPr>
      </w:pPr>
      <w:r>
        <w:rPr>
          <w:rFonts w:ascii="Times New Roman" w:cs="Times New Roman" w:eastAsia="Times New Roman" w:hAnsi="Times New Roman"/>
          <w:sz w:val="20"/>
          <w:szCs w:val="20"/>
          <w:color w:val="auto"/>
        </w:rPr>
        <w:t>item of Registered Product IP is valid, enforceable and without material defects. To the Knowledge of the Credit Parties, each item of Product IP that is licensed from another Person is valid and subsisting, and no such item of Product IP has lapsed, expired, been cancelled or invalidated, or become abandoned. To the Knowledge of the Credit Parties, each item of Product IP is valid, enforceable and without material defects.</w:t>
      </w:r>
    </w:p>
    <w:p>
      <w:pPr>
        <w:spacing w:after="0" w:line="180" w:lineRule="exact"/>
        <w:rPr>
          <w:sz w:val="20"/>
          <w:szCs w:val="20"/>
          <w:color w:val="auto"/>
        </w:rPr>
      </w:pPr>
    </w:p>
    <w:p>
      <w:pPr>
        <w:jc w:val="both"/>
        <w:ind w:firstLine="1490"/>
        <w:spacing w:after="0" w:line="256" w:lineRule="auto"/>
        <w:tabs>
          <w:tab w:leader="none" w:pos="1949" w:val="left"/>
        </w:tabs>
        <w:numPr>
          <w:ilvl w:val="0"/>
          <w:numId w:val="8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Credit Parties own or otherwise have sufficient and valid rights to use and otherwise exploit all Material IP. No Subsidiary that is not a Credit Party owns or has any rights to Material IP. To the Knowledge of the Credit Parties, there are no undisclosed published Patents, Patent applications, articles or prior art references that would reasonably be expected to materially adversely affect the patent protection for any Product. Each Person who has or has had any rights in or to Material IP owned by any Credit Party or any of its Subsidiaries, including each inventor named on the Patents within such owned Material IP filed by any Credit Party or any of its Subsidiaries, has executed an agreement presently assigning his, her or its entire right, title and interest in and to such Material IP, and Intellectual Property embodied, described or claimed therein, to the Credit Party or its Subsidiaries as applicable, and to the Knowledge of the Credit Parties no such Person has any contractual or other obligation that would preclude or conflict with such assignment or the exploitation of any Product in the Territory or entitle such Person to ongoing payments with respect thereto. Except as set forth on Schedule 4.6(c), all Product IP is exclusively owned by the Credit Party or its Subsidiaries, as applicable, and, to the Knowledge of the Credit Parties, no circumstances or grounds exist that would give rise to a claim of a third party to any rights in any such owned Product IP.</w:t>
      </w:r>
    </w:p>
    <w:p>
      <w:pPr>
        <w:spacing w:after="0" w:line="163" w:lineRule="exact"/>
        <w:rPr>
          <w:rFonts w:ascii="Times New Roman" w:cs="Times New Roman" w:eastAsia="Times New Roman" w:hAnsi="Times New Roman"/>
          <w:sz w:val="19"/>
          <w:szCs w:val="19"/>
          <w:color w:val="auto"/>
        </w:rPr>
      </w:pPr>
    </w:p>
    <w:p>
      <w:pPr>
        <w:jc w:val="both"/>
        <w:ind w:firstLine="1490"/>
        <w:spacing w:after="0" w:line="245" w:lineRule="auto"/>
        <w:tabs>
          <w:tab w:leader="none" w:pos="1949" w:val="left"/>
        </w:tabs>
        <w:numPr>
          <w:ilvl w:val="0"/>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 Each Credit Party or Subsidiary owns and possesses valid title to all Product IP for which it is listed as the owner or co-owner, as applicable, on </w:t>
      </w:r>
      <w:r>
        <w:rPr>
          <w:rFonts w:ascii="Times New Roman" w:cs="Times New Roman" w:eastAsia="Times New Roman" w:hAnsi="Times New Roman"/>
          <w:sz w:val="20"/>
          <w:szCs w:val="20"/>
          <w:u w:val="single" w:color="auto"/>
          <w:color w:val="auto"/>
        </w:rPr>
        <w:t>Schedule 4.6(c)</w:t>
      </w:r>
      <w:r>
        <w:rPr>
          <w:rFonts w:ascii="Times New Roman" w:cs="Times New Roman" w:eastAsia="Times New Roman" w:hAnsi="Times New Roman"/>
          <w:sz w:val="20"/>
          <w:szCs w:val="20"/>
          <w:color w:val="auto"/>
        </w:rPr>
        <w:t xml:space="preserve"> of the Disclosure Letter; (ii) there are no Liens on any Product IP, other than Permitted Liens pursuant to clauses </w:t>
      </w:r>
      <w:r>
        <w:rPr>
          <w:rFonts w:ascii="Times New Roman" w:cs="Times New Roman" w:eastAsia="Times New Roman" w:hAnsi="Times New Roman"/>
          <w:sz w:val="20"/>
          <w:szCs w:val="20"/>
          <w:u w:val="single" w:color="auto"/>
          <w:color w:val="auto"/>
        </w:rPr>
        <w:t>(a)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(c)</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(e)</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(o)</w:t>
      </w:r>
      <w:r>
        <w:rPr>
          <w:rFonts w:ascii="Times New Roman" w:cs="Times New Roman" w:eastAsia="Times New Roman" w:hAnsi="Times New Roman"/>
          <w:sz w:val="20"/>
          <w:szCs w:val="20"/>
          <w:color w:val="auto"/>
        </w:rPr>
        <w:t xml:space="preserve"> of the definition thereof that do not secure, other than in the case of Permitted Liens pursuant to clause </w:t>
      </w:r>
      <w:r>
        <w:rPr>
          <w:rFonts w:ascii="Times New Roman" w:cs="Times New Roman" w:eastAsia="Times New Roman" w:hAnsi="Times New Roman"/>
          <w:sz w:val="20"/>
          <w:szCs w:val="20"/>
          <w:u w:val="single" w:color="auto"/>
          <w:color w:val="auto"/>
        </w:rPr>
        <w:t>(a)</w:t>
      </w:r>
      <w:r>
        <w:rPr>
          <w:rFonts w:ascii="Times New Roman" w:cs="Times New Roman" w:eastAsia="Times New Roman" w:hAnsi="Times New Roman"/>
          <w:sz w:val="20"/>
          <w:szCs w:val="20"/>
          <w:color w:val="auto"/>
        </w:rPr>
        <w:t xml:space="preserve"> of the definition thereof, Indebtedness; and (iii) no Subsidiary that is not a Credit Party holds any Material IP. There are no currently asserted claims nor, to the Knowledge of the Credit Parties, unasserted claims of any Person disputing the inventorship or ownership of any Product IP, and the Credit Parties have not received written notice of any such claims.</w:t>
      </w:r>
    </w:p>
    <w:p>
      <w:pPr>
        <w:spacing w:after="0" w:line="184" w:lineRule="exact"/>
        <w:rPr>
          <w:rFonts w:ascii="Times New Roman" w:cs="Times New Roman" w:eastAsia="Times New Roman" w:hAnsi="Times New Roman"/>
          <w:sz w:val="20"/>
          <w:szCs w:val="20"/>
          <w:color w:val="auto"/>
        </w:rPr>
      </w:pPr>
    </w:p>
    <w:p>
      <w:pPr>
        <w:jc w:val="both"/>
        <w:ind w:firstLine="1490"/>
        <w:spacing w:after="0" w:line="254" w:lineRule="auto"/>
        <w:tabs>
          <w:tab w:leader="none" w:pos="1949" w:val="left"/>
        </w:tabs>
        <w:numPr>
          <w:ilvl w:val="0"/>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There are no maintenance, annuity or renewal fees that are currently overdue beyond their allotted grace period for any Product IP that is owned by or licensed to any Credit Party or any of its Subsidiaries, nor have any applications or registrations therefor lapsed or become abandoned, been cancelled or expired that would result in a material loss of rights relating to such Product IP.</w:t>
      </w:r>
    </w:p>
    <w:p>
      <w:pPr>
        <w:spacing w:after="0" w:line="187" w:lineRule="exact"/>
        <w:rPr>
          <w:rFonts w:ascii="Times New Roman" w:cs="Times New Roman" w:eastAsia="Times New Roman" w:hAnsi="Times New Roman"/>
          <w:sz w:val="20"/>
          <w:szCs w:val="20"/>
          <w:color w:val="auto"/>
        </w:rPr>
      </w:pPr>
    </w:p>
    <w:p>
      <w:pPr>
        <w:jc w:val="both"/>
        <w:ind w:firstLine="1490"/>
        <w:spacing w:after="0" w:line="242" w:lineRule="auto"/>
        <w:tabs>
          <w:tab w:leader="none" w:pos="1949" w:val="left"/>
        </w:tabs>
        <w:numPr>
          <w:ilvl w:val="0"/>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There are no unpaid fees or royalties under any Material Contract that have become due, or are expected to become overdue as of the Closing Date, and following the Closing Date, there are no such unpaid fees or royalties, other than any such amounts that are being contested in good faith by appropriate proceedings diligently conducted for which adequate reserves have been provided in accordance with GAAP. Each Material Contract is in full force and effect and is legal, valid, binding, and enforceable in accordance with its respective terms, except as may be limited by bankruptcy, insolvency, reorganization, moratorium or similar laws relating to or limiting creditors’ rights generally or by equitable principles relating to enforceability. None of the Credit Parties nor any of their Subsidiaries, as applicable, is in breach of or default (with or without notice of the passage of time) under any Material Contract to which it is a party or may otherwise be bound, and none of the Credit Parties or any of their Subsidiaries have received notice of any circumstances or grounds that would give rise to a claim of breach or right of rescission, termination, non-renewal, revision, or amendment of any of the Material Contracts (and, to the Knowledge of the Credit Parties, no such circumstances or grounds exist, including the execution, delivery and performance of this Agreement and the other Loan Documents.)</w:t>
      </w:r>
    </w:p>
    <w:p>
      <w:pPr>
        <w:spacing w:after="0" w:line="176" w:lineRule="exact"/>
        <w:rPr>
          <w:rFonts w:ascii="Times New Roman" w:cs="Times New Roman" w:eastAsia="Times New Roman" w:hAnsi="Times New Roman"/>
          <w:sz w:val="20"/>
          <w:szCs w:val="20"/>
          <w:color w:val="auto"/>
        </w:rPr>
      </w:pPr>
    </w:p>
    <w:p>
      <w:pPr>
        <w:ind w:firstLine="1490"/>
        <w:spacing w:after="0" w:line="269" w:lineRule="auto"/>
        <w:tabs>
          <w:tab w:leader="none" w:pos="1949" w:val="left"/>
        </w:tabs>
        <w:numPr>
          <w:ilvl w:val="0"/>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payments by any Credit Party or any of its Subsidiaries are due to any other Person in respect of any Product IP (excluding Product IP licensed to the Credit Parties under the Material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582930</wp:posOffset>
            </wp:positionV>
            <wp:extent cx="7157720" cy="425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400" w:top="1426" w:right="419" w:bottom="1440" w:gutter="0" w:footer="0" w:header="0"/>
        </w:sectPr>
      </w:pPr>
    </w:p>
    <w:bookmarkStart w:id="168" w:name="page169"/>
    <w:bookmarkEnd w:id="168"/>
    <w:p>
      <w:pPr>
        <w:spacing w:after="0" w:line="140"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23</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4905-3710-6484 v.17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600710</wp:posOffset>
            </wp:positionV>
            <wp:extent cx="7157720" cy="425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59"/>
          </w:cols>
          <w:pgMar w:left="400" w:top="1440" w:right="1440" w:bottom="1440" w:gutter="0" w:footer="0" w:header="0"/>
        </w:sectPr>
      </w:pPr>
    </w:p>
    <w:bookmarkStart w:id="169" w:name="page170"/>
    <w:bookmarkEnd w:id="169"/>
    <w:p>
      <w:pPr>
        <w:jc w:val="both"/>
        <w:spacing w:after="0" w:line="254" w:lineRule="auto"/>
        <w:rPr>
          <w:sz w:val="20"/>
          <w:szCs w:val="20"/>
          <w:color w:val="auto"/>
        </w:rPr>
      </w:pPr>
      <w:r>
        <w:rPr>
          <w:rFonts w:ascii="Times New Roman" w:cs="Times New Roman" w:eastAsia="Times New Roman" w:hAnsi="Times New Roman"/>
          <w:sz w:val="20"/>
          <w:szCs w:val="20"/>
          <w:color w:val="auto"/>
        </w:rPr>
        <w:t>Contracts) of the Credit Parties and their Subsidiaries, other than those fees payable to patent offices in connection with the prosecution, maintenance or renewal of any Product IP of the Credit Parties and associated attorney fees, none of which are past due in any material respect.</w:t>
      </w:r>
    </w:p>
    <w:p>
      <w:pPr>
        <w:spacing w:after="0" w:line="174" w:lineRule="exact"/>
        <w:rPr>
          <w:sz w:val="20"/>
          <w:szCs w:val="20"/>
          <w:color w:val="auto"/>
        </w:rPr>
      </w:pPr>
    </w:p>
    <w:p>
      <w:pPr>
        <w:jc w:val="both"/>
        <w:ind w:firstLine="1500"/>
        <w:spacing w:after="0" w:line="243" w:lineRule="auto"/>
        <w:tabs>
          <w:tab w:leader="none" w:pos="1962" w:val="left"/>
        </w:tabs>
        <w:numPr>
          <w:ilvl w:val="0"/>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Credit Party or any of its Subsidiaries has undertaken or omitted to undertake any acts, and, to the Knowledge of the Credit Parties, no circumstance or grounds exist that would invalidate or reduce, in whole or in part, the enforceability or scope of (i) Product IP in any manner that could reasonably be expected to materially adversely affect the patent protection for any Product, including any material loss of rights, or (ii) in the case of Material IP owned or co-owned or exclusively or non-exclusively licensed by any Credit Party or any of its Subsidiaries to or from third parties, such Credit Party’s or Subsidiary’s entitlement to own or license and exploit such Material IP, in each case, other than as expressly permitted pursuant to clause (j) of the definition of Permitted Transfer. To the Knowledge of the Credit Parties, no person having a duty of candor to a Patent Office, including to the U.S. Patent and Trademark Office, has withheld, misrepresented, or concealed a material fact or prior art reference from the Patent Office that would affect the validity, scope or enforceability of any Product IP of the Credit Parties and their Subsidiaries.</w:t>
      </w:r>
    </w:p>
    <w:p>
      <w:pPr>
        <w:spacing w:after="0" w:line="172" w:lineRule="exact"/>
        <w:rPr>
          <w:rFonts w:ascii="Times New Roman" w:cs="Times New Roman" w:eastAsia="Times New Roman" w:hAnsi="Times New Roman"/>
          <w:sz w:val="20"/>
          <w:szCs w:val="20"/>
          <w:color w:val="auto"/>
        </w:rPr>
      </w:pPr>
    </w:p>
    <w:p>
      <w:pPr>
        <w:jc w:val="both"/>
        <w:ind w:firstLine="1500"/>
        <w:spacing w:after="0" w:line="244" w:lineRule="auto"/>
        <w:tabs>
          <w:tab w:leader="none" w:pos="1962" w:val="left"/>
        </w:tabs>
        <w:numPr>
          <w:ilvl w:val="0"/>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Except as set forth on </w:t>
      </w:r>
      <w:r>
        <w:rPr>
          <w:rFonts w:ascii="Times New Roman" w:cs="Times New Roman" w:eastAsia="Times New Roman" w:hAnsi="Times New Roman"/>
          <w:sz w:val="20"/>
          <w:szCs w:val="20"/>
          <w:u w:val="single" w:color="auto"/>
          <w:color w:val="auto"/>
        </w:rPr>
        <w:t>Schedule 4.7</w:t>
      </w:r>
      <w:r>
        <w:rPr>
          <w:rFonts w:ascii="Times New Roman" w:cs="Times New Roman" w:eastAsia="Times New Roman" w:hAnsi="Times New Roman"/>
          <w:sz w:val="20"/>
          <w:szCs w:val="20"/>
          <w:color w:val="auto"/>
        </w:rPr>
        <w:t xml:space="preserve"> of the Disclosure Letter, there is no pending, decided or settled opposition, interference proceeding, reissue proceeding, reexamination proceeding, </w:t>
      </w:r>
      <w:r>
        <w:rPr>
          <w:rFonts w:ascii="Times New Roman" w:cs="Times New Roman" w:eastAsia="Times New Roman" w:hAnsi="Times New Roman"/>
          <w:sz w:val="20"/>
          <w:szCs w:val="20"/>
          <w:i w:val="1"/>
          <w:iCs w:val="1"/>
          <w:color w:val="auto"/>
        </w:rPr>
        <w:t>inter-partes</w:t>
      </w:r>
      <w:r>
        <w:rPr>
          <w:rFonts w:ascii="Times New Roman" w:cs="Times New Roman" w:eastAsia="Times New Roman" w:hAnsi="Times New Roman"/>
          <w:sz w:val="20"/>
          <w:szCs w:val="20"/>
          <w:color w:val="auto"/>
        </w:rPr>
        <w:t xml:space="preserve"> review proceeding, post-grant review proceeding, derivation proceeding, cancellation proceeding, injunction, lawsuit, hearing, investigation, complaint, arbitration, mediation, demand, International Trade Commission investigation, decree, or any other dispute, disagreement, or claim, in each case alleged in writing to Borrower or any of its Subsidiaries (collectively referred to hereinafter as “</w:t>
      </w:r>
      <w:r>
        <w:rPr>
          <w:rFonts w:ascii="Times New Roman" w:cs="Times New Roman" w:eastAsia="Times New Roman" w:hAnsi="Times New Roman"/>
          <w:sz w:val="20"/>
          <w:szCs w:val="20"/>
          <w:b w:val="1"/>
          <w:bCs w:val="1"/>
          <w:color w:val="auto"/>
        </w:rPr>
        <w:t>Specified Disputes</w:t>
      </w:r>
      <w:r>
        <w:rPr>
          <w:rFonts w:ascii="Times New Roman" w:cs="Times New Roman" w:eastAsia="Times New Roman" w:hAnsi="Times New Roman"/>
          <w:sz w:val="20"/>
          <w:szCs w:val="20"/>
          <w:color w:val="auto"/>
        </w:rPr>
        <w:t>”), nor has any such Specified Dispute been threatened in writing, in each case challenging the legality, validity, scope, enforceability, inventorship or ownership of any Product IP of the Credit Parties and their Subsidiaries.</w:t>
      </w:r>
    </w:p>
    <w:p>
      <w:pPr>
        <w:spacing w:after="0" w:line="185" w:lineRule="exact"/>
        <w:rPr>
          <w:rFonts w:ascii="Times New Roman" w:cs="Times New Roman" w:eastAsia="Times New Roman" w:hAnsi="Times New Roman"/>
          <w:sz w:val="20"/>
          <w:szCs w:val="20"/>
          <w:color w:val="auto"/>
        </w:rPr>
      </w:pPr>
    </w:p>
    <w:p>
      <w:pPr>
        <w:ind w:left="1960" w:hanging="460"/>
        <w:spacing w:after="0"/>
        <w:tabs>
          <w:tab w:leader="none" w:pos="1960" w:val="left"/>
        </w:tabs>
        <w:numPr>
          <w:ilvl w:val="0"/>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Credit Party is a party to, nor is it bound by, any Restricted License.</w:t>
      </w:r>
    </w:p>
    <w:p>
      <w:pPr>
        <w:spacing w:after="0" w:line="202" w:lineRule="exact"/>
        <w:rPr>
          <w:rFonts w:ascii="Times New Roman" w:cs="Times New Roman" w:eastAsia="Times New Roman" w:hAnsi="Times New Roman"/>
          <w:sz w:val="20"/>
          <w:szCs w:val="20"/>
          <w:color w:val="auto"/>
        </w:rPr>
      </w:pPr>
    </w:p>
    <w:p>
      <w:pPr>
        <w:jc w:val="both"/>
        <w:ind w:firstLine="1500"/>
        <w:spacing w:after="0" w:line="249" w:lineRule="auto"/>
        <w:tabs>
          <w:tab w:leader="none" w:pos="1962" w:val="left"/>
        </w:tabs>
        <w:numPr>
          <w:ilvl w:val="0"/>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each case where Registered Product IP is owned or co-owned by any Credit Party or its Subsidiaries by assignment or other transfer agreement, the assignment or transfer agreement has been duly recorded with the U.S. Patent and Trademark Office and, to the Knowledge of the Credit Parties, all similar offices and agencies anywhere in the world in which foreign counterparts are pending, registered or issued.</w:t>
      </w:r>
    </w:p>
    <w:p>
      <w:pPr>
        <w:spacing w:after="0" w:line="179" w:lineRule="exact"/>
        <w:rPr>
          <w:rFonts w:ascii="Times New Roman" w:cs="Times New Roman" w:eastAsia="Times New Roman" w:hAnsi="Times New Roman"/>
          <w:sz w:val="20"/>
          <w:szCs w:val="20"/>
          <w:color w:val="auto"/>
        </w:rPr>
      </w:pPr>
    </w:p>
    <w:p>
      <w:pPr>
        <w:jc w:val="both"/>
        <w:ind w:firstLine="1500"/>
        <w:spacing w:after="0" w:line="245" w:lineRule="auto"/>
        <w:tabs>
          <w:tab w:leader="none" w:pos="1962" w:val="left"/>
        </w:tabs>
        <w:numPr>
          <w:ilvl w:val="0"/>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Except as set forth on </w:t>
      </w:r>
      <w:r>
        <w:rPr>
          <w:rFonts w:ascii="Times New Roman" w:cs="Times New Roman" w:eastAsia="Times New Roman" w:hAnsi="Times New Roman"/>
          <w:sz w:val="20"/>
          <w:szCs w:val="20"/>
          <w:u w:val="single" w:color="auto"/>
          <w:color w:val="auto"/>
        </w:rPr>
        <w:t>Schedule 4.6(m)</w:t>
      </w:r>
      <w:r>
        <w:rPr>
          <w:rFonts w:ascii="Times New Roman" w:cs="Times New Roman" w:eastAsia="Times New Roman" w:hAnsi="Times New Roman"/>
          <w:sz w:val="20"/>
          <w:szCs w:val="20"/>
          <w:color w:val="auto"/>
        </w:rPr>
        <w:t xml:space="preserve"> of the Disclosure Letter, there are no pending or threatened in writing, claims against Borrower or any of its Subsidiaries alleging (i) that any research, development, manufacture, production, use, commercialization, marketing, importing, storage, transport, offer for sale, distribution or sale of any Product in the Territory infringes or violates (or in the past infringed or violated) the rights of any third parties in or to any Intellectual Property (“</w:t>
      </w:r>
      <w:r>
        <w:rPr>
          <w:rFonts w:ascii="Times New Roman" w:cs="Times New Roman" w:eastAsia="Times New Roman" w:hAnsi="Times New Roman"/>
          <w:sz w:val="20"/>
          <w:szCs w:val="20"/>
          <w:b w:val="1"/>
          <w:bCs w:val="1"/>
          <w:color w:val="auto"/>
        </w:rPr>
        <w:t>Third Party IP</w:t>
      </w:r>
      <w:r>
        <w:rPr>
          <w:rFonts w:ascii="Times New Roman" w:cs="Times New Roman" w:eastAsia="Times New Roman" w:hAnsi="Times New Roman"/>
          <w:sz w:val="20"/>
          <w:szCs w:val="20"/>
          <w:color w:val="auto"/>
        </w:rPr>
        <w:t>”) or constitutes a misappropriation of (or in the past constituted a misappropriation of) any Third Party IP, or (ii) that any Product IP of the Credit Parties or their Subsidiaries is invalid or unenforceable.</w:t>
      </w:r>
    </w:p>
    <w:p>
      <w:pPr>
        <w:spacing w:after="0" w:line="184" w:lineRule="exact"/>
        <w:rPr>
          <w:rFonts w:ascii="Times New Roman" w:cs="Times New Roman" w:eastAsia="Times New Roman" w:hAnsi="Times New Roman"/>
          <w:sz w:val="20"/>
          <w:szCs w:val="20"/>
          <w:color w:val="auto"/>
        </w:rPr>
      </w:pPr>
    </w:p>
    <w:p>
      <w:pPr>
        <w:jc w:val="both"/>
        <w:ind w:firstLine="1500"/>
        <w:spacing w:after="0" w:line="249" w:lineRule="auto"/>
        <w:tabs>
          <w:tab w:leader="none" w:pos="1962" w:val="left"/>
        </w:tabs>
        <w:numPr>
          <w:ilvl w:val="0"/>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Knowledge of the Credit Parties, the manufacture, production, use, commercialization, marketing, importing, storage, transport, offer for sale, distribution or sale of any Product in the Territory does not (i) infringe or violate (or in the past infringed or violated) any issued or registered Third Party IP (including any issued Patent within the Third Party IP) or (ii) constitute a misappropriation of (or in the past constituted a misappropriation of) any Third Party IP.</w:t>
      </w:r>
    </w:p>
    <w:p>
      <w:pPr>
        <w:spacing w:after="0" w:line="166" w:lineRule="exact"/>
        <w:rPr>
          <w:rFonts w:ascii="Times New Roman" w:cs="Times New Roman" w:eastAsia="Times New Roman" w:hAnsi="Times New Roman"/>
          <w:sz w:val="20"/>
          <w:szCs w:val="20"/>
          <w:color w:val="auto"/>
        </w:rPr>
      </w:pPr>
    </w:p>
    <w:p>
      <w:pPr>
        <w:jc w:val="both"/>
        <w:ind w:firstLine="1500"/>
        <w:spacing w:after="0" w:line="254" w:lineRule="auto"/>
        <w:tabs>
          <w:tab w:leader="none" w:pos="1962" w:val="left"/>
        </w:tabs>
        <w:numPr>
          <w:ilvl w:val="0"/>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disclosed on Schedule 4.7 to the Disclosure Letter, there are no settlements, covenants not to sue, consents, judgments, orders or similar obligations that: (i) restrict the rights of any Credit Party or any of its Subsidiaries to use any Material IP (in order to accommodate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592455</wp:posOffset>
            </wp:positionV>
            <wp:extent cx="7157720" cy="425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400" w:top="1413" w:right="339" w:bottom="1440" w:gutter="0" w:footer="0" w:header="0"/>
        </w:sectPr>
      </w:pPr>
    </w:p>
    <w:bookmarkStart w:id="170" w:name="page171"/>
    <w:bookmarkEnd w:id="170"/>
    <w:p>
      <w:pPr>
        <w:spacing w:after="0" w:line="167" w:lineRule="exact"/>
        <w:rPr>
          <w:sz w:val="20"/>
          <w:szCs w:val="20"/>
          <w:color w:val="auto"/>
        </w:rPr>
      </w:pPr>
    </w:p>
    <w:p>
      <w:pPr>
        <w:jc w:val="right"/>
        <w:ind w:right="4379"/>
        <w:spacing w:after="0"/>
        <w:rPr>
          <w:sz w:val="20"/>
          <w:szCs w:val="20"/>
          <w:color w:val="auto"/>
        </w:rPr>
      </w:pPr>
      <w:r>
        <w:rPr>
          <w:rFonts w:ascii="Times New Roman" w:cs="Times New Roman" w:eastAsia="Times New Roman" w:hAnsi="Times New Roman"/>
          <w:sz w:val="18"/>
          <w:szCs w:val="18"/>
          <w:color w:val="auto"/>
        </w:rPr>
        <w:t>24</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4905-3710-6484 v.17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600710</wp:posOffset>
            </wp:positionV>
            <wp:extent cx="7157720" cy="425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59"/>
          </w:cols>
          <w:pgMar w:left="400" w:top="1440" w:right="1440" w:bottom="1440" w:gutter="0" w:footer="0" w:header="0"/>
        </w:sectPr>
      </w:pPr>
    </w:p>
    <w:bookmarkStart w:id="171" w:name="page172"/>
    <w:bookmarkEnd w:id="171"/>
    <w:p>
      <w:pPr>
        <w:spacing w:after="0"/>
        <w:rPr>
          <w:sz w:val="20"/>
          <w:szCs w:val="20"/>
          <w:color w:val="auto"/>
        </w:rPr>
      </w:pPr>
      <w:r>
        <w:rPr>
          <w:rFonts w:ascii="Times New Roman" w:cs="Times New Roman" w:eastAsia="Times New Roman" w:hAnsi="Times New Roman"/>
          <w:sz w:val="20"/>
          <w:szCs w:val="20"/>
          <w:color w:val="auto"/>
        </w:rPr>
        <w:t>Third Party IP or otherwise), or (ii) permit any third parties to use any Product IP of the Credit Parties or any of their Subsidiaries.</w:t>
      </w:r>
    </w:p>
    <w:p>
      <w:pPr>
        <w:spacing w:after="0" w:line="216" w:lineRule="exact"/>
        <w:rPr>
          <w:sz w:val="20"/>
          <w:szCs w:val="20"/>
          <w:color w:val="auto"/>
        </w:rPr>
      </w:pPr>
    </w:p>
    <w:p>
      <w:pPr>
        <w:jc w:val="both"/>
        <w:ind w:firstLine="1580"/>
        <w:spacing w:after="0" w:line="246" w:lineRule="auto"/>
        <w:tabs>
          <w:tab w:leader="none" w:pos="2033" w:val="left"/>
        </w:tabs>
        <w:numPr>
          <w:ilvl w:val="0"/>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disclosed on Schedule 4.7 to the Disclosure Letter, (i) there is no, nor has there been any, infringement or violation by any Person of any Product IP of the Credit Parties and their Subsidiaries or the rights therein, and (ii) there is no, nor has there been any, misappropriation by any Person of any Product IP of the Credit Parties and their Subsidiaries or the subject matter thereof. No claims of such infringement, misappropriation or violation are pending or threatened in writing against any Person by the Credit Parties or their Subsidiaries.</w:t>
      </w:r>
    </w:p>
    <w:p>
      <w:pPr>
        <w:spacing w:after="0" w:line="171" w:lineRule="exact"/>
        <w:rPr>
          <w:rFonts w:ascii="Times New Roman" w:cs="Times New Roman" w:eastAsia="Times New Roman" w:hAnsi="Times New Roman"/>
          <w:sz w:val="20"/>
          <w:szCs w:val="20"/>
          <w:color w:val="auto"/>
        </w:rPr>
      </w:pPr>
    </w:p>
    <w:p>
      <w:pPr>
        <w:jc w:val="both"/>
        <w:ind w:firstLine="1580"/>
        <w:spacing w:after="0" w:line="246" w:lineRule="auto"/>
        <w:tabs>
          <w:tab w:leader="none" w:pos="2033" w:val="left"/>
        </w:tabs>
        <w:numPr>
          <w:ilvl w:val="0"/>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Knowledge of the Credit Parties, each Credit Party and each of its Subsidiaries has taken commercially reasonable measures consistent with industry standards to protect the confidentiality and value of all trade secrets owned by such Credit Party or any of its Subsidiaries or used or held for use by such Credit Party or any of its Subsidiaries, in each case relating to the research, development, manufacture, production, use, commercialization, marketing, importing, storage, transport, offer for sale, distribution or sale of any Product in the Territory.</w:t>
      </w:r>
    </w:p>
    <w:p>
      <w:pPr>
        <w:spacing w:after="0" w:line="184" w:lineRule="exact"/>
        <w:rPr>
          <w:rFonts w:ascii="Times New Roman" w:cs="Times New Roman" w:eastAsia="Times New Roman" w:hAnsi="Times New Roman"/>
          <w:sz w:val="20"/>
          <w:szCs w:val="20"/>
          <w:color w:val="auto"/>
        </w:rPr>
      </w:pPr>
    </w:p>
    <w:p>
      <w:pPr>
        <w:jc w:val="both"/>
        <w:ind w:firstLine="1580"/>
        <w:spacing w:after="0" w:line="246" w:lineRule="auto"/>
        <w:tabs>
          <w:tab w:leader="none" w:pos="2033" w:val="left"/>
        </w:tabs>
        <w:numPr>
          <w:ilvl w:val="0"/>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Credit Party and each of its Subsidiaries has taken commercially reasonable measures to obtain, maintain, and renew any regulatory filings, submissions and approvals related to any research, development, manufacture, production, use, commercialization, marketing, importing, storage, transport, offer for sale, distribution or sale of any Product in the Territory and all data, including any material regulatory exclusivities such as new chemical entity and orphan drug exclusivity in the U.S., and corresponding exclusivities in counterpart foreign jurisdictions in the Territory.</w:t>
      </w:r>
    </w:p>
    <w:p>
      <w:pPr>
        <w:spacing w:after="0" w:line="184" w:lineRule="exact"/>
        <w:rPr>
          <w:rFonts w:ascii="Times New Roman" w:cs="Times New Roman" w:eastAsia="Times New Roman" w:hAnsi="Times New Roman"/>
          <w:sz w:val="20"/>
          <w:szCs w:val="20"/>
          <w:color w:val="auto"/>
        </w:rPr>
      </w:pPr>
    </w:p>
    <w:p>
      <w:pPr>
        <w:jc w:val="both"/>
        <w:ind w:firstLine="1580"/>
        <w:spacing w:after="0" w:line="254" w:lineRule="auto"/>
        <w:tabs>
          <w:tab w:leader="none" w:pos="2033" w:val="left"/>
        </w:tabs>
        <w:numPr>
          <w:ilvl w:val="0"/>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 the time of any shipment of any of Auvelity, Sunosi and Symbravo occurring prior to the Closing Date, the units of each so shipped complied in all material respects with their relevant specifications and were manufactured in all material respects in accordance with then-current FDA Good Manufacturing Practices.</w:t>
      </w:r>
    </w:p>
    <w:p>
      <w:pPr>
        <w:spacing w:after="0" w:line="18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0"/>
          <w:szCs w:val="20"/>
          <w:b w:val="1"/>
          <w:bCs w:val="1"/>
          <w:color w:val="auto"/>
        </w:rPr>
        <w:t>4.7. Adverse Proceedings; Compliance with Laws</w:t>
      </w:r>
      <w:r>
        <w:rPr>
          <w:rFonts w:ascii="Times New Roman" w:cs="Times New Roman" w:eastAsia="Times New Roman" w:hAnsi="Times New Roman"/>
          <w:sz w:val="20"/>
          <w:szCs w:val="20"/>
          <w:color w:val="auto"/>
        </w:rPr>
        <w:t>. Except as set forth 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Schedule 4.7</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of</w:t>
      </w:r>
    </w:p>
    <w:p>
      <w:pPr>
        <w:spacing w:after="0" w:line="26"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color w:val="auto"/>
        </w:rPr>
        <w:t>the Disclosure Letter, there are no Adverse Proceedings pending or, to the Knowledge of the Credit Parties or their Subsidiaries, threatened in writing or contemplated, at law, in equity, in arbitration or before any Governmental Authority, by or against Borrower or any of its Subsidiaries or against any of their respective assets or properties or revenues (including involving allegations of sexual harassment or misconduct by any officer of Borrower or any of its Subsidiaries) that (a) either individually or in the aggregate, could reasonably be expected to result in a Material Adverse Change or (b) involves this Agreement or any Loan Document (other than any adverse proceeding brought or threatened by any Secured Party). Neither Borrower nor any of its Subsidiaries (a) is in violation of any Requirements of Law (including Environmental Laws) that, individually or in the aggregate, could reasonably be expected to result in a Material Adverse Change, or (b) is subject to or in default with respect to any final judgments, orders, writs, injunctions, decrees, rules or regulations of any court or any federal, state, municipal or other governmental department, commission, board, bureau, agency or instrumentality, domestic or foreign that, individually or in the aggregate, could reasonably be expected to result in a Material Adverse Change.</w:t>
      </w:r>
    </w:p>
    <w:p>
      <w:pPr>
        <w:spacing w:after="0" w:line="185" w:lineRule="exact"/>
        <w:rPr>
          <w:sz w:val="20"/>
          <w:szCs w:val="20"/>
          <w:color w:val="auto"/>
        </w:rPr>
      </w:pPr>
    </w:p>
    <w:p>
      <w:pPr>
        <w:ind w:right="2620" w:firstLine="1145"/>
        <w:spacing w:after="0" w:line="273" w:lineRule="auto"/>
        <w:rPr>
          <w:sz w:val="20"/>
          <w:szCs w:val="20"/>
          <w:color w:val="auto"/>
        </w:rPr>
      </w:pPr>
      <w:r>
        <w:rPr>
          <w:rFonts w:ascii="Times New Roman" w:cs="Times New Roman" w:eastAsia="Times New Roman" w:hAnsi="Times New Roman"/>
          <w:sz w:val="20"/>
          <w:szCs w:val="20"/>
          <w:b w:val="1"/>
          <w:bCs w:val="1"/>
          <w:color w:val="auto"/>
        </w:rPr>
        <w:t>4.8. Exchange Act Documents; Financial Statements; Financial Condition; No Material Adverse Change; Books and Records</w:t>
      </w:r>
      <w:r>
        <w:rPr>
          <w:rFonts w:ascii="Times New Roman" w:cs="Times New Roman" w:eastAsia="Times New Roman" w:hAnsi="Times New Roman"/>
          <w:sz w:val="20"/>
          <w:szCs w:val="20"/>
          <w:color w:val="auto"/>
        </w:rPr>
        <w:t>.</w:t>
      </w:r>
    </w:p>
    <w:p>
      <w:pPr>
        <w:spacing w:after="0" w:line="156" w:lineRule="exact"/>
        <w:rPr>
          <w:sz w:val="20"/>
          <w:szCs w:val="20"/>
          <w:color w:val="auto"/>
        </w:rPr>
      </w:pPr>
    </w:p>
    <w:p>
      <w:pPr>
        <w:jc w:val="both"/>
        <w:ind w:firstLine="1580"/>
        <w:spacing w:after="0" w:line="260" w:lineRule="auto"/>
        <w:tabs>
          <w:tab w:leader="none" w:pos="1968" w:val="left"/>
        </w:tabs>
        <w:numPr>
          <w:ilvl w:val="0"/>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documents filed by Borrower with the SEC pursuant to the Exchange Act since January 1, 2024 (the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9"/>
          <w:szCs w:val="19"/>
          <w:b w:val="1"/>
          <w:bCs w:val="1"/>
          <w:color w:val="auto"/>
        </w:rPr>
        <w:t>Exchange Act Documents</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9"/>
          <w:szCs w:val="19"/>
          <w:color w:val="auto"/>
        </w:rPr>
        <w:t>), when they were filed with the SEC, conformed in all material respects to the requirements of the Exchange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9"/>
          <w:szCs w:val="19"/>
          <w:color w:val="auto"/>
        </w:rPr>
        <w:t>Act, and as of the time they were filed with the SEC,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589280</wp:posOffset>
            </wp:positionV>
            <wp:extent cx="7157720" cy="425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26" w:right="419" w:bottom="1440" w:gutter="0" w:footer="0" w:header="0"/>
        </w:sectPr>
      </w:pPr>
    </w:p>
    <w:bookmarkStart w:id="172" w:name="page173"/>
    <w:bookmarkEnd w:id="172"/>
    <w:p>
      <w:pPr>
        <w:spacing w:after="0" w:line="189"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none of such documents contained any untrue statement of a material fact, or omitted to state a material fact necessary to make the statements therein (excluding any projections and forward looking statements,</w:t>
      </w:r>
    </w:p>
    <w:p>
      <w:pPr>
        <w:spacing w:after="0" w:line="1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4905-3710-6484 v.17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600710</wp:posOffset>
            </wp:positionV>
            <wp:extent cx="7157720" cy="425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173" w:name="page174"/>
    <w:bookmarkEnd w:id="173"/>
    <w:p>
      <w:pPr>
        <w:jc w:val="both"/>
        <w:spacing w:after="0" w:line="244" w:lineRule="auto"/>
        <w:rPr>
          <w:sz w:val="20"/>
          <w:szCs w:val="20"/>
          <w:color w:val="auto"/>
        </w:rPr>
      </w:pPr>
      <w:r>
        <w:rPr>
          <w:rFonts w:ascii="Times New Roman" w:cs="Times New Roman" w:eastAsia="Times New Roman" w:hAnsi="Times New Roman"/>
          <w:sz w:val="20"/>
          <w:szCs w:val="20"/>
          <w:color w:val="auto"/>
        </w:rPr>
        <w:t>estimates, budgets and general economic or industry data of a general nature), in the light of the circumstances under which they were made, not misleading. With respect to projected financial information included in the Exchange Act Documents, Borrower represents only that such information was prepared in good faith based upon assumptions believed to be reasonable at the time (it being understood that such projections are not a guarantee of financial performance and are subject to uncertainties and contingencies, many of which are beyond the control of Borrower or any Subsidiary, and neither Borrower nor any Subsidiary can give any assurance that such projections shall be attained, that actual results may differ in a material manner from such projections and any failure to meet such projections shall not be deemed to be a breach of any representation or covenant herein);</w:t>
      </w:r>
    </w:p>
    <w:p>
      <w:pPr>
        <w:spacing w:after="0" w:line="172" w:lineRule="exact"/>
        <w:rPr>
          <w:sz w:val="20"/>
          <w:szCs w:val="20"/>
          <w:color w:val="auto"/>
        </w:rPr>
      </w:pPr>
    </w:p>
    <w:p>
      <w:pPr>
        <w:jc w:val="both"/>
        <w:ind w:firstLine="1580"/>
        <w:spacing w:after="0" w:line="244" w:lineRule="auto"/>
        <w:tabs>
          <w:tab w:leader="none" w:pos="2033" w:val="left"/>
        </w:tabs>
        <w:numPr>
          <w:ilvl w:val="0"/>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financial statements (including the related notes thereto) of Borrower and its Subsidiaries included in the Exchange Act Documents present fairly in all material respects the consolidated financial condition of Borrower and such Subsidiaries and their consolidated results of operations as of the dates indicated and the results of their operations and the changes in their cash flows for the periods specified. Such financial statements have been prepared in conformity with GAAP applied on a consistent basis throughout the periods covered thereby, except as otherwise disclosed therein and, in the case of unaudited, interim financial statements, subject to normal year-end audit adjustments and the exclusion of certain footnotes, and any supporting schedules included in the Exchange Act Documents present fairly in all material respects the information required to be stated therein;</w:t>
      </w:r>
    </w:p>
    <w:p>
      <w:pPr>
        <w:spacing w:after="0" w:line="185" w:lineRule="exact"/>
        <w:rPr>
          <w:rFonts w:ascii="Times New Roman" w:cs="Times New Roman" w:eastAsia="Times New Roman" w:hAnsi="Times New Roman"/>
          <w:sz w:val="20"/>
          <w:szCs w:val="20"/>
          <w:color w:val="auto"/>
        </w:rPr>
      </w:pPr>
    </w:p>
    <w:p>
      <w:pPr>
        <w:jc w:val="both"/>
        <w:ind w:firstLine="1580"/>
        <w:spacing w:after="0" w:line="254" w:lineRule="auto"/>
        <w:tabs>
          <w:tab w:leader="none" w:pos="2033" w:val="left"/>
        </w:tabs>
        <w:numPr>
          <w:ilvl w:val="0"/>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Since December 31, 2023, there has not occurred or failed to occur any change or event that has had or could reasonably be expected to have, either alone or in conjunction with any other change(s), event(s) or failure(s), a Material Adverse Change, except as has been disclosed in the Exchange Act Documents; and</w:t>
      </w:r>
    </w:p>
    <w:p>
      <w:pPr>
        <w:spacing w:after="0" w:line="174" w:lineRule="exact"/>
        <w:rPr>
          <w:rFonts w:ascii="Times New Roman" w:cs="Times New Roman" w:eastAsia="Times New Roman" w:hAnsi="Times New Roman"/>
          <w:sz w:val="20"/>
          <w:szCs w:val="20"/>
          <w:color w:val="auto"/>
        </w:rPr>
      </w:pPr>
    </w:p>
    <w:p>
      <w:pPr>
        <w:jc w:val="both"/>
        <w:ind w:firstLine="1580"/>
        <w:spacing w:after="0" w:line="254" w:lineRule="auto"/>
        <w:tabs>
          <w:tab w:leader="none" w:pos="2033" w:val="left"/>
        </w:tabs>
        <w:numPr>
          <w:ilvl w:val="0"/>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Books of Borrower and each of its Subsidiaries in existence immediately prior to the Closing Date contain full, true and correct entries of all dealings and transactions in relation to its business and activities in conformity with GAAP and all Requirements of Law.</w:t>
      </w:r>
    </w:p>
    <w:p>
      <w:pPr>
        <w:spacing w:after="0" w:line="170"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0"/>
          <w:szCs w:val="20"/>
          <w:b w:val="1"/>
          <w:bCs w:val="1"/>
          <w:color w:val="auto"/>
        </w:rPr>
        <w:t xml:space="preserve">4.9. Solvency </w:t>
      </w:r>
      <w:r>
        <w:rPr>
          <w:rFonts w:ascii="Times New Roman" w:cs="Times New Roman" w:eastAsia="Times New Roman" w:hAnsi="Times New Roman"/>
          <w:sz w:val="20"/>
          <w:szCs w:val="20"/>
          <w:color w:val="auto"/>
        </w:rPr>
        <w:t>. Borrower and its Subsidiaries, on a consolidated basis, are Solvent. Without limiting the generality of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foregoing, there has been no proposal made or resolution adopted by any competent corporate body for the dissolution or liquidation of any Credit Party, nor do any circumstances exist which may result in the dissolution or liquidation of any Credit Party.</w:t>
      </w:r>
    </w:p>
    <w:p>
      <w:pPr>
        <w:spacing w:after="0" w:line="155"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b w:val="1"/>
          <w:bCs w:val="1"/>
          <w:color w:val="auto"/>
        </w:rPr>
        <w:t>4.10. Payment of Taxes</w:t>
      </w:r>
      <w:r>
        <w:rPr>
          <w:rFonts w:ascii="Times New Roman" w:cs="Times New Roman" w:eastAsia="Times New Roman" w:hAnsi="Times New Roman"/>
          <w:sz w:val="20"/>
          <w:szCs w:val="20"/>
          <w:color w:val="auto"/>
        </w:rPr>
        <w:t>. All foreign, federal and state income and other Tax returns and reports (or extensions thereof) of each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Credit Party and each of its Subsidiaries required to be filed by any of them have been timely filed and are correct in all respects, and all Taxes which are due and payable by any Credit Party or any of its Subsidiaries have been paid when due and payable except where the validity or amount thereof is being contested in good faith by appropriate proceedings;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 the applicable Credit Party has set aside on its books adequate reserves therefor in conformity with GAAP and (b) the failure to do so, individually or in the aggregate, could not reasonably be expected to result in a Material Adverse Change.</w:t>
      </w:r>
    </w:p>
    <w:p>
      <w:pPr>
        <w:spacing w:after="0" w:line="179" w:lineRule="exact"/>
        <w:rPr>
          <w:sz w:val="20"/>
          <w:szCs w:val="20"/>
          <w:color w:val="auto"/>
        </w:rPr>
      </w:pPr>
    </w:p>
    <w:p>
      <w:pPr>
        <w:jc w:val="both"/>
        <w:ind w:firstLine="749"/>
        <w:spacing w:after="0" w:line="260" w:lineRule="auto"/>
        <w:rPr>
          <w:sz w:val="20"/>
          <w:szCs w:val="20"/>
          <w:color w:val="auto"/>
        </w:rPr>
      </w:pPr>
      <w:r>
        <w:rPr>
          <w:rFonts w:ascii="Times New Roman" w:cs="Times New Roman" w:eastAsia="Times New Roman" w:hAnsi="Times New Roman"/>
          <w:sz w:val="19"/>
          <w:szCs w:val="19"/>
          <w:b w:val="1"/>
          <w:bCs w:val="1"/>
          <w:color w:val="auto"/>
        </w:rPr>
        <w:t>4.11. Environmental Matters</w:t>
      </w:r>
      <w:r>
        <w:rPr>
          <w:rFonts w:ascii="Times New Roman" w:cs="Times New Roman" w:eastAsia="Times New Roman" w:hAnsi="Times New Roman"/>
          <w:sz w:val="19"/>
          <w:szCs w:val="19"/>
          <w:color w:val="auto"/>
        </w:rPr>
        <w:t>. Neither Borrower nor any of its Subject Subsidiaries nor any of their respective Facilities or</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operations are subject to any outstanding written order, consent decree or settlement agreement with any Person relating to any Environmental Law, any Environmental Claim, or any Hazardous Materials Activity that, individually or in the aggregate, could reasonably be expected to result in a Material Adverse Change, and Borrower and each of its Subject Subsidiaries have complied at all times in all material respects with applicable Environmental Laws. Neither Borrower nor any of its Subject Subsidiaries have received any notice of any Environmental Claim, including any letter or written request for information under Section 104 of the Comprehensive Environmental Response, Compensation, and Liability Act (42 U.S.C. § 9604) or any comparable state law. There are and, to the Knowledge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589915</wp:posOffset>
            </wp:positionV>
            <wp:extent cx="7157720" cy="425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13" w:right="419" w:bottom="1440" w:gutter="0" w:footer="0" w:header="0"/>
        </w:sectPr>
      </w:pPr>
    </w:p>
    <w:bookmarkStart w:id="174" w:name="page175"/>
    <w:bookmarkEnd w:id="174"/>
    <w:p>
      <w:pPr>
        <w:spacing w:after="0" w:line="153" w:lineRule="exact"/>
        <w:rPr>
          <w:sz w:val="20"/>
          <w:szCs w:val="20"/>
          <w:color w:val="auto"/>
        </w:rPr>
      </w:pPr>
    </w:p>
    <w:p>
      <w:pPr>
        <w:jc w:val="right"/>
        <w:ind w:right="4459"/>
        <w:spacing w:after="0"/>
        <w:rPr>
          <w:sz w:val="20"/>
          <w:szCs w:val="20"/>
          <w:color w:val="auto"/>
        </w:rPr>
      </w:pPr>
      <w:r>
        <w:rPr>
          <w:rFonts w:ascii="Times New Roman" w:cs="Times New Roman" w:eastAsia="Times New Roman" w:hAnsi="Times New Roman"/>
          <w:sz w:val="18"/>
          <w:szCs w:val="18"/>
          <w:color w:val="auto"/>
        </w:rPr>
        <w:t>26</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4905-3710-6484 v.17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600710</wp:posOffset>
            </wp:positionV>
            <wp:extent cx="7157720" cy="425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175" w:name="page176"/>
    <w:bookmarkEnd w:id="175"/>
    <w:p>
      <w:pPr>
        <w:jc w:val="both"/>
        <w:spacing w:after="0" w:line="241" w:lineRule="auto"/>
        <w:rPr>
          <w:sz w:val="20"/>
          <w:szCs w:val="20"/>
          <w:color w:val="auto"/>
        </w:rPr>
      </w:pPr>
      <w:r>
        <w:rPr>
          <w:rFonts w:ascii="Times New Roman" w:cs="Times New Roman" w:eastAsia="Times New Roman" w:hAnsi="Times New Roman"/>
          <w:sz w:val="20"/>
          <w:szCs w:val="20"/>
          <w:color w:val="auto"/>
        </w:rPr>
        <w:t>Credit Parties, have been, no conditions, occurrences, or Hazardous Materials Activities that could reasonably be expected to form the basis of an Environmental Claim against Borrower or any of its Subject Subsidiaries that, individually or in the aggregate, could reasonably be expected to result in a Material Adverse Change. To the Knowledge of the Credit Parties, no predecessor of Borrower or any of its Subject Subsidiaries has filed any notice under any Environmental Law indicating past or present treatment of Hazardous Materials at any Facility, which could reasonably be expected to form the basis of an Environmental Claim against Borrower or any of its Subject Subsidiaries that, individually or in the aggregate, could reasonably be expected to result in a Material Adverse Change (but Borrower has not undertaken any investigation of or made any inquiries to, or relating to, any of its or its Subject Subsidiaries’ predecessors), and neither Borrower’s nor any of its Subject Subsidiaries’ operations involves the generation, transportation, treatment, storage or disposal of hazardous waste, as defined under 40 C.F.R. Parts 260 270 or any state equivalent, which would reasonably be expected to form the basis of an Environmental Claim against Borrower or any of its Subject Subsidiaries that, individually or in the aggregate, could reasonably be expected to result in aa Material Adverse Change. No event or condition has occurred or is occurring with respect to any Credit Party relating to any Environmental Law, any Release of Hazardous Materials, or any Hazardous Materials Activity which, individually or in the aggregate, has resulted in, or could reasonably be expected to result in, a Material Adverse Change. Neither Borrower nor any of its Subject Subsidiaries have undertaken or assumed (by operation of law or otherwise) any liability arising under Environmental Law, or provided an indemnity with respect to any Environmental Law, for any other Person that, individually or in the aggregate, could reasonably be expected to result in a Material Adverse Change.</w:t>
      </w:r>
    </w:p>
    <w:p>
      <w:pPr>
        <w:spacing w:after="0" w:line="176"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0"/>
          <w:szCs w:val="20"/>
          <w:b w:val="1"/>
          <w:bCs w:val="1"/>
          <w:color w:val="auto"/>
        </w:rPr>
        <w:t>4.12. Material Contracts</w:t>
      </w:r>
      <w:r>
        <w:rPr>
          <w:rFonts w:ascii="Times New Roman" w:cs="Times New Roman" w:eastAsia="Times New Roman" w:hAnsi="Times New Roman"/>
          <w:sz w:val="20"/>
          <w:szCs w:val="20"/>
          <w:color w:val="auto"/>
        </w:rPr>
        <w:t>. After giving effect to the consummation of the transactions contemplated by this Agreement, each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Material Contract, including the Antecip License Agreement, is a valid and binding obligation of the applicable Credit Party and, to the Knowledge of the Credit Parties, each other party thereto, and is in full force and effect, and neither the applicable Credit Party nor, to the Knowledge of the Credit Parties, any other party thereto is in material breach thereof or default thereunder, except where such breach or default (which default has not been cured or waived) could not reasonably be expected to give rise to any cancellation, termination or acceleration right of the applicable counterparty thereto. No Credit Party or any of its Subsidiaries has received any written notice from any party thereto asserting, or, to the Knowledge of the Credit Parties, threatening to assert, circumstances that could reasonably be expected to result in the cancellation, termination or invalidation of any Material Contract.</w:t>
      </w:r>
    </w:p>
    <w:p>
      <w:pPr>
        <w:spacing w:after="0" w:line="195"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0"/>
          <w:szCs w:val="20"/>
          <w:b w:val="1"/>
          <w:bCs w:val="1"/>
          <w:color w:val="auto"/>
        </w:rPr>
        <w:t>4.13. Regulatory Compliance</w:t>
      </w:r>
      <w:r>
        <w:rPr>
          <w:rFonts w:ascii="Times New Roman" w:cs="Times New Roman" w:eastAsia="Times New Roman" w:hAnsi="Times New Roman"/>
          <w:sz w:val="20"/>
          <w:szCs w:val="20"/>
          <w:color w:val="auto"/>
        </w:rPr>
        <w:t>. No Credit Party is or is required to be an “investment company”, and no Credit Party is a company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“controlled” by an “investment company”, under the Investment Company Act of 1940, as amended. No Credit Party is engaged as one of its important activities in extending credit for Margin Stock (under Regulations X, T and U of the Federal Reserve Board). Except as could not, either individually or in the aggregate, reasonably be expected to result in a Material Adverse Change, each Credit Party is in compliance with all applicable laws and regulations respecting labor, employment, fair employment practices, work place safety and health, terms and conditions of employment, wages and hours (including the Federal Fair Labor Standards Act). No Credit Party is delinquent in any payments to any Employee for any wages, salaries, commissions, bonuses, fees or other direct compensation due with respect to any services performed for it to the date hereof or amounts required to be reimbursed to such Employees; there are no grievances, complaints or charges with respect to employment or labor matters (including charges of employment discrimination, retaliation or unfair labor practices) pending or, to the knowledge of any Credit Party, threatened in any judicial, regulatory or administrative forum, or under any private dispute resolution procedure; and none of the employment policies or practices of Credit Party are currently being audited, or to the knowledge of any Credit Party, being investigated by any Governmental Body, except in each case as could not, either individually or in the aggregate, reasonably be expected to result in a Material Adverse Change. Except as could not, either individually or in the aggregate, reasonably be expected to result in a Material Adverse Change, each Employee Benefit Plan, and with respect to each Employee Benefit Plan, each Credit Party and Subsidiary, is in compliance 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607695</wp:posOffset>
            </wp:positionV>
            <wp:extent cx="7157720" cy="425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26" w:right="419" w:bottom="1440" w:gutter="0" w:footer="0" w:header="0"/>
        </w:sectPr>
      </w:pPr>
    </w:p>
    <w:bookmarkStart w:id="176" w:name="page177"/>
    <w:bookmarkEnd w:id="176"/>
    <w:p>
      <w:pPr>
        <w:spacing w:after="0" w:line="99" w:lineRule="exact"/>
        <w:rPr>
          <w:sz w:val="20"/>
          <w:szCs w:val="20"/>
          <w:color w:val="auto"/>
        </w:rPr>
      </w:pPr>
    </w:p>
    <w:p>
      <w:pPr>
        <w:jc w:val="right"/>
        <w:ind w:right="4459"/>
        <w:spacing w:after="0"/>
        <w:rPr>
          <w:sz w:val="20"/>
          <w:szCs w:val="20"/>
          <w:color w:val="auto"/>
        </w:rPr>
      </w:pPr>
      <w:r>
        <w:rPr>
          <w:rFonts w:ascii="Times New Roman" w:cs="Times New Roman" w:eastAsia="Times New Roman" w:hAnsi="Times New Roman"/>
          <w:sz w:val="18"/>
          <w:szCs w:val="18"/>
          <w:color w:val="auto"/>
        </w:rPr>
        <w:t>27</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4905-3710-6484 v.17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600710</wp:posOffset>
            </wp:positionV>
            <wp:extent cx="7157720" cy="425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177" w:name="page178"/>
    <w:bookmarkEnd w:id="177"/>
    <w:p>
      <w:pPr>
        <w:jc w:val="both"/>
        <w:spacing w:after="0" w:line="241" w:lineRule="auto"/>
        <w:rPr>
          <w:sz w:val="20"/>
          <w:szCs w:val="20"/>
          <w:color w:val="auto"/>
        </w:rPr>
      </w:pPr>
      <w:r>
        <w:rPr>
          <w:rFonts w:ascii="Times New Roman" w:cs="Times New Roman" w:eastAsia="Times New Roman" w:hAnsi="Times New Roman"/>
          <w:sz w:val="20"/>
          <w:szCs w:val="20"/>
          <w:color w:val="auto"/>
        </w:rPr>
        <w:t xml:space="preserve">all applicable provisions of ERISA, the IRC and other U.S. federal or state Requirements of Law, respectively. (i) No ERISA Event has occurred or is reasonably expected to occur; (ii) neither any Credit Party nor any ERISA Affiliate has incurred, or would reasonably be expected to incur, any liability (and no event has occurred which, with the giving of notice under Section 4219 of ERISA, would result in such liability) under Section 4201 </w:t>
      </w:r>
      <w:r>
        <w:rPr>
          <w:rFonts w:ascii="Times New Roman" w:cs="Times New Roman" w:eastAsia="Times New Roman" w:hAnsi="Times New Roman"/>
          <w:sz w:val="20"/>
          <w:szCs w:val="20"/>
          <w:i w:val="1"/>
          <w:iCs w:val="1"/>
          <w:color w:val="auto"/>
        </w:rPr>
        <w:t>et seq</w:t>
      </w:r>
      <w:r>
        <w:rPr>
          <w:rFonts w:ascii="Times New Roman" w:cs="Times New Roman" w:eastAsia="Times New Roman" w:hAnsi="Times New Roman"/>
          <w:sz w:val="20"/>
          <w:szCs w:val="20"/>
          <w:color w:val="auto"/>
        </w:rPr>
        <w:t xml:space="preserve">. or 4243 of ERISA with respect to a Multiemployer Plan; (iii) neither any Credit Party nor any ERISA Affiliate has engaged in a transaction that would be subject to Section 4069 or 4212(c) of ERISA; and (iv) there are no pending or, to the Knowledge of the Credit Parties, threatened claims, actions or lawsuits related to any Employee Benefit Plan, except, with respect to each of </w:t>
      </w:r>
      <w:r>
        <w:rPr>
          <w:rFonts w:ascii="Times New Roman" w:cs="Times New Roman" w:eastAsia="Times New Roman" w:hAnsi="Times New Roman"/>
          <w:sz w:val="20"/>
          <w:szCs w:val="20"/>
          <w:u w:val="single" w:color="auto"/>
          <w:color w:val="auto"/>
        </w:rPr>
        <w:t>clauses (i)</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(ii)</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(iii)</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(iv)</w:t>
      </w:r>
      <w:r>
        <w:rPr>
          <w:rFonts w:ascii="Times New Roman" w:cs="Times New Roman" w:eastAsia="Times New Roman" w:hAnsi="Times New Roman"/>
          <w:sz w:val="20"/>
          <w:szCs w:val="20"/>
          <w:color w:val="auto"/>
        </w:rPr>
        <w:t xml:space="preserve"> above, as could not reasonably be expected, individually or in the aggregate, to result in a Material Adverse Change. Each Employee Benefit Plan that is intended to be qualified under Section 401(a) of the IRC has received a favorable determination, opinion or advisory letter from the Internal Revenue Service to the effect that the form of such Employee Benefit Plan is qualified under Section 401(a) of the IRC and that the trust related thereto is exempt from federal income tax under Section 501(a) of the IRC. Except as could not, either individually or in the aggregate, reasonably be expected to result in a Material Adverse Change, no Credit Party or Subsidiary has any obligation to provide health or welfare benefits to any individual after termination of employment, other than coverage in connection with bona fide severance or unsubsidized coverage that is required by the Consolidated Omnibus Budget Reconciliation Act of 1985, as amended (“COBRA”) or similar state law. Except as could not, either individually or in the aggregate, reasonably be expected to result in a Material Adverse Change, each arrangement pursuant to which a Credit Party or Subsidiary has an obligation to pay or accrue nonqualified deferred compensation (within the meaning of Section 409A of the IRC) has been administered in accordance with plan documents that satisfy the requirements of Section 409A of the IRC.</w:t>
      </w:r>
    </w:p>
    <w:p>
      <w:pPr>
        <w:spacing w:after="0" w:line="174"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0"/>
          <w:szCs w:val="20"/>
          <w:b w:val="1"/>
          <w:bCs w:val="1"/>
          <w:color w:val="auto"/>
        </w:rPr>
        <w:t>4.14. Margin Stock</w:t>
      </w:r>
      <w:r>
        <w:rPr>
          <w:rFonts w:ascii="Times New Roman" w:cs="Times New Roman" w:eastAsia="Times New Roman" w:hAnsi="Times New Roman"/>
          <w:sz w:val="20"/>
          <w:szCs w:val="20"/>
          <w:color w:val="auto"/>
        </w:rPr>
        <w:t>. No Credit Party is engaged, nor shall it engage, principally or as one of its important activities, in the business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of extending credit for the purpose of “purchasing” or “carrying” any “margin stock” as such terms are defined in Regulation U of the Federal Reserve Board as now and from time to time hereafter in effect (such securities being referred to herein as “</w:t>
      </w:r>
      <w:r>
        <w:rPr>
          <w:rFonts w:ascii="Times New Roman" w:cs="Times New Roman" w:eastAsia="Times New Roman" w:hAnsi="Times New Roman"/>
          <w:sz w:val="20"/>
          <w:szCs w:val="20"/>
          <w:b w:val="1"/>
          <w:bCs w:val="1"/>
          <w:color w:val="auto"/>
        </w:rPr>
        <w:t>Margin Stock</w:t>
      </w:r>
      <w:r>
        <w:rPr>
          <w:rFonts w:ascii="Times New Roman" w:cs="Times New Roman" w:eastAsia="Times New Roman" w:hAnsi="Times New Roman"/>
          <w:sz w:val="20"/>
          <w:szCs w:val="20"/>
          <w:color w:val="auto"/>
        </w:rPr>
        <w:t>”). No Credit Party owns any Margin Stock, and none of the proceeds of the Credit Extensions or other extensions of credit under this Agreement shall be used, directly or indirectly, for the purpose of purchasing or carrying any Margin Stock, for the purpose of reducing or retiring any Indebtedness that was originally incurred to purchase or carry any Margin Stock, or for any other purpose that might cause the Term Loan or other extensions of credit under this Agreement to be considered a “purpose credit” within the meaning of Regulation T, U or X of the Federal Reserve Board. No Credit Party or any of its Subsidiaries has taken or permitted to be taken any action that might cause any Loan Document to violate Regulation T, U or X of the Federal Reserve Board.</w:t>
      </w:r>
    </w:p>
    <w:p>
      <w:pPr>
        <w:spacing w:after="0" w:line="186"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0"/>
          <w:szCs w:val="20"/>
          <w:b w:val="1"/>
          <w:bCs w:val="1"/>
          <w:color w:val="auto"/>
        </w:rPr>
        <w:t>4.15. Subsidiaries</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Schedule 4.15</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of the Disclosure Letter (a) sets forth the name and jurisdiction of incorporation, organization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formation of Borrower and each of its Subsidiaries and (b) sets forth the ownership interest of Borrower and any other Credit Party in each of their respective Subsidiaries, including the percentage of such ownership.</w:t>
      </w:r>
    </w:p>
    <w:p>
      <w:pPr>
        <w:spacing w:after="0" w:line="182"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0"/>
          <w:szCs w:val="20"/>
          <w:b w:val="1"/>
          <w:bCs w:val="1"/>
          <w:color w:val="auto"/>
        </w:rPr>
        <w:t>4.16. Employee Matters</w:t>
      </w:r>
      <w:r>
        <w:rPr>
          <w:rFonts w:ascii="Times New Roman" w:cs="Times New Roman" w:eastAsia="Times New Roman" w:hAnsi="Times New Roman"/>
          <w:sz w:val="20"/>
          <w:szCs w:val="20"/>
          <w:color w:val="auto"/>
        </w:rPr>
        <w:t>. Neither Borrower nor any of its Subsidiaries is engaged in any unfair labor practice that could, either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individually or in the aggregate, reasonably be expected to result in a Material Adverse Change. There are no collective bargaining agreements or other contracts, agreements, or leases (whether written or oral and whether express or implied) with any Union or work rules or practices agreed to with any Union, binding on any Credit Party with respect to any employee. There is (a) no unfair labor practice complaint pending against Borrower or any of its Subject Subsidiaries or, to the Knowledge of the Credit Parties, threatened in writing against any of them before the National Labor Relations Board, and no grievance or arbitration proceeding arising out of or under any collective bargaining agreement that is pending against Borrower or any of its Subject Subsidiaries or, to the Knowledge of the Credit Parties, threatened in writing against any of them, (b) no strike or work stoppage in existence or, to the Knowledge of the Credit Parties, threatened in writing involving Borrower or any of its Subject Subsidiaries, and (c)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602615</wp:posOffset>
            </wp:positionV>
            <wp:extent cx="7157720" cy="425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6" w:right="339" w:bottom="1440" w:gutter="0" w:footer="0" w:header="0"/>
        </w:sectPr>
      </w:pPr>
    </w:p>
    <w:bookmarkStart w:id="178" w:name="page179"/>
    <w:bookmarkEnd w:id="178"/>
    <w:p>
      <w:pPr>
        <w:spacing w:after="0" w:line="113"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28</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4905-3710-6484 v.17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600710</wp:posOffset>
            </wp:positionV>
            <wp:extent cx="7157720" cy="4254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179" w:name="page180"/>
    <w:bookmarkEnd w:id="179"/>
    <w:p>
      <w:pPr>
        <w:jc w:val="both"/>
        <w:spacing w:after="0" w:line="249" w:lineRule="auto"/>
        <w:rPr>
          <w:sz w:val="20"/>
          <w:szCs w:val="20"/>
          <w:color w:val="auto"/>
        </w:rPr>
      </w:pPr>
      <w:r>
        <w:rPr>
          <w:rFonts w:ascii="Times New Roman" w:cs="Times New Roman" w:eastAsia="Times New Roman" w:hAnsi="Times New Roman"/>
          <w:sz w:val="20"/>
          <w:szCs w:val="20"/>
          <w:color w:val="auto"/>
        </w:rPr>
        <w:t xml:space="preserve">the Knowledge of the Credit Parties, there is no union representation question existing with respect to the employees of Borrower or any of its Subject Subsidiaries and, to the Knowledge of the Credit Parties, no union organization activity that is taking place that in each case specified in any of </w:t>
      </w:r>
      <w:r>
        <w:rPr>
          <w:rFonts w:ascii="Times New Roman" w:cs="Times New Roman" w:eastAsia="Times New Roman" w:hAnsi="Times New Roman"/>
          <w:sz w:val="20"/>
          <w:szCs w:val="20"/>
          <w:u w:val="single" w:color="auto"/>
          <w:color w:val="auto"/>
        </w:rPr>
        <w:t>clauses (a)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(c)</w:t>
      </w:r>
      <w:r>
        <w:rPr>
          <w:rFonts w:ascii="Times New Roman" w:cs="Times New Roman" w:eastAsia="Times New Roman" w:hAnsi="Times New Roman"/>
          <w:sz w:val="20"/>
          <w:szCs w:val="20"/>
          <w:color w:val="auto"/>
        </w:rPr>
        <w:t xml:space="preserve">, individually or together with any other matter specified in </w:t>
      </w:r>
      <w:r>
        <w:rPr>
          <w:rFonts w:ascii="Times New Roman" w:cs="Times New Roman" w:eastAsia="Times New Roman" w:hAnsi="Times New Roman"/>
          <w:sz w:val="20"/>
          <w:szCs w:val="20"/>
          <w:u w:val="single" w:color="auto"/>
          <w:color w:val="auto"/>
        </w:rPr>
        <w:t>clause (a)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(c)</w:t>
      </w:r>
      <w:r>
        <w:rPr>
          <w:rFonts w:ascii="Times New Roman" w:cs="Times New Roman" w:eastAsia="Times New Roman" w:hAnsi="Times New Roman"/>
          <w:sz w:val="20"/>
          <w:szCs w:val="20"/>
          <w:color w:val="auto"/>
        </w:rPr>
        <w:t>, could reasonably be expected to result in a Material Adverse Change.</w:t>
      </w:r>
    </w:p>
    <w:p>
      <w:pPr>
        <w:spacing w:after="0" w:line="162"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0"/>
          <w:szCs w:val="20"/>
          <w:b w:val="1"/>
          <w:bCs w:val="1"/>
          <w:color w:val="auto"/>
        </w:rPr>
        <w:t>4.17. Full Disclosure</w:t>
      </w:r>
      <w:r>
        <w:rPr>
          <w:rFonts w:ascii="Times New Roman" w:cs="Times New Roman" w:eastAsia="Times New Roman" w:hAnsi="Times New Roman"/>
          <w:sz w:val="20"/>
          <w:szCs w:val="20"/>
          <w:color w:val="auto"/>
        </w:rPr>
        <w:t>. None of the documents, certificates or written statements (excluding any projections and forward-looking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statements, estimates, budgets and general economic or industry data of a general nature) furnished or otherwise made available to the Agent and the Lenders by or on behalf of any Credit Party for use in connection with the transactions contemplated hereby (in each case, taken as a whole and as modified or supplemented by other information so furnished promptly after the same becomes available) contains any untrue statement of a material fact or omits to state a material fact necessary in order to make the statements contained herein or therein, as of the time when made or delivered, not misleading in light of the circumstances in which the same were made;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with respect to projected financial information, Borrower represents only that such information was prepared in good faith based upon assumptions believed to be reasonable at the time (it being understood that such projections are not a guarantee of financial performance and are subject to uncertainties and contingencies, many of which are beyond the control of Borrower or any Subsidiary, and neither Borrower nor any Subsidiary can give any assurance that such projections shall be attained, that actual results may differ in a material manner from such projections, and any failure to meet such projections shall not be deemed to be a breach of any representation or covenant herein). To the Knowledge of the Credit Parties, there are no facts (other than matters of a general economic or industry nature) that, individually or in the aggregate, could reasonably be expected to result in a Material Adverse Change and that have not been disclosed herein or in such other documents, certificates and written statements furnished or made available to the Lenders for use in connection with the transactions contemplated hereby.</w:t>
      </w:r>
    </w:p>
    <w:p>
      <w:pPr>
        <w:spacing w:after="0" w:line="20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4.18. Anti-Corruption; Anti-Terrorism Laws; Sanctions</w:t>
      </w:r>
      <w:r>
        <w:rPr>
          <w:rFonts w:ascii="Times New Roman" w:cs="Times New Roman" w:eastAsia="Times New Roman" w:hAnsi="Times New Roman"/>
          <w:sz w:val="20"/>
          <w:szCs w:val="20"/>
          <w:color w:val="auto"/>
        </w:rPr>
        <w:t>.</w:t>
      </w:r>
    </w:p>
    <w:p>
      <w:pPr>
        <w:spacing w:after="0" w:line="206" w:lineRule="exact"/>
        <w:rPr>
          <w:sz w:val="20"/>
          <w:szCs w:val="20"/>
          <w:color w:val="auto"/>
        </w:rPr>
      </w:pPr>
    </w:p>
    <w:p>
      <w:pPr>
        <w:jc w:val="both"/>
        <w:ind w:firstLine="1580"/>
        <w:spacing w:after="0" w:line="242" w:lineRule="auto"/>
        <w:tabs>
          <w:tab w:leader="none" w:pos="2036" w:val="left"/>
        </w:tabs>
        <w:numPr>
          <w:ilvl w:val="0"/>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None of Borrower, its Subsidiaries or, to the Knowledge of the Credit Parties, any director, officer, agent or employee of Borrower or any Subsidiary of Borrower has (i) used any corporate funds of Borrower or any of its Subsidiaries for any unlawful contribution, gift, entertainment or other unlawful expense relating to political activity, (ii) made any direct or indirect unlawful payment to any foreign or domestic government official or employee from corporate funds of Borrower or any of its Subsidiaries, (iii) violated or is in violation of any provision of the Foreign Corrupt Practices Act of 1977, as amended (the “</w:t>
      </w:r>
      <w:r>
        <w:rPr>
          <w:rFonts w:ascii="Times New Roman" w:cs="Times New Roman" w:eastAsia="Times New Roman" w:hAnsi="Times New Roman"/>
          <w:sz w:val="20"/>
          <w:szCs w:val="20"/>
          <w:b w:val="1"/>
          <w:bCs w:val="1"/>
          <w:color w:val="auto"/>
        </w:rPr>
        <w:t>FCPA</w:t>
      </w:r>
      <w:r>
        <w:rPr>
          <w:rFonts w:ascii="Times New Roman" w:cs="Times New Roman" w:eastAsia="Times New Roman" w:hAnsi="Times New Roman"/>
          <w:sz w:val="20"/>
          <w:szCs w:val="20"/>
          <w:color w:val="auto"/>
        </w:rPr>
        <w:t>”) or any other anti-corruption laws, rules and regulations of each jurisdiction (foreign or domestic) in which Borrower or any of its Subsidiaries is subject to such jurisdiction’s Requirements of Law, or (iv) made any bribe, rebate, payoff, influence payment, kickback or other unlawful payment, and no part of the proceeds of any Credit Extension shall be used, directly or indirectly, for any payments to any governmental official or employee, political party, official of a political party, candidate for political office or anyone else acting in an official capacity, in order to obtain, retain or direct business or obtain any improper advantage in violation of the FCPA or any other anti-corruption laws, rules and regulations of each jurisdiction (foreign or domestic) in which Borrower or any of its Subsidiaries is subject to such jurisdiction’s Requirements of Law;</w:t>
      </w:r>
    </w:p>
    <w:p>
      <w:pPr>
        <w:spacing w:after="0" w:line="187" w:lineRule="exact"/>
        <w:rPr>
          <w:rFonts w:ascii="Times New Roman" w:cs="Times New Roman" w:eastAsia="Times New Roman" w:hAnsi="Times New Roman"/>
          <w:sz w:val="20"/>
          <w:szCs w:val="20"/>
          <w:color w:val="auto"/>
        </w:rPr>
      </w:pPr>
    </w:p>
    <w:p>
      <w:pPr>
        <w:jc w:val="both"/>
        <w:ind w:firstLine="1580"/>
        <w:spacing w:after="0" w:line="244" w:lineRule="auto"/>
        <w:tabs>
          <w:tab w:leader="none" w:pos="2036" w:val="left"/>
        </w:tabs>
        <w:numPr>
          <w:ilvl w:val="0"/>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The operations of Borrower and its Subsidiaries are and have been conducted at all times in compliance with applicable financial recordkeeping and reporting requirements of the Currency and Foreign Transactions Reporting Act of 1970, as amended, the Bank Secrecy Act of 1970, as amended by Title III of the Uniting and Strengthening America by Providing Appropriate Tools Required to Intercept and Obstruct Terrorism (USA PATRIOT) Act of 2001, and the anti-money laundering laws, rules and regulations of each jurisdiction (foreign or domestic) in which Borrower or any of its Subsidiaries is subject to such jurisdiction’s Requirements of Law (collectively, the “</w:t>
      </w:r>
      <w:r>
        <w:rPr>
          <w:rFonts w:ascii="Times New Roman" w:cs="Times New Roman" w:eastAsia="Times New Roman" w:hAnsi="Times New Roman"/>
          <w:sz w:val="20"/>
          <w:szCs w:val="20"/>
          <w:b w:val="1"/>
          <w:bCs w:val="1"/>
          <w:color w:val="auto"/>
        </w:rPr>
        <w:t>Anti-Money Laundering Laws</w:t>
      </w:r>
      <w:r>
        <w:rPr>
          <w:rFonts w:ascii="Times New Roman" w:cs="Times New Roman" w:eastAsia="Times New Roman" w:hAnsi="Times New Roman"/>
          <w:sz w:val="20"/>
          <w:szCs w:val="20"/>
          <w:color w:val="auto"/>
        </w:rPr>
        <w:t>”), and (ii) no action, suit or proceeding by or before any Governmental Authority or any arbitrator involving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600075</wp:posOffset>
            </wp:positionV>
            <wp:extent cx="7157720" cy="425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6" w:right="339" w:bottom="1440" w:gutter="0" w:footer="0" w:header="0"/>
        </w:sectPr>
      </w:pPr>
    </w:p>
    <w:bookmarkStart w:id="180" w:name="page181"/>
    <w:bookmarkEnd w:id="180"/>
    <w:p>
      <w:pPr>
        <w:spacing w:after="0" w:line="126"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29</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4905-3710-6484 v.17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600710</wp:posOffset>
            </wp:positionV>
            <wp:extent cx="7157720" cy="425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181" w:name="page182"/>
    <w:bookmarkEnd w:id="181"/>
    <w:p>
      <w:pPr>
        <w:spacing w:after="0" w:line="269" w:lineRule="auto"/>
        <w:rPr>
          <w:sz w:val="20"/>
          <w:szCs w:val="20"/>
          <w:color w:val="auto"/>
        </w:rPr>
      </w:pPr>
      <w:r>
        <w:rPr>
          <w:rFonts w:ascii="Times New Roman" w:cs="Times New Roman" w:eastAsia="Times New Roman" w:hAnsi="Times New Roman"/>
          <w:sz w:val="20"/>
          <w:szCs w:val="20"/>
          <w:color w:val="auto"/>
        </w:rPr>
        <w:t>Borrower or any of its Subsidiaries with respect to the Anti-Money Laundering Laws is pending or, to the knowledge of Borrower, threatened in writing;</w:t>
      </w:r>
    </w:p>
    <w:p>
      <w:pPr>
        <w:spacing w:after="0" w:line="146" w:lineRule="exact"/>
        <w:rPr>
          <w:sz w:val="20"/>
          <w:szCs w:val="20"/>
          <w:color w:val="auto"/>
        </w:rPr>
      </w:pPr>
    </w:p>
    <w:p>
      <w:pPr>
        <w:jc w:val="both"/>
        <w:ind w:firstLine="1490"/>
        <w:spacing w:after="0" w:line="243" w:lineRule="auto"/>
        <w:tabs>
          <w:tab w:leader="none" w:pos="1949" w:val="left"/>
        </w:tabs>
        <w:numPr>
          <w:ilvl w:val="0"/>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None of Borrower, its Subsidiaries or, any director, officer, or, to the Knowledge of the Credit Parties, agent or employee of Borrower or any Subsidiary of Borrower (i) is currently the target of any Sanctions, (ii) is located, organized or residing in any Designated Jurisdiction in violation of Sanctions, or (iii) is or has been (within the previous five (5) years) engaged in any transaction with, or for the benefit of, any Person who is now or was then the target of Sanctions, or who is located, organized or residing in any Designated Jurisdiction, in violation of Sanctions. No Loan, nor the proceeds from any Loan, has been or shall be used, directly or, to the Knowledge of any Credit Party, indirectly, to lend, contribute or provide to, or has been or shall be otherwise made available for the purpose of funding, any activity or business in any Designated Jurisdiction in violation of Sanctions or for the purpose of funding any activity or business of any Person located, organized or residing in any Designated Jurisdiction, or who is the subject of any Sanctions, in violation of Sanctions, or in any other manner that shall result in any violation by any party to this Agreement of Sanctions;</w:t>
      </w:r>
    </w:p>
    <w:p>
      <w:pPr>
        <w:spacing w:after="0" w:line="185" w:lineRule="exact"/>
        <w:rPr>
          <w:rFonts w:ascii="Times New Roman" w:cs="Times New Roman" w:eastAsia="Times New Roman" w:hAnsi="Times New Roman"/>
          <w:sz w:val="20"/>
          <w:szCs w:val="20"/>
          <w:color w:val="auto"/>
        </w:rPr>
      </w:pPr>
    </w:p>
    <w:p>
      <w:pPr>
        <w:ind w:left="1960" w:hanging="470"/>
        <w:spacing w:after="0"/>
        <w:tabs>
          <w:tab w:leader="none" w:pos="1960" w:val="left"/>
        </w:tabs>
        <w:numPr>
          <w:ilvl w:val="0"/>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of the Closing Date, the information included in the Beneficial Ownership Certification is true and correct.</w:t>
      </w:r>
    </w:p>
    <w:p>
      <w:pPr>
        <w:spacing w:after="0" w:line="21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4.19. Health Care Matters</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1490"/>
        <w:spacing w:after="0" w:line="250" w:lineRule="auto"/>
        <w:tabs>
          <w:tab w:leader="none" w:pos="1949" w:val="left"/>
        </w:tabs>
        <w:numPr>
          <w:ilvl w:val="0"/>
          <w:numId w:val="93"/>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i w:val="1"/>
          <w:iCs w:val="1"/>
          <w:color w:val="auto"/>
        </w:rPr>
        <w:t>Compliance with Health Care Laws</w:t>
      </w:r>
      <w:r>
        <w:rPr>
          <w:rFonts w:ascii="Times New Roman" w:cs="Times New Roman" w:eastAsia="Times New Roman" w:hAnsi="Times New Roman"/>
          <w:sz w:val="20"/>
          <w:szCs w:val="20"/>
          <w:color w:val="auto"/>
        </w:rPr>
        <w:t>. Each Credit Party and, to the Knowledge of the Credit Parties, each of its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Subsidiaries and each officer, Affiliate, and employee acting on behalf of such Credit Party or any of its Subsidiaries, is in compliance in all material respects with all Health Care Laws applicable to the research, development, manufacture, production, use, commercialization, marketing, labeling, importing, storage, transport, offer for sale, distribution or sale of any Product in the Territory.</w:t>
      </w:r>
    </w:p>
    <w:p>
      <w:pPr>
        <w:spacing w:after="0" w:line="175" w:lineRule="exact"/>
        <w:rPr>
          <w:rFonts w:ascii="Times New Roman" w:cs="Times New Roman" w:eastAsia="Times New Roman" w:hAnsi="Times New Roman"/>
          <w:sz w:val="20"/>
          <w:szCs w:val="20"/>
          <w:i w:val="1"/>
          <w:iCs w:val="1"/>
          <w:color w:val="auto"/>
        </w:rPr>
      </w:pPr>
    </w:p>
    <w:p>
      <w:pPr>
        <w:ind w:left="1960" w:hanging="470"/>
        <w:spacing w:after="0"/>
        <w:tabs>
          <w:tab w:leader="none" w:pos="1960" w:val="left"/>
        </w:tabs>
        <w:numPr>
          <w:ilvl w:val="0"/>
          <w:numId w:val="93"/>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i w:val="1"/>
          <w:iCs w:val="1"/>
          <w:color w:val="auto"/>
        </w:rPr>
        <w:t>Compliance with FDA Laws</w:t>
      </w:r>
      <w:r>
        <w:rPr>
          <w:rFonts w:ascii="Times New Roman" w:cs="Times New Roman" w:eastAsia="Times New Roman" w:hAnsi="Times New Roman"/>
          <w:sz w:val="20"/>
          <w:szCs w:val="20"/>
          <w:color w:val="auto"/>
        </w:rPr>
        <w:t>.</w:t>
      </w:r>
    </w:p>
    <w:p>
      <w:pPr>
        <w:spacing w:after="0" w:line="206" w:lineRule="exact"/>
        <w:rPr>
          <w:rFonts w:ascii="Times New Roman" w:cs="Times New Roman" w:eastAsia="Times New Roman" w:hAnsi="Times New Roman"/>
          <w:sz w:val="20"/>
          <w:szCs w:val="20"/>
          <w:i w:val="1"/>
          <w:iCs w:val="1"/>
          <w:color w:val="auto"/>
        </w:rPr>
      </w:pPr>
    </w:p>
    <w:p>
      <w:pPr>
        <w:jc w:val="both"/>
        <w:ind w:left="760" w:firstLine="1489"/>
        <w:spacing w:after="0" w:line="242" w:lineRule="auto"/>
        <w:tabs>
          <w:tab w:leader="none" w:pos="2481" w:val="left"/>
        </w:tabs>
        <w:numPr>
          <w:ilvl w:val="1"/>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Credit Party and, to the Knowledge of the Credit Parties, each of its Subsidiaries, are in compliance in all material respects with all applicable FDA Laws, including those related to the adulteration or misbranding of products within the meaning of Sections 501 and 502 of the Food Drug and Cosmetics Act (including any foreign equivalent, the “</w:t>
      </w:r>
      <w:r>
        <w:rPr>
          <w:rFonts w:ascii="Times New Roman" w:cs="Times New Roman" w:eastAsia="Times New Roman" w:hAnsi="Times New Roman"/>
          <w:sz w:val="20"/>
          <w:szCs w:val="20"/>
          <w:b w:val="1"/>
          <w:bCs w:val="1"/>
          <w:color w:val="auto"/>
        </w:rPr>
        <w:t>FDCA</w:t>
      </w:r>
      <w:r>
        <w:rPr>
          <w:rFonts w:ascii="Times New Roman" w:cs="Times New Roman" w:eastAsia="Times New Roman" w:hAnsi="Times New Roman"/>
          <w:sz w:val="20"/>
          <w:szCs w:val="20"/>
          <w:color w:val="auto"/>
        </w:rPr>
        <w:t>”), relating to any research, development, manufacture, production, use, commercialization, marketing, importing, storage, transport, offer for sale, distribution or sale of any Product in the Territory. As of the Closing Date, except as could not, individually or in the aggregate, reasonably be expected to result in a Material Adverse Change, each Credit Party and its Subsidiaries has filed or maintained with the applicable Governmental Authorities all notices, documents, listings, supplemental applications or notifications, reports, submissions, and other filings required under the FDA Laws, including annual reports, adverse event reports, advertising and promotional material submissions, and clinicaltrials.gov registrations and reports, and, except as could not, individually or in the aggregate, reasonably be expected to result in a Material Adverse Change, each such filing was true, complete and correct as of the date of submission, and each Credit Party and its Subsidiaries has submitted any necessary or required updates, changes, corrections, amendments, supplements or modifications to such filings.</w:t>
      </w:r>
    </w:p>
    <w:p>
      <w:pPr>
        <w:spacing w:after="0" w:line="174" w:lineRule="exact"/>
        <w:rPr>
          <w:sz w:val="20"/>
          <w:szCs w:val="20"/>
          <w:color w:val="auto"/>
        </w:rPr>
      </w:pPr>
    </w:p>
    <w:p>
      <w:pPr>
        <w:jc w:val="both"/>
        <w:ind w:left="760" w:firstLine="1498"/>
        <w:spacing w:after="0" w:line="249" w:lineRule="auto"/>
        <w:rPr>
          <w:sz w:val="20"/>
          <w:szCs w:val="20"/>
          <w:color w:val="auto"/>
        </w:rPr>
      </w:pPr>
      <w:r>
        <w:rPr>
          <w:rFonts w:ascii="Times New Roman" w:cs="Times New Roman" w:eastAsia="Times New Roman" w:hAnsi="Times New Roman"/>
          <w:sz w:val="20"/>
          <w:szCs w:val="20"/>
          <w:color w:val="auto"/>
        </w:rPr>
        <w:t>(ii)All Products designed, developed, investigated, manufactured, prepared, assembled, packaged, tested, labeled, distributed, promoted, sold or marketed by or on behalf of any Credit Party and its Subsidiaries that are subject to the jurisdiction of any Regulatory Agency have been and are being designed, developed, investigated, manufactured, prepared, assembled, packaged, tested, labeled, distributed, promoted, sold and marketed in compliance in all material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595630</wp:posOffset>
            </wp:positionV>
            <wp:extent cx="7157720" cy="425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400" w:top="1413" w:right="419" w:bottom="1440" w:gutter="0" w:footer="0" w:header="0"/>
        </w:sectPr>
      </w:pPr>
    </w:p>
    <w:bookmarkStart w:id="182" w:name="page183"/>
    <w:bookmarkEnd w:id="182"/>
    <w:p>
      <w:pPr>
        <w:spacing w:after="0" w:line="18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9"/>
          <w:szCs w:val="19"/>
          <w:color w:val="auto"/>
        </w:rPr>
        <w:t>respects with the FDA Laws and have been (to the extent applicable) for the previous five (5) years.</w:t>
      </w:r>
    </w:p>
    <w:p>
      <w:pPr>
        <w:spacing w:after="0" w:line="191"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30</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4905-3710-6484 v.17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600710</wp:posOffset>
            </wp:positionV>
            <wp:extent cx="7157720" cy="4254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59"/>
          </w:cols>
          <w:pgMar w:left="400" w:top="1440" w:right="1440" w:bottom="1440" w:gutter="0" w:footer="0" w:header="0"/>
        </w:sectPr>
      </w:pPr>
    </w:p>
    <w:bookmarkStart w:id="183" w:name="page184"/>
    <w:bookmarkEnd w:id="183"/>
    <w:p>
      <w:pPr>
        <w:jc w:val="both"/>
        <w:spacing w:after="0" w:line="242" w:lineRule="auto"/>
        <w:rPr>
          <w:sz w:val="20"/>
          <w:szCs w:val="20"/>
          <w:color w:val="auto"/>
        </w:rPr>
      </w:pPr>
      <w:r>
        <w:rPr>
          <w:rFonts w:ascii="Times New Roman" w:cs="Times New Roman" w:eastAsia="Times New Roman" w:hAnsi="Times New Roman"/>
          <w:sz w:val="20"/>
          <w:szCs w:val="20"/>
          <w:color w:val="auto"/>
        </w:rPr>
        <w:t>All activities conducted by each Credit Party and its Subsidiaries are conducted in compliance in all material respects with the FDA Laws. As of the Closing Date, neither any Credit Party or any of their Subsidiaries or, to the Knowledge of the Credit Parties, their respective suppliers have received any written notice or communication from the FDA or other Governmental Authority relating to any Products alleging material noncompliance with any FDA Law, including without limitation any Form FDA 483, notice of inspectional observation, notice of adverse finding, notice of violation, warning letters, untitled letters or other notices. Each Credit Party and their Subsidiaries and, to the Knowledge of the Credit Parties, their respective suppliers have not received any written notice that the FDA or other Governmental Authority is limiting, suspending or revoking any approval or marketing authorization of any Product, or any written notice that the Credit Party or any Subsidiary has become subject to any administrative or regulatory enforcement action, proceeding or investigation issued by the FDA or other Governmental Authority. Except as could not reasonably be expected to result in a Material Adverse Change, no Product has been seized, withdrawn, detained, or subject to a mandatory recall, removal, or suspension of research, approval, manufacturing, marketing, distribution or commercialization activity of any Product imposed by a Governmental Authority.</w:t>
      </w:r>
    </w:p>
    <w:p>
      <w:pPr>
        <w:spacing w:after="0" w:line="201" w:lineRule="exact"/>
        <w:rPr>
          <w:sz w:val="20"/>
          <w:szCs w:val="20"/>
          <w:color w:val="auto"/>
        </w:rPr>
      </w:pPr>
    </w:p>
    <w:p>
      <w:pPr>
        <w:jc w:val="both"/>
        <w:ind w:firstLine="1498"/>
        <w:spacing w:after="0" w:line="244" w:lineRule="auto"/>
        <w:rPr>
          <w:sz w:val="20"/>
          <w:szCs w:val="20"/>
          <w:color w:val="auto"/>
        </w:rPr>
      </w:pPr>
      <w:r>
        <w:rPr>
          <w:rFonts w:ascii="Times New Roman" w:cs="Times New Roman" w:eastAsia="Times New Roman" w:hAnsi="Times New Roman"/>
          <w:sz w:val="20"/>
          <w:szCs w:val="20"/>
          <w:color w:val="auto"/>
        </w:rPr>
        <w:t>(iii)All preclinical and clinical studies of any Products conducted by or on behalf of any Credit Party or Subsidiary thereof or sponsored by such Credit Party or Subsidiary were, and if still pending, are being conducted in compliance with the FDA Laws and applicable regulatory requirements and standards in all material respects, including without limitation, 21 C.F.R. Parts 11, 50, 54, 56, 58, and 312. No Credit Party nor any Subsidiary has received any written notices from the FDA or other Governmental Authority or from any institutional review board or comparable authority requesting or requiring the termination, suspension, material modification, or clinical hold of, or alleging material noncompliance with, any FDA Laws related to, any clinical studies with respect to any Products.</w:t>
      </w:r>
    </w:p>
    <w:p>
      <w:pPr>
        <w:spacing w:after="0" w:line="172" w:lineRule="exact"/>
        <w:rPr>
          <w:sz w:val="20"/>
          <w:szCs w:val="20"/>
          <w:color w:val="auto"/>
        </w:rPr>
      </w:pPr>
    </w:p>
    <w:p>
      <w:pPr>
        <w:jc w:val="both"/>
        <w:ind w:firstLine="1498"/>
        <w:spacing w:after="0" w:line="242" w:lineRule="auto"/>
        <w:rPr>
          <w:sz w:val="20"/>
          <w:szCs w:val="20"/>
          <w:color w:val="auto"/>
        </w:rPr>
      </w:pPr>
      <w:r>
        <w:rPr>
          <w:rFonts w:ascii="Times New Roman" w:cs="Times New Roman" w:eastAsia="Times New Roman" w:hAnsi="Times New Roman"/>
          <w:sz w:val="20"/>
          <w:szCs w:val="20"/>
          <w:color w:val="auto"/>
        </w:rPr>
        <w:t xml:space="preserve">(iv)No Credit Party or any Subsidiary is subject to any material obligation arising under a Regulatory Action, and no such obligation has been threatened in writing. There is no material Regulatory Action or other proceeding or request for information pending against any Credit Party or any Subsidiary or, to the knowledge of each Credit Party, an officer, director, or employee of any Credit Party or any Subsidiary, and no Credit Party or any Subsidiary has any material liability (whether actual or contingent) for failure to comply with any FDA Laws. Except as set forth on </w:t>
      </w:r>
      <w:r>
        <w:rPr>
          <w:rFonts w:ascii="Times New Roman" w:cs="Times New Roman" w:eastAsia="Times New Roman" w:hAnsi="Times New Roman"/>
          <w:sz w:val="20"/>
          <w:szCs w:val="20"/>
          <w:u w:val="single" w:color="auto"/>
          <w:color w:val="auto"/>
        </w:rPr>
        <w:t>Schedule 4.19</w:t>
      </w:r>
      <w:r>
        <w:rPr>
          <w:rFonts w:ascii="Times New Roman" w:cs="Times New Roman" w:eastAsia="Times New Roman" w:hAnsi="Times New Roman"/>
          <w:sz w:val="20"/>
          <w:szCs w:val="20"/>
          <w:color w:val="auto"/>
        </w:rPr>
        <w:t xml:space="preserve"> of the Disclosure Letter, within the past three (3) years, there have been no recalls, withdrawals, removals, field alerts, “dear doctor” letters, investigator notices, or safety alerts relating to an alleged lack of safety, efficacy, or regulatory compliance of any Products. To the Knowledge of the Credit Parties, there are no defects in any Products that could reasonably be expected to adversely affect the safety or efficacy of any product for its intended use (other than such limitations specified in the applicable package insert). None of the Products has been the subject of any products liability or warranty action against any Credit Party or an Subsidiary, in each case, except as would not, individually or in the aggregate, reasonably be expected to result in a Material Adverse Change.</w:t>
      </w:r>
    </w:p>
    <w:p>
      <w:pPr>
        <w:spacing w:after="0" w:line="190" w:lineRule="exact"/>
        <w:rPr>
          <w:sz w:val="20"/>
          <w:szCs w:val="20"/>
          <w:color w:val="auto"/>
        </w:rPr>
      </w:pPr>
    </w:p>
    <w:p>
      <w:pPr>
        <w:jc w:val="both"/>
        <w:ind w:firstLine="1498"/>
        <w:spacing w:after="0" w:line="269" w:lineRule="auto"/>
        <w:rPr>
          <w:sz w:val="20"/>
          <w:szCs w:val="20"/>
          <w:color w:val="auto"/>
        </w:rPr>
      </w:pPr>
      <w:r>
        <w:rPr>
          <w:rFonts w:ascii="Times New Roman" w:cs="Times New Roman" w:eastAsia="Times New Roman" w:hAnsi="Times New Roman"/>
          <w:sz w:val="20"/>
          <w:szCs w:val="20"/>
          <w:color w:val="auto"/>
        </w:rPr>
        <w:t>(v)As of the Closing Date, no Credit Party or Subsidiary is undergoing any inspection by any Regulatory Agency related to any activities or Products of any Credit Party or Subsidiary that are subject to Public Health Laws.</w:t>
      </w:r>
    </w:p>
    <w:p>
      <w:pPr>
        <w:spacing w:after="0" w:line="155" w:lineRule="exact"/>
        <w:rPr>
          <w:sz w:val="20"/>
          <w:szCs w:val="20"/>
          <w:color w:val="auto"/>
        </w:rPr>
      </w:pPr>
    </w:p>
    <w:p>
      <w:pPr>
        <w:jc w:val="both"/>
        <w:ind w:left="-840" w:firstLine="1505"/>
        <w:spacing w:after="0" w:line="250" w:lineRule="auto"/>
        <w:tabs>
          <w:tab w:leader="none" w:pos="1067" w:val="left"/>
        </w:tabs>
        <w:numPr>
          <w:ilvl w:val="0"/>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Material Statements</w:t>
      </w:r>
      <w:r>
        <w:rPr>
          <w:rFonts w:ascii="Times New Roman" w:cs="Times New Roman" w:eastAsia="Times New Roman" w:hAnsi="Times New Roman"/>
          <w:sz w:val="20"/>
          <w:szCs w:val="20"/>
          <w:color w:val="auto"/>
        </w:rPr>
        <w:t>. Within the past five (5) years, neither any Credit Party, nor, to the Knowledge of the Credit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Parties, any Subsidiary or any officer, Affiliate or employee of any Credit Party or Subsidiary in its capacity as a Subsidiary or as an officer, Affiliate or employee of a Credit Party or Subsidiary (as applicable), nor, to the Knowledge of the Credit Parties, any agent of any Credit Party or Subsidiary, (i) has made an untrue statement of a material fact or a fraudulent statement to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-540385</wp:posOffset>
            </wp:positionH>
            <wp:positionV relativeFrom="paragraph">
              <wp:posOffset>596265</wp:posOffset>
            </wp:positionV>
            <wp:extent cx="7157720" cy="4254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320"/>
          </w:cols>
          <w:pgMar w:left="1160" w:top="1413" w:right="419" w:bottom="1440" w:gutter="0" w:footer="0" w:header="0"/>
        </w:sectPr>
      </w:pPr>
    </w:p>
    <w:bookmarkStart w:id="184" w:name="page185"/>
    <w:bookmarkEnd w:id="184"/>
    <w:p>
      <w:pPr>
        <w:spacing w:after="0" w:line="126" w:lineRule="exact"/>
        <w:rPr>
          <w:sz w:val="20"/>
          <w:szCs w:val="20"/>
          <w:color w:val="auto"/>
        </w:rPr>
      </w:pPr>
    </w:p>
    <w:p>
      <w:pPr>
        <w:jc w:val="right"/>
        <w:ind w:right="4459"/>
        <w:spacing w:after="0"/>
        <w:rPr>
          <w:sz w:val="20"/>
          <w:szCs w:val="20"/>
          <w:color w:val="auto"/>
        </w:rPr>
      </w:pPr>
      <w:r>
        <w:rPr>
          <w:rFonts w:ascii="Times New Roman" w:cs="Times New Roman" w:eastAsia="Times New Roman" w:hAnsi="Times New Roman"/>
          <w:sz w:val="18"/>
          <w:szCs w:val="18"/>
          <w:color w:val="auto"/>
        </w:rPr>
        <w:t>31</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4905-3710-6484 v.17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600710</wp:posOffset>
            </wp:positionV>
            <wp:extent cx="7157720" cy="425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185" w:name="page186"/>
    <w:bookmarkEnd w:id="185"/>
    <w:p>
      <w:pPr>
        <w:jc w:val="both"/>
        <w:spacing w:after="0" w:line="249" w:lineRule="auto"/>
        <w:rPr>
          <w:sz w:val="20"/>
          <w:szCs w:val="20"/>
          <w:color w:val="auto"/>
        </w:rPr>
      </w:pPr>
      <w:r>
        <w:rPr>
          <w:rFonts w:ascii="Times New Roman" w:cs="Times New Roman" w:eastAsia="Times New Roman" w:hAnsi="Times New Roman"/>
          <w:sz w:val="20"/>
          <w:szCs w:val="20"/>
          <w:color w:val="auto"/>
        </w:rPr>
        <w:t>Governmental Authority, (ii) has failed to disclose a material fact to any Governmental Authority, or (iii) has otherwise committed an act, made a statement or failed to make a statement that, at the time such statement or disclosure was made (or, in the case of such failure, should have been made) or such act was committed, would reasonably be expected to constitute a material violation of any Health Care Law.</w:t>
      </w:r>
    </w:p>
    <w:p>
      <w:pPr>
        <w:spacing w:after="0" w:line="176" w:lineRule="exact"/>
        <w:rPr>
          <w:sz w:val="20"/>
          <w:szCs w:val="20"/>
          <w:color w:val="auto"/>
        </w:rPr>
      </w:pPr>
    </w:p>
    <w:p>
      <w:pPr>
        <w:jc w:val="both"/>
        <w:ind w:firstLine="1490"/>
        <w:spacing w:after="0" w:line="247" w:lineRule="auto"/>
        <w:tabs>
          <w:tab w:leader="none" w:pos="1949" w:val="left"/>
        </w:tabs>
        <w:numPr>
          <w:ilvl w:val="0"/>
          <w:numId w:val="95"/>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i w:val="1"/>
          <w:iCs w:val="1"/>
          <w:color w:val="auto"/>
        </w:rPr>
        <w:t>Proceedings; Audits</w:t>
      </w:r>
      <w:r>
        <w:rPr>
          <w:rFonts w:ascii="Times New Roman" w:cs="Times New Roman" w:eastAsia="Times New Roman" w:hAnsi="Times New Roman"/>
          <w:sz w:val="20"/>
          <w:szCs w:val="20"/>
          <w:color w:val="auto"/>
        </w:rPr>
        <w:t>. As of the Closing Date, there is no material investigation, suit, claim, audit, action (legal or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regulatory) or proceeding (legal or regulatory) by a Governmental Authority pending or, to the Knowledge of the Credit Parties, threatened in writing against any Credit Party or any of its Subsidiaries relating to any of the Health Care Laws or FDA Laws. To the Knowledge of the Credit Parties, there are no facts, circumstances or conditions which could reasonably be expected to form the basis for any such material investigation, suit, claim, audit, action or proceeding, except as has been disclosed in the Exchange Act Documents.</w:t>
      </w:r>
    </w:p>
    <w:p>
      <w:pPr>
        <w:spacing w:after="0" w:line="180" w:lineRule="exact"/>
        <w:rPr>
          <w:rFonts w:ascii="Times New Roman" w:cs="Times New Roman" w:eastAsia="Times New Roman" w:hAnsi="Times New Roman"/>
          <w:sz w:val="20"/>
          <w:szCs w:val="20"/>
          <w:i w:val="1"/>
          <w:iCs w:val="1"/>
          <w:color w:val="auto"/>
        </w:rPr>
      </w:pPr>
    </w:p>
    <w:p>
      <w:pPr>
        <w:jc w:val="both"/>
        <w:ind w:firstLine="1490"/>
        <w:spacing w:after="0" w:line="241" w:lineRule="auto"/>
        <w:tabs>
          <w:tab w:leader="none" w:pos="1949" w:val="left"/>
        </w:tabs>
        <w:numPr>
          <w:ilvl w:val="0"/>
          <w:numId w:val="95"/>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i w:val="1"/>
          <w:iCs w:val="1"/>
          <w:color w:val="auto"/>
        </w:rPr>
        <w:t>Prohibited Transactions</w:t>
      </w:r>
      <w:r>
        <w:rPr>
          <w:rFonts w:ascii="Times New Roman" w:cs="Times New Roman" w:eastAsia="Times New Roman" w:hAnsi="Times New Roman"/>
          <w:sz w:val="20"/>
          <w:szCs w:val="20"/>
          <w:color w:val="auto"/>
        </w:rPr>
        <w:t>. Within the past five (5) years, neither any Credit Party, any Subsidiary or, to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Knowledge of the Credit Parties, any officer, Affiliate or employee of a Credit Party or Subsidiary, nor to the Knowledge of the Credit Parties, any other Person acting on behalf of any Credit Party or any Subsidiary, directly or indirectly: (i) has offered or paid any remuneration, in cash or in kind, to, or made any financial arrangements with, any past, present or potential patient, supplier, physician, or contractor, in order to illegally obtain business or payments from such Person in material violation of any Health Care Law; (ii) has given or made, or is party to any illegal agreement to give or make, any illegal gift or gratuitous payment of any kind, nature or description (whether in money, property or services) to any past, present or potential patient, supplier, physician, contractor, or any other Person in material violation of any Health Care Law; (iii) has given or made, or is party to any agreement to give or make on behalf of any Credit Party or any of its Subsidiaries, any contribution, payment or gift of funds or property to, or for the private use of, any governmental official, employee or agent where either the contribution, payment or gift or the purpose of such contribution, payment or gift is or was a material violation of the laws of any Governmental Authority having jurisdiction over such payment, contribution or gift; (iv) has established or maintained any unrecorded fund or asset for any purpose or made any materially misleading, false or artificial entries on any of its books or records for any reason; or (v) has made, or is party to any agreement to make, any payment to any Person with the intention or understanding that any part of such payment would be in material violation of any Health Care Law. To the Knowledge of the Credit Parties, there are no actions pending or threatened in writing against any Credit Party or any of its Subsidiaries or any of their respective Affiliates under any foreign, federal or state whistleblower statute, including under the False Claims Act of 1863 (31 U.S.C. § 3729 et seq.) (or under any foreign equivalent).</w:t>
      </w:r>
    </w:p>
    <w:p>
      <w:pPr>
        <w:spacing w:after="0" w:line="178" w:lineRule="exact"/>
        <w:rPr>
          <w:rFonts w:ascii="Times New Roman" w:cs="Times New Roman" w:eastAsia="Times New Roman" w:hAnsi="Times New Roman"/>
          <w:sz w:val="20"/>
          <w:szCs w:val="20"/>
          <w:i w:val="1"/>
          <w:iCs w:val="1"/>
          <w:color w:val="auto"/>
        </w:rPr>
      </w:pPr>
    </w:p>
    <w:p>
      <w:pPr>
        <w:jc w:val="both"/>
        <w:ind w:firstLine="1490"/>
        <w:spacing w:after="0" w:line="243" w:lineRule="auto"/>
        <w:tabs>
          <w:tab w:leader="none" w:pos="1949" w:val="left"/>
        </w:tabs>
        <w:numPr>
          <w:ilvl w:val="0"/>
          <w:numId w:val="95"/>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i w:val="1"/>
          <w:iCs w:val="1"/>
          <w:color w:val="auto"/>
        </w:rPr>
        <w:t>Exclusion</w:t>
      </w:r>
      <w:r>
        <w:rPr>
          <w:rFonts w:ascii="Times New Roman" w:cs="Times New Roman" w:eastAsia="Times New Roman" w:hAnsi="Times New Roman"/>
          <w:sz w:val="20"/>
          <w:szCs w:val="20"/>
          <w:color w:val="auto"/>
        </w:rPr>
        <w:t>. Neither any Credit Party nor any Subsidiary, nor to the Knowledge of the Credit Parties, any officer,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Affiliate or employee having authority to act on behalf of any Credit Party or any Subsidiary, is or has been threatened in writing to be: (i) excluded from any Governmental Payor Program pursuant to 42 U.S.C. § 1320a-7b and related regulations; (ii) “suspended” or “debarred” from selling any products to the U.S. government or its agencies pursuant to the Federal Acquisition Regulation relating to debarment and suspension applicable to federal government agencies generally (42 C.F.R. Subpart 9.4), or other U.S. Requirements of Law; (iii) debarred, disqualified, suspended or excluded from participation in Medicare, Medicaid or any other health care program or is listed on the General Services Administration list of excluded parties; or (iv) a party to any other action or proceeding by any Governmental Authority that would prohibit the applicable Credit Party or Subsidiary from distributing or selling any Product in the Territory or providing any services to any governmental or other purchaser pursuant to any Health Care Laws.</w:t>
      </w:r>
    </w:p>
    <w:p>
      <w:pPr>
        <w:spacing w:after="0" w:line="185" w:lineRule="exact"/>
        <w:rPr>
          <w:rFonts w:ascii="Times New Roman" w:cs="Times New Roman" w:eastAsia="Times New Roman" w:hAnsi="Times New Roman"/>
          <w:sz w:val="20"/>
          <w:szCs w:val="20"/>
          <w:i w:val="1"/>
          <w:iCs w:val="1"/>
          <w:color w:val="auto"/>
        </w:rPr>
      </w:pPr>
    </w:p>
    <w:p>
      <w:pPr>
        <w:jc w:val="both"/>
        <w:ind w:firstLine="1490"/>
        <w:spacing w:after="0" w:line="250" w:lineRule="auto"/>
        <w:tabs>
          <w:tab w:leader="none" w:pos="1949" w:val="left"/>
        </w:tabs>
        <w:numPr>
          <w:ilvl w:val="0"/>
          <w:numId w:val="95"/>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i w:val="1"/>
          <w:iCs w:val="1"/>
          <w:color w:val="auto"/>
        </w:rPr>
        <w:t>HIPAA</w:t>
      </w:r>
      <w:r>
        <w:rPr>
          <w:rFonts w:ascii="Times New Roman" w:cs="Times New Roman" w:eastAsia="Times New Roman" w:hAnsi="Times New Roman"/>
          <w:sz w:val="20"/>
          <w:szCs w:val="20"/>
          <w:color w:val="auto"/>
        </w:rPr>
        <w:t>. Each Credit Party and each of its Subsidiaries, to the extent applicable, is in material compliance with all</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applicable foreign, federal, state and local laws and regulations regarding the privacy and security of health information and electronic transactions, including HIPAA, and each Credit Party and, to the Knowledge of the Credit Parties, each of its Subsidiaries, to the extent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596265</wp:posOffset>
            </wp:positionV>
            <wp:extent cx="7157720" cy="4254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400" w:top="1426" w:right="419" w:bottom="1440" w:gutter="0" w:footer="0" w:header="0"/>
        </w:sectPr>
      </w:pPr>
    </w:p>
    <w:bookmarkStart w:id="186" w:name="page187"/>
    <w:bookmarkEnd w:id="186"/>
    <w:p>
      <w:pPr>
        <w:spacing w:after="0" w:line="126"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32</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4905-3710-6484 v.17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600710</wp:posOffset>
            </wp:positionV>
            <wp:extent cx="7157720" cy="4254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59"/>
          </w:cols>
          <w:pgMar w:left="400" w:top="1440" w:right="1440" w:bottom="1440" w:gutter="0" w:footer="0" w:header="0"/>
        </w:sectPr>
      </w:pPr>
    </w:p>
    <w:bookmarkStart w:id="187" w:name="page188"/>
    <w:bookmarkEnd w:id="187"/>
    <w:p>
      <w:pPr>
        <w:spacing w:after="0" w:line="269" w:lineRule="auto"/>
        <w:rPr>
          <w:sz w:val="20"/>
          <w:szCs w:val="20"/>
          <w:color w:val="auto"/>
        </w:rPr>
      </w:pPr>
      <w:r>
        <w:rPr>
          <w:rFonts w:ascii="Times New Roman" w:cs="Times New Roman" w:eastAsia="Times New Roman" w:hAnsi="Times New Roman"/>
          <w:sz w:val="20"/>
          <w:szCs w:val="20"/>
          <w:color w:val="auto"/>
        </w:rPr>
        <w:t>has implemented policies, procedures and training customary in the pharmaceutical industry or otherwise adequate to assure continued compliance and to detect non-compliance.</w:t>
      </w:r>
    </w:p>
    <w:p>
      <w:pPr>
        <w:spacing w:after="0" w:line="142" w:lineRule="exact"/>
        <w:rPr>
          <w:sz w:val="20"/>
          <w:szCs w:val="20"/>
          <w:color w:val="auto"/>
        </w:rPr>
      </w:pPr>
    </w:p>
    <w:p>
      <w:pPr>
        <w:jc w:val="both"/>
        <w:ind w:firstLine="1580"/>
        <w:spacing w:after="0" w:line="247" w:lineRule="auto"/>
        <w:tabs>
          <w:tab w:leader="none" w:pos="1982" w:val="left"/>
        </w:tabs>
        <w:numPr>
          <w:ilvl w:val="0"/>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Corporate Integrity Agreement</w:t>
      </w:r>
      <w:r>
        <w:rPr>
          <w:rFonts w:ascii="Times New Roman" w:cs="Times New Roman" w:eastAsia="Times New Roman" w:hAnsi="Times New Roman"/>
          <w:sz w:val="20"/>
          <w:szCs w:val="20"/>
          <w:color w:val="auto"/>
        </w:rPr>
        <w:t>. Neither any Credit Party or Subsidiary, nor any of their respective Affiliates, nor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any officer, director or, to the Knowledge of the Credit Parties, managing employee or agent (as those terms are defined in 42 C.F.R. § 1001.1001) of any Credit Party or Subsidiary, is a party or is otherwise subject to any order, individual integrity agreement, or corporate integrity agreement with any U.S. Governmental Authority concerning compliance with any laws, rules, or regulations issued under or in connection with a Governmental Payor Program.</w:t>
      </w:r>
    </w:p>
    <w:p>
      <w:pPr>
        <w:spacing w:after="0" w:line="19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4.20. Regulatory Approvals and Exclusivities.</w:t>
      </w:r>
    </w:p>
    <w:p>
      <w:pPr>
        <w:spacing w:after="0" w:line="206" w:lineRule="exact"/>
        <w:rPr>
          <w:sz w:val="20"/>
          <w:szCs w:val="20"/>
          <w:color w:val="auto"/>
        </w:rPr>
      </w:pPr>
    </w:p>
    <w:p>
      <w:pPr>
        <w:jc w:val="both"/>
        <w:ind w:firstLine="1580"/>
        <w:spacing w:after="0" w:line="254" w:lineRule="auto"/>
        <w:tabs>
          <w:tab w:leader="none" w:pos="2033" w:val="left"/>
        </w:tabs>
        <w:numPr>
          <w:ilvl w:val="0"/>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Credit Party and each Subsidiary involved in any research, development, manufacture, production, use, commercialization, marketing, importing, storage, transport, offer for sale, distribution or sale of any Product in the Territory has all Regulatory Approvals material to its business and operations.</w:t>
      </w:r>
    </w:p>
    <w:p>
      <w:pPr>
        <w:spacing w:after="0" w:line="160" w:lineRule="exact"/>
        <w:rPr>
          <w:rFonts w:ascii="Times New Roman" w:cs="Times New Roman" w:eastAsia="Times New Roman" w:hAnsi="Times New Roman"/>
          <w:sz w:val="20"/>
          <w:szCs w:val="20"/>
          <w:color w:val="auto"/>
        </w:rPr>
      </w:pPr>
    </w:p>
    <w:p>
      <w:pPr>
        <w:jc w:val="both"/>
        <w:ind w:firstLine="1580"/>
        <w:spacing w:after="0" w:line="242" w:lineRule="auto"/>
        <w:tabs>
          <w:tab w:leader="none" w:pos="2033" w:val="left"/>
        </w:tabs>
        <w:numPr>
          <w:ilvl w:val="0"/>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Credit Party, each Subsidiary (as applicable) and to the Knowledge of the Credit Parties, each licensee of a Credit Party or a Subsidiary of any Intellectual Property, is in compliance with, and at all times during the past five (5) years, has complied with, all applicable foreign, federal, state and local laws, rules, and regulations, governing the research, development, manufacture, production, use, commercialization, marketing, importing, distribution or sale of any Product in the Territory, including all such regulations promulgated by each applicable Regulatory Agency, except for such failures to comply which could not, individually or in the aggregate, reasonably be expected to result in a Material Adverse Change. No Credit Party or its Subsidiaries has received any written notice from any Regulatory Agency citing action or inaction by any Credit Party or any of its Subsidiaries that would constitute a violation of any applicable foreign, federal, state or local laws, rules, or regulations (i) on or prior to the Closing Date, except as has been disclosed to the Agent and the Lenders or (ii) after the Closing Date, except as could not, individually or in the aggregate, reasonably be expected to result in a Material Adverse Change.</w:t>
      </w:r>
    </w:p>
    <w:p>
      <w:pPr>
        <w:spacing w:after="0" w:line="18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4.21. Supply and Manufacturing</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jc w:val="both"/>
        <w:ind w:firstLine="1580"/>
        <w:spacing w:after="0" w:line="249" w:lineRule="auto"/>
        <w:tabs>
          <w:tab w:leader="none" w:pos="2033" w:val="left"/>
        </w:tabs>
        <w:numPr>
          <w:ilvl w:val="0"/>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Knowledge of the Credit Parties, each Product has at all times been manufactured in sufficient quantities and of a sufficient quality to satisfy demand of such Product, without the occurrence of any event causing inventory of such Product to have become exhausted prior to satisfying such demand, or any other event in which the manufacture and release to the market of such Product does not satisfy the sales demand for such Product.</w:t>
      </w:r>
    </w:p>
    <w:p>
      <w:pPr>
        <w:spacing w:after="0" w:line="166" w:lineRule="exact"/>
        <w:rPr>
          <w:rFonts w:ascii="Times New Roman" w:cs="Times New Roman" w:eastAsia="Times New Roman" w:hAnsi="Times New Roman"/>
          <w:sz w:val="20"/>
          <w:szCs w:val="20"/>
          <w:color w:val="auto"/>
        </w:rPr>
      </w:pPr>
    </w:p>
    <w:p>
      <w:pPr>
        <w:jc w:val="both"/>
        <w:ind w:firstLine="1580"/>
        <w:spacing w:after="0" w:line="246" w:lineRule="auto"/>
        <w:tabs>
          <w:tab w:leader="none" w:pos="2033" w:val="left"/>
        </w:tabs>
        <w:numPr>
          <w:ilvl w:val="0"/>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Except as disclosed in the Exchange Act Documents or set forth on </w:t>
      </w:r>
      <w:r>
        <w:rPr>
          <w:rFonts w:ascii="Times New Roman" w:cs="Times New Roman" w:eastAsia="Times New Roman" w:hAnsi="Times New Roman"/>
          <w:sz w:val="20"/>
          <w:szCs w:val="20"/>
          <w:u w:val="single" w:color="auto"/>
          <w:color w:val="auto"/>
        </w:rPr>
        <w:t>Schedule 4.21(b)</w:t>
      </w:r>
      <w:r>
        <w:rPr>
          <w:rFonts w:ascii="Times New Roman" w:cs="Times New Roman" w:eastAsia="Times New Roman" w:hAnsi="Times New Roman"/>
          <w:sz w:val="20"/>
          <w:szCs w:val="20"/>
          <w:color w:val="auto"/>
        </w:rPr>
        <w:t xml:space="preserve"> of the Disclosure Letter, to the Knowledge of the Credit Parties, no manufacturer of any Product is currently subject to a Form 483 that prevents the manufacturing, testing, and release of any Product and that, with respect to any such Form 483, all scientific and technical violations or other issues relating to good manufacturing practice requirements documented therein, and any disputes regarding any such violations or issues, have been corrected or otherwise resolved.</w:t>
      </w:r>
    </w:p>
    <w:p>
      <w:pPr>
        <w:spacing w:after="0" w:line="19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4.22. IT Assets and Data Privacy.</w:t>
      </w:r>
    </w:p>
    <w:p>
      <w:pPr>
        <w:spacing w:after="0" w:line="202" w:lineRule="exact"/>
        <w:rPr>
          <w:sz w:val="20"/>
          <w:szCs w:val="20"/>
          <w:color w:val="auto"/>
        </w:rPr>
      </w:pPr>
    </w:p>
    <w:p>
      <w:pPr>
        <w:ind w:firstLine="1580"/>
        <w:spacing w:after="0" w:line="273" w:lineRule="auto"/>
        <w:tabs>
          <w:tab w:leader="none" w:pos="1968" w:val="left"/>
        </w:tabs>
        <w:numPr>
          <w:ilvl w:val="0"/>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IT Assets owned, used or held for use by Credit Parties or any Subsidiary (the “ </w:t>
      </w:r>
      <w:r>
        <w:rPr>
          <w:rFonts w:ascii="Times New Roman" w:cs="Times New Roman" w:eastAsia="Times New Roman" w:hAnsi="Times New Roman"/>
          <w:sz w:val="20"/>
          <w:szCs w:val="20"/>
          <w:b w:val="1"/>
          <w:bCs w:val="1"/>
          <w:color w:val="auto"/>
        </w:rPr>
        <w:t>Business IT Assets</w:t>
      </w:r>
      <w:r>
        <w:rPr>
          <w:rFonts w:ascii="Times New Roman" w:cs="Times New Roman" w:eastAsia="Times New Roman" w:hAnsi="Times New Roman"/>
          <w:sz w:val="20"/>
          <w:szCs w:val="20"/>
          <w:color w:val="auto"/>
        </w:rPr>
        <w:t>”) are sufficient for the current and currently anticipated needs of the business of the Credit Parties and any Subsidiary in all material respects.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581025</wp:posOffset>
            </wp:positionV>
            <wp:extent cx="7157720" cy="4254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26" w:right="419" w:bottom="1440" w:gutter="0" w:footer="0" w:header="0"/>
        </w:sectPr>
      </w:pPr>
    </w:p>
    <w:bookmarkStart w:id="188" w:name="page189"/>
    <w:bookmarkEnd w:id="188"/>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right"/>
        <w:ind w:right="4459"/>
        <w:spacing w:after="0"/>
        <w:rPr>
          <w:sz w:val="20"/>
          <w:szCs w:val="20"/>
          <w:color w:val="auto"/>
        </w:rPr>
      </w:pPr>
      <w:r>
        <w:rPr>
          <w:rFonts w:ascii="Times New Roman" w:cs="Times New Roman" w:eastAsia="Times New Roman" w:hAnsi="Times New Roman"/>
          <w:sz w:val="18"/>
          <w:szCs w:val="18"/>
          <w:color w:val="auto"/>
        </w:rPr>
        <w:t>33</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4905-3710-6484 v.17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600710</wp:posOffset>
            </wp:positionV>
            <wp:extent cx="7157720" cy="4254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189" w:name="page190"/>
    <w:bookmarkEnd w:id="189"/>
    <w:p>
      <w:pPr>
        <w:jc w:val="both"/>
        <w:ind w:firstLine="1490"/>
        <w:spacing w:after="0" w:line="249" w:lineRule="auto"/>
        <w:tabs>
          <w:tab w:leader="none" w:pos="1949" w:val="left"/>
        </w:tabs>
        <w:numPr>
          <w:ilvl w:val="0"/>
          <w:numId w:val="1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Knowledge of the Credit Parties, in the past three (3) years, there has been no unauthorized access to or unauthorized use of, or any other security incident with respect to, any (i) Business IT Assets, or (ii) any confidential or proprietary information that is in the Credit Parties’ or any Subsidiary’s possession or control, in each case of (i) and (ii), in a manner that, individually or in the aggregate, has resulted in or is reasonably likely to result in a Material Adverse Change.</w:t>
      </w:r>
    </w:p>
    <w:p>
      <w:pPr>
        <w:spacing w:after="0" w:line="166" w:lineRule="exact"/>
        <w:rPr>
          <w:rFonts w:ascii="Times New Roman" w:cs="Times New Roman" w:eastAsia="Times New Roman" w:hAnsi="Times New Roman"/>
          <w:sz w:val="20"/>
          <w:szCs w:val="20"/>
          <w:color w:val="auto"/>
        </w:rPr>
      </w:pPr>
    </w:p>
    <w:p>
      <w:pPr>
        <w:jc w:val="both"/>
        <w:ind w:firstLine="1490"/>
        <w:spacing w:after="0" w:line="244" w:lineRule="auto"/>
        <w:tabs>
          <w:tab w:leader="none" w:pos="1949" w:val="left"/>
        </w:tabs>
        <w:numPr>
          <w:ilvl w:val="0"/>
          <w:numId w:val="1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has not, individually or in the aggregate, resulted in, and is not reasonably likely to result in, a Material Adverse Change, (i) the Credit Parties and any Subsidiary have taken commercially reasonable precautions consistent with current industry standards to (A) protect the confidentiality, integrity, and security of the Business IT Assets (and all information and transactions stored or contained therein or transmitted thereby) from any unauthorized intrusion, breach, use, access, interruption, destruction or modification by any Person, and (B) ensure that all Business IT Assets are fully functional, operate and run in a reasonable and efficient business manner and do not contain any Malicious Code, and (ii) to the Knowledge of the Credit Parties, the Business IT Assets do not contain any Malicious Code.</w:t>
      </w:r>
    </w:p>
    <w:p>
      <w:pPr>
        <w:spacing w:after="0" w:line="185" w:lineRule="exact"/>
        <w:rPr>
          <w:rFonts w:ascii="Times New Roman" w:cs="Times New Roman" w:eastAsia="Times New Roman" w:hAnsi="Times New Roman"/>
          <w:sz w:val="20"/>
          <w:szCs w:val="20"/>
          <w:color w:val="auto"/>
        </w:rPr>
      </w:pPr>
    </w:p>
    <w:p>
      <w:pPr>
        <w:jc w:val="both"/>
        <w:ind w:firstLine="1490"/>
        <w:spacing w:after="0" w:line="243" w:lineRule="auto"/>
        <w:tabs>
          <w:tab w:leader="none" w:pos="1949" w:val="left"/>
        </w:tabs>
        <w:numPr>
          <w:ilvl w:val="0"/>
          <w:numId w:val="1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has not, individually or in the aggregate, resulted in, and is not reasonably likely to result in, a Material Adverse Change, the Credit Parties and any Subsidiary (i) have appropriate policies and measures in place that are in compliance in all material respects with all applicable Laws, contractual commitments and generally accepted industry standards relating to the protection, collection, use, access, storage, maintenance, processing, transmission, distribution, transfer (including cross-border transfer) or disclosure of personally identifiable information and data, (ii) are and have been in compliance with (and have contractually required Persons who have access to such information or data to comply with) such policies, measures, Laws, commitments and standards, and (iii) have not received any written notice, and are not and have not been subject to any claim, and, to the Knowledge of the Credit Parties, no such notice or claim is or has been threatened, regarding the protection, collection, use, access, storage, maintenance, processing, transmission, distribution, transfer (including cross-border transfer) or disclosure of personally identifiable information or data.</w:t>
      </w:r>
    </w:p>
    <w:p>
      <w:pPr>
        <w:spacing w:after="0" w:line="195"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0"/>
          <w:szCs w:val="20"/>
          <w:b w:val="1"/>
          <w:bCs w:val="1"/>
          <w:color w:val="auto"/>
        </w:rPr>
        <w:t>4.23. Indebtedness</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ind w:left="1960" w:hanging="470"/>
        <w:spacing w:after="0"/>
        <w:tabs>
          <w:tab w:leader="none" w:pos="1960" w:val="left"/>
        </w:tabs>
        <w:numPr>
          <w:ilvl w:val="1"/>
          <w:numId w:val="10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As of the Closing Date, there is no Indebtedness other than Permitted Indebtedness described in </w:t>
      </w:r>
      <w:r>
        <w:rPr>
          <w:rFonts w:ascii="Times New Roman" w:cs="Times New Roman" w:eastAsia="Times New Roman" w:hAnsi="Times New Roman"/>
          <w:sz w:val="19"/>
          <w:szCs w:val="19"/>
          <w:u w:val="single" w:color="auto"/>
          <w:color w:val="auto"/>
        </w:rPr>
        <w:t>clauses (a)</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(b)</w:t>
      </w:r>
      <w:r>
        <w:rPr>
          <w:rFonts w:ascii="Times New Roman" w:cs="Times New Roman" w:eastAsia="Times New Roman" w:hAnsi="Times New Roman"/>
          <w:sz w:val="19"/>
          <w:szCs w:val="19"/>
          <w:color w:val="auto"/>
        </w:rPr>
        <w:t xml:space="preserve"> and</w:t>
      </w:r>
    </w:p>
    <w:p>
      <w:pPr>
        <w:spacing w:after="0" w:line="33" w:lineRule="exact"/>
        <w:rPr>
          <w:rFonts w:ascii="Times New Roman" w:cs="Times New Roman" w:eastAsia="Times New Roman" w:hAnsi="Times New Roman"/>
          <w:sz w:val="19"/>
          <w:szCs w:val="19"/>
          <w:color w:val="auto"/>
        </w:rPr>
      </w:pPr>
    </w:p>
    <w:p>
      <w:pPr>
        <w:ind w:left="280" w:hanging="277"/>
        <w:spacing w:after="0"/>
        <w:tabs>
          <w:tab w:leader="none" w:pos="280" w:val="left"/>
        </w:tabs>
        <w:numPr>
          <w:ilvl w:val="0"/>
          <w:numId w:val="102"/>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of the definition of “Permitted Indebtedness”.</w:t>
      </w:r>
    </w:p>
    <w:p>
      <w:pPr>
        <w:spacing w:after="0" w:line="180" w:lineRule="exact"/>
        <w:rPr>
          <w:rFonts w:ascii="Times New Roman" w:cs="Times New Roman" w:eastAsia="Times New Roman" w:hAnsi="Times New Roman"/>
          <w:sz w:val="20"/>
          <w:szCs w:val="20"/>
          <w:u w:val="single" w:color="auto"/>
          <w:color w:val="auto"/>
        </w:rPr>
      </w:pPr>
    </w:p>
    <w:p>
      <w:pPr>
        <w:ind w:left="1960" w:hanging="470"/>
        <w:spacing w:after="0"/>
        <w:tabs>
          <w:tab w:leader="none" w:pos="1960" w:val="left"/>
        </w:tabs>
        <w:numPr>
          <w:ilvl w:val="1"/>
          <w:numId w:val="1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There are no Hedging Agreements as of the Closing Date.</w:t>
      </w:r>
    </w:p>
    <w:p>
      <w:pPr>
        <w:spacing w:after="0" w:line="225" w:lineRule="exact"/>
        <w:rPr>
          <w:sz w:val="20"/>
          <w:szCs w:val="20"/>
          <w:color w:val="auto"/>
        </w:rPr>
      </w:pPr>
    </w:p>
    <w:p>
      <w:pPr>
        <w:ind w:left="1080" w:hanging="403"/>
        <w:spacing w:after="0"/>
        <w:tabs>
          <w:tab w:leader="none" w:pos="1080" w:val="left"/>
        </w:tabs>
        <w:numPr>
          <w:ilvl w:val="0"/>
          <w:numId w:val="10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AFFIRMATIVE COVENANTS</w:t>
      </w:r>
    </w:p>
    <w:p>
      <w:pPr>
        <w:spacing w:after="0" w:line="220" w:lineRule="exact"/>
        <w:rPr>
          <w:sz w:val="20"/>
          <w:szCs w:val="20"/>
          <w:color w:val="auto"/>
        </w:rPr>
      </w:pPr>
    </w:p>
    <w:p>
      <w:pPr>
        <w:jc w:val="both"/>
        <w:ind w:firstLine="669"/>
        <w:spacing w:after="0" w:line="254" w:lineRule="auto"/>
        <w:rPr>
          <w:sz w:val="20"/>
          <w:szCs w:val="20"/>
          <w:color w:val="auto"/>
        </w:rPr>
      </w:pPr>
      <w:r>
        <w:rPr>
          <w:rFonts w:ascii="Times New Roman" w:cs="Times New Roman" w:eastAsia="Times New Roman" w:hAnsi="Times New Roman"/>
          <w:sz w:val="20"/>
          <w:szCs w:val="20"/>
          <w:color w:val="auto"/>
        </w:rPr>
        <w:t>Each Credit Party covenants and agrees that, until payment in full of all Obligations in cash in immediately available funds (other than inchoate indemnity obligations in respect of which no claim has been asserted), each Credit Party shall, and shall cause each of its Subsidiaries to:</w:t>
      </w:r>
    </w:p>
    <w:p>
      <w:pPr>
        <w:spacing w:after="0" w:line="157" w:lineRule="exact"/>
        <w:rPr>
          <w:sz w:val="20"/>
          <w:szCs w:val="20"/>
          <w:color w:val="auto"/>
        </w:rPr>
      </w:pPr>
    </w:p>
    <w:p>
      <w:pPr>
        <w:jc w:val="both"/>
        <w:ind w:firstLine="669"/>
        <w:spacing w:after="0" w:line="245" w:lineRule="auto"/>
        <w:rPr>
          <w:sz w:val="20"/>
          <w:szCs w:val="20"/>
          <w:color w:val="auto"/>
        </w:rPr>
      </w:pPr>
      <w:r>
        <w:rPr>
          <w:rFonts w:ascii="Times New Roman" w:cs="Times New Roman" w:eastAsia="Times New Roman" w:hAnsi="Times New Roman"/>
          <w:sz w:val="20"/>
          <w:szCs w:val="20"/>
          <w:b w:val="1"/>
          <w:bCs w:val="1"/>
          <w:color w:val="auto"/>
        </w:rPr>
        <w:t xml:space="preserve">5.1. Maintenance of Existence </w:t>
      </w:r>
      <w:r>
        <w:rPr>
          <w:rFonts w:ascii="Times New Roman" w:cs="Times New Roman" w:eastAsia="Times New Roman" w:hAnsi="Times New Roman"/>
          <w:sz w:val="20"/>
          <w:szCs w:val="20"/>
          <w:color w:val="auto"/>
        </w:rPr>
        <w:t>. (a) Preserve, renew and maintain in full force and effect its and all its Subsidiaries’ legal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existence under the Requirements of Law in their respective jurisdictions of organization, incorporation or formation, except (other than with respect to Borrower) pursuant to a transaction permitted by this Agreement; (b) maintain all rights, privileges (including its good standing), permits, licenses and franchises necessary or desirable for it and all of its Subsidiaries in the ordinary course of its business; (c) comply with all Requirements of Law of any Governmental Authority to which it is subject, including, obtaining any and all licenses, permits, franchise and other governmental and regulatory authorizations necessary to the ownership of its properties or the conduct of its business; and (d) perform and observe all the terms and provisions of each Material Contract to be performed or observed by it, except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598170</wp:posOffset>
            </wp:positionV>
            <wp:extent cx="7157720" cy="4254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400" w:top="1426" w:right="419" w:bottom="1440" w:gutter="0" w:footer="0" w:header="0"/>
        </w:sectPr>
      </w:pPr>
    </w:p>
    <w:bookmarkStart w:id="190" w:name="page191"/>
    <w:bookmarkEnd w:id="190"/>
    <w:p>
      <w:pPr>
        <w:spacing w:after="0" w:line="200" w:lineRule="exact"/>
        <w:rPr>
          <w:sz w:val="20"/>
          <w:szCs w:val="20"/>
          <w:color w:val="auto"/>
        </w:rPr>
      </w:pPr>
    </w:p>
    <w:p>
      <w:pPr>
        <w:spacing w:after="0" w:line="210"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34</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4905-3710-6484 v.17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600710</wp:posOffset>
            </wp:positionV>
            <wp:extent cx="7157720" cy="4254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59"/>
          </w:cols>
          <w:pgMar w:left="400" w:top="1440" w:right="1440" w:bottom="1440" w:gutter="0" w:footer="0" w:header="0"/>
        </w:sectPr>
      </w:pPr>
    </w:p>
    <w:bookmarkStart w:id="191" w:name="page192"/>
    <w:bookmarkEnd w:id="191"/>
    <w:p>
      <w:pPr>
        <w:spacing w:after="0" w:line="269" w:lineRule="auto"/>
        <w:rPr>
          <w:sz w:val="20"/>
          <w:szCs w:val="20"/>
          <w:color w:val="auto"/>
        </w:rPr>
      </w:pPr>
      <w:r>
        <w:rPr>
          <w:rFonts w:ascii="Times New Roman" w:cs="Times New Roman" w:eastAsia="Times New Roman" w:hAnsi="Times New Roman"/>
          <w:sz w:val="20"/>
          <w:szCs w:val="20"/>
          <w:color w:val="auto"/>
        </w:rPr>
        <w:t>in the case of clause (b), clause (c) and clause (d), where the failure to do so could not reasonably be expected to result, individually or in the aggregate, in a Material Adverse Change.</w:t>
      </w:r>
    </w:p>
    <w:p>
      <w:pPr>
        <w:spacing w:after="0" w:line="142"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0"/>
          <w:szCs w:val="20"/>
          <w:b w:val="1"/>
          <w:bCs w:val="1"/>
          <w:color w:val="auto"/>
        </w:rPr>
        <w:t>5.2. Financial Statements; Notices</w:t>
      </w:r>
      <w:r>
        <w:rPr>
          <w:rFonts w:ascii="Times New Roman" w:cs="Times New Roman" w:eastAsia="Times New Roman" w:hAnsi="Times New Roman"/>
          <w:sz w:val="20"/>
          <w:szCs w:val="20"/>
          <w:color w:val="auto"/>
        </w:rPr>
        <w:t>. Deliver to the Agent and the Lenders:</w:t>
      </w:r>
    </w:p>
    <w:p>
      <w:pPr>
        <w:spacing w:after="0" w:line="247" w:lineRule="exact"/>
        <w:rPr>
          <w:sz w:val="20"/>
          <w:szCs w:val="20"/>
          <w:color w:val="auto"/>
        </w:rPr>
      </w:pPr>
    </w:p>
    <w:p>
      <w:pPr>
        <w:ind w:left="1900" w:hanging="395"/>
        <w:spacing w:after="0"/>
        <w:tabs>
          <w:tab w:leader="none" w:pos="1900" w:val="left"/>
        </w:tabs>
        <w:numPr>
          <w:ilvl w:val="0"/>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Financial Statements</w:t>
      </w:r>
      <w:r>
        <w:rPr>
          <w:rFonts w:ascii="Times New Roman" w:cs="Times New Roman" w:eastAsia="Times New Roman" w:hAnsi="Times New Roman"/>
          <w:sz w:val="20"/>
          <w:szCs w:val="20"/>
          <w:color w:val="auto"/>
        </w:rPr>
        <w:t>.</w:t>
      </w:r>
    </w:p>
    <w:p>
      <w:pPr>
        <w:spacing w:after="0" w:line="202" w:lineRule="exact"/>
        <w:rPr>
          <w:rFonts w:ascii="Times New Roman" w:cs="Times New Roman" w:eastAsia="Times New Roman" w:hAnsi="Times New Roman"/>
          <w:sz w:val="20"/>
          <w:szCs w:val="20"/>
          <w:color w:val="auto"/>
        </w:rPr>
      </w:pPr>
    </w:p>
    <w:p>
      <w:pPr>
        <w:jc w:val="both"/>
        <w:ind w:left="840" w:firstLine="1489"/>
        <w:spacing w:after="0" w:line="241" w:lineRule="auto"/>
        <w:tabs>
          <w:tab w:leader="none" w:pos="2561" w:val="left"/>
        </w:tabs>
        <w:numPr>
          <w:ilvl w:val="1"/>
          <w:numId w:val="104"/>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Annual Financial Statements</w:t>
      </w:r>
      <w:r>
        <w:rPr>
          <w:rFonts w:ascii="Times New Roman" w:cs="Times New Roman" w:eastAsia="Times New Roman" w:hAnsi="Times New Roman"/>
          <w:sz w:val="20"/>
          <w:szCs w:val="20"/>
          <w:color w:val="auto"/>
        </w:rPr>
        <w:t xml:space="preserve">. As soon as available, but in any event within ninety (90) days after the end of each fiscal year of Borrower, beginning with the fiscal year ending December 31, 2025, a consolidated balance sheet of Borrower and its Subsidiaries as of the end of such fiscal year, and the related consolidated statements of operations, cash flows and stockholders’ equity for such fiscal year, setting forth in each case in comparative form the figures for the previous fiscal year, all prepared in accordance with GAAP, with such consolidated financial statements to be audited and accompanied by (x) a report and opinion of Borrower’s independent certified public accounting firm of recognized national standing reasonably acceptable to the Blackstone Representative (which report and opinion shall be prepared in accordance with GAAP and shall not be subject to any “going concern” qualification or exception or emphasis of matter or any going concern footnote or any qualification or exception as to the scope of such audit other than any such qualification based solely on (x) the upcoming Maturity Date of the Loans occurring within (12) months of the date of the financial statements delivered pursuant to this </w:t>
      </w:r>
      <w:r>
        <w:rPr>
          <w:rFonts w:ascii="Times New Roman" w:cs="Times New Roman" w:eastAsia="Times New Roman" w:hAnsi="Times New Roman"/>
          <w:sz w:val="20"/>
          <w:szCs w:val="20"/>
          <w:u w:val="single" w:color="auto"/>
          <w:color w:val="auto"/>
        </w:rPr>
        <w:t>Section 5.2(a)(i)</w:t>
      </w:r>
      <w:r>
        <w:rPr>
          <w:rFonts w:ascii="Times New Roman" w:cs="Times New Roman" w:eastAsia="Times New Roman" w:hAnsi="Times New Roman"/>
          <w:sz w:val="20"/>
          <w:szCs w:val="20"/>
          <w:color w:val="auto"/>
        </w:rPr>
        <w:t xml:space="preserve"> or (y) a breach or anticipated breach of the covenant set forth in </w:t>
      </w:r>
      <w:r>
        <w:rPr>
          <w:rFonts w:ascii="Times New Roman" w:cs="Times New Roman" w:eastAsia="Times New Roman" w:hAnsi="Times New Roman"/>
          <w:sz w:val="20"/>
          <w:szCs w:val="20"/>
          <w:u w:val="single" w:color="auto"/>
          <w:color w:val="auto"/>
        </w:rPr>
        <w:t>Section 6.16</w:t>
      </w:r>
      <w:r>
        <w:rPr>
          <w:rFonts w:ascii="Times New Roman" w:cs="Times New Roman" w:eastAsia="Times New Roman" w:hAnsi="Times New Roman"/>
          <w:sz w:val="20"/>
          <w:szCs w:val="20"/>
          <w:color w:val="auto"/>
        </w:rPr>
        <w:t xml:space="preserve">) stating that such financial statements fairly present, in all material respects, the consolidated financial condition, results of operations and cash flows of Borrower and its Subsidiaries as of the dates and for the periods specified in accordance with GAAP, and (y) if and only if Borrower is required to comply with the internal control provisions pursuant to Section 404 of the Sarbanes-Oxley Act of 2002 requiring an attestation report of such independent certified public accounting firm, an attestation report of such independent certified public accounting firm as to Borrower’s internal controls pursuant to Section 404 of the Sarbanes-Oxley Act of 2002 attesting to management’s assessment that such internal controls meet the requirements of the Sarbanes-Oxley Act of 2002;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Borrower shall be deemed to have made such delivery of such consolidated financial statements if such consolidated financial statements shall have been made available within the time period specified above on the SEC’s EDGAR system (or any successor system adopted by the SEC);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4116070</wp:posOffset>
            </wp:positionH>
            <wp:positionV relativeFrom="paragraph">
              <wp:posOffset>-1340485</wp:posOffset>
            </wp:positionV>
            <wp:extent cx="40005" cy="82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6">
                      <a:extLst>
                        <a:ext uri="{28A0092B-C50C-407E-A947-70E740481C1C}"/>
                      </a:extLst>
                    </a:blip>
                    <a:srcRect/>
                    <a:stretch>
                      <a:fillRect/>
                    </a:stretch>
                  </pic:blipFill>
                  <pic:spPr bwMode="auto">
                    <a:xfrm>
                      <a:off x="0" y="0"/>
                      <a:ext cx="40005" cy="8255"/>
                    </a:xfrm>
                    <a:prstGeom prst="rect">
                      <a:avLst/>
                    </a:prstGeom>
                    <a:noFill/>
                  </pic:spPr>
                </pic:pic>
              </a:graphicData>
            </a:graphic>
          </wp:anchor>
        </w:drawing>
      </w:r>
    </w:p>
    <w:p>
      <w:pPr>
        <w:spacing w:after="0" w:line="167" w:lineRule="exact"/>
        <w:rPr>
          <w:sz w:val="20"/>
          <w:szCs w:val="20"/>
          <w:color w:val="auto"/>
        </w:rPr>
      </w:pPr>
    </w:p>
    <w:p>
      <w:pPr>
        <w:jc w:val="both"/>
        <w:ind w:left="840" w:firstLine="1498"/>
        <w:spacing w:after="0" w:line="241" w:lineRule="auto"/>
        <w:rPr>
          <w:sz w:val="20"/>
          <w:szCs w:val="20"/>
          <w:color w:val="auto"/>
        </w:rPr>
      </w:pPr>
      <w:r>
        <w:rPr>
          <w:rFonts w:ascii="Times New Roman" w:cs="Times New Roman" w:eastAsia="Times New Roman" w:hAnsi="Times New Roman"/>
          <w:sz w:val="20"/>
          <w:szCs w:val="20"/>
          <w:u w:val="single" w:color="auto"/>
          <w:color w:val="auto"/>
        </w:rPr>
        <w:t>(ii)Quarterly Financial Statements</w:t>
      </w:r>
      <w:r>
        <w:rPr>
          <w:rFonts w:ascii="Times New Roman" w:cs="Times New Roman" w:eastAsia="Times New Roman" w:hAnsi="Times New Roman"/>
          <w:sz w:val="20"/>
          <w:szCs w:val="20"/>
          <w:color w:val="auto"/>
        </w:rPr>
        <w:t xml:space="preserve">. As soon as available, but in any event within forty-five (45) days after the end of each of the first three (3) fiscal quarters of each fiscal year of Borrower, beginning with the first fiscal quarter ending after the Closing Date, a consolidated balance sheet of Borrower and its Subsidiaries as of the end of such fiscal quarter, and the related consolidated statements of operations and cash flows and for such fiscal quarter and (in respect of the second and third fiscal quarters of such fiscal year) for the then-elapsed portion of Borrower’s fiscal year, setting forth in each case in comparative form the figures for the comparable period or periods in the previous fiscal year, all prepared in accordance with GAAP, subject to normal year-end audit adjustments and the absence of disclosures normally made in footnotes;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Borrower shall be deemed to have made such delivery of such consolidated financial statements. if such consolidated financial statements shall have been made available within the time period specified above on the SEC’s EDGAR system (or any successor system adopted by the SEC). Such consolidated financial statements shall be certified by a Responsible Officer of Borrower as, to his or her knowledge, fairly presenting, in all material respects, the consolidated financial condition, results of operations and cash flows of Borrower and its Subsidiaries as of the dates and for the periods specified in accordance with GAAP consistently applied, and on a basis consistent with the audited consolidated financial statements referred to under </w:t>
      </w:r>
      <w:r>
        <w:rPr>
          <w:rFonts w:ascii="Times New Roman" w:cs="Times New Roman" w:eastAsia="Times New Roman" w:hAnsi="Times New Roman"/>
          <w:sz w:val="20"/>
          <w:szCs w:val="20"/>
          <w:u w:val="single" w:color="auto"/>
          <w:color w:val="auto"/>
        </w:rPr>
        <w:t>Section 5.2(a)(i)</w:t>
      </w:r>
      <w:r>
        <w:rPr>
          <w:rFonts w:ascii="Times New Roman" w:cs="Times New Roman" w:eastAsia="Times New Roman" w:hAnsi="Times New Roman"/>
          <w:sz w:val="20"/>
          <w:szCs w:val="20"/>
          <w:color w:val="auto"/>
        </w:rPr>
        <w:t>, subject to normal year-end audit adjustments and the absence of footnotes;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606425</wp:posOffset>
            </wp:positionV>
            <wp:extent cx="7157720" cy="4254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26" w:right="419" w:bottom="1440" w:gutter="0" w:footer="0" w:header="0"/>
        </w:sectPr>
      </w:pPr>
    </w:p>
    <w:bookmarkStart w:id="192" w:name="page193"/>
    <w:bookmarkEnd w:id="192"/>
    <w:p>
      <w:pPr>
        <w:spacing w:after="0" w:line="113"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35</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4905-3710-6484 v.17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600710</wp:posOffset>
            </wp:positionV>
            <wp:extent cx="7157720" cy="4254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193" w:name="page194"/>
    <w:bookmarkEnd w:id="193"/>
    <w:p>
      <w:pPr>
        <w:ind w:left="1480"/>
        <w:spacing w:after="0"/>
        <w:tabs>
          <w:tab w:leader="none" w:pos="3440" w:val="left"/>
        </w:tabs>
        <w:rPr>
          <w:sz w:val="20"/>
          <w:szCs w:val="20"/>
          <w:color w:val="auto"/>
        </w:rPr>
      </w:pPr>
      <w:r>
        <w:rPr>
          <w:rFonts w:ascii="Times New Roman" w:cs="Times New Roman" w:eastAsia="Times New Roman" w:hAnsi="Times New Roman"/>
          <w:sz w:val="20"/>
          <w:szCs w:val="20"/>
          <w:u w:val="single" w:color="auto"/>
          <w:color w:val="auto"/>
        </w:rPr>
        <w:t>(iii)Other Information</w:t>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19"/>
          <w:szCs w:val="19"/>
          <w:color w:val="auto"/>
        </w:rPr>
        <w:t>As promptly as practicable, such additional</w:t>
      </w:r>
    </w:p>
    <w:p>
      <w:pPr>
        <w:spacing w:after="0" w:line="22"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color w:val="auto"/>
        </w:rPr>
        <w:t xml:space="preserve">information regarding the business or financial affairs of Borrower or any of its Subsidiaries, or compliance with the terms of this Agreement or any other Loan Documents, as Agent, the Blackstone Representative or any Lender may from time to time reasonably request (subject to reasonable requirements of confidentiality, including requirements imposed by Requirements of Law or contract, not entered into in contemplation of this Agreement);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Borrower shall not be obligated to disclose any information that is reasonably subject to the assertion of attorney-client privilege or attorney work-product;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further, that in the event the Borrower or any of its Subsidiaries does not provide information in reliance on the foregoing proviso or on the basis of confidentiality requirements, such Persons shall provide notice to the Agent and Blackstone Representative promptly and shall use commercially reasonable efforts to communicate the applicable information in a way that would not result in the loss of such privilege or comply with the applicable confidentiality requirements, as applicable; and</w:t>
      </w:r>
    </w:p>
    <w:p>
      <w:pPr>
        <w:spacing w:after="0" w:line="190" w:lineRule="exact"/>
        <w:rPr>
          <w:sz w:val="20"/>
          <w:szCs w:val="20"/>
          <w:color w:val="auto"/>
        </w:rPr>
      </w:pPr>
    </w:p>
    <w:p>
      <w:pPr>
        <w:jc w:val="both"/>
        <w:ind w:firstLine="1498"/>
        <w:spacing w:after="0" w:line="254" w:lineRule="auto"/>
        <w:rPr>
          <w:sz w:val="20"/>
          <w:szCs w:val="20"/>
          <w:color w:val="auto"/>
        </w:rPr>
      </w:pPr>
      <w:r>
        <w:rPr>
          <w:rFonts w:ascii="Times New Roman" w:cs="Times New Roman" w:eastAsia="Times New Roman" w:hAnsi="Times New Roman"/>
          <w:sz w:val="20"/>
          <w:szCs w:val="20"/>
          <w:u w:val="single" w:color="auto"/>
          <w:color w:val="auto"/>
        </w:rPr>
        <w:t>(iv)Agings of Accounts Receivable</w:t>
      </w:r>
      <w:r>
        <w:rPr>
          <w:rFonts w:ascii="Times New Roman" w:cs="Times New Roman" w:eastAsia="Times New Roman" w:hAnsi="Times New Roman"/>
          <w:sz w:val="20"/>
          <w:szCs w:val="20"/>
          <w:color w:val="auto"/>
        </w:rPr>
        <w:t>. As promptly as practicable after the end of each fiscal quarter of each fiscal year of Borrower, beginning with the first fiscal quarter ending after the Closing Date, a report showing agings of accounts receivable.</w:t>
      </w:r>
    </w:p>
    <w:p>
      <w:pPr>
        <w:spacing w:after="0" w:line="188" w:lineRule="exact"/>
        <w:rPr>
          <w:sz w:val="20"/>
          <w:szCs w:val="20"/>
          <w:color w:val="auto"/>
        </w:rPr>
      </w:pPr>
    </w:p>
    <w:p>
      <w:pPr>
        <w:jc w:val="both"/>
        <w:ind w:left="-760" w:firstLine="1490"/>
        <w:spacing w:after="0" w:line="244" w:lineRule="auto"/>
        <w:tabs>
          <w:tab w:leader="none" w:pos="1189" w:val="left"/>
        </w:tabs>
        <w:numPr>
          <w:ilvl w:val="0"/>
          <w:numId w:val="105"/>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Budget</w:t>
      </w:r>
      <w:r>
        <w:rPr>
          <w:rFonts w:ascii="Times New Roman" w:cs="Times New Roman" w:eastAsia="Times New Roman" w:hAnsi="Times New Roman"/>
          <w:sz w:val="20"/>
          <w:szCs w:val="20"/>
          <w:color w:val="auto"/>
        </w:rPr>
        <w:t>. As soon as available, and in any event within seventy five (75) days after the end of each fiscal year of Borrower, commencing with the fiscal year ending December 31, 2025, a consolidated budget for the then-current fiscal year substantially in the form provided to the Agent and the Lenders prior to the Closing Date or otherwise in form and substance reasonably satisfactory to the Agent and the Lenders (collectively, the “</w:t>
      </w:r>
      <w:r>
        <w:rPr>
          <w:rFonts w:ascii="Times New Roman" w:cs="Times New Roman" w:eastAsia="Times New Roman" w:hAnsi="Times New Roman"/>
          <w:sz w:val="20"/>
          <w:szCs w:val="20"/>
          <w:b w:val="1"/>
          <w:bCs w:val="1"/>
          <w:color w:val="auto"/>
        </w:rPr>
        <w:t>Budget</w:t>
      </w:r>
      <w:r>
        <w:rPr>
          <w:rFonts w:ascii="Times New Roman" w:cs="Times New Roman" w:eastAsia="Times New Roman" w:hAnsi="Times New Roman"/>
          <w:sz w:val="20"/>
          <w:szCs w:val="20"/>
          <w:color w:val="auto"/>
        </w:rPr>
        <w:t>”), which Budget shall be accompanied by a certificate of a Responsible Officer stating that such Budget has been prepared in good faith on the basis of the assumptions stated therein, which assumptions were believed to be reasonable at the time of preparation of such Budget, it being understood that actual results may vary from such Budget and that such variations may be material.</w:t>
      </w:r>
    </w:p>
    <w:p>
      <w:pPr>
        <w:spacing w:after="0" w:line="185" w:lineRule="exact"/>
        <w:rPr>
          <w:rFonts w:ascii="Times New Roman" w:cs="Times New Roman" w:eastAsia="Times New Roman" w:hAnsi="Times New Roman"/>
          <w:sz w:val="20"/>
          <w:szCs w:val="20"/>
          <w:u w:val="single" w:color="auto"/>
          <w:color w:val="auto"/>
        </w:rPr>
      </w:pPr>
    </w:p>
    <w:p>
      <w:pPr>
        <w:ind w:left="1200" w:hanging="470"/>
        <w:spacing w:after="0"/>
        <w:tabs>
          <w:tab w:leader="none" w:pos="1200" w:val="left"/>
        </w:tabs>
        <w:numPr>
          <w:ilvl w:val="0"/>
          <w:numId w:val="105"/>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Compliance Certificates</w:t>
      </w:r>
      <w:r>
        <w:rPr>
          <w:rFonts w:ascii="Times New Roman" w:cs="Times New Roman" w:eastAsia="Times New Roman" w:hAnsi="Times New Roman"/>
          <w:sz w:val="20"/>
          <w:szCs w:val="20"/>
          <w:color w:val="auto"/>
        </w:rPr>
        <w:t>.</w:t>
      </w:r>
    </w:p>
    <w:p>
      <w:pPr>
        <w:spacing w:after="0" w:line="202" w:lineRule="exact"/>
        <w:rPr>
          <w:rFonts w:ascii="Times New Roman" w:cs="Times New Roman" w:eastAsia="Times New Roman" w:hAnsi="Times New Roman"/>
          <w:sz w:val="20"/>
          <w:szCs w:val="20"/>
          <w:u w:val="single" w:color="auto"/>
          <w:color w:val="auto"/>
        </w:rPr>
      </w:pPr>
    </w:p>
    <w:p>
      <w:pPr>
        <w:jc w:val="both"/>
        <w:ind w:firstLine="1489"/>
        <w:spacing w:after="0" w:line="242" w:lineRule="auto"/>
        <w:tabs>
          <w:tab w:leader="none" w:pos="1721" w:val="left"/>
        </w:tabs>
        <w:numPr>
          <w:ilvl w:val="1"/>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Commencing with the first fiscal quarter ending after the Closing Date, concurrently with the delivery of any financial statements pursuant to </w:t>
      </w:r>
      <w:r>
        <w:rPr>
          <w:rFonts w:ascii="Times New Roman" w:cs="Times New Roman" w:eastAsia="Times New Roman" w:hAnsi="Times New Roman"/>
          <w:sz w:val="20"/>
          <w:szCs w:val="20"/>
          <w:u w:val="single" w:color="auto"/>
          <w:color w:val="auto"/>
        </w:rPr>
        <w:t>Sections 5.2(a)(i)</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(ii)</w:t>
      </w:r>
      <w:r>
        <w:rPr>
          <w:rFonts w:ascii="Times New Roman" w:cs="Times New Roman" w:eastAsia="Times New Roman" w:hAnsi="Times New Roman"/>
          <w:sz w:val="20"/>
          <w:szCs w:val="20"/>
          <w:color w:val="auto"/>
        </w:rPr>
        <w:t>, a certification (the “</w:t>
      </w:r>
      <w:r>
        <w:rPr>
          <w:rFonts w:ascii="Times New Roman" w:cs="Times New Roman" w:eastAsia="Times New Roman" w:hAnsi="Times New Roman"/>
          <w:sz w:val="20"/>
          <w:szCs w:val="20"/>
          <w:b w:val="1"/>
          <w:bCs w:val="1"/>
          <w:color w:val="auto"/>
        </w:rPr>
        <w:t>Compliance Certificate</w:t>
      </w:r>
      <w:r>
        <w:rPr>
          <w:rFonts w:ascii="Times New Roman" w:cs="Times New Roman" w:eastAsia="Times New Roman" w:hAnsi="Times New Roman"/>
          <w:sz w:val="20"/>
          <w:szCs w:val="20"/>
          <w:color w:val="auto"/>
        </w:rPr>
        <w:t xml:space="preserve">”) substantially in the form of </w:t>
      </w:r>
      <w:r>
        <w:rPr>
          <w:rFonts w:ascii="Times New Roman" w:cs="Times New Roman" w:eastAsia="Times New Roman" w:hAnsi="Times New Roman"/>
          <w:sz w:val="20"/>
          <w:szCs w:val="20"/>
          <w:u w:val="single" w:color="auto"/>
          <w:color w:val="auto"/>
        </w:rPr>
        <w:t>Exhibit D</w:t>
      </w:r>
      <w:r>
        <w:rPr>
          <w:rFonts w:ascii="Times New Roman" w:cs="Times New Roman" w:eastAsia="Times New Roman" w:hAnsi="Times New Roman"/>
          <w:sz w:val="20"/>
          <w:szCs w:val="20"/>
          <w:color w:val="auto"/>
        </w:rPr>
        <w:t xml:space="preserve"> hereto as to (w) the absence of a Default or Event of Default (or to the extent a Default or Event of Default has occurred and is continuing, a description and actions taken or proposed taken with respect thereto), (y) to the extent not previously disclosed to the Agent, (1) a description of any change in the jurisdiction of organization of any Credit Party, (2) a list of any Registered Intellectual Property acquired or developed by any Credit Party during the applicable period, (3) a description of any Person that has become a Subsidiary, in each case since the date of the most recent Compliance Certificate delivered pursuant to this clause (i) (or, in the case of the first such report so delivered, since the Closing Date) and (4) a description of any material updates to material Permits from the FDA or other Governmental Authority for the Products and (z) compliance or noncompliance with the Credit Party Minimum Coverage Requirement.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2005330</wp:posOffset>
            </wp:positionH>
            <wp:positionV relativeFrom="paragraph">
              <wp:posOffset>-1611630</wp:posOffset>
            </wp:positionV>
            <wp:extent cx="31115" cy="82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9">
                      <a:extLst>
                        <a:ext uri="{28A0092B-C50C-407E-A947-70E740481C1C}"/>
                      </a:extLst>
                    </a:blip>
                    <a:srcRect/>
                    <a:stretch>
                      <a:fillRect/>
                    </a:stretch>
                  </pic:blipFill>
                  <pic:spPr bwMode="auto">
                    <a:xfrm>
                      <a:off x="0" y="0"/>
                      <a:ext cx="31115" cy="8255"/>
                    </a:xfrm>
                    <a:prstGeom prst="rect">
                      <a:avLst/>
                    </a:prstGeom>
                    <a:noFill/>
                  </pic:spPr>
                </pic:pic>
              </a:graphicData>
            </a:graphic>
          </wp:anchor>
        </w:drawing>
      </w:r>
    </w:p>
    <w:p>
      <w:pPr>
        <w:spacing w:after="0" w:line="186" w:lineRule="exact"/>
        <w:rPr>
          <w:sz w:val="20"/>
          <w:szCs w:val="20"/>
          <w:color w:val="auto"/>
        </w:rPr>
      </w:pPr>
    </w:p>
    <w:p>
      <w:pPr>
        <w:jc w:val="both"/>
        <w:ind w:firstLine="1498"/>
        <w:spacing w:after="0" w:line="245" w:lineRule="auto"/>
        <w:rPr>
          <w:sz w:val="20"/>
          <w:szCs w:val="20"/>
          <w:color w:val="auto"/>
        </w:rPr>
      </w:pPr>
      <w:r>
        <w:rPr>
          <w:rFonts w:ascii="Times New Roman" w:cs="Times New Roman" w:eastAsia="Times New Roman" w:hAnsi="Times New Roman"/>
          <w:sz w:val="20"/>
          <w:szCs w:val="20"/>
          <w:color w:val="auto"/>
        </w:rPr>
        <w:t>(ii)As soon as available, but in any event within ten (10) Business Days after the end of each calendar quarter, a certification (the “</w:t>
      </w:r>
      <w:r>
        <w:rPr>
          <w:rFonts w:ascii="Times New Roman" w:cs="Times New Roman" w:eastAsia="Times New Roman" w:hAnsi="Times New Roman"/>
          <w:sz w:val="20"/>
          <w:szCs w:val="20"/>
          <w:b w:val="1"/>
          <w:bCs w:val="1"/>
          <w:color w:val="auto"/>
        </w:rPr>
        <w:t>Liquidity Compliance Certificate</w:t>
      </w:r>
      <w:r>
        <w:rPr>
          <w:rFonts w:ascii="Times New Roman" w:cs="Times New Roman" w:eastAsia="Times New Roman" w:hAnsi="Times New Roman"/>
          <w:sz w:val="20"/>
          <w:szCs w:val="20"/>
          <w:color w:val="auto"/>
        </w:rPr>
        <w:t xml:space="preserve">”) substantially in the form of </w:t>
      </w:r>
      <w:r>
        <w:rPr>
          <w:rFonts w:ascii="Times New Roman" w:cs="Times New Roman" w:eastAsia="Times New Roman" w:hAnsi="Times New Roman"/>
          <w:sz w:val="20"/>
          <w:szCs w:val="20"/>
          <w:u w:val="single" w:color="auto"/>
          <w:color w:val="auto"/>
        </w:rPr>
        <w:t>Exhibit E</w:t>
      </w:r>
      <w:r>
        <w:rPr>
          <w:rFonts w:ascii="Times New Roman" w:cs="Times New Roman" w:eastAsia="Times New Roman" w:hAnsi="Times New Roman"/>
          <w:sz w:val="20"/>
          <w:szCs w:val="20"/>
          <w:color w:val="auto"/>
        </w:rPr>
        <w:t xml:space="preserve"> hereto as to (x) the absence of a Default or Event of Default (or to the extent a Default or Event of Default has occurred and is continuing, a description and actions taken or proposed taken with respect thereto), and (y) the calculation of Liquidity and confirmation as to whether the Credit Parties are (and have at all times since the date of the previously delivered Liquidity Compliance Certificate (or if there has not previously been a Compliance Certificate delivered, the Closing Date)) in compliance with </w:t>
      </w:r>
      <w:r>
        <w:rPr>
          <w:rFonts w:ascii="Times New Roman" w:cs="Times New Roman" w:eastAsia="Times New Roman" w:hAnsi="Times New Roman"/>
          <w:sz w:val="20"/>
          <w:szCs w:val="20"/>
          <w:u w:val="single" w:color="auto"/>
          <w:color w:val="auto"/>
        </w:rPr>
        <w:t>Section 6.16</w:t>
      </w:r>
      <w:r>
        <w:rPr>
          <w:rFonts w:ascii="Times New Roman" w:cs="Times New Roman" w:eastAsia="Times New Roman" w:hAnsi="Times New Roman"/>
          <w:sz w:val="20"/>
          <w:szCs w:val="20"/>
          <w:color w:val="auto"/>
        </w:rPr>
        <w:t xml:space="preserve"> at all times.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-540385</wp:posOffset>
            </wp:positionH>
            <wp:positionV relativeFrom="paragraph">
              <wp:posOffset>598805</wp:posOffset>
            </wp:positionV>
            <wp:extent cx="7157720" cy="4254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320"/>
          </w:cols>
          <w:pgMar w:left="1160" w:top="1413" w:right="419" w:bottom="1440" w:gutter="0" w:footer="0" w:header="0"/>
        </w:sectPr>
      </w:pPr>
    </w:p>
    <w:bookmarkStart w:id="194" w:name="page195"/>
    <w:bookmarkEnd w:id="194"/>
    <w:p>
      <w:pPr>
        <w:spacing w:after="0" w:line="369" w:lineRule="exact"/>
        <w:rPr>
          <w:sz w:val="20"/>
          <w:szCs w:val="20"/>
          <w:color w:val="auto"/>
        </w:rPr>
      </w:pPr>
    </w:p>
    <w:p>
      <w:pPr>
        <w:jc w:val="right"/>
        <w:ind w:right="4459"/>
        <w:spacing w:after="0"/>
        <w:rPr>
          <w:sz w:val="20"/>
          <w:szCs w:val="20"/>
          <w:color w:val="auto"/>
        </w:rPr>
      </w:pPr>
      <w:r>
        <w:rPr>
          <w:rFonts w:ascii="Times New Roman" w:cs="Times New Roman" w:eastAsia="Times New Roman" w:hAnsi="Times New Roman"/>
          <w:sz w:val="18"/>
          <w:szCs w:val="18"/>
          <w:color w:val="auto"/>
        </w:rPr>
        <w:t>36</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4905-3710-6484 v.17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600710</wp:posOffset>
            </wp:positionV>
            <wp:extent cx="7157720" cy="4254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195" w:name="page196"/>
    <w:bookmarkEnd w:id="195"/>
    <w:p>
      <w:pPr>
        <w:ind w:left="1200" w:hanging="470"/>
        <w:spacing w:after="0"/>
        <w:tabs>
          <w:tab w:leader="none" w:pos="1200" w:val="left"/>
        </w:tabs>
        <w:numPr>
          <w:ilvl w:val="0"/>
          <w:numId w:val="106"/>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[Reserved]</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u w:val="single" w:color="auto"/>
          <w:color w:val="auto"/>
        </w:rPr>
      </w:pPr>
    </w:p>
    <w:p>
      <w:pPr>
        <w:ind w:left="-760" w:firstLine="1490"/>
        <w:spacing w:after="0" w:line="269" w:lineRule="auto"/>
        <w:tabs>
          <w:tab w:leader="none" w:pos="1189" w:val="left"/>
        </w:tabs>
        <w:numPr>
          <w:ilvl w:val="0"/>
          <w:numId w:val="106"/>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Notices</w:t>
      </w:r>
      <w:r>
        <w:rPr>
          <w:rFonts w:ascii="Times New Roman" w:cs="Times New Roman" w:eastAsia="Times New Roman" w:hAnsi="Times New Roman"/>
          <w:sz w:val="20"/>
          <w:szCs w:val="20"/>
          <w:color w:val="auto"/>
        </w:rPr>
        <w:t>. Written notice as promptly as practicable (and in any event within five (5) Business Days) after a Responsible Officer of Borrower or any Credit Party shall have obtained knowledge of the occurrence of any of the following:</w:t>
      </w:r>
    </w:p>
    <w:p>
      <w:pPr>
        <w:spacing w:after="0" w:line="159"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(i) Default or Event of Default;</w:t>
      </w:r>
    </w:p>
    <w:p>
      <w:pPr>
        <w:spacing w:after="0" w:line="216" w:lineRule="exact"/>
        <w:rPr>
          <w:sz w:val="20"/>
          <w:szCs w:val="20"/>
          <w:color w:val="auto"/>
        </w:rPr>
      </w:pPr>
    </w:p>
    <w:p>
      <w:pPr>
        <w:jc w:val="both"/>
        <w:ind w:firstLine="1498"/>
        <w:spacing w:after="0" w:line="246" w:lineRule="auto"/>
        <w:rPr>
          <w:sz w:val="20"/>
          <w:szCs w:val="20"/>
          <w:color w:val="auto"/>
        </w:rPr>
      </w:pPr>
      <w:r>
        <w:rPr>
          <w:rFonts w:ascii="Times New Roman" w:cs="Times New Roman" w:eastAsia="Times New Roman" w:hAnsi="Times New Roman"/>
          <w:sz w:val="20"/>
          <w:szCs w:val="20"/>
          <w:color w:val="auto"/>
        </w:rPr>
        <w:t>(ii)ERISA Event, material commitment by a Credit Party or ERISA Affiliate to maintain or contribute to a Plan or a Multiemployer Plan, or establishment by a Credit Party or a Subsidiary thereof of an Employee Benefit Plan that provides material subsidized post-termination medical or welfare benefits (other than in connection with bona fide severance or to comply with COBRA or similar state law) that, either individually or in the aggregate, have resulted in or could reasonably be expected to result in a Material Adverse Change;</w:t>
      </w:r>
    </w:p>
    <w:p>
      <w:pPr>
        <w:spacing w:after="0" w:line="198" w:lineRule="exact"/>
        <w:rPr>
          <w:sz w:val="20"/>
          <w:szCs w:val="20"/>
          <w:color w:val="auto"/>
        </w:rPr>
      </w:pPr>
    </w:p>
    <w:p>
      <w:pPr>
        <w:jc w:val="both"/>
        <w:ind w:firstLine="1498"/>
        <w:spacing w:after="0" w:line="269" w:lineRule="auto"/>
        <w:rPr>
          <w:sz w:val="20"/>
          <w:szCs w:val="20"/>
          <w:color w:val="auto"/>
        </w:rPr>
      </w:pPr>
      <w:r>
        <w:rPr>
          <w:rFonts w:ascii="Times New Roman" w:cs="Times New Roman" w:eastAsia="Times New Roman" w:hAnsi="Times New Roman"/>
          <w:sz w:val="20"/>
          <w:szCs w:val="20"/>
          <w:color w:val="auto"/>
        </w:rPr>
        <w:t>(iii)any events, occurrences or circumstances that, either individually or in the aggregate, have resulted in or could reasonably be expected to result in a Material Adverse Change;</w:t>
      </w:r>
    </w:p>
    <w:p>
      <w:pPr>
        <w:spacing w:after="0" w:line="159" w:lineRule="exact"/>
        <w:rPr>
          <w:sz w:val="20"/>
          <w:szCs w:val="20"/>
          <w:color w:val="auto"/>
        </w:rPr>
      </w:pPr>
    </w:p>
    <w:p>
      <w:pPr>
        <w:jc w:val="both"/>
        <w:ind w:firstLine="1498"/>
        <w:spacing w:after="0" w:line="269" w:lineRule="auto"/>
        <w:rPr>
          <w:sz w:val="20"/>
          <w:szCs w:val="20"/>
          <w:color w:val="auto"/>
        </w:rPr>
      </w:pPr>
      <w:r>
        <w:rPr>
          <w:rFonts w:ascii="Times New Roman" w:cs="Times New Roman" w:eastAsia="Times New Roman" w:hAnsi="Times New Roman"/>
          <w:sz w:val="20"/>
          <w:szCs w:val="20"/>
          <w:color w:val="auto"/>
        </w:rPr>
        <w:t>(iv)material breach or non-performance of, or any default under, or any termination of, any Material Contract or the receipt by Borrower any of its Subsidiaries of any notice asserting any of the foregoing;</w:t>
      </w:r>
    </w:p>
    <w:p>
      <w:pPr>
        <w:spacing w:after="0" w:line="159" w:lineRule="exact"/>
        <w:rPr>
          <w:sz w:val="20"/>
          <w:szCs w:val="20"/>
          <w:color w:val="auto"/>
        </w:rPr>
      </w:pPr>
    </w:p>
    <w:p>
      <w:pPr>
        <w:jc w:val="both"/>
        <w:ind w:firstLine="1498"/>
        <w:spacing w:after="0" w:line="249" w:lineRule="auto"/>
        <w:rPr>
          <w:sz w:val="20"/>
          <w:szCs w:val="20"/>
          <w:color w:val="auto"/>
        </w:rPr>
      </w:pPr>
      <w:r>
        <w:rPr>
          <w:rFonts w:ascii="Times New Roman" w:cs="Times New Roman" w:eastAsia="Times New Roman" w:hAnsi="Times New Roman"/>
          <w:sz w:val="20"/>
          <w:szCs w:val="20"/>
          <w:color w:val="auto"/>
        </w:rPr>
        <w:t>(v)(x) default or event of default under or in respect of any Junior Indebtedness, specifying the nature and extent thereof and the action (if any) which is proposed to be taken with respect thereto, and (y) material amendments, waivers, consents, supplements and forbearance agreements under or in respect of any Junior Indebtedness, and upon execution thereof, copies of such amendments, waivers, consents, supplements and forbearance agreements;</w:t>
      </w:r>
    </w:p>
    <w:p>
      <w:pPr>
        <w:spacing w:after="0" w:line="180" w:lineRule="exact"/>
        <w:rPr>
          <w:sz w:val="20"/>
          <w:szCs w:val="20"/>
          <w:color w:val="auto"/>
        </w:rPr>
      </w:pPr>
    </w:p>
    <w:p>
      <w:pPr>
        <w:jc w:val="both"/>
        <w:ind w:firstLine="1498"/>
        <w:spacing w:after="0" w:line="249" w:lineRule="auto"/>
        <w:rPr>
          <w:sz w:val="20"/>
          <w:szCs w:val="20"/>
          <w:color w:val="auto"/>
        </w:rPr>
      </w:pPr>
      <w:r>
        <w:rPr>
          <w:rFonts w:ascii="Times New Roman" w:cs="Times New Roman" w:eastAsia="Times New Roman" w:hAnsi="Times New Roman"/>
          <w:sz w:val="20"/>
          <w:szCs w:val="20"/>
          <w:color w:val="auto"/>
        </w:rPr>
        <w:t>(vi)product recalls, safety alerts, corrections, withdrawals, marketing suspensions, removals or the like conducted, to be undertaken or issued by a Credit Party, any Subsidiary thereof or their respective suppliers whether or not at the request, demand or order of any Governmental Authority or otherwise with respect to any Product, or any basis for undertaking or issuing any such action or item;</w:t>
      </w:r>
    </w:p>
    <w:p>
      <w:pPr>
        <w:spacing w:after="0" w:line="183" w:lineRule="exact"/>
        <w:rPr>
          <w:sz w:val="20"/>
          <w:szCs w:val="20"/>
          <w:color w:val="auto"/>
        </w:rPr>
      </w:pPr>
    </w:p>
    <w:p>
      <w:pPr>
        <w:jc w:val="both"/>
        <w:ind w:firstLine="1498"/>
        <w:spacing w:after="0" w:line="259" w:lineRule="auto"/>
        <w:rPr>
          <w:sz w:val="20"/>
          <w:szCs w:val="20"/>
          <w:color w:val="auto"/>
        </w:rPr>
      </w:pPr>
      <w:r>
        <w:rPr>
          <w:rFonts w:ascii="Times New Roman" w:cs="Times New Roman" w:eastAsia="Times New Roman" w:hAnsi="Times New Roman"/>
          <w:sz w:val="20"/>
          <w:szCs w:val="20"/>
          <w:color w:val="auto"/>
        </w:rPr>
        <w:t>(vii)receipt of written claim by any Person that the conduct of any Credit Party’s or a Subsidiary’s business (including the development, manufacture, use, sale or other commercialization of any Product) infringes, misappropriates or otherwise violates the Intellectual Property of such Person;</w:t>
      </w:r>
    </w:p>
    <w:p>
      <w:pPr>
        <w:spacing w:after="0" w:line="170" w:lineRule="exact"/>
        <w:rPr>
          <w:sz w:val="20"/>
          <w:szCs w:val="20"/>
          <w:color w:val="auto"/>
        </w:rPr>
      </w:pPr>
    </w:p>
    <w:p>
      <w:pPr>
        <w:jc w:val="both"/>
        <w:ind w:firstLine="1498"/>
        <w:spacing w:after="0" w:line="269" w:lineRule="auto"/>
        <w:rPr>
          <w:sz w:val="20"/>
          <w:szCs w:val="20"/>
          <w:color w:val="auto"/>
        </w:rPr>
      </w:pPr>
      <w:r>
        <w:rPr>
          <w:rFonts w:ascii="Times New Roman" w:cs="Times New Roman" w:eastAsia="Times New Roman" w:hAnsi="Times New Roman"/>
          <w:sz w:val="20"/>
          <w:szCs w:val="20"/>
          <w:color w:val="auto"/>
        </w:rPr>
        <w:t>(viii)receipt of written claim alleging, or any Credit Party otherwise obtaining Knowledge of, any infringement, misappropriation or other violation by any Person of any Material IP of a Credit Party or Subsidiary thereof;</w:t>
      </w:r>
    </w:p>
    <w:p>
      <w:pPr>
        <w:spacing w:after="0" w:line="159" w:lineRule="exact"/>
        <w:rPr>
          <w:sz w:val="20"/>
          <w:szCs w:val="20"/>
          <w:color w:val="auto"/>
        </w:rPr>
      </w:pPr>
    </w:p>
    <w:p>
      <w:pPr>
        <w:jc w:val="both"/>
        <w:ind w:firstLine="1498"/>
        <w:spacing w:after="0" w:line="249" w:lineRule="auto"/>
        <w:rPr>
          <w:sz w:val="20"/>
          <w:szCs w:val="20"/>
          <w:color w:val="auto"/>
        </w:rPr>
      </w:pPr>
      <w:r>
        <w:rPr>
          <w:rFonts w:ascii="Times New Roman" w:cs="Times New Roman" w:eastAsia="Times New Roman" w:hAnsi="Times New Roman"/>
          <w:sz w:val="20"/>
          <w:szCs w:val="20"/>
          <w:color w:val="auto"/>
        </w:rPr>
        <w:t>(ix)any settlement agreement or similar agreement, including any agreement setting forth any license, covenant not to sue or coexistence agreement, entered into by a Credit Party or any of its Subsidiaries in connection with any claim of actual or alleged infringement, misappropriation or other violation of any Material IP by or against such Credit Party or its subsidiaries;</w:t>
      </w:r>
    </w:p>
    <w:p>
      <w:pPr>
        <w:spacing w:after="0" w:line="193" w:lineRule="exact"/>
        <w:rPr>
          <w:sz w:val="20"/>
          <w:szCs w:val="20"/>
          <w:color w:val="auto"/>
        </w:rPr>
      </w:pPr>
    </w:p>
    <w:p>
      <w:pPr>
        <w:jc w:val="both"/>
        <w:ind w:firstLine="1498"/>
        <w:spacing w:after="0" w:line="249" w:lineRule="auto"/>
        <w:rPr>
          <w:sz w:val="20"/>
          <w:szCs w:val="20"/>
          <w:color w:val="auto"/>
        </w:rPr>
      </w:pPr>
      <w:r>
        <w:rPr>
          <w:rFonts w:ascii="Times New Roman" w:cs="Times New Roman" w:eastAsia="Times New Roman" w:hAnsi="Times New Roman"/>
          <w:sz w:val="20"/>
          <w:szCs w:val="20"/>
          <w:color w:val="auto"/>
        </w:rPr>
        <w:t>(x)(i) any written notice received by Borrower from any Governmental Authority alleging any potential or actual violations of any Health Care Law by Borrower, (ii) any written notice that the FDA or other Governmental Authority is limiting, suspending or revoking any approvals or market authorizations for any Product, (iii) any written notice that Borrower has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-540385</wp:posOffset>
            </wp:positionH>
            <wp:positionV relativeFrom="paragraph">
              <wp:posOffset>595630</wp:posOffset>
            </wp:positionV>
            <wp:extent cx="7157720" cy="4254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320"/>
          </w:cols>
          <w:pgMar w:left="1160" w:top="1426" w:right="419" w:bottom="1440" w:gutter="0" w:footer="0" w:header="0"/>
        </w:sectPr>
      </w:pPr>
    </w:p>
    <w:bookmarkStart w:id="196" w:name="page197"/>
    <w:bookmarkEnd w:id="196"/>
    <w:p>
      <w:pPr>
        <w:jc w:val="right"/>
        <w:ind w:right="5239"/>
        <w:spacing w:after="0"/>
        <w:rPr>
          <w:sz w:val="20"/>
          <w:szCs w:val="20"/>
          <w:color w:val="auto"/>
        </w:rPr>
      </w:pPr>
      <w:r>
        <w:rPr>
          <w:rFonts w:ascii="Times New Roman" w:cs="Times New Roman" w:eastAsia="Times New Roman" w:hAnsi="Times New Roman"/>
          <w:sz w:val="18"/>
          <w:szCs w:val="18"/>
          <w:color w:val="auto"/>
        </w:rPr>
        <w:t>37</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4905-3710-6484 v.17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600710</wp:posOffset>
            </wp:positionV>
            <wp:extent cx="7157720" cy="4254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59"/>
          </w:cols>
          <w:pgMar w:left="400" w:top="1417" w:right="1440" w:bottom="1440" w:gutter="0" w:footer="0" w:header="0"/>
        </w:sectPr>
      </w:pPr>
    </w:p>
    <w:bookmarkStart w:id="197" w:name="page198"/>
    <w:bookmarkEnd w:id="197"/>
    <w:p>
      <w:pPr>
        <w:jc w:val="both"/>
        <w:ind w:left="840"/>
        <w:spacing w:after="0" w:line="244" w:lineRule="auto"/>
        <w:rPr>
          <w:sz w:val="20"/>
          <w:szCs w:val="20"/>
          <w:color w:val="auto"/>
        </w:rPr>
      </w:pPr>
      <w:r>
        <w:rPr>
          <w:rFonts w:ascii="Times New Roman" w:cs="Times New Roman" w:eastAsia="Times New Roman" w:hAnsi="Times New Roman"/>
          <w:sz w:val="20"/>
          <w:szCs w:val="20"/>
          <w:color w:val="auto"/>
        </w:rPr>
        <w:t>become subject to any administrative or regulatory enforcement action, proceeding or investigation issued by the FDA or other Governmental Authority, (iv) notice of the exclusion or debarment from any governmental healthcare program or debarment or disqualification by FDA of Borrower, (v) any written notice that FDA or other Governmental Authority is changing the market classification or labeling under any such approvals or market authorizations for any Product, or (vi) the receipt of notice, or occurrence of any decision, to conduct a voluntary or mandatory recall, withdrawal, removal, suspension of manufacturing or marketing, or discontinuation of any Product, in each case of clauses (i) through (vi), to the extent such notice would reasonably be expected to result in material and adverse consequences to Borrower and its Subsidiaries, taken as a whole;</w:t>
      </w:r>
    </w:p>
    <w:p>
      <w:pPr>
        <w:spacing w:after="0" w:line="186" w:lineRule="exact"/>
        <w:rPr>
          <w:sz w:val="20"/>
          <w:szCs w:val="20"/>
          <w:color w:val="auto"/>
        </w:rPr>
      </w:pPr>
    </w:p>
    <w:p>
      <w:pPr>
        <w:jc w:val="both"/>
        <w:ind w:left="840" w:firstLine="1498"/>
        <w:spacing w:after="0" w:line="269" w:lineRule="auto"/>
        <w:rPr>
          <w:sz w:val="20"/>
          <w:szCs w:val="20"/>
          <w:color w:val="auto"/>
        </w:rPr>
      </w:pPr>
      <w:r>
        <w:rPr>
          <w:rFonts w:ascii="Times New Roman" w:cs="Times New Roman" w:eastAsia="Times New Roman" w:hAnsi="Times New Roman"/>
          <w:sz w:val="20"/>
          <w:szCs w:val="20"/>
          <w:color w:val="auto"/>
        </w:rPr>
        <w:t>(xi)the occurrence of any event or series of related events with respect to the property or assets of the Borrower or any of its Subsidiaries resulting in losses, damages or expenses aggregating $10,000,000 or more;</w:t>
      </w:r>
    </w:p>
    <w:p>
      <w:pPr>
        <w:spacing w:after="0" w:line="146" w:lineRule="exact"/>
        <w:rPr>
          <w:sz w:val="20"/>
          <w:szCs w:val="20"/>
          <w:color w:val="auto"/>
        </w:rPr>
      </w:pPr>
    </w:p>
    <w:p>
      <w:pPr>
        <w:ind w:left="2320"/>
        <w:spacing w:after="0"/>
        <w:rPr>
          <w:sz w:val="20"/>
          <w:szCs w:val="20"/>
          <w:color w:val="auto"/>
        </w:rPr>
      </w:pPr>
      <w:r>
        <w:rPr>
          <w:rFonts w:ascii="Times New Roman" w:cs="Times New Roman" w:eastAsia="Times New Roman" w:hAnsi="Times New Roman"/>
          <w:sz w:val="20"/>
          <w:szCs w:val="20"/>
          <w:color w:val="auto"/>
        </w:rPr>
        <w:t>(xii)the entering into of (A) any new Material Contract by any Credit Party (together with a copy thereof) or</w:t>
      </w:r>
    </w:p>
    <w:p>
      <w:pPr>
        <w:spacing w:after="0" w:line="22" w:lineRule="exact"/>
        <w:rPr>
          <w:sz w:val="20"/>
          <w:szCs w:val="20"/>
          <w:color w:val="auto"/>
        </w:rPr>
      </w:pPr>
    </w:p>
    <w:p>
      <w:pPr>
        <w:jc w:val="both"/>
        <w:ind w:left="840" w:hanging="9"/>
        <w:spacing w:after="0" w:line="242" w:lineRule="auto"/>
        <w:tabs>
          <w:tab w:leader="none" w:pos="1159" w:val="left"/>
        </w:tabs>
        <w:numPr>
          <w:ilvl w:val="0"/>
          <w:numId w:val="1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material amendment to a Material Contract that would be adverse in any material respect to the Lenders (together a copy thereof) (in both cases, the provision of copies thereof being subject to any applicable requirements of confidentiality imposed by Requirements of Law); and</w:t>
      </w:r>
    </w:p>
    <w:p>
      <w:pPr>
        <w:spacing w:after="0" w:line="187" w:lineRule="exact"/>
        <w:rPr>
          <w:sz w:val="20"/>
          <w:szCs w:val="20"/>
          <w:color w:val="auto"/>
        </w:rPr>
      </w:pPr>
    </w:p>
    <w:p>
      <w:pPr>
        <w:jc w:val="both"/>
        <w:ind w:left="840" w:firstLine="1498"/>
        <w:spacing w:after="0" w:line="269" w:lineRule="auto"/>
        <w:rPr>
          <w:sz w:val="20"/>
          <w:szCs w:val="20"/>
          <w:color w:val="auto"/>
        </w:rPr>
      </w:pPr>
      <w:r>
        <w:rPr>
          <w:rFonts w:ascii="Times New Roman" w:cs="Times New Roman" w:eastAsia="Times New Roman" w:hAnsi="Times New Roman"/>
          <w:sz w:val="20"/>
          <w:szCs w:val="20"/>
          <w:color w:val="auto"/>
        </w:rPr>
        <w:t>(xiii)any material change in accounting policies or financial reporting practices by the Borrower or any of its Subsidiaries (other than as required under GAAP);</w:t>
      </w:r>
    </w:p>
    <w:p>
      <w:pPr>
        <w:spacing w:after="0" w:line="159" w:lineRule="exact"/>
        <w:rPr>
          <w:sz w:val="20"/>
          <w:szCs w:val="20"/>
          <w:color w:val="auto"/>
        </w:rPr>
      </w:pPr>
    </w:p>
    <w:p>
      <w:pPr>
        <w:jc w:val="both"/>
        <w:ind w:left="840" w:firstLine="1498"/>
        <w:spacing w:after="0" w:line="254" w:lineRule="auto"/>
        <w:rPr>
          <w:sz w:val="20"/>
          <w:szCs w:val="20"/>
          <w:color w:val="auto"/>
        </w:rPr>
      </w:pPr>
      <w:r>
        <w:rPr>
          <w:rFonts w:ascii="Times New Roman" w:cs="Times New Roman" w:eastAsia="Times New Roman" w:hAnsi="Times New Roman"/>
          <w:sz w:val="20"/>
          <w:szCs w:val="20"/>
          <w:color w:val="auto"/>
        </w:rPr>
        <w:t>(xiv)any labor controversy resulting in or threatening to result in any strike, work stoppage, boycott, shutdown or other material labor disruption against or involving a Credit Party that, either individually or in the aggregate, would reasonably be expected to result in a Material Adverse Change; and</w:t>
      </w:r>
    </w:p>
    <w:p>
      <w:pPr>
        <w:spacing w:after="0" w:line="174" w:lineRule="exact"/>
        <w:rPr>
          <w:sz w:val="20"/>
          <w:szCs w:val="20"/>
          <w:color w:val="auto"/>
        </w:rPr>
      </w:pPr>
    </w:p>
    <w:p>
      <w:pPr>
        <w:jc w:val="both"/>
        <w:ind w:left="840" w:firstLine="1498"/>
        <w:spacing w:after="0" w:line="254" w:lineRule="auto"/>
        <w:rPr>
          <w:sz w:val="20"/>
          <w:szCs w:val="20"/>
          <w:color w:val="auto"/>
        </w:rPr>
      </w:pPr>
      <w:r>
        <w:rPr>
          <w:rFonts w:ascii="Times New Roman" w:cs="Times New Roman" w:eastAsia="Times New Roman" w:hAnsi="Times New Roman"/>
          <w:sz w:val="20"/>
          <w:szCs w:val="20"/>
          <w:color w:val="auto"/>
        </w:rPr>
        <w:t>(xv)any change to any Credit Party’s ownership of any Collateral Account that is subject to a Control Agreement, by delivering to the Agent and the Lenders a notice setting forth a complete and correct list of all such accounts as of the date of such change.</w:t>
      </w:r>
    </w:p>
    <w:p>
      <w:pPr>
        <w:spacing w:after="0" w:line="161" w:lineRule="exact"/>
        <w:rPr>
          <w:sz w:val="20"/>
          <w:szCs w:val="20"/>
          <w:color w:val="auto"/>
        </w:rPr>
      </w:pPr>
    </w:p>
    <w:p>
      <w:pPr>
        <w:jc w:val="both"/>
        <w:ind w:firstLine="1505"/>
        <w:spacing w:after="0" w:line="243" w:lineRule="auto"/>
        <w:tabs>
          <w:tab w:leader="none" w:pos="1907" w:val="left"/>
        </w:tabs>
        <w:numPr>
          <w:ilvl w:val="0"/>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Legal Action Notice</w:t>
      </w:r>
      <w:r>
        <w:rPr>
          <w:rFonts w:ascii="Times New Roman" w:cs="Times New Roman" w:eastAsia="Times New Roman" w:hAnsi="Times New Roman"/>
          <w:sz w:val="20"/>
          <w:szCs w:val="20"/>
          <w:color w:val="auto"/>
        </w:rPr>
        <w:t xml:space="preserve">. Prompt written notice (and in any event within five (5) Business Days) of any legal action, litigation, investigation or proceeding pending or threatened in writing against any Credit Party or any Subsidiary (i) that could reasonably be expected to result in damages or costs to such Credit Party or such Subsidiary in an amount in excess of $10,000,000 or (ii) which alleges potential violations of the Health Care Laws, the FDA Laws or any applicable statutes, rules, regulations, standards, guidelines, policies and order administered or issued by any foreign Governmental Authority, which, in the case of this clause (ii), individually or in the aggregate, could reasonably be expected to result in a Material Adverse Change; and in each case, provide such additional information as the Blackstone Representative may reasonably request in relation thereto;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Credit Parties shall not be obligated to disclose any information that is reasonably subject to the assertion of attorney-client privilege or attorney work-product.</w:t>
      </w:r>
    </w:p>
    <w:p>
      <w:pPr>
        <w:spacing w:after="0" w:line="172" w:lineRule="exact"/>
        <w:rPr>
          <w:sz w:val="20"/>
          <w:szCs w:val="20"/>
          <w:color w:val="auto"/>
        </w:rPr>
      </w:pPr>
    </w:p>
    <w:p>
      <w:pPr>
        <w:jc w:val="both"/>
        <w:ind w:firstLine="824"/>
        <w:spacing w:after="0" w:line="245" w:lineRule="auto"/>
        <w:rPr>
          <w:sz w:val="20"/>
          <w:szCs w:val="20"/>
          <w:color w:val="auto"/>
        </w:rPr>
      </w:pPr>
      <w:r>
        <w:rPr>
          <w:rFonts w:ascii="Times New Roman" w:cs="Times New Roman" w:eastAsia="Times New Roman" w:hAnsi="Times New Roman"/>
          <w:sz w:val="20"/>
          <w:szCs w:val="20"/>
          <w:b w:val="1"/>
          <w:bCs w:val="1"/>
          <w:color w:val="auto"/>
        </w:rPr>
        <w:t>5.3. Taxes</w:t>
      </w:r>
      <w:r>
        <w:rPr>
          <w:rFonts w:ascii="Times New Roman" w:cs="Times New Roman" w:eastAsia="Times New Roman" w:hAnsi="Times New Roman"/>
          <w:sz w:val="20"/>
          <w:szCs w:val="20"/>
          <w:color w:val="auto"/>
        </w:rPr>
        <w:t>. Timely file all foreign, federal and state income and other material required Tax returns and reports or extensions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therefor and timely pay all material foreign, federal, state and local Taxes, assessments, deposits and contributions imposed upon it or any of its properties or assets, or in respect of any of its income, businesses or franchises before any penalty or fine accrue thereon;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no such Tax or any claim for Taxes that have become due and payable and have or may become a Lien on any Collateral shall be required to be paid if (a) it is being contested in good faith by appropriate proceedings instituted within applicable time limits and diligently conducted, so long as adequate reserves with respect thereto have been maintained in accordance with GAAP, and (b) solely in the case of a Tax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598170</wp:posOffset>
            </wp:positionV>
            <wp:extent cx="7157720" cy="4254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468630</wp:posOffset>
            </wp:positionH>
            <wp:positionV relativeFrom="paragraph">
              <wp:posOffset>-468630</wp:posOffset>
            </wp:positionV>
            <wp:extent cx="31115" cy="889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5">
                      <a:extLst>
                        <a:ext uri="{28A0092B-C50C-407E-A947-70E740481C1C}"/>
                      </a:extLst>
                    </a:blip>
                    <a:srcRect/>
                    <a:stretch>
                      <a:fillRect/>
                    </a:stretch>
                  </pic:blipFill>
                  <pic:spPr bwMode="auto">
                    <a:xfrm>
                      <a:off x="0" y="0"/>
                      <a:ext cx="31115" cy="8890"/>
                    </a:xfrm>
                    <a:prstGeom prst="rect">
                      <a:avLst/>
                    </a:prstGeom>
                    <a:noFill/>
                  </pic:spPr>
                </pic:pic>
              </a:graphicData>
            </a:graphic>
          </wp:anchor>
        </w:drawing>
      </w:r>
    </w:p>
    <w:p>
      <w:pPr>
        <w:sectPr>
          <w:pgSz w:w="11900" w:h="16838" w:orient="portrait"/>
          <w:cols w:equalWidth="0" w:num="1">
            <w:col w:w="11160"/>
          </w:cols>
          <w:pgMar w:left="320" w:top="1413" w:right="419" w:bottom="1440" w:gutter="0" w:footer="0" w:header="0"/>
        </w:sectPr>
      </w:pPr>
    </w:p>
    <w:bookmarkStart w:id="198" w:name="page199"/>
    <w:bookmarkEnd w:id="198"/>
    <w:p>
      <w:pPr>
        <w:spacing w:after="0" w:line="167" w:lineRule="exact"/>
        <w:rPr>
          <w:sz w:val="20"/>
          <w:szCs w:val="20"/>
          <w:color w:val="auto"/>
        </w:rPr>
      </w:pPr>
    </w:p>
    <w:p>
      <w:pPr>
        <w:jc w:val="right"/>
        <w:ind w:right="4459"/>
        <w:spacing w:after="0"/>
        <w:rPr>
          <w:sz w:val="20"/>
          <w:szCs w:val="20"/>
          <w:color w:val="auto"/>
        </w:rPr>
      </w:pPr>
      <w:r>
        <w:rPr>
          <w:rFonts w:ascii="Times New Roman" w:cs="Times New Roman" w:eastAsia="Times New Roman" w:hAnsi="Times New Roman"/>
          <w:sz w:val="18"/>
          <w:szCs w:val="18"/>
          <w:color w:val="auto"/>
        </w:rPr>
        <w:t>38</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4905-3710-6484 v.17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600710</wp:posOffset>
            </wp:positionV>
            <wp:extent cx="7157720" cy="4254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199" w:name="page200"/>
    <w:bookmarkEnd w:id="199"/>
    <w:p>
      <w:pPr>
        <w:jc w:val="both"/>
        <w:spacing w:after="0" w:line="254" w:lineRule="auto"/>
        <w:rPr>
          <w:sz w:val="20"/>
          <w:szCs w:val="20"/>
          <w:color w:val="auto"/>
        </w:rPr>
      </w:pPr>
      <w:r>
        <w:rPr>
          <w:rFonts w:ascii="Times New Roman" w:cs="Times New Roman" w:eastAsia="Times New Roman" w:hAnsi="Times New Roman"/>
          <w:sz w:val="20"/>
          <w:szCs w:val="20"/>
          <w:color w:val="auto"/>
        </w:rPr>
        <w:t>claim that has or may become a Lien against any Collateral, such contest proceedings conclusively operate to stay the sale of any portion of any Collateral to satisfy such Tax or claim. No Credit Party shall, nor shall it permit any of its Subsidiaries to, file or consent to the filing of any consolidated income Tax return with any Person (other than Borrower or any of its Subsidiaries).</w:t>
      </w:r>
    </w:p>
    <w:p>
      <w:pPr>
        <w:spacing w:after="0" w:line="17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0"/>
          <w:szCs w:val="20"/>
          <w:b w:val="1"/>
          <w:bCs w:val="1"/>
          <w:color w:val="auto"/>
        </w:rPr>
        <w:t>5.4. Insurance</w:t>
      </w:r>
      <w:r>
        <w:rPr>
          <w:rFonts w:ascii="Times New Roman" w:cs="Times New Roman" w:eastAsia="Times New Roman" w:hAnsi="Times New Roman"/>
          <w:sz w:val="20"/>
          <w:szCs w:val="20"/>
          <w:color w:val="auto"/>
        </w:rPr>
        <w:t>. Maintain, with financially sound and reputable insurance companies,</w:t>
      </w:r>
    </w:p>
    <w:p>
      <w:pPr>
        <w:spacing w:after="0" w:line="26"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insurance with respect to its properties and business against loss or damage of the kinds customarily insured against by Persons of comparable size engaged in the same or similar business, of such types and in such amounts as are customarily carried under similar circumstances by such other Persons. Any products liability or general liability insurance regarding Collateral shall (i) name Agent as additional insured or lenders’ loss payee, as applicable, and (ii) provide that no cancellation of the policies shall be made without at least ten</w:t>
      </w:r>
    </w:p>
    <w:p>
      <w:pPr>
        <w:spacing w:after="0" w:line="2" w:lineRule="exact"/>
        <w:rPr>
          <w:sz w:val="20"/>
          <w:szCs w:val="20"/>
          <w:color w:val="auto"/>
        </w:rPr>
      </w:pPr>
    </w:p>
    <w:p>
      <w:pPr>
        <w:jc w:val="both"/>
        <w:ind w:firstLine="8"/>
        <w:spacing w:after="0" w:line="242" w:lineRule="auto"/>
        <w:tabs>
          <w:tab w:leader="none" w:pos="414" w:val="left"/>
        </w:tabs>
        <w:numPr>
          <w:ilvl w:val="0"/>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days prior written notice to the Agent. The Borrower shall deliver to the Agent insurance certificates certified by the Borrower’s insurance brokers, and appropriate endorsements showing the Agent as the lenders’ loss payee and additional insured as required above, as to the existence and effectiveness of each such policy of insurance.</w:t>
      </w:r>
    </w:p>
    <w:p>
      <w:pPr>
        <w:spacing w:after="0" w:line="183"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0"/>
          <w:szCs w:val="20"/>
          <w:b w:val="1"/>
          <w:bCs w:val="1"/>
          <w:color w:val="auto"/>
        </w:rPr>
        <w:t>5.5. Operating Accounts</w:t>
      </w:r>
      <w:r>
        <w:rPr>
          <w:rFonts w:ascii="Times New Roman" w:cs="Times New Roman" w:eastAsia="Times New Roman" w:hAnsi="Times New Roman"/>
          <w:sz w:val="20"/>
          <w:szCs w:val="20"/>
          <w:color w:val="auto"/>
        </w:rPr>
        <w:t>. In the case of any Credit Party, for each Collateral Account that</w:t>
      </w:r>
    </w:p>
    <w:p>
      <w:pPr>
        <w:spacing w:after="0" w:line="26"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color w:val="auto"/>
        </w:rPr>
        <w:t xml:space="preserve">such Credit Party at any time maintains, and contemporaneously with the establishment of any new Collateral Account by such Credit Party, subject such account to a Control Agreement (or, in the case of any Collateral Account maintained outside of the United States, take equivalent actions to establish and perfect (if applicable) the Agent’s Lien) that is reasonably acceptable to the Agent and the Blackstone Representative, in order to perfect the Agent’s Lien in favor and for the benefit of Agent and the other Secured Parties. Notwithstanding the foregoing, the Credit Parties shall have until the time specified in </w:t>
      </w:r>
      <w:r>
        <w:rPr>
          <w:rFonts w:ascii="Times New Roman" w:cs="Times New Roman" w:eastAsia="Times New Roman" w:hAnsi="Times New Roman"/>
          <w:sz w:val="20"/>
          <w:szCs w:val="20"/>
          <w:u w:val="single" w:color="auto"/>
          <w:color w:val="auto"/>
        </w:rPr>
        <w:t>Section 5.17</w:t>
      </w:r>
      <w:r>
        <w:rPr>
          <w:rFonts w:ascii="Times New Roman" w:cs="Times New Roman" w:eastAsia="Times New Roman" w:hAnsi="Times New Roman"/>
          <w:sz w:val="20"/>
          <w:szCs w:val="20"/>
          <w:color w:val="auto"/>
        </w:rPr>
        <w:t xml:space="preserve"> to comply with the provisions of this Section 5.5 with respect to Collateral Accounts in existence on the Closing Date.</w:t>
      </w:r>
    </w:p>
    <w:p>
      <w:pPr>
        <w:spacing w:after="0" w:line="18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0"/>
          <w:szCs w:val="20"/>
          <w:b w:val="1"/>
          <w:bCs w:val="1"/>
          <w:color w:val="auto"/>
        </w:rPr>
        <w:t>5.6. Compliance with Laws</w:t>
      </w:r>
      <w:r>
        <w:rPr>
          <w:rFonts w:ascii="Times New Roman" w:cs="Times New Roman" w:eastAsia="Times New Roman" w:hAnsi="Times New Roman"/>
          <w:sz w:val="20"/>
          <w:szCs w:val="20"/>
          <w:color w:val="auto"/>
        </w:rPr>
        <w:t>. Comply with the Requirements of Law and all orders, writs,</w:t>
      </w:r>
    </w:p>
    <w:p>
      <w:pPr>
        <w:spacing w:after="0" w:line="26"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color w:val="auto"/>
        </w:rPr>
        <w:t xml:space="preserve">injunctions, decrees and judgments applicable to it or to its business or its assets or properties (including Environmental Laws, ERISA, the IRC (including requirements for intended tax treatment), Health Care Laws and the Federal Fair Labor Standards Act), except if the failure to comply therewith could not, individually or together with any other such failures, reasonably be expected to result in a Material Adverse Change;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with respect to Requirements of Laws and all orders, writs, injunctions, decrees and judgments with respect to Anti-Terrorism Laws, Anti-Money Laundering Laws, Sanctions, OFAC, FCPA, and similar Laws, the Credit Parties and each of their Subsidiaries shall comply in all material respects.</w:t>
      </w:r>
    </w:p>
    <w:p>
      <w:pPr>
        <w:spacing w:after="0" w:line="18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0"/>
          <w:szCs w:val="20"/>
          <w:b w:val="1"/>
          <w:bCs w:val="1"/>
          <w:color w:val="auto"/>
        </w:rPr>
        <w:t>5.7. Protection of Intellectual Property Rights</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jc w:val="both"/>
        <w:ind w:firstLine="1505"/>
        <w:spacing w:after="0" w:line="242" w:lineRule="auto"/>
        <w:tabs>
          <w:tab w:leader="none" w:pos="1893" w:val="left"/>
        </w:tabs>
        <w:numPr>
          <w:ilvl w:val="0"/>
          <w:numId w:val="1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Except where the failure to do so could not reasonably be expected to materially interfere with the Credit Parties’ ability to conduct their business as conducted on the Closing Date or result in any material loss of rights relating to any Product (including Patent exclusivity therefor), (i) file, prosecute, protect, defend and maintain the validity and enforceability of any Product IP; (ii) maintain the confidential nature of any material trade secrets and trade secret rights used in any research, development, manufacture, production, use, commercialization, marketing, importing, storage, transport, offer for sale, distribution or sale of any Product in the Territory; and (iii) not allow any Product IP to be abandoned, forfeited or dedicated to the public or any Material Contract to be terminated by Borrower or any of its Subsidiaries, as applicable, without the Blackstone Representative’s prior written consent (such consent not to be unreasonably withheld or delayed), in the case of clauses (i) and (ii), other than as expressly permitted pursuant to clause (j) of the definition of Permitted Transfer;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with respect to any such Product IP that is not owned by Borrower or any of its Subsidiaries, the obligations in clauses (i) and (iii) above shall apply only to the extent Borrower or any of its Subsidiaries have the right to take such actions or to cause any licensee or other third party to take such actions pursuant to applicable agreements or contractual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601980</wp:posOffset>
            </wp:positionV>
            <wp:extent cx="7157720" cy="4254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6" w:right="339" w:bottom="1440" w:gutter="0" w:footer="0" w:header="0"/>
        </w:sectPr>
      </w:pPr>
    </w:p>
    <w:bookmarkStart w:id="200" w:name="page201"/>
    <w:bookmarkEnd w:id="200"/>
    <w:p>
      <w:pPr>
        <w:spacing w:after="0" w:line="140"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39</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4905-3710-6484 v.17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600710</wp:posOffset>
            </wp:positionV>
            <wp:extent cx="7157720" cy="4254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201" w:name="page202"/>
    <w:bookmarkEnd w:id="201"/>
    <w:p>
      <w:pPr>
        <w:jc w:val="both"/>
        <w:ind w:left="80" w:firstLine="1500"/>
        <w:spacing w:after="0" w:line="241" w:lineRule="auto"/>
        <w:tabs>
          <w:tab w:leader="none" w:pos="2042" w:val="left"/>
        </w:tabs>
        <w:numPr>
          <w:ilvl w:val="0"/>
          <w:numId w:val="1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Except as Borrower may otherwise determine in its reasonable business judgment, and where the failure to do so could not reasonably be expected to materially interfere with the Credit Parties’ ability to conduct their business as conducted on the Closing Date or result in any material loss of rights relating to any Product (including Patent exclusivity therefor), at its (or its Subsidiaries’, as applicable) sole expense, either directly or indirectly, with respect to any licensee or licensor under the terms of any Credit Party’s (or any of its Subsidiary’s) agreement with the respective licensee or licensor, as applicable, to take any and all actions (including taking legal action to specifically enforce the applicable terms of any license agreement) and prepare, execute, deliver and file agreements, documents or instruments which are necessary or desirable to (A) file, prosecute and maintain any Product IP and (B) diligently defend or assert any Product IP against material infringement, misappropriation, violation or interference by any other Persons and, in the case of Copyrights, Trademarks and Patents within any Product IP, against any claims of invalidity or unenforceability (including by bringing any legal action for infringement, dilution, violation or defending any counterclaim of invalidity or action of a non-Affiliate third party for declaratory judgment of non-infringement or non-interference); and (ii) use commercially reasonable efforts to cause any licensee or licensor of any Product IP not to, and such Credit Party shall not, disclaim or abandon, or fail to take any action necessary or desirable to prevent the disclaimer or abandonment of Product IP.</w:t>
      </w:r>
    </w:p>
    <w:p>
      <w:pPr>
        <w:spacing w:after="0" w:line="197" w:lineRule="exact"/>
        <w:rPr>
          <w:rFonts w:ascii="Times New Roman" w:cs="Times New Roman" w:eastAsia="Times New Roman" w:hAnsi="Times New Roman"/>
          <w:sz w:val="20"/>
          <w:szCs w:val="20"/>
          <w:color w:val="auto"/>
        </w:rPr>
      </w:pPr>
    </w:p>
    <w:p>
      <w:pPr>
        <w:jc w:val="both"/>
        <w:ind w:left="80" w:firstLine="1500"/>
        <w:spacing w:after="0" w:line="249" w:lineRule="auto"/>
        <w:tabs>
          <w:tab w:leader="none" w:pos="2042" w:val="left"/>
        </w:tabs>
        <w:numPr>
          <w:ilvl w:val="0"/>
          <w:numId w:val="1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Borrower shall provide quarterly updates to </w:t>
      </w:r>
      <w:r>
        <w:rPr>
          <w:rFonts w:ascii="Times New Roman" w:cs="Times New Roman" w:eastAsia="Times New Roman" w:hAnsi="Times New Roman"/>
          <w:sz w:val="20"/>
          <w:szCs w:val="20"/>
          <w:u w:val="single" w:color="auto"/>
          <w:color w:val="auto"/>
        </w:rPr>
        <w:t>Schedule 4.6(c)</w:t>
      </w:r>
      <w:r>
        <w:rPr>
          <w:rFonts w:ascii="Times New Roman" w:cs="Times New Roman" w:eastAsia="Times New Roman" w:hAnsi="Times New Roman"/>
          <w:sz w:val="20"/>
          <w:szCs w:val="20"/>
          <w:color w:val="auto"/>
        </w:rPr>
        <w:t xml:space="preserve"> of the Disclosure Letter, as applicable, including quarterly updates on material developments with respect to any adversarial proceedings and any material developments with respect to any items listed on such Schedule or updated Schedule, and upon reasonable request of the Blackstone Representative, conduct quarterly meetings (which may be via videoconference) with the Blackstone Representative and Lenders to discuss such updates.</w:t>
      </w:r>
    </w:p>
    <w:p>
      <w:pPr>
        <w:spacing w:after="0" w:line="17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0"/>
          <w:szCs w:val="20"/>
          <w:b w:val="1"/>
          <w:bCs w:val="1"/>
          <w:color w:val="auto"/>
        </w:rPr>
        <w:t>5.8. Books and Records</w:t>
      </w:r>
      <w:r>
        <w:rPr>
          <w:rFonts w:ascii="Times New Roman" w:cs="Times New Roman" w:eastAsia="Times New Roman" w:hAnsi="Times New Roman"/>
          <w:sz w:val="20"/>
          <w:szCs w:val="20"/>
          <w:color w:val="auto"/>
        </w:rPr>
        <w:t>. Maintain proper Books, in which entries that are full, true and correct</w:t>
      </w:r>
    </w:p>
    <w:p>
      <w:pPr>
        <w:spacing w:after="0" w:line="26"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20"/>
          <w:szCs w:val="20"/>
          <w:color w:val="auto"/>
        </w:rPr>
        <w:t>in all material respects and are in conformity with GAAP consistently applied shall be made of all transactions and matters involving the assets, properties and business of such Credit Party (or such Subsidiary), as the case may be.</w:t>
      </w:r>
    </w:p>
    <w:p>
      <w:pPr>
        <w:spacing w:after="0" w:line="19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0"/>
          <w:szCs w:val="20"/>
          <w:b w:val="1"/>
          <w:bCs w:val="1"/>
          <w:color w:val="auto"/>
        </w:rPr>
        <w:t>5.9. Access to Collateral; Audits; Lender Calls</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jc w:val="both"/>
        <w:ind w:left="80" w:firstLine="1500"/>
        <w:spacing w:after="0" w:line="246" w:lineRule="auto"/>
        <w:tabs>
          <w:tab w:leader="none" w:pos="2042" w:val="left"/>
        </w:tabs>
        <w:numPr>
          <w:ilvl w:val="0"/>
          <w:numId w:val="1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Allow the Agent, the Blackstone Representative or each of their respective agents or representatives, (i) not more than one (1) time in any fiscal year prior to the occurrence and continuance of an Event of Default, and (ii) at any time after the occurrence and continuance of an Event of Default, in each case, during normal business hours and upon reasonable advance notice, to visit and inspect the Collateral and inspect, copy and audit any Credit Party’s Books. The foregoing inspections and audits shall be at the relevant Credit Party’s expense.</w:t>
      </w:r>
    </w:p>
    <w:p>
      <w:pPr>
        <w:spacing w:after="0" w:line="171" w:lineRule="exact"/>
        <w:rPr>
          <w:rFonts w:ascii="Times New Roman" w:cs="Times New Roman" w:eastAsia="Times New Roman" w:hAnsi="Times New Roman"/>
          <w:sz w:val="20"/>
          <w:szCs w:val="20"/>
          <w:color w:val="auto"/>
        </w:rPr>
      </w:pPr>
    </w:p>
    <w:p>
      <w:pPr>
        <w:jc w:val="both"/>
        <w:ind w:left="80" w:firstLine="1500"/>
        <w:spacing w:after="0" w:line="246" w:lineRule="auto"/>
        <w:tabs>
          <w:tab w:leader="none" w:pos="2042" w:val="left"/>
        </w:tabs>
        <w:numPr>
          <w:ilvl w:val="0"/>
          <w:numId w:val="1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Upon the request of the Blackstone Representative, conduct a meeting (which may be telephonic) of the Blackstone Representative and the Lenders each quarter during normal business hours to discuss the most recently reported financial results and the financial condition of Credit Parties, at which there shall be present a Responsible Officer and such other officers of the Credit Parties as may be reasonably requested to attend by the Blackstone Representative or Required Lenders, such request, or requests to be made at a reasonable time prior to the scheduled date of such meeting.</w:t>
      </w:r>
    </w:p>
    <w:p>
      <w:pPr>
        <w:spacing w:after="0" w:line="194"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0"/>
          <w:szCs w:val="20"/>
          <w:b w:val="1"/>
          <w:bCs w:val="1"/>
          <w:color w:val="auto"/>
        </w:rPr>
        <w:t>5.10. Use of Proceeds</w:t>
      </w:r>
      <w:r>
        <w:rPr>
          <w:rFonts w:ascii="Times New Roman" w:cs="Times New Roman" w:eastAsia="Times New Roman" w:hAnsi="Times New Roman"/>
          <w:sz w:val="20"/>
          <w:szCs w:val="20"/>
          <w:color w:val="auto"/>
        </w:rPr>
        <w:t>. Use the proceeds of the (a) Initial Term Loan solely to (i) refinance the Existing Indebtedness of the Credit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Parties on the Closing Date, (ii) pay fees, premiums, costs, and expenses in connection with the funding of the Initial Term Loans and repayment of the Existing Indebtedness, and (iii) for general corporate purposes of Borrower and its Subsidiaries (excluding making Restricted Distributions other than Permitted Distributions), (b) Tranche A Delayed Draw Term Loans and Tranche B Delayed Draw Term Loans solely to (i) facilitate future business development activities (including</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4905-3710-6484 v.17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600710</wp:posOffset>
            </wp:positionV>
            <wp:extent cx="7157720" cy="4254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02" w:name="page203"/>
    <w:bookmarkEnd w:id="202"/>
    <w:p>
      <w:pPr>
        <w:jc w:val="both"/>
        <w:spacing w:after="0" w:line="243" w:lineRule="auto"/>
        <w:rPr>
          <w:sz w:val="20"/>
          <w:szCs w:val="20"/>
          <w:color w:val="auto"/>
        </w:rPr>
      </w:pPr>
      <w:r>
        <w:rPr>
          <w:rFonts w:ascii="Times New Roman" w:cs="Times New Roman" w:eastAsia="Times New Roman" w:hAnsi="Times New Roman"/>
          <w:sz w:val="20"/>
          <w:szCs w:val="20"/>
          <w:color w:val="auto"/>
        </w:rPr>
        <w:t>product acquisitions and product in-licensing) permitted hereunder and such other purposes as may be consented to by the Agent and Required Lenders, (ii) pay fees, premiums, costs, and expenses in connection with the funding of the Tranche A Delayed Draw Term Loans and Tranche B Delayed Draw Term Loans, and (iii) for general corporate purposes of Borrower and its Subsidiaries (excluding making Restricted Distributions other than Permitted Distributions) and (c) Revolving Credit Loans for (i) working capital and (ii) other general corporate purposes (excluding making Restricted Distributions other than Permitted Distributions). No proceeds of any Loan shall be used to purchase or carry, or to reduce or retire or refinance any credit incurred to purchase or carry, any Margin Stock or to extend credit to others for the purpose of purchasing or carrying any Margin Stock. If requested by the Blackstone Representative, Borrower shall complete and sign Part I of a copy of Federal Reserve Form G-3 referred to in Regulation U and deliver such copy to the Agent.</w:t>
      </w:r>
    </w:p>
    <w:p>
      <w:pPr>
        <w:spacing w:after="0" w:line="185"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b w:val="1"/>
          <w:bCs w:val="1"/>
          <w:color w:val="auto"/>
        </w:rPr>
        <w:t>5.11. Further Assurances</w:t>
      </w:r>
      <w:r>
        <w:rPr>
          <w:rFonts w:ascii="Times New Roman" w:cs="Times New Roman" w:eastAsia="Times New Roman" w:hAnsi="Times New Roman"/>
          <w:sz w:val="20"/>
          <w:szCs w:val="20"/>
          <w:color w:val="auto"/>
        </w:rPr>
        <w:t>. Promptly upon the reasonable written request of the Blackstone Representative, execute, acknowledge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and deliver such further documents and do such other acts and things in order to effectuate or carry out more effectively the purposes of this Agreement and the other Loan Documents at its expense, including after the Closing Date taking such steps as are reasonably deemed necessary or desirable by the Blackstone Representative to maintain, protect and enforce the Agent’s Lien in favor and for the benefit of the Agent and the other Secured Parties on Collateral securing the Obligations created under the Security Agreement, each Non-U.S. Security Agreement and the other Loan Documents in accordance with the terms of the Security Agreement, each Non-U.S. Security Agreement and the other Loan Documents, subject to Permitted Liens.</w:t>
      </w:r>
    </w:p>
    <w:p>
      <w:pPr>
        <w:spacing w:after="0" w:line="17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5.12. Additional Collateral; Guarantors</w:t>
      </w:r>
      <w:r>
        <w:rPr>
          <w:rFonts w:ascii="Times New Roman" w:cs="Times New Roman" w:eastAsia="Times New Roman" w:hAnsi="Times New Roman"/>
          <w:sz w:val="20"/>
          <w:szCs w:val="20"/>
          <w:color w:val="auto"/>
        </w:rPr>
        <w:t>.</w:t>
      </w:r>
    </w:p>
    <w:p>
      <w:pPr>
        <w:spacing w:after="0" w:line="233" w:lineRule="exact"/>
        <w:rPr>
          <w:sz w:val="20"/>
          <w:szCs w:val="20"/>
          <w:color w:val="auto"/>
        </w:rPr>
      </w:pPr>
    </w:p>
    <w:p>
      <w:pPr>
        <w:ind w:left="1500"/>
        <w:spacing w:after="0"/>
        <w:tabs>
          <w:tab w:leader="none" w:pos="1880" w:val="left"/>
        </w:tabs>
        <w:rPr>
          <w:sz w:val="20"/>
          <w:szCs w:val="20"/>
          <w:color w:val="auto"/>
        </w:rPr>
      </w:pPr>
      <w:r>
        <w:rPr>
          <w:rFonts w:ascii="Times New Roman" w:cs="Times New Roman" w:eastAsia="Times New Roman" w:hAnsi="Times New Roman"/>
          <w:sz w:val="20"/>
          <w:szCs w:val="20"/>
          <w:color w:val="auto"/>
        </w:rPr>
        <w:t>(a)</w:t>
      </w:r>
      <w:r>
        <w:rPr>
          <w:sz w:val="20"/>
          <w:szCs w:val="20"/>
          <w:color w:val="auto"/>
        </w:rPr>
        <w:tab/>
      </w:r>
      <w:r>
        <w:rPr>
          <w:rFonts w:ascii="Times New Roman" w:cs="Times New Roman" w:eastAsia="Times New Roman" w:hAnsi="Times New Roman"/>
          <w:sz w:val="19"/>
          <w:szCs w:val="19"/>
          <w:color w:val="auto"/>
        </w:rPr>
        <w:t>From and after the Closing Date, except as otherwise approved in writing by the</w:t>
      </w:r>
    </w:p>
    <w:p>
      <w:pPr>
        <w:spacing w:after="0" w:line="2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9"/>
          <w:szCs w:val="19"/>
          <w:color w:val="auto"/>
        </w:rPr>
        <w:t xml:space="preserve">Blackstone Representative, each Credit Party shall cause each of its Subsidiaries (other than Excluded Subsidiaries) to guarantee the Obligations by executing and delivering a joinder in the form of </w:t>
      </w:r>
      <w:r>
        <w:rPr>
          <w:rFonts w:ascii="Times New Roman" w:cs="Times New Roman" w:eastAsia="Times New Roman" w:hAnsi="Times New Roman"/>
          <w:sz w:val="19"/>
          <w:szCs w:val="19"/>
          <w:u w:val="single" w:color="auto"/>
          <w:color w:val="auto"/>
        </w:rPr>
        <w:t>Exhibit H</w:t>
      </w:r>
      <w:r>
        <w:rPr>
          <w:rFonts w:ascii="Times New Roman" w:cs="Times New Roman" w:eastAsia="Times New Roman" w:hAnsi="Times New Roman"/>
          <w:sz w:val="19"/>
          <w:szCs w:val="19"/>
          <w:color w:val="auto"/>
        </w:rPr>
        <w:t xml:space="preserve"> hereto and to cause each such Subsidiary to grant to the Agent in favor and, for the benefit of the Agent and the other Secured Parties a first priority (subject only to Permitted Liens pursuant to clauses </w:t>
      </w:r>
      <w:r>
        <w:rPr>
          <w:rFonts w:ascii="Times New Roman" w:cs="Times New Roman" w:eastAsia="Times New Roman" w:hAnsi="Times New Roman"/>
          <w:sz w:val="19"/>
          <w:szCs w:val="19"/>
          <w:u w:val="single" w:color="auto"/>
          <w:color w:val="auto"/>
        </w:rPr>
        <w:t>(c)</w:t>
      </w:r>
      <w:r>
        <w:rPr>
          <w:rFonts w:ascii="Times New Roman" w:cs="Times New Roman" w:eastAsia="Times New Roman" w:hAnsi="Times New Roman"/>
          <w:sz w:val="19"/>
          <w:szCs w:val="19"/>
          <w:color w:val="auto"/>
        </w:rPr>
        <w:t>,</w:t>
      </w:r>
    </w:p>
    <w:p>
      <w:pPr>
        <w:jc w:val="both"/>
        <w:spacing w:after="0" w:line="252" w:lineRule="auto"/>
        <w:rPr>
          <w:sz w:val="20"/>
          <w:szCs w:val="20"/>
          <w:color w:val="auto"/>
        </w:rPr>
      </w:pPr>
      <w:r>
        <w:rPr>
          <w:rFonts w:ascii="Times New Roman" w:cs="Times New Roman" w:eastAsia="Times New Roman" w:hAnsi="Times New Roman"/>
          <w:sz w:val="19"/>
          <w:szCs w:val="19"/>
          <w:u w:val="single" w:color="auto"/>
          <w:color w:val="auto"/>
        </w:rPr>
        <w:t>(d)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(f)</w:t>
      </w:r>
      <w:r>
        <w:rPr>
          <w:rFonts w:ascii="Times New Roman" w:cs="Times New Roman" w:eastAsia="Times New Roman" w:hAnsi="Times New Roman"/>
          <w:sz w:val="19"/>
          <w:szCs w:val="19"/>
          <w:color w:val="auto"/>
        </w:rPr>
        <w:t xml:space="preserve">, (g), </w:t>
      </w:r>
      <w:r>
        <w:rPr>
          <w:rFonts w:ascii="Times New Roman" w:cs="Times New Roman" w:eastAsia="Times New Roman" w:hAnsi="Times New Roman"/>
          <w:sz w:val="19"/>
          <w:szCs w:val="19"/>
          <w:u w:val="single" w:color="auto"/>
          <w:color w:val="auto"/>
        </w:rPr>
        <w:t>(h)</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(l)</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(o)</w:t>
      </w:r>
      <w:r>
        <w:rPr>
          <w:rFonts w:ascii="Times New Roman" w:cs="Times New Roman" w:eastAsia="Times New Roman" w:hAnsi="Times New Roman"/>
          <w:sz w:val="19"/>
          <w:szCs w:val="19"/>
          <w:color w:val="auto"/>
        </w:rPr>
        <w:t xml:space="preserve"> of the definition thereof) security interest in and Lien upon, and pledge to the Agent in favor and for the benefit of the Agent and the other Secured Parties, all of such Subsidiary’s properties and assets constituting Collateral, whether now existing or hereafter acquired or existing, to secure such guaranty;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such Credit Party’s obligations to cause any Subsidiary formed or acquired after the Closing Date to take the foregoing actions shall be subject to the timing requirements of </w:t>
      </w:r>
      <w:r>
        <w:rPr>
          <w:rFonts w:ascii="Times New Roman" w:cs="Times New Roman" w:eastAsia="Times New Roman" w:hAnsi="Times New Roman"/>
          <w:sz w:val="19"/>
          <w:szCs w:val="19"/>
          <w:u w:val="single" w:color="auto"/>
          <w:color w:val="auto"/>
        </w:rPr>
        <w:t>Section 5.13</w:t>
      </w:r>
      <w:r>
        <w:rPr>
          <w:rFonts w:ascii="Times New Roman" w:cs="Times New Roman" w:eastAsia="Times New Roman" w:hAnsi="Times New Roman"/>
          <w:sz w:val="19"/>
          <w:szCs w:val="19"/>
          <w:color w:val="auto"/>
        </w:rPr>
        <w:t xml:space="preserve">. Furthermore, except as otherwise approved in writing by the Blackstone Representative, each Credit Party, from and after the Closing Date, shall grant the Agent in favor and for the benefit of the Agent and the other Secured Parties a first priority (subject only to Permitted Liens pursuant to clauses </w:t>
      </w:r>
      <w:r>
        <w:rPr>
          <w:rFonts w:ascii="Times New Roman" w:cs="Times New Roman" w:eastAsia="Times New Roman" w:hAnsi="Times New Roman"/>
          <w:sz w:val="19"/>
          <w:szCs w:val="19"/>
          <w:u w:val="single" w:color="auto"/>
          <w:color w:val="auto"/>
        </w:rPr>
        <w:t>(c)</w:t>
      </w:r>
      <w:r>
        <w:rPr>
          <w:rFonts w:ascii="Times New Roman" w:cs="Times New Roman" w:eastAsia="Times New Roman" w:hAnsi="Times New Roman"/>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wp:posOffset>
            </wp:positionH>
            <wp:positionV relativeFrom="paragraph">
              <wp:posOffset>-753110</wp:posOffset>
            </wp:positionV>
            <wp:extent cx="31115" cy="825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20">
                      <a:extLst>
                        <a:ext uri="{28A0092B-C50C-407E-A947-70E740481C1C}"/>
                      </a:extLst>
                    </a:blip>
                    <a:srcRect/>
                    <a:stretch>
                      <a:fillRect/>
                    </a:stretch>
                  </pic:blipFill>
                  <pic:spPr bwMode="auto">
                    <a:xfrm>
                      <a:off x="0" y="0"/>
                      <a:ext cx="31115" cy="8255"/>
                    </a:xfrm>
                    <a:prstGeom prst="rect">
                      <a:avLst/>
                    </a:prstGeom>
                    <a:noFill/>
                  </pic:spPr>
                </pic:pic>
              </a:graphicData>
            </a:graphic>
          </wp:anchor>
        </w:drawing>
        <w:drawing>
          <wp:anchor simplePos="0" relativeHeight="251657728" behindDoc="1" locked="0" layoutInCell="0" allowOverlap="1">
            <wp:simplePos x="0" y="0"/>
            <wp:positionH relativeFrom="column">
              <wp:posOffset>6030595</wp:posOffset>
            </wp:positionH>
            <wp:positionV relativeFrom="paragraph">
              <wp:posOffset>-315595</wp:posOffset>
            </wp:positionV>
            <wp:extent cx="31115" cy="825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1">
                      <a:extLst>
                        <a:ext uri="{28A0092B-C50C-407E-A947-70E740481C1C}"/>
                      </a:extLst>
                    </a:blip>
                    <a:srcRect/>
                    <a:stretch>
                      <a:fillRect/>
                    </a:stretch>
                  </pic:blipFill>
                  <pic:spPr bwMode="auto">
                    <a:xfrm>
                      <a:off x="0" y="0"/>
                      <a:ext cx="31115" cy="8255"/>
                    </a:xfrm>
                    <a:prstGeom prst="rect">
                      <a:avLst/>
                    </a:prstGeom>
                    <a:noFill/>
                  </pic:spPr>
                </pic:pic>
              </a:graphicData>
            </a:graphic>
          </wp:anchor>
        </w:drawing>
      </w:r>
    </w:p>
    <w:p>
      <w:pPr>
        <w:jc w:val="both"/>
        <w:spacing w:after="0"/>
        <w:rPr>
          <w:sz w:val="20"/>
          <w:szCs w:val="20"/>
          <w:color w:val="auto"/>
        </w:rPr>
      </w:pPr>
      <w:r>
        <w:rPr>
          <w:rFonts w:ascii="Times New Roman" w:cs="Times New Roman" w:eastAsia="Times New Roman" w:hAnsi="Times New Roman"/>
          <w:sz w:val="20"/>
          <w:szCs w:val="20"/>
          <w:u w:val="single" w:color="auto"/>
          <w:color w:val="auto"/>
        </w:rPr>
        <w:t>(d)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w:t>
      </w:r>
      <w:r>
        <w:rPr>
          <w:rFonts w:ascii="Times New Roman" w:cs="Times New Roman" w:eastAsia="Times New Roman" w:hAnsi="Times New Roman"/>
          <w:sz w:val="20"/>
          <w:szCs w:val="20"/>
          <w:color w:val="auto"/>
        </w:rPr>
        <w:t xml:space="preserve">, (g), </w:t>
      </w:r>
      <w:r>
        <w:rPr>
          <w:rFonts w:ascii="Times New Roman" w:cs="Times New Roman" w:eastAsia="Times New Roman" w:hAnsi="Times New Roman"/>
          <w:sz w:val="20"/>
          <w:szCs w:val="20"/>
          <w:u w:val="single" w:color="auto"/>
          <w:color w:val="auto"/>
        </w:rPr>
        <w:t>(h)</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(l)</w:t>
      </w:r>
      <w:r>
        <w:rPr>
          <w:rFonts w:ascii="Times New Roman" w:cs="Times New Roman" w:eastAsia="Times New Roman" w:hAnsi="Times New Roman"/>
          <w:sz w:val="20"/>
          <w:szCs w:val="20"/>
          <w:color w:val="auto"/>
        </w:rPr>
        <w:t xml:space="preserve">, (n), </w:t>
      </w:r>
      <w:r>
        <w:rPr>
          <w:rFonts w:ascii="Times New Roman" w:cs="Times New Roman" w:eastAsia="Times New Roman" w:hAnsi="Times New Roman"/>
          <w:sz w:val="20"/>
          <w:szCs w:val="20"/>
          <w:u w:val="single" w:color="auto"/>
          <w:color w:val="auto"/>
        </w:rPr>
        <w:t>(o)</w:t>
      </w:r>
      <w:r>
        <w:rPr>
          <w:rFonts w:ascii="Times New Roman" w:cs="Times New Roman" w:eastAsia="Times New Roman" w:hAnsi="Times New Roman"/>
          <w:sz w:val="20"/>
          <w:szCs w:val="20"/>
          <w:color w:val="auto"/>
        </w:rPr>
        <w:t xml:space="preserve"> of the definition thereof) security interest in and Lien upon, and pledge to the Agent in favor and for the benefit of the Agent and the other Secured Parties, subject to the limitations set forth herein and the limitations set forth in the other Loan Documents, all of the Equity Interests (other than Excluded Equity Interests) of each first-tier Subsidiary owned by a Credit Party. In connection with each pledge of certificated Equity Interests required under the Loan Documents, the Credit Parties shall deliver, or cause to be delivered, to the Agent, such certificate(s) together with stock powers or assignments, as applicable, properly endorsed for transfer to the Agent or duly executed in blank, in each case reasonably satisfactory to the Blackstone Representative. In connection with each pledge of uncertificated Equity Interests required under the Loan Documents, the Credit Parties shall deliver, or cause to be delivered, to the Agent an executed uncertificated stock control agreement among the issuer, the registered owner and the Agent substantially in the form attached as an Annex to the Security Agreement. Notwithstanding the foregoing, each Credit Party’s obligations to take the foregoing actions shall be subject to the timing requirements of </w:t>
      </w:r>
      <w:r>
        <w:rPr>
          <w:rFonts w:ascii="Times New Roman" w:cs="Times New Roman" w:eastAsia="Times New Roman" w:hAnsi="Times New Roman"/>
          <w:sz w:val="20"/>
          <w:szCs w:val="20"/>
          <w:u w:val="single" w:color="auto"/>
          <w:color w:val="auto"/>
        </w:rPr>
        <w:t>Section 5.13</w:t>
      </w:r>
      <w:r>
        <w:rPr>
          <w:rFonts w:ascii="Times New Roman" w:cs="Times New Roman" w:eastAsia="Times New Roman" w:hAnsi="Times New Roman"/>
          <w:sz w:val="20"/>
          <w:szCs w:val="20"/>
          <w:color w:val="auto"/>
        </w:rPr>
        <w:t xml:space="preserve"> with respect to Subsidiaries formed or acquired after the Closing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601980</wp:posOffset>
            </wp:positionV>
            <wp:extent cx="7157720" cy="4254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970915</wp:posOffset>
            </wp:positionH>
            <wp:positionV relativeFrom="paragraph">
              <wp:posOffset>-1339215</wp:posOffset>
            </wp:positionV>
            <wp:extent cx="177800" cy="889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3">
                      <a:extLst>
                        <a:ext uri="{28A0092B-C50C-407E-A947-70E740481C1C}"/>
                      </a:extLst>
                    </a:blip>
                    <a:srcRect/>
                    <a:stretch>
                      <a:fillRect/>
                    </a:stretch>
                  </pic:blipFill>
                  <pic:spPr bwMode="auto">
                    <a:xfrm>
                      <a:off x="0" y="0"/>
                      <a:ext cx="177800" cy="8890"/>
                    </a:xfrm>
                    <a:prstGeom prst="rect">
                      <a:avLst/>
                    </a:prstGeom>
                    <a:noFill/>
                  </pic:spPr>
                </pic:pic>
              </a:graphicData>
            </a:graphic>
          </wp:anchor>
        </w:drawing>
      </w:r>
    </w:p>
    <w:p>
      <w:pPr>
        <w:sectPr>
          <w:pgSz w:w="11900" w:h="16838" w:orient="portrait"/>
          <w:cols w:equalWidth="0" w:num="1">
            <w:col w:w="11160"/>
          </w:cols>
          <w:pgMar w:left="320" w:top="1413" w:right="419" w:bottom="1440" w:gutter="0" w:footer="0" w:header="0"/>
        </w:sectPr>
      </w:pPr>
    </w:p>
    <w:bookmarkStart w:id="203" w:name="page204"/>
    <w:bookmarkEnd w:id="203"/>
    <w:p>
      <w:pPr>
        <w:spacing w:after="0" w:line="200" w:lineRule="exact"/>
        <w:rPr>
          <w:sz w:val="20"/>
          <w:szCs w:val="20"/>
          <w:color w:val="auto"/>
        </w:rPr>
      </w:pPr>
    </w:p>
    <w:p>
      <w:pPr>
        <w:spacing w:after="0" w:line="372"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41</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4905-3710-6484 v.17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600710</wp:posOffset>
            </wp:positionV>
            <wp:extent cx="7157720" cy="4254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204" w:name="page205"/>
    <w:bookmarkEnd w:id="204"/>
    <w:p>
      <w:pPr>
        <w:jc w:val="both"/>
        <w:ind w:left="-8" w:firstLine="1580"/>
        <w:spacing w:after="0" w:line="245" w:lineRule="auto"/>
        <w:tabs>
          <w:tab w:leader="none" w:pos="1960" w:val="left"/>
        </w:tabs>
        <w:numPr>
          <w:ilvl w:val="1"/>
          <w:numId w:val="1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any Credit Party acquires any fee title to real estate in the U.S. with a fair market value (reasonably determined in good faith by a Responsible Officer of Borrower) in excess of $5,000,000, unless otherwise agreed by the Blackstone Representative, such Person shall execute or deliver, or cause to be executed or delivered, to the Agent, (i) within sixty (60) days after such acquisition, an appraisal complying with the Financial Institutions Reform, Recovery and Enforcement Act of 1989, (ii) within forty-five</w:t>
      </w:r>
    </w:p>
    <w:p>
      <w:pPr>
        <w:jc w:val="both"/>
        <w:ind w:left="-8" w:firstLine="8"/>
        <w:spacing w:after="0"/>
        <w:tabs>
          <w:tab w:leader="none" w:pos="371" w:val="left"/>
        </w:tabs>
        <w:numPr>
          <w:ilvl w:val="0"/>
          <w:numId w:val="1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days after receipt of notice from the Agent (at the direction of the Blackstone Representative) that such real estate is located in a Special Flood Hazard Area, Federal Flood Insurance, (iii) within sixty (60) days after such acquisition, a fully executed Mortgage, in form and substance reasonably satisfactory to the Blackstone Representative, together with an A.L.T.A. lender</w:t>
      </w:r>
      <w:r>
        <w:rPr>
          <w:rFonts w:ascii="Times New Roman" w:cs="Times New Roman" w:eastAsia="Times New Roman" w:hAnsi="Times New Roman"/>
          <w:sz w:val="21"/>
          <w:szCs w:val="21"/>
          <w:color w:val="auto"/>
        </w:rPr>
        <w:t>’</w:t>
      </w:r>
      <w:r>
        <w:rPr>
          <w:rFonts w:ascii="Times New Roman" w:cs="Times New Roman" w:eastAsia="Times New Roman" w:hAnsi="Times New Roman"/>
          <w:sz w:val="20"/>
          <w:szCs w:val="20"/>
          <w:color w:val="auto"/>
        </w:rPr>
        <w:t>s title insurance policy issued by a title insurer reasonably satisfactory to the Blackstone Representative, in form and substance (including any endorsements), and in an amount reasonably satisfactory to the Blackstone Representative, insuring that the Mortgage is a valid and enforceable first priority Lien on the respective property, free and clear of all defects, encumbrances and Liens (other than Permitted Liens), (iv) simultaneously with such acquisition, then-current A.L.T.A. surveys, certified to the Agent by a licensed surveyor sufficient to allow the issuer of the lender</w:t>
      </w:r>
      <w:r>
        <w:rPr>
          <w:rFonts w:ascii="Times New Roman" w:cs="Times New Roman" w:eastAsia="Times New Roman" w:hAnsi="Times New Roman"/>
          <w:sz w:val="21"/>
          <w:szCs w:val="21"/>
          <w:color w:val="auto"/>
        </w:rPr>
        <w:t>’</w:t>
      </w:r>
      <w:r>
        <w:rPr>
          <w:rFonts w:ascii="Times New Roman" w:cs="Times New Roman" w:eastAsia="Times New Roman" w:hAnsi="Times New Roman"/>
          <w:sz w:val="20"/>
          <w:szCs w:val="20"/>
          <w:color w:val="auto"/>
        </w:rPr>
        <w:t xml:space="preserve">s title insurance policy to issue such policy without a survey exception, and (v) simultaneously with such acquisition, a then-current environmental site assessment prepared pursuant to ASTM E1527-21, </w:t>
      </w:r>
      <w:r>
        <w:rPr>
          <w:rFonts w:ascii="Times New Roman" w:cs="Times New Roman" w:eastAsia="Times New Roman" w:hAnsi="Times New Roman"/>
          <w:sz w:val="20"/>
          <w:szCs w:val="20"/>
          <w:i w:val="1"/>
          <w:iCs w:val="1"/>
          <w:u w:val="single" w:color="auto"/>
          <w:color w:val="auto"/>
        </w:rPr>
        <w:t>Standard Practice for Environmental Site Assessments: Phase I Environmental Site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u w:val="single" w:color="auto"/>
          <w:color w:val="auto"/>
        </w:rPr>
        <w:t>Assessment Process</w:t>
      </w:r>
      <w:r>
        <w:rPr>
          <w:rFonts w:ascii="Times New Roman" w:cs="Times New Roman" w:eastAsia="Times New Roman" w:hAnsi="Times New Roman"/>
          <w:sz w:val="20"/>
          <w:szCs w:val="20"/>
          <w:color w:val="auto"/>
        </w:rPr>
        <w:t>, by a qualified firm reasonably acceptable to the Blackstone Representative, in form and substance satisfactory to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Blackstone Representative.</w:t>
      </w:r>
    </w:p>
    <w:p>
      <w:pPr>
        <w:spacing w:after="0" w:line="189" w:lineRule="exact"/>
        <w:rPr>
          <w:sz w:val="20"/>
          <w:szCs w:val="20"/>
          <w:color w:val="auto"/>
        </w:rPr>
      </w:pPr>
    </w:p>
    <w:p>
      <w:pPr>
        <w:ind w:left="752"/>
        <w:spacing w:after="0"/>
        <w:rPr>
          <w:sz w:val="20"/>
          <w:szCs w:val="20"/>
          <w:color w:val="auto"/>
        </w:rPr>
      </w:pPr>
      <w:r>
        <w:rPr>
          <w:rFonts w:ascii="Times New Roman" w:cs="Times New Roman" w:eastAsia="Times New Roman" w:hAnsi="Times New Roman"/>
          <w:sz w:val="20"/>
          <w:szCs w:val="20"/>
          <w:b w:val="1"/>
          <w:bCs w:val="1"/>
          <w:color w:val="auto"/>
        </w:rPr>
        <w:t>5.13. Formation or Acquisition of Subsidiaries</w:t>
      </w:r>
      <w:r>
        <w:rPr>
          <w:rFonts w:ascii="Times New Roman" w:cs="Times New Roman" w:eastAsia="Times New Roman" w:hAnsi="Times New Roman"/>
          <w:sz w:val="20"/>
          <w:szCs w:val="20"/>
          <w:color w:val="auto"/>
        </w:rPr>
        <w:t>.</w:t>
      </w:r>
    </w:p>
    <w:p>
      <w:pPr>
        <w:spacing w:after="0" w:line="206" w:lineRule="exact"/>
        <w:rPr>
          <w:sz w:val="20"/>
          <w:szCs w:val="20"/>
          <w:color w:val="auto"/>
        </w:rPr>
      </w:pPr>
    </w:p>
    <w:p>
      <w:pPr>
        <w:ind w:left="72" w:firstLine="1490"/>
        <w:spacing w:after="0" w:line="269" w:lineRule="auto"/>
        <w:tabs>
          <w:tab w:leader="none" w:pos="2021" w:val="left"/>
        </w:tabs>
        <w:numPr>
          <w:ilvl w:val="0"/>
          <w:numId w:val="1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Borrower or any of its Subsidiaries at any time after the Closing Date forms or acquires a Subsidiary, Borrower shall cause such Subsidiary to execute and deliver to the Agent a joinder to the Intercompany Subordination Agreement.</w:t>
      </w:r>
    </w:p>
    <w:p>
      <w:pPr>
        <w:spacing w:after="0" w:line="159" w:lineRule="exact"/>
        <w:rPr>
          <w:rFonts w:ascii="Times New Roman" w:cs="Times New Roman" w:eastAsia="Times New Roman" w:hAnsi="Times New Roman"/>
          <w:sz w:val="20"/>
          <w:szCs w:val="20"/>
          <w:color w:val="auto"/>
        </w:rPr>
      </w:pPr>
    </w:p>
    <w:p>
      <w:pPr>
        <w:jc w:val="both"/>
        <w:ind w:left="72" w:firstLine="1490"/>
        <w:spacing w:after="0" w:line="241" w:lineRule="auto"/>
        <w:tabs>
          <w:tab w:leader="none" w:pos="2021" w:val="left"/>
        </w:tabs>
        <w:numPr>
          <w:ilvl w:val="0"/>
          <w:numId w:val="1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Borrower or any of its Subsidiaries at any time after the Closing Date forms or acquires a Subsidiary (including by division) or any Person otherwise becomes a Subsidiary (other than an Excluded Subsidiary) (including by division), or in the event of an Excluded Subsidiary Conversion, as promptly as practicable but in no event later than, in the case of (i) Subsidiaries organized, incorporated or formed in the U.S., thirty (30) days or (ii) all other Subsidiaries, forty-five (45) days (or, in each case, such longer period as the Blackstone Representative may agree in its sole discretion) after such formation or acquisition or such Person becomes a Subsidiary, or in the case of an Excluded Subsidiary, after the date on which the most recent Compliance Certificate has been delivered which sets forth the failure to comply with the Credit Party Minimum Coverage Requirement pursuant to </w:t>
      </w:r>
      <w:r>
        <w:rPr>
          <w:rFonts w:ascii="Times New Roman" w:cs="Times New Roman" w:eastAsia="Times New Roman" w:hAnsi="Times New Roman"/>
          <w:sz w:val="20"/>
          <w:szCs w:val="20"/>
          <w:u w:val="single" w:color="auto"/>
          <w:color w:val="auto"/>
        </w:rPr>
        <w:t>Section 5.16</w:t>
      </w:r>
      <w:r>
        <w:rPr>
          <w:rFonts w:ascii="Times New Roman" w:cs="Times New Roman" w:eastAsia="Times New Roman" w:hAnsi="Times New Roman"/>
          <w:sz w:val="20"/>
          <w:szCs w:val="20"/>
          <w:color w:val="auto"/>
        </w:rPr>
        <w:t xml:space="preserve">: (i) without limiting the generality of clause (iii) of this </w:t>
      </w:r>
      <w:r>
        <w:rPr>
          <w:rFonts w:ascii="Times New Roman" w:cs="Times New Roman" w:eastAsia="Times New Roman" w:hAnsi="Times New Roman"/>
          <w:sz w:val="20"/>
          <w:szCs w:val="20"/>
          <w:u w:val="single" w:color="auto"/>
          <w:color w:val="auto"/>
        </w:rPr>
        <w:t>Section 5.13(b)</w:t>
      </w:r>
      <w:r>
        <w:rPr>
          <w:rFonts w:ascii="Times New Roman" w:cs="Times New Roman" w:eastAsia="Times New Roman" w:hAnsi="Times New Roman"/>
          <w:sz w:val="20"/>
          <w:szCs w:val="20"/>
          <w:color w:val="auto"/>
        </w:rPr>
        <w:t xml:space="preserve">, the Borrower shall cause such Subsidiary to execute and deliver to the Agent a joinder to this Agreement as Guarantor in the form of </w:t>
      </w:r>
      <w:r>
        <w:rPr>
          <w:rFonts w:ascii="Times New Roman" w:cs="Times New Roman" w:eastAsia="Times New Roman" w:hAnsi="Times New Roman"/>
          <w:sz w:val="20"/>
          <w:szCs w:val="20"/>
          <w:u w:val="single" w:color="auto"/>
          <w:color w:val="auto"/>
        </w:rPr>
        <w:t>Exhibit H</w:t>
      </w:r>
      <w:r>
        <w:rPr>
          <w:rFonts w:ascii="Times New Roman" w:cs="Times New Roman" w:eastAsia="Times New Roman" w:hAnsi="Times New Roman"/>
          <w:sz w:val="20"/>
          <w:szCs w:val="20"/>
          <w:color w:val="auto"/>
        </w:rPr>
        <w:t xml:space="preserve"> hereto and a joinder to the Intercompany Subordination Agreement, and the applicable Collateral Documents, Operating Documents and related company information, and legal opinions and any Collateral required to be delivered pursuant to the terms of the Loan Documents; (ii) Borrower shall deliver to the Agent a Perfection Certificate, updated to reflect the formation or acquisition of such Subsidiary; and (iii) Borrower shall cause such Subsidiary to satisfy all requirements contained in this Agreement (including </w:t>
      </w:r>
      <w:r>
        <w:rPr>
          <w:rFonts w:ascii="Times New Roman" w:cs="Times New Roman" w:eastAsia="Times New Roman" w:hAnsi="Times New Roman"/>
          <w:sz w:val="20"/>
          <w:szCs w:val="20"/>
          <w:u w:val="single" w:color="auto"/>
          <w:color w:val="auto"/>
        </w:rPr>
        <w:t>Section 5.12</w:t>
      </w:r>
      <w:r>
        <w:rPr>
          <w:rFonts w:ascii="Times New Roman" w:cs="Times New Roman" w:eastAsia="Times New Roman" w:hAnsi="Times New Roman"/>
          <w:sz w:val="20"/>
          <w:szCs w:val="20"/>
          <w:color w:val="auto"/>
        </w:rPr>
        <w:t xml:space="preserve">) and each other Loan Document if and to the extent applicable to such Subsidiary. Borrower and the Agent hereby agree that any such Subsidiary shall constitute a Credit Party for all purposes hereunder as of the date of the execution and delivery of the joinder contemplated by clause (i) of this </w:t>
      </w:r>
      <w:r>
        <w:rPr>
          <w:rFonts w:ascii="Times New Roman" w:cs="Times New Roman" w:eastAsia="Times New Roman" w:hAnsi="Times New Roman"/>
          <w:sz w:val="20"/>
          <w:szCs w:val="20"/>
          <w:u w:val="single" w:color="auto"/>
          <w:color w:val="auto"/>
        </w:rPr>
        <w:t>Section 5.13(b)</w:t>
      </w:r>
      <w:r>
        <w:rPr>
          <w:rFonts w:ascii="Times New Roman" w:cs="Times New Roman" w:eastAsia="Times New Roman" w:hAnsi="Times New Roman"/>
          <w:sz w:val="20"/>
          <w:szCs w:val="20"/>
          <w:color w:val="auto"/>
        </w:rPr>
        <w:t xml:space="preserve">. Any document, agreement or instrument executed or issued pursuant to this </w:t>
      </w:r>
      <w:r>
        <w:rPr>
          <w:rFonts w:ascii="Times New Roman" w:cs="Times New Roman" w:eastAsia="Times New Roman" w:hAnsi="Times New Roman"/>
          <w:sz w:val="20"/>
          <w:szCs w:val="20"/>
          <w:u w:val="single" w:color="auto"/>
          <w:color w:val="auto"/>
        </w:rPr>
        <w:t>Section 5.13</w:t>
      </w:r>
      <w:r>
        <w:rPr>
          <w:rFonts w:ascii="Times New Roman" w:cs="Times New Roman" w:eastAsia="Times New Roman" w:hAnsi="Times New Roman"/>
          <w:sz w:val="20"/>
          <w:szCs w:val="20"/>
          <w:color w:val="auto"/>
        </w:rPr>
        <w:t xml:space="preserve"> shall be a Loan Document.</w:t>
      </w:r>
    </w:p>
    <w:p>
      <w:pPr>
        <w:spacing w:after="0" w:line="193" w:lineRule="exact"/>
        <w:rPr>
          <w:rFonts w:ascii="Times New Roman" w:cs="Times New Roman" w:eastAsia="Times New Roman" w:hAnsi="Times New Roman"/>
          <w:sz w:val="20"/>
          <w:szCs w:val="20"/>
          <w:color w:val="auto"/>
        </w:rPr>
      </w:pPr>
    </w:p>
    <w:p>
      <w:pPr>
        <w:jc w:val="both"/>
        <w:ind w:left="72" w:firstLine="1490"/>
        <w:spacing w:after="0" w:line="249" w:lineRule="auto"/>
        <w:tabs>
          <w:tab w:leader="none" w:pos="2021" w:val="left"/>
        </w:tabs>
        <w:numPr>
          <w:ilvl w:val="0"/>
          <w:numId w:val="1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Notwithstanding anything else to the contrary in this Agreement or any other Loan Document (including pursuant to </w:t>
      </w:r>
      <w:r>
        <w:rPr>
          <w:rFonts w:ascii="Times New Roman" w:cs="Times New Roman" w:eastAsia="Times New Roman" w:hAnsi="Times New Roman"/>
          <w:sz w:val="20"/>
          <w:szCs w:val="20"/>
          <w:u w:val="single" w:color="auto"/>
          <w:color w:val="auto"/>
        </w:rPr>
        <w:t>Sections 5.11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5.12</w:t>
      </w:r>
      <w:r>
        <w:rPr>
          <w:rFonts w:ascii="Times New Roman" w:cs="Times New Roman" w:eastAsia="Times New Roman" w:hAnsi="Times New Roman"/>
          <w:sz w:val="20"/>
          <w:szCs w:val="20"/>
          <w:color w:val="auto"/>
        </w:rPr>
        <w:t xml:space="preserve">, this Section </w:t>
      </w:r>
      <w:r>
        <w:rPr>
          <w:rFonts w:ascii="Times New Roman" w:cs="Times New Roman" w:eastAsia="Times New Roman" w:hAnsi="Times New Roman"/>
          <w:sz w:val="20"/>
          <w:szCs w:val="20"/>
          <w:u w:val="single" w:color="auto"/>
          <w:color w:val="auto"/>
        </w:rPr>
        <w:t>5.13</w:t>
      </w:r>
      <w:r>
        <w:rPr>
          <w:rFonts w:ascii="Times New Roman" w:cs="Times New Roman" w:eastAsia="Times New Roman" w:hAnsi="Times New Roman"/>
          <w:sz w:val="20"/>
          <w:szCs w:val="20"/>
          <w:color w:val="auto"/>
        </w:rPr>
        <w:t xml:space="preserve"> or any of the constituent defined terms in this Agreement), in the event that any Subsidiary is required to become a Credit Party that is organized in a jurisdiction for which guarantees and security interests have not yet been provided to the Agent and Secured Parties for an existing Credit Party, the Blackstone Representative shall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595630</wp:posOffset>
            </wp:positionV>
            <wp:extent cx="7157720" cy="4254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52"/>
          </w:cols>
          <w:pgMar w:left="328" w:top="1426" w:right="419" w:bottom="1440" w:gutter="0" w:footer="0" w:header="0"/>
        </w:sectPr>
      </w:pPr>
    </w:p>
    <w:bookmarkStart w:id="205" w:name="page206"/>
    <w:bookmarkEnd w:id="205"/>
    <w:p>
      <w:pPr>
        <w:spacing w:after="0" w:line="126" w:lineRule="exact"/>
        <w:rPr>
          <w:sz w:val="20"/>
          <w:szCs w:val="20"/>
          <w:color w:val="auto"/>
        </w:rPr>
      </w:pPr>
    </w:p>
    <w:p>
      <w:pPr>
        <w:jc w:val="right"/>
        <w:ind w:right="4459"/>
        <w:spacing w:after="0"/>
        <w:rPr>
          <w:sz w:val="20"/>
          <w:szCs w:val="20"/>
          <w:color w:val="auto"/>
        </w:rPr>
      </w:pPr>
      <w:r>
        <w:rPr>
          <w:rFonts w:ascii="Times New Roman" w:cs="Times New Roman" w:eastAsia="Times New Roman" w:hAnsi="Times New Roman"/>
          <w:sz w:val="18"/>
          <w:szCs w:val="18"/>
          <w:color w:val="auto"/>
        </w:rPr>
        <w:t>42</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4905-3710-6484 v.17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600710</wp:posOffset>
            </wp:positionV>
            <wp:extent cx="7157720" cy="4254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206" w:name="page207"/>
    <w:bookmarkEnd w:id="206"/>
    <w:p>
      <w:pPr>
        <w:jc w:val="both"/>
        <w:spacing w:after="0" w:line="247" w:lineRule="auto"/>
        <w:rPr>
          <w:sz w:val="20"/>
          <w:szCs w:val="20"/>
          <w:color w:val="auto"/>
        </w:rPr>
      </w:pPr>
      <w:r>
        <w:rPr>
          <w:rFonts w:ascii="Times New Roman" w:cs="Times New Roman" w:eastAsia="Times New Roman" w:hAnsi="Times New Roman"/>
          <w:sz w:val="20"/>
          <w:szCs w:val="20"/>
          <w:color w:val="auto"/>
        </w:rPr>
        <w:t xml:space="preserve">acting reasonably, the reasonable and customary actions to be satisfied or delivered in such jurisdiction of organization with respect to the guarantee and creation, perfection and priority of Liens to secure the Obligations to satisfy the obligations in </w:t>
      </w:r>
      <w:r>
        <w:rPr>
          <w:rFonts w:ascii="Times New Roman" w:cs="Times New Roman" w:eastAsia="Times New Roman" w:hAnsi="Times New Roman"/>
          <w:sz w:val="20"/>
          <w:szCs w:val="20"/>
          <w:u w:val="single" w:color="auto"/>
          <w:color w:val="auto"/>
        </w:rPr>
        <w:t>Section 5.11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5.12</w:t>
      </w:r>
      <w:r>
        <w:rPr>
          <w:rFonts w:ascii="Times New Roman" w:cs="Times New Roman" w:eastAsia="Times New Roman" w:hAnsi="Times New Roman"/>
          <w:sz w:val="20"/>
          <w:szCs w:val="20"/>
          <w:color w:val="auto"/>
        </w:rPr>
        <w:t xml:space="preserve"> and this </w:t>
      </w:r>
      <w:r>
        <w:rPr>
          <w:rFonts w:ascii="Times New Roman" w:cs="Times New Roman" w:eastAsia="Times New Roman" w:hAnsi="Times New Roman"/>
          <w:sz w:val="20"/>
          <w:szCs w:val="20"/>
          <w:u w:val="single" w:color="auto"/>
          <w:color w:val="auto"/>
        </w:rPr>
        <w:t>Section 5.13</w:t>
      </w:r>
      <w:r>
        <w:rPr>
          <w:rFonts w:ascii="Times New Roman" w:cs="Times New Roman" w:eastAsia="Times New Roman" w:hAnsi="Times New Roman"/>
          <w:sz w:val="20"/>
          <w:szCs w:val="20"/>
          <w:color w:val="auto"/>
        </w:rPr>
        <w:t>.</w:t>
      </w:r>
    </w:p>
    <w:p>
      <w:pPr>
        <w:ind w:left="840"/>
        <w:spacing w:after="0"/>
        <w:tabs>
          <w:tab w:leader="none" w:pos="1600" w:val="left"/>
        </w:tabs>
        <w:rPr>
          <w:sz w:val="20"/>
          <w:szCs w:val="20"/>
          <w:color w:val="auto"/>
        </w:rPr>
      </w:pPr>
      <w:r>
        <w:rPr>
          <w:rFonts w:ascii="Times New Roman" w:cs="Times New Roman" w:eastAsia="Times New Roman" w:hAnsi="Times New Roman"/>
          <w:sz w:val="20"/>
          <w:szCs w:val="20"/>
          <w:b w:val="1"/>
          <w:bCs w:val="1"/>
          <w:color w:val="auto"/>
        </w:rPr>
        <w:t>5.14.</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Reserved</w:t>
      </w:r>
      <w:r>
        <w:rPr>
          <w:rFonts w:ascii="Times New Roman" w:cs="Times New Roman" w:eastAsia="Times New Roman" w:hAnsi="Times New Roman"/>
          <w:sz w:val="19"/>
          <w:szCs w:val="19"/>
          <w:color w:val="auto"/>
        </w:rPr>
        <w:t>].</w:t>
      </w:r>
    </w:p>
    <w:p>
      <w:pPr>
        <w:ind w:left="840"/>
        <w:spacing w:after="0"/>
        <w:rPr>
          <w:sz w:val="20"/>
          <w:szCs w:val="20"/>
          <w:color w:val="auto"/>
        </w:rPr>
      </w:pPr>
      <w:r>
        <w:rPr>
          <w:rFonts w:ascii="Times New Roman" w:cs="Times New Roman" w:eastAsia="Times New Roman" w:hAnsi="Times New Roman"/>
          <w:sz w:val="20"/>
          <w:szCs w:val="20"/>
          <w:b w:val="1"/>
          <w:bCs w:val="1"/>
          <w:color w:val="auto"/>
        </w:rPr>
        <w:t>5.15. Environmental</w:t>
      </w:r>
      <w:r>
        <w:rPr>
          <w:rFonts w:ascii="Times New Roman" w:cs="Times New Roman" w:eastAsia="Times New Roman" w:hAnsi="Times New Roman"/>
          <w:sz w:val="20"/>
          <w:szCs w:val="20"/>
          <w:color w:val="auto"/>
        </w:rPr>
        <w:t>.</w:t>
      </w:r>
    </w:p>
    <w:p>
      <w:pPr>
        <w:spacing w:after="0" w:line="180" w:lineRule="exact"/>
        <w:rPr>
          <w:sz w:val="20"/>
          <w:szCs w:val="20"/>
          <w:color w:val="auto"/>
        </w:rPr>
      </w:pPr>
    </w:p>
    <w:p>
      <w:pPr>
        <w:ind w:left="1900" w:hanging="395"/>
        <w:spacing w:after="0"/>
        <w:tabs>
          <w:tab w:leader="none" w:pos="1900" w:val="left"/>
        </w:tabs>
        <w:numPr>
          <w:ilvl w:val="0"/>
          <w:numId w:val="1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Deliver to the Agent (for distribution to the Lenders) and the Blackstone Representative:</w:t>
      </w:r>
    </w:p>
    <w:p>
      <w:pPr>
        <w:spacing w:after="0" w:line="215" w:lineRule="exact"/>
        <w:rPr>
          <w:rFonts w:ascii="Times New Roman" w:cs="Times New Roman" w:eastAsia="Times New Roman" w:hAnsi="Times New Roman"/>
          <w:sz w:val="20"/>
          <w:szCs w:val="20"/>
          <w:color w:val="auto"/>
        </w:rPr>
      </w:pPr>
    </w:p>
    <w:p>
      <w:pPr>
        <w:jc w:val="both"/>
        <w:ind w:left="840" w:firstLine="1489"/>
        <w:spacing w:after="0" w:line="263" w:lineRule="auto"/>
        <w:tabs>
          <w:tab w:leader="none" w:pos="2561" w:val="left"/>
        </w:tabs>
        <w:numPr>
          <w:ilvl w:val="1"/>
          <w:numId w:val="11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as soon as practicable following receipt thereof, copies of all environmental audits, site assessments, investigations, analyses and reports of any kind or character, whether prepared by personnel of Borrower or any of its Subsidiaries or by independent consultants, Governmental Authorities or any other Persons, with respect to any Environmental Claims, any violation of Environmental Laws, or any discovery of a Release or, to the Knowledge of the Credit Parties, threatened Release that, in each case, individually or in the aggregate, could reasonably be expected to result in a Material Adverse Change;</w:t>
      </w:r>
    </w:p>
    <w:p>
      <w:pPr>
        <w:spacing w:after="0" w:line="166" w:lineRule="exact"/>
        <w:rPr>
          <w:sz w:val="20"/>
          <w:szCs w:val="20"/>
          <w:color w:val="auto"/>
        </w:rPr>
      </w:pPr>
    </w:p>
    <w:p>
      <w:pPr>
        <w:jc w:val="both"/>
        <w:ind w:left="840" w:firstLine="1498"/>
        <w:spacing w:after="0" w:line="244" w:lineRule="auto"/>
        <w:rPr>
          <w:sz w:val="20"/>
          <w:szCs w:val="20"/>
          <w:color w:val="auto"/>
        </w:rPr>
      </w:pPr>
      <w:r>
        <w:rPr>
          <w:rFonts w:ascii="Times New Roman" w:cs="Times New Roman" w:eastAsia="Times New Roman" w:hAnsi="Times New Roman"/>
          <w:sz w:val="20"/>
          <w:szCs w:val="20"/>
          <w:color w:val="auto"/>
        </w:rPr>
        <w:t>(ii)promptly upon a Responsible Officer of any Credit Party or any of its Subsidiaries obtaining knowledge of the occurrence thereof, written notice describing in reasonable detail (A) any Release required to be reported to any federal, state or local governmental or Regulatory Agency under any applicable Environmental Laws, and (B) any removal or remedial action taken by any Credit Party or any other Person in response to (x) any Hazardous Materials Activities, the existence of which, individually or in the aggregate, could reasonably be expected to result in one or more Environmental Claims resulting in a Material Adverse Change, or (y) any Environmental Claims that, individually or in the aggregate, could reasonably be expected to result in a Material Adverse Change;</w:t>
      </w:r>
    </w:p>
    <w:p>
      <w:pPr>
        <w:spacing w:after="0" w:line="186" w:lineRule="exact"/>
        <w:rPr>
          <w:sz w:val="20"/>
          <w:szCs w:val="20"/>
          <w:color w:val="auto"/>
        </w:rPr>
      </w:pPr>
    </w:p>
    <w:p>
      <w:pPr>
        <w:jc w:val="both"/>
        <w:ind w:left="840" w:firstLine="1498"/>
        <w:spacing w:after="0" w:line="244" w:lineRule="auto"/>
        <w:rPr>
          <w:sz w:val="20"/>
          <w:szCs w:val="20"/>
          <w:color w:val="auto"/>
        </w:rPr>
      </w:pPr>
      <w:r>
        <w:rPr>
          <w:rFonts w:ascii="Times New Roman" w:cs="Times New Roman" w:eastAsia="Times New Roman" w:hAnsi="Times New Roman"/>
          <w:sz w:val="20"/>
          <w:szCs w:val="20"/>
          <w:color w:val="auto"/>
        </w:rPr>
        <w:t>(iii)as soon as practicable following the sending or receipt thereof by any Credit Party, a copy of any and all written communications with respect to (A) any Environmental Claims that, individually or in the aggregate, could reasonably be expected to result in a Material Adverse Change, (B) any Release required to be reported to any federal, state or local governmental or Regulatory Agency, or (C) any request for information from any Governmental Authority that suggests such Governmental Authority is investigating whether any Credit Party or any of its Subsidiaries may be potentially responsible for any Hazardous Materials Activity that, individually or in the aggregate, could reasonably be expected to result in a Material Adverse Change;</w:t>
      </w:r>
    </w:p>
    <w:p>
      <w:pPr>
        <w:spacing w:after="0" w:line="186" w:lineRule="exact"/>
        <w:rPr>
          <w:sz w:val="20"/>
          <w:szCs w:val="20"/>
          <w:color w:val="auto"/>
        </w:rPr>
      </w:pPr>
    </w:p>
    <w:p>
      <w:pPr>
        <w:jc w:val="both"/>
        <w:ind w:left="840" w:firstLine="1498"/>
        <w:spacing w:after="0" w:line="243" w:lineRule="auto"/>
        <w:rPr>
          <w:sz w:val="20"/>
          <w:szCs w:val="20"/>
          <w:color w:val="auto"/>
        </w:rPr>
      </w:pPr>
      <w:r>
        <w:rPr>
          <w:rFonts w:ascii="Times New Roman" w:cs="Times New Roman" w:eastAsia="Times New Roman" w:hAnsi="Times New Roman"/>
          <w:sz w:val="20"/>
          <w:szCs w:val="20"/>
          <w:color w:val="auto"/>
        </w:rPr>
        <w:t>(iv)prompt written notice describing in reasonable detail (A) any proposed acquisition of stock, assets, or property by Borrower or any of its Subsidiaries that, individually or in the aggregate, could reasonably be expected to (x) expose Borrower or any of its Subsidiaries to, or result in, Environmental Claims that could reasonably be expected to result in a Material Adverse Change or (y) affect the ability of Borrower or any of its Subsidiaries to maintain in full force and effect all material Governmental Approvals required under any Environmental Laws for their respective operations, and (B) any proposed action to be taken by Borrower or any of its Subsidiaries to modify current operations in a manner that, individually or together with any other such proposed actions, could reasonably be expected to subject Borrower or any of its Subsidiaries to any additional material obligations or requirements under any Environmental Laws; and</w:t>
      </w:r>
    </w:p>
    <w:p>
      <w:pPr>
        <w:spacing w:after="0" w:line="189" w:lineRule="exact"/>
        <w:rPr>
          <w:sz w:val="20"/>
          <w:szCs w:val="20"/>
          <w:color w:val="auto"/>
        </w:rPr>
      </w:pPr>
    </w:p>
    <w:p>
      <w:pPr>
        <w:jc w:val="both"/>
        <w:ind w:left="840" w:firstLine="1498"/>
        <w:spacing w:after="0" w:line="269" w:lineRule="auto"/>
        <w:rPr>
          <w:sz w:val="20"/>
          <w:szCs w:val="20"/>
          <w:color w:val="auto"/>
        </w:rPr>
      </w:pPr>
      <w:r>
        <w:rPr>
          <w:rFonts w:ascii="Times New Roman" w:cs="Times New Roman" w:eastAsia="Times New Roman" w:hAnsi="Times New Roman"/>
          <w:sz w:val="20"/>
          <w:szCs w:val="20"/>
          <w:color w:val="auto"/>
        </w:rPr>
        <w:t xml:space="preserve">(v)with reasonable promptness, such other documents and information as from time to time may be reasonably requested by the Blackstone Representative in relation to any matters disclosed pursuant to this </w:t>
      </w:r>
      <w:r>
        <w:rPr>
          <w:rFonts w:ascii="Times New Roman" w:cs="Times New Roman" w:eastAsia="Times New Roman" w:hAnsi="Times New Roman"/>
          <w:sz w:val="20"/>
          <w:szCs w:val="20"/>
          <w:u w:val="single" w:color="auto"/>
          <w:color w:val="auto"/>
        </w:rPr>
        <w:t>Section 5.15(a)</w:t>
      </w: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582930</wp:posOffset>
            </wp:positionV>
            <wp:extent cx="7157720" cy="4254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6141720</wp:posOffset>
            </wp:positionH>
            <wp:positionV relativeFrom="paragraph">
              <wp:posOffset>-46355</wp:posOffset>
            </wp:positionV>
            <wp:extent cx="31115" cy="889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8">
                      <a:extLst>
                        <a:ext uri="{28A0092B-C50C-407E-A947-70E740481C1C}"/>
                      </a:extLst>
                    </a:blip>
                    <a:srcRect/>
                    <a:stretch>
                      <a:fillRect/>
                    </a:stretch>
                  </pic:blipFill>
                  <pic:spPr bwMode="auto">
                    <a:xfrm>
                      <a:off x="0" y="0"/>
                      <a:ext cx="31115" cy="8890"/>
                    </a:xfrm>
                    <a:prstGeom prst="rect">
                      <a:avLst/>
                    </a:prstGeom>
                    <a:noFill/>
                  </pic:spPr>
                </pic:pic>
              </a:graphicData>
            </a:graphic>
          </wp:anchor>
        </w:drawing>
      </w:r>
    </w:p>
    <w:p>
      <w:pPr>
        <w:sectPr>
          <w:pgSz w:w="11900" w:h="16838" w:orient="portrait"/>
          <w:cols w:equalWidth="0" w:num="1">
            <w:col w:w="11160"/>
          </w:cols>
          <w:pgMar w:left="320" w:top="1426" w:right="419" w:bottom="1440" w:gutter="0" w:footer="0" w:header="0"/>
        </w:sectPr>
      </w:pPr>
    </w:p>
    <w:bookmarkStart w:id="207" w:name="page208"/>
    <w:bookmarkEnd w:id="207"/>
    <w:p>
      <w:pPr>
        <w:spacing w:after="0" w:line="180" w:lineRule="exact"/>
        <w:rPr>
          <w:sz w:val="20"/>
          <w:szCs w:val="20"/>
          <w:color w:val="auto"/>
        </w:rPr>
      </w:pPr>
    </w:p>
    <w:p>
      <w:pPr>
        <w:jc w:val="right"/>
        <w:ind w:right="4459"/>
        <w:spacing w:after="0"/>
        <w:rPr>
          <w:sz w:val="20"/>
          <w:szCs w:val="20"/>
          <w:color w:val="auto"/>
        </w:rPr>
      </w:pPr>
      <w:r>
        <w:rPr>
          <w:rFonts w:ascii="Times New Roman" w:cs="Times New Roman" w:eastAsia="Times New Roman" w:hAnsi="Times New Roman"/>
          <w:sz w:val="18"/>
          <w:szCs w:val="18"/>
          <w:color w:val="auto"/>
        </w:rPr>
        <w:t>43</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4905-3710-6484 v.17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600710</wp:posOffset>
            </wp:positionV>
            <wp:extent cx="7157720" cy="4254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208" w:name="page209"/>
    <w:bookmarkEnd w:id="208"/>
    <w:p>
      <w:pPr>
        <w:jc w:val="both"/>
        <w:ind w:firstLine="1580"/>
        <w:spacing w:after="0" w:line="246" w:lineRule="auto"/>
        <w:tabs>
          <w:tab w:leader="none" w:pos="1968" w:val="left"/>
        </w:tabs>
        <w:numPr>
          <w:ilvl w:val="0"/>
          <w:numId w:val="1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Credit Party shall, and shall cause each of its Subsidiaries to, promptly take any and all actions reasonably necessary to (i) cure any violation of applicable Environmental Laws by Borrower or any of its Subsidiaries that, individually or in the aggregate, could reasonably be expected to result in a Material Adverse Change, and (ii) make an appropriate response to any Environmental Claim against Borrower or any of its Subsidiaries and discharge any obligations it may have to any Person thereunder where failure to do so, individually or in the aggregate, could reasonably be expected to result in a Material Adverse Change.</w:t>
      </w:r>
    </w:p>
    <w:p>
      <w:pPr>
        <w:spacing w:after="0" w:line="181"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0"/>
          <w:szCs w:val="20"/>
          <w:b w:val="1"/>
          <w:bCs w:val="1"/>
          <w:color w:val="auto"/>
        </w:rPr>
        <w:t>5.16. Credit Party Minimum Coverage</w:t>
      </w:r>
      <w:r>
        <w:rPr>
          <w:rFonts w:ascii="Times New Roman" w:cs="Times New Roman" w:eastAsia="Times New Roman" w:hAnsi="Times New Roman"/>
          <w:sz w:val="20"/>
          <w:szCs w:val="20"/>
          <w:color w:val="auto"/>
        </w:rPr>
        <w:t>. In the event that Excluded Subsidiaries in the aggregate, (a) possess total assets as of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end of any fiscal quarter (commencing with the fiscal quarter ending on June 30, 2025), for which a Compliance Certificate has been delivered to the Agent and the Blackstone Representative greater than 5.00% of the consolidated total assets of Borrower and its Subsidiaries or (b) contribute to the consolidated revenues of the Borrower and its Subsidiaries for such fiscal quarter in an amount greater than 5.00% of the consolidated revenues of Borrower and its Subsidiaries for such period, in each case, determined in accordance with GAAP; then Borrower shall, within five (5) Business Days of the delivery of such Compliance Certificate (i) in consultation with the Lenders, designate in writing to Agent one or more of such Excluded Subsidiary(ies) which shall no longer be deemed to be Excluded Subsidiary(ies) such that the foregoing condition under each of clause (a) and clause (b) ceases to be true (an “</w:t>
      </w:r>
      <w:r>
        <w:rPr>
          <w:rFonts w:ascii="Times New Roman" w:cs="Times New Roman" w:eastAsia="Times New Roman" w:hAnsi="Times New Roman"/>
          <w:sz w:val="20"/>
          <w:szCs w:val="20"/>
          <w:b w:val="1"/>
          <w:bCs w:val="1"/>
          <w:color w:val="auto"/>
        </w:rPr>
        <w:t>Excluded Subsidiary</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Conversion</w:t>
      </w:r>
      <w:r>
        <w:rPr>
          <w:rFonts w:ascii="Times New Roman" w:cs="Times New Roman" w:eastAsia="Times New Roman" w:hAnsi="Times New Roman"/>
          <w:sz w:val="20"/>
          <w:szCs w:val="20"/>
          <w:color w:val="auto"/>
        </w:rPr>
        <w:t>”) and (ii) comply with the provisions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Sections 5.12</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5.13</w:t>
      </w:r>
      <w:r>
        <w:rPr>
          <w:rFonts w:ascii="Times New Roman" w:cs="Times New Roman" w:eastAsia="Times New Roman" w:hAnsi="Times New Roman"/>
          <w:sz w:val="20"/>
          <w:szCs w:val="20"/>
          <w:color w:val="auto"/>
        </w:rPr>
        <w:t>, applicable to any such designated Subsidiary (in each case,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the time periods applicable as if such Subsidiary(ies) had been formed or acquired at the time of such Excluded Subsidiary Conversion);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no Subsidiary (other than U.S. and Malta Credit Parties) shall be required to be added as a Guarantor if doing so would be expected to result in a material adverse tax consequence to the Borrower or its Subsidiaries, as reasonably and mutually determined by the Borrower and the Blackstone Representative and/or would result in, or would reasonably be expected to result in, a risk of personal or criminal liability for any officer, director, employee, manager, member of management or consultant of the relevant Guarantor to be added (in each case, whether as a result of financial assistance, corporate benefit, thin capitalization, capital maintenance or liquidity maintenance rules or other legal principles).</w:t>
      </w:r>
    </w:p>
    <w:p>
      <w:pPr>
        <w:spacing w:after="0" w:line="20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5.17. Post-Closing Covenant</w:t>
      </w:r>
      <w:r>
        <w:rPr>
          <w:rFonts w:ascii="Times New Roman" w:cs="Times New Roman" w:eastAsia="Times New Roman" w:hAnsi="Times New Roman"/>
          <w:sz w:val="20"/>
          <w:szCs w:val="20"/>
          <w:color w:val="auto"/>
        </w:rPr>
        <w:t>. Satisfy each of the requirements set forth below within the time period specified below:</w:t>
      </w:r>
    </w:p>
    <w:p>
      <w:pPr>
        <w:spacing w:after="0" w:line="233" w:lineRule="exact"/>
        <w:rPr>
          <w:sz w:val="20"/>
          <w:szCs w:val="20"/>
          <w:color w:val="auto"/>
        </w:rPr>
      </w:pPr>
    </w:p>
    <w:p>
      <w:pPr>
        <w:jc w:val="both"/>
        <w:ind w:firstLine="1580"/>
        <w:spacing w:after="0" w:line="249" w:lineRule="auto"/>
        <w:tabs>
          <w:tab w:leader="none" w:pos="2033" w:val="left"/>
        </w:tabs>
        <w:numPr>
          <w:ilvl w:val="0"/>
          <w:numId w:val="1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within five (5) Business Days after the Closing Date (or such longer time as the Blackstone Representative shall approve in its sole discretion), (i) each of the Malta Credit Parties, as applicable, and the Agent shall enter into the Malta Security Documents and (ii) the Blackstone Representative and the Agent shall have received an opinion from Mamo TCV Advocates, in each case, in form and substance reasonably satisfactory to the Blackstone Representative and the Agent;</w:t>
      </w:r>
    </w:p>
    <w:p>
      <w:pPr>
        <w:spacing w:after="0" w:line="179" w:lineRule="exact"/>
        <w:rPr>
          <w:rFonts w:ascii="Times New Roman" w:cs="Times New Roman" w:eastAsia="Times New Roman" w:hAnsi="Times New Roman"/>
          <w:sz w:val="20"/>
          <w:szCs w:val="20"/>
          <w:color w:val="auto"/>
        </w:rPr>
      </w:pPr>
    </w:p>
    <w:p>
      <w:pPr>
        <w:jc w:val="both"/>
        <w:ind w:firstLine="1580"/>
        <w:spacing w:after="0" w:line="254" w:lineRule="auto"/>
        <w:tabs>
          <w:tab w:leader="none" w:pos="2033" w:val="left"/>
        </w:tabs>
        <w:numPr>
          <w:ilvl w:val="0"/>
          <w:numId w:val="1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within thirty (30) days after the Closing Date (or such longer time as the Blackstone Representative shall approve in its sole discretion), each Credit Party shall cause each of Collateral Account to be subject to a Control Agreement in form and substance reasonably satisfactory to the Agent and the Blackstone Representative; and</w:t>
      </w:r>
    </w:p>
    <w:p>
      <w:pPr>
        <w:spacing w:after="0" w:line="174" w:lineRule="exact"/>
        <w:rPr>
          <w:rFonts w:ascii="Times New Roman" w:cs="Times New Roman" w:eastAsia="Times New Roman" w:hAnsi="Times New Roman"/>
          <w:sz w:val="20"/>
          <w:szCs w:val="20"/>
          <w:color w:val="auto"/>
        </w:rPr>
      </w:pPr>
    </w:p>
    <w:p>
      <w:pPr>
        <w:jc w:val="both"/>
        <w:ind w:firstLine="1580"/>
        <w:spacing w:after="0" w:line="249" w:lineRule="auto"/>
        <w:tabs>
          <w:tab w:leader="none" w:pos="2033" w:val="left"/>
        </w:tabs>
        <w:numPr>
          <w:ilvl w:val="0"/>
          <w:numId w:val="1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within thirty (30) days after the Closing Date (or such longer time as the Blackstone Representative shall approve in its sole discretion), the Malta Credit Parties and the Agent shall enter into a customary Irish law pledge agreement with respect to the Collateral Account of the Malta Credit Parties in form and substance reasonably satisfactory to the Agent and the Blackstone Representative.</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4905-3710-6484 v.17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600710</wp:posOffset>
            </wp:positionV>
            <wp:extent cx="7157720" cy="4254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13" w:right="419" w:bottom="1440" w:gutter="0" w:footer="0" w:header="0"/>
        </w:sectPr>
      </w:pPr>
    </w:p>
    <w:bookmarkStart w:id="209" w:name="page210"/>
    <w:bookmarkEnd w:id="209"/>
    <w:p>
      <w:pPr>
        <w:ind w:left="1160" w:hanging="403"/>
        <w:spacing w:after="0"/>
        <w:tabs>
          <w:tab w:leader="none" w:pos="1160" w:val="left"/>
        </w:tabs>
        <w:numPr>
          <w:ilvl w:val="0"/>
          <w:numId w:val="11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NEGATIVE COVENANTS</w:t>
      </w:r>
    </w:p>
    <w:p>
      <w:pPr>
        <w:spacing w:after="0" w:line="220"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Each Credit Party covenants and agrees that, until payment in full of all Obligations in cash in immediately available funds (other than inchoate indemnity obligations in respect of which no claim has been asserted), such Credit Party shall not, and shall cause each of its Subsidiaries not to:</w:t>
      </w:r>
    </w:p>
    <w:p>
      <w:pPr>
        <w:spacing w:after="0" w:line="157"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19"/>
          <w:szCs w:val="19"/>
          <w:b w:val="1"/>
          <w:bCs w:val="1"/>
          <w:color w:val="auto"/>
        </w:rPr>
        <w:t>6.1. Dispositions</w:t>
      </w:r>
      <w:r>
        <w:rPr>
          <w:rFonts w:ascii="Times New Roman" w:cs="Times New Roman" w:eastAsia="Times New Roman" w:hAnsi="Times New Roman"/>
          <w:sz w:val="19"/>
          <w:szCs w:val="19"/>
          <w:color w:val="auto"/>
        </w:rPr>
        <w:t>. Convey, sell, lease, sub-lease, transfer, assign, convey, contribute, covenant not to sue in relation to, enter into a</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coexistence agreement in relation to, grant any option, warrant or other right in relation to, exclusively or non-exclusively license or sub-license out, or otherwise dispose of (including (a) any sale-leaseback, (b) by way of merger or (c) pursuant to a plan of division), directly or indirectly and whether in one or a series of transactions (collectively, “</w:t>
      </w:r>
      <w:r>
        <w:rPr>
          <w:rFonts w:ascii="Times New Roman" w:cs="Times New Roman" w:eastAsia="Times New Roman" w:hAnsi="Times New Roman"/>
          <w:sz w:val="19"/>
          <w:szCs w:val="19"/>
          <w:b w:val="1"/>
          <w:bCs w:val="1"/>
          <w:color w:val="auto"/>
        </w:rPr>
        <w:t>Transfer</w:t>
      </w:r>
      <w:r>
        <w:rPr>
          <w:rFonts w:ascii="Times New Roman" w:cs="Times New Roman" w:eastAsia="Times New Roman" w:hAnsi="Times New Roman"/>
          <w:sz w:val="19"/>
          <w:szCs w:val="19"/>
          <w:color w:val="auto"/>
        </w:rPr>
        <w:t xml:space="preserve">”), all or any part of the property or assets of any kind, whether real, personal, or mixed and whether tangible or intangible, whether now owned or hereafter acquired (including accounts receivable and Equity Interests of Subsidiaries) of the Borrower or any of its Subsidiaries; except, in each case of this </w:t>
      </w:r>
      <w:r>
        <w:rPr>
          <w:rFonts w:ascii="Times New Roman" w:cs="Times New Roman" w:eastAsia="Times New Roman" w:hAnsi="Times New Roman"/>
          <w:sz w:val="19"/>
          <w:szCs w:val="19"/>
          <w:u w:val="single" w:color="auto"/>
          <w:color w:val="auto"/>
        </w:rPr>
        <w:t>Section 6.1</w:t>
      </w:r>
      <w:r>
        <w:rPr>
          <w:rFonts w:ascii="Times New Roman" w:cs="Times New Roman" w:eastAsia="Times New Roman" w:hAnsi="Times New Roman"/>
          <w:sz w:val="19"/>
          <w:szCs w:val="19"/>
          <w:color w:val="auto"/>
        </w:rPr>
        <w:t xml:space="preserve">, for Permitted Transfers;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in no event shall any Credit Party or any Subsidiary, directly or indirectly, Transfer any Intellectual Property to any Person, other than entering into a license arrangement as expressly permitted pursuant to </w:t>
      </w:r>
      <w:r>
        <w:rPr>
          <w:rFonts w:ascii="Times New Roman" w:cs="Times New Roman" w:eastAsia="Times New Roman" w:hAnsi="Times New Roman"/>
          <w:sz w:val="19"/>
          <w:szCs w:val="19"/>
          <w:u w:val="single" w:color="auto"/>
          <w:color w:val="auto"/>
        </w:rPr>
        <w:t>clauses (j)</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(k)</w:t>
      </w:r>
      <w:r>
        <w:rPr>
          <w:rFonts w:ascii="Times New Roman" w:cs="Times New Roman" w:eastAsia="Times New Roman" w:hAnsi="Times New Roman"/>
          <w:sz w:val="19"/>
          <w:szCs w:val="19"/>
          <w:color w:val="auto"/>
        </w:rPr>
        <w:t xml:space="preserve"> of the definition of “Permitted Transfer”. Notwithstanding anything else to the contrary in this Agreement, no Credit Party shall Transfer to any Subsidiary that is not a Credit Party, nor permit any Subsidiary that is not a Credit Party at any time to own, hold or have any rights to, any Material IP;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that this shall not prohibit licenses that are otherwise permitted pursuant to clause (k) of the definition of Permitted Transfer.</w:t>
      </w:r>
    </w:p>
    <w:p>
      <w:pPr>
        <w:spacing w:after="0" w:line="16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6.2. Fundamental Changes</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jc w:val="both"/>
        <w:ind w:firstLine="1580"/>
        <w:spacing w:after="0" w:line="246" w:lineRule="auto"/>
        <w:tabs>
          <w:tab w:leader="none" w:pos="2033" w:val="left"/>
        </w:tabs>
        <w:numPr>
          <w:ilvl w:val="0"/>
          <w:numId w:val="1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Without at least ten (10) Business Days prior written notice to the Agent, solely in the case of a Credit Party: (i) change its jurisdiction of organization, incorporation or formation; (ii) change its organizational structure or type; (iii) change its legal name; or (iv) change any organizational number (if any) assigned by its jurisdiction of organization, incorporation or formation;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in no event shall the Borrower change its jurisdiction of organization, incorporation or formation, or change its organizational structure or type, without the prior written consent of the Blackstone Representative.</w:t>
      </w:r>
    </w:p>
    <w:p>
      <w:pPr>
        <w:spacing w:after="0" w:line="184" w:lineRule="exact"/>
        <w:rPr>
          <w:rFonts w:ascii="Times New Roman" w:cs="Times New Roman" w:eastAsia="Times New Roman" w:hAnsi="Times New Roman"/>
          <w:sz w:val="20"/>
          <w:szCs w:val="20"/>
          <w:color w:val="auto"/>
        </w:rPr>
      </w:pPr>
    </w:p>
    <w:p>
      <w:pPr>
        <w:ind w:left="2040" w:hanging="460"/>
        <w:spacing w:after="0"/>
        <w:tabs>
          <w:tab w:leader="none" w:pos="2040" w:val="left"/>
        </w:tabs>
        <w:numPr>
          <w:ilvl w:val="0"/>
          <w:numId w:val="1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Permit a Credit Party to cease to be a Wholly-Owned Subsidiary of the Borrower or another Credit Party.</w:t>
      </w:r>
    </w:p>
    <w:p>
      <w:pPr>
        <w:spacing w:after="0" w:line="202" w:lineRule="exact"/>
        <w:rPr>
          <w:rFonts w:ascii="Times New Roman" w:cs="Times New Roman" w:eastAsia="Times New Roman" w:hAnsi="Times New Roman"/>
          <w:sz w:val="20"/>
          <w:szCs w:val="20"/>
          <w:color w:val="auto"/>
        </w:rPr>
      </w:pPr>
    </w:p>
    <w:p>
      <w:pPr>
        <w:jc w:val="both"/>
        <w:ind w:firstLine="1580"/>
        <w:spacing w:after="0" w:line="245" w:lineRule="auto"/>
        <w:tabs>
          <w:tab w:leader="none" w:pos="2033" w:val="left"/>
        </w:tabs>
        <w:numPr>
          <w:ilvl w:val="0"/>
          <w:numId w:val="1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Permit any Subsidiary of Borrower to issue any Equity Interests (whether for value or otherwise) to any Person other than (i) with respect to any Subsidiary of Borrower that is a Credit Party, the issuance of Equity Interests of such Credit Party to a Credit Party and (ii), with respect to any Subsidiary of Borrower that is not a Credit Party, to any other Subsidiary of Borrower, provided that no such issuance shall cause a Subsidiary that is (A) a Wholly-Owned Subsidiary of a Credit Party to cease to be wholly-owned by such Credit Party, or (B) majority-owned by a Credit Party to cease to be majority-owned by a Credit Party, other than pursuant to a Permitted Transfer.</w:t>
      </w:r>
    </w:p>
    <w:p>
      <w:pPr>
        <w:spacing w:after="0" w:line="184" w:lineRule="exact"/>
        <w:rPr>
          <w:rFonts w:ascii="Times New Roman" w:cs="Times New Roman" w:eastAsia="Times New Roman" w:hAnsi="Times New Roman"/>
          <w:sz w:val="20"/>
          <w:szCs w:val="20"/>
          <w:color w:val="auto"/>
        </w:rPr>
      </w:pPr>
    </w:p>
    <w:p>
      <w:pPr>
        <w:jc w:val="both"/>
        <w:ind w:firstLine="1580"/>
        <w:spacing w:after="0" w:line="254" w:lineRule="auto"/>
        <w:tabs>
          <w:tab w:leader="none" w:pos="2033" w:val="left"/>
        </w:tabs>
        <w:numPr>
          <w:ilvl w:val="0"/>
          <w:numId w:val="1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Permit a Wholly-Owned Subsidiary of a Credit Party to cease to be a Wholly-Owned Subsidiary of such Credit Party, other than in connection with a Permitted Transfer of all of the Equity Interests of such Wholly-Owned Subsidiary to a Person that is not a Credit Party or Subsidiary thereof.</w:t>
      </w:r>
    </w:p>
    <w:p>
      <w:pPr>
        <w:spacing w:after="0" w:line="17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6.3. Mergers, Acquisitions, Liquidations or Dissolutions</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jc w:val="both"/>
        <w:ind w:firstLine="1580"/>
        <w:spacing w:after="0" w:line="254" w:lineRule="auto"/>
        <w:tabs>
          <w:tab w:leader="none" w:pos="1968" w:val="left"/>
        </w:tabs>
        <w:numPr>
          <w:ilvl w:val="0"/>
          <w:numId w:val="1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Merge, amalgamate, consolidate, divide itself into two (2) or more entities, liquidate or dissolve, or permit any of its Subsidiaries to merge, amalgamate, consolidate, divide itself into two (2) or more entities, liquidate or dissolve with or into any other Person, except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592455</wp:posOffset>
            </wp:positionV>
            <wp:extent cx="7157720" cy="4254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22" w:right="419" w:bottom="1440" w:gutter="0" w:footer="0" w:header="0"/>
        </w:sectPr>
      </w:pPr>
    </w:p>
    <w:bookmarkStart w:id="210" w:name="page211"/>
    <w:bookmarkEnd w:id="210"/>
    <w:p>
      <w:pPr>
        <w:spacing w:after="0" w:line="194" w:lineRule="exact"/>
        <w:rPr>
          <w:sz w:val="20"/>
          <w:szCs w:val="20"/>
          <w:color w:val="auto"/>
        </w:rPr>
      </w:pPr>
    </w:p>
    <w:p>
      <w:pPr>
        <w:jc w:val="right"/>
        <w:ind w:right="4459"/>
        <w:spacing w:after="0"/>
        <w:rPr>
          <w:sz w:val="20"/>
          <w:szCs w:val="20"/>
          <w:color w:val="auto"/>
        </w:rPr>
      </w:pPr>
      <w:r>
        <w:rPr>
          <w:rFonts w:ascii="Times New Roman" w:cs="Times New Roman" w:eastAsia="Times New Roman" w:hAnsi="Times New Roman"/>
          <w:sz w:val="18"/>
          <w:szCs w:val="18"/>
          <w:color w:val="auto"/>
        </w:rPr>
        <w:t>45</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4905-3710-6484 v.17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600710</wp:posOffset>
            </wp:positionV>
            <wp:extent cx="7157720" cy="4254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211" w:name="page212"/>
    <w:bookmarkEnd w:id="211"/>
    <w:p>
      <w:pPr>
        <w:ind w:left="2320"/>
        <w:spacing w:after="0"/>
        <w:rPr>
          <w:sz w:val="20"/>
          <w:szCs w:val="20"/>
          <w:color w:val="auto"/>
        </w:rPr>
      </w:pPr>
      <w:r>
        <w:rPr>
          <w:rFonts w:ascii="Times New Roman" w:cs="Times New Roman" w:eastAsia="Times New Roman" w:hAnsi="Times New Roman"/>
          <w:sz w:val="19"/>
          <w:szCs w:val="19"/>
          <w:color w:val="auto"/>
        </w:rPr>
        <w:t xml:space="preserve">(i) any Subsidiary of Borrower may merge or consolidate with or into Borrower,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Borrower is the</w:t>
      </w:r>
    </w:p>
    <w:p>
      <w:pPr>
        <w:spacing w:after="0" w:line="33"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0"/>
          <w:szCs w:val="20"/>
          <w:color w:val="auto"/>
        </w:rPr>
        <w:t>surviving entity,</w:t>
      </w:r>
    </w:p>
    <w:p>
      <w:pPr>
        <w:spacing w:after="0" w:line="194" w:lineRule="exact"/>
        <w:rPr>
          <w:sz w:val="20"/>
          <w:szCs w:val="20"/>
          <w:color w:val="auto"/>
        </w:rPr>
      </w:pPr>
    </w:p>
    <w:p>
      <w:pPr>
        <w:jc w:val="both"/>
        <w:ind w:left="840" w:firstLine="1498"/>
        <w:spacing w:after="0" w:line="246" w:lineRule="auto"/>
        <w:rPr>
          <w:sz w:val="20"/>
          <w:szCs w:val="20"/>
          <w:color w:val="auto"/>
        </w:rPr>
      </w:pPr>
      <w:r>
        <w:rPr>
          <w:rFonts w:ascii="Times New Roman" w:cs="Times New Roman" w:eastAsia="Times New Roman" w:hAnsi="Times New Roman"/>
          <w:sz w:val="20"/>
          <w:szCs w:val="20"/>
          <w:color w:val="auto"/>
        </w:rPr>
        <w:t xml:space="preserve">(ii)any Subsidiary of Borrower may merge or consolidate with any other Subsidiary of Borrower,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any party to such merger or consolidation is a Credit Party, then either (x) such Credit Party is the surviving entity, or (y) the surviving or resulting entity executes and delivers to the Agent a joinder to the Security Agreement in the form attached thereto and any other Collateral Documents, as applicable, and otherwise satisfies the requirements of </w:t>
      </w:r>
      <w:r>
        <w:rPr>
          <w:rFonts w:ascii="Times New Roman" w:cs="Times New Roman" w:eastAsia="Times New Roman" w:hAnsi="Times New Roman"/>
          <w:sz w:val="20"/>
          <w:szCs w:val="20"/>
          <w:u w:val="single" w:color="auto"/>
          <w:color w:val="auto"/>
        </w:rPr>
        <w:t>Section 5.13</w:t>
      </w:r>
      <w:r>
        <w:rPr>
          <w:rFonts w:ascii="Times New Roman" w:cs="Times New Roman" w:eastAsia="Times New Roman" w:hAnsi="Times New Roman"/>
          <w:sz w:val="20"/>
          <w:szCs w:val="20"/>
          <w:color w:val="auto"/>
        </w:rPr>
        <w:t xml:space="preserve"> substantially contemporaneously with completion of such merger or consolidation to;</w:t>
      </w:r>
    </w:p>
    <w:p>
      <w:pPr>
        <w:spacing w:after="0" w:line="185" w:lineRule="exact"/>
        <w:rPr>
          <w:sz w:val="20"/>
          <w:szCs w:val="20"/>
          <w:color w:val="auto"/>
        </w:rPr>
      </w:pPr>
    </w:p>
    <w:p>
      <w:pPr>
        <w:jc w:val="both"/>
        <w:ind w:left="840" w:firstLine="1498"/>
        <w:spacing w:after="0" w:line="269" w:lineRule="auto"/>
        <w:rPr>
          <w:sz w:val="20"/>
          <w:szCs w:val="20"/>
          <w:color w:val="auto"/>
        </w:rPr>
      </w:pPr>
      <w:r>
        <w:rPr>
          <w:rFonts w:ascii="Times New Roman" w:cs="Times New Roman" w:eastAsia="Times New Roman" w:hAnsi="Times New Roman"/>
          <w:sz w:val="20"/>
          <w:szCs w:val="20"/>
          <w:color w:val="auto"/>
        </w:rPr>
        <w:t xml:space="preserve">(iii)any Subsidiary of Borrower may liquidate or dissolve,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properties and assets of such Subsidiary are distributed or otherwise transferred to the Borrower or any other Credit Party;</w:t>
      </w:r>
    </w:p>
    <w:p>
      <w:pPr>
        <w:spacing w:after="0" w:line="146" w:lineRule="exact"/>
        <w:rPr>
          <w:sz w:val="20"/>
          <w:szCs w:val="20"/>
          <w:color w:val="auto"/>
        </w:rPr>
      </w:pPr>
    </w:p>
    <w:p>
      <w:pPr>
        <w:jc w:val="both"/>
        <w:ind w:left="840" w:firstLine="1498"/>
        <w:spacing w:after="0" w:line="266" w:lineRule="auto"/>
        <w:rPr>
          <w:sz w:val="20"/>
          <w:szCs w:val="20"/>
          <w:color w:val="auto"/>
        </w:rPr>
      </w:pPr>
      <w:r>
        <w:rPr>
          <w:rFonts w:ascii="Times New Roman" w:cs="Times New Roman" w:eastAsia="Times New Roman" w:hAnsi="Times New Roman"/>
          <w:sz w:val="19"/>
          <w:szCs w:val="19"/>
          <w:color w:val="auto"/>
        </w:rPr>
        <w:t xml:space="preserve">(iv)any Subsidiary of Borrower may divide itself into two (2) or more entities,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the properties and assets of such Subsidiary are allocated or distributed to an existing or newly-formed Credit Party or such resulting entity executes and delivers to the Agent a joinder to the Security Agreement in the form attached thereto and any other Collateral Documents, as applicable, and otherwise satisfies the requirements of </w:t>
      </w:r>
      <w:r>
        <w:rPr>
          <w:rFonts w:ascii="Times New Roman" w:cs="Times New Roman" w:eastAsia="Times New Roman" w:hAnsi="Times New Roman"/>
          <w:sz w:val="19"/>
          <w:szCs w:val="19"/>
          <w:u w:val="single" w:color="auto"/>
          <w:color w:val="auto"/>
        </w:rPr>
        <w:t>Section 5.13</w:t>
      </w:r>
      <w:r>
        <w:rPr>
          <w:rFonts w:ascii="Times New Roman" w:cs="Times New Roman" w:eastAsia="Times New Roman" w:hAnsi="Times New Roman"/>
          <w:sz w:val="19"/>
          <w:szCs w:val="19"/>
          <w:color w:val="auto"/>
        </w:rPr>
        <w:t xml:space="preserve"> substantially contemporaneously therewith; and</w:t>
      </w:r>
    </w:p>
    <w:p>
      <w:pPr>
        <w:spacing w:after="0" w:line="165" w:lineRule="exact"/>
        <w:rPr>
          <w:sz w:val="20"/>
          <w:szCs w:val="20"/>
          <w:color w:val="auto"/>
        </w:rPr>
      </w:pPr>
    </w:p>
    <w:p>
      <w:pPr>
        <w:jc w:val="both"/>
        <w:ind w:left="840" w:firstLine="1498"/>
        <w:spacing w:after="0" w:line="244" w:lineRule="auto"/>
        <w:rPr>
          <w:sz w:val="20"/>
          <w:szCs w:val="20"/>
          <w:color w:val="auto"/>
        </w:rPr>
      </w:pPr>
      <w:r>
        <w:rPr>
          <w:rFonts w:ascii="Times New Roman" w:cs="Times New Roman" w:eastAsia="Times New Roman" w:hAnsi="Times New Roman"/>
          <w:sz w:val="20"/>
          <w:szCs w:val="20"/>
          <w:color w:val="auto"/>
        </w:rPr>
        <w:t xml:space="preserve">(v)in connection with any Permitted Investment, the Borrower or any of its Subsidiaries may merge or consolidate with any other Person;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the Person surviving such merger with any Subsidiary shall be a direct or indirect Wholly-Owned Subsidiary of the Borrower, (ii) in the case of any such merger or consolidation to which the Borrower is a party, the Borrower is the surviving entity, and (iii) in the case of any such merger or consolidation to which a Guarantor is a party, (x) such Guarantor is the surviving entity, or (y) the surviving or resulting entity executes and delivers to the Agent a joinder to the Security Agreement in the form attached thereto and any other Collateral Documents, as applicable, and otherwise satisfies the requirements of </w:t>
      </w:r>
      <w:r>
        <w:rPr>
          <w:rFonts w:ascii="Times New Roman" w:cs="Times New Roman" w:eastAsia="Times New Roman" w:hAnsi="Times New Roman"/>
          <w:sz w:val="20"/>
          <w:szCs w:val="20"/>
          <w:u w:val="single" w:color="auto"/>
          <w:color w:val="auto"/>
        </w:rPr>
        <w:t>Section 5.13</w:t>
      </w:r>
      <w:r>
        <w:rPr>
          <w:rFonts w:ascii="Times New Roman" w:cs="Times New Roman" w:eastAsia="Times New Roman" w:hAnsi="Times New Roman"/>
          <w:sz w:val="20"/>
          <w:szCs w:val="20"/>
          <w:color w:val="auto"/>
        </w:rPr>
        <w:t xml:space="preserve"> substantially contemporaneously with completion of such merger or consolidation.</w:t>
      </w:r>
    </w:p>
    <w:p>
      <w:pPr>
        <w:spacing w:after="0" w:line="199" w:lineRule="exact"/>
        <w:rPr>
          <w:sz w:val="20"/>
          <w:szCs w:val="20"/>
          <w:color w:val="auto"/>
        </w:rPr>
      </w:pPr>
    </w:p>
    <w:p>
      <w:pPr>
        <w:ind w:left="2040" w:hanging="460"/>
        <w:spacing w:after="0"/>
        <w:tabs>
          <w:tab w:leader="none" w:pos="2040" w:val="left"/>
        </w:tabs>
        <w:numPr>
          <w:ilvl w:val="0"/>
          <w:numId w:val="1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make, or permit any of its Subsidiaries to make, Acquisitions, other than Permitted Acquisitions or Permitted</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Investments.</w:t>
      </w:r>
    </w:p>
    <w:p>
      <w:pPr>
        <w:spacing w:after="0" w:line="180" w:lineRule="exact"/>
        <w:rPr>
          <w:sz w:val="20"/>
          <w:szCs w:val="20"/>
          <w:color w:val="auto"/>
        </w:rPr>
      </w:pPr>
    </w:p>
    <w:p>
      <w:pPr>
        <w:ind w:left="1580"/>
        <w:spacing w:after="0"/>
        <w:tabs>
          <w:tab w:leader="none" w:pos="2020" w:val="left"/>
        </w:tabs>
        <w:rPr>
          <w:sz w:val="20"/>
          <w:szCs w:val="20"/>
          <w:color w:val="auto"/>
        </w:rPr>
      </w:pPr>
      <w:r>
        <w:rPr>
          <w:rFonts w:ascii="Times New Roman" w:cs="Times New Roman" w:eastAsia="Times New Roman" w:hAnsi="Times New Roman"/>
          <w:sz w:val="20"/>
          <w:szCs w:val="20"/>
          <w:color w:val="auto"/>
        </w:rPr>
        <w:t>(c)</w:t>
        <w:tab/>
        <w:t>form or acquire, for so long as a Default of Event of Default shall have occurred and be continuing, any</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Subsidiary.</w:t>
      </w:r>
    </w:p>
    <w:p>
      <w:pPr>
        <w:spacing w:after="0" w:line="203" w:lineRule="exact"/>
        <w:rPr>
          <w:sz w:val="20"/>
          <w:szCs w:val="20"/>
          <w:color w:val="auto"/>
        </w:rPr>
      </w:pPr>
    </w:p>
    <w:p>
      <w:pPr>
        <w:jc w:val="center"/>
        <w:ind w:right="1220"/>
        <w:spacing w:after="0"/>
        <w:rPr>
          <w:sz w:val="20"/>
          <w:szCs w:val="20"/>
          <w:color w:val="auto"/>
        </w:rPr>
      </w:pPr>
      <w:r>
        <w:rPr>
          <w:rFonts w:ascii="Times New Roman" w:cs="Times New Roman" w:eastAsia="Times New Roman" w:hAnsi="Times New Roman"/>
          <w:sz w:val="20"/>
          <w:szCs w:val="20"/>
          <w:b w:val="1"/>
          <w:bCs w:val="1"/>
          <w:color w:val="auto"/>
        </w:rPr>
        <w:t>6.4. Indebtedness</w:t>
      </w:r>
      <w:r>
        <w:rPr>
          <w:rFonts w:ascii="Times New Roman" w:cs="Times New Roman" w:eastAsia="Times New Roman" w:hAnsi="Times New Roman"/>
          <w:sz w:val="20"/>
          <w:szCs w:val="20"/>
          <w:color w:val="auto"/>
        </w:rPr>
        <w:t>. Directly or indirectly, create, incur, assume, permit to exist or guaranty, or</w:t>
      </w:r>
    </w:p>
    <w:p>
      <w:pPr>
        <w:spacing w:after="0" w:line="26" w:lineRule="exact"/>
        <w:rPr>
          <w:sz w:val="20"/>
          <w:szCs w:val="20"/>
          <w:color w:val="auto"/>
        </w:rPr>
      </w:pPr>
    </w:p>
    <w:p>
      <w:pPr>
        <w:jc w:val="center"/>
        <w:ind w:right="1280"/>
        <w:spacing w:after="0"/>
        <w:rPr>
          <w:sz w:val="20"/>
          <w:szCs w:val="20"/>
          <w:color w:val="auto"/>
        </w:rPr>
      </w:pPr>
      <w:r>
        <w:rPr>
          <w:rFonts w:ascii="Times New Roman" w:cs="Times New Roman" w:eastAsia="Times New Roman" w:hAnsi="Times New Roman"/>
          <w:sz w:val="19"/>
          <w:szCs w:val="19"/>
          <w:color w:val="auto"/>
        </w:rPr>
        <w:t>otherwise become or remain directly or indirectly liable with respect to, any Indebtedness that is not Permitted Indebtedness.</w:t>
      </w:r>
    </w:p>
    <w:p>
      <w:pPr>
        <w:spacing w:after="0" w:line="201"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20"/>
          <w:szCs w:val="20"/>
          <w:b w:val="1"/>
          <w:bCs w:val="1"/>
          <w:color w:val="auto"/>
        </w:rPr>
        <w:t>6.5. Encumbrances</w:t>
      </w:r>
      <w:r>
        <w:rPr>
          <w:rFonts w:ascii="Times New Roman" w:cs="Times New Roman" w:eastAsia="Times New Roman" w:hAnsi="Times New Roman"/>
          <w:sz w:val="20"/>
          <w:szCs w:val="20"/>
          <w:color w:val="auto"/>
        </w:rPr>
        <w:t>. Except for Permitted Liens, (i) create, incur, allow, or suffer to exist any</w:t>
      </w:r>
    </w:p>
    <w:p>
      <w:pPr>
        <w:spacing w:after="0" w:line="26"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0"/>
          <w:szCs w:val="20"/>
          <w:color w:val="auto"/>
        </w:rPr>
        <w:t xml:space="preserve">Lien on any property or asset of the Borrower or any of its Subsidiaries;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in no event shall any Credit Party or Subsidiary permit any Product, or Product IP to be subject to a Lien incurred in connection with Indebtedness for borrowed money (other than the Obligations) or (ii) permit (other than pursuant to the terms of the Loan Documents) any property and assets of the Credit Parties (other than Excluded Assets) to not be subject to the first priority security interest granted in the Loan Documents or otherwise pursuant to the Collateral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600710</wp:posOffset>
            </wp:positionV>
            <wp:extent cx="7157720" cy="4254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26" w:right="419" w:bottom="1440" w:gutter="0" w:footer="0" w:header="0"/>
        </w:sectPr>
      </w:pPr>
    </w:p>
    <w:bookmarkStart w:id="212" w:name="page213"/>
    <w:bookmarkEnd w:id="212"/>
    <w:p>
      <w:pPr>
        <w:spacing w:after="0" w:line="185"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20"/>
          <w:szCs w:val="20"/>
          <w:b w:val="1"/>
          <w:bCs w:val="1"/>
          <w:color w:val="auto"/>
        </w:rPr>
        <w:t>6.6. No Further Negative Pledges</w:t>
      </w:r>
      <w:r>
        <w:rPr>
          <w:rFonts w:ascii="Times New Roman" w:cs="Times New Roman" w:eastAsia="Times New Roman" w:hAnsi="Times New Roman"/>
          <w:sz w:val="20"/>
          <w:szCs w:val="20"/>
          <w:color w:val="auto"/>
        </w:rPr>
        <w:t>. Enter into any agreement, document or instrument directly</w:t>
      </w:r>
    </w:p>
    <w:p>
      <w:pPr>
        <w:spacing w:after="0" w:line="26"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20"/>
          <w:szCs w:val="20"/>
          <w:color w:val="auto"/>
        </w:rPr>
        <w:t>or indirectly prohibiting (or having the effect of prohibiting), restricting, imposing any condition upon or otherwise limiting the ability of such Credit Party or Subsidiary to create, incur, assume or suffer to exist</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4905-3710-6484 v.17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600710</wp:posOffset>
            </wp:positionV>
            <wp:extent cx="7157720" cy="4254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213" w:name="page214"/>
    <w:bookmarkEnd w:id="213"/>
    <w:p>
      <w:pPr>
        <w:jc w:val="both"/>
        <w:spacing w:after="0" w:line="254" w:lineRule="auto"/>
        <w:rPr>
          <w:sz w:val="20"/>
          <w:szCs w:val="20"/>
          <w:color w:val="auto"/>
        </w:rPr>
      </w:pPr>
      <w:r>
        <w:rPr>
          <w:rFonts w:ascii="Times New Roman" w:cs="Times New Roman" w:eastAsia="Times New Roman" w:hAnsi="Times New Roman"/>
          <w:sz w:val="20"/>
          <w:szCs w:val="20"/>
          <w:color w:val="auto"/>
        </w:rPr>
        <w:t xml:space="preserve">any Lien upon any Collateral, whether now owned or hereafter acquired, in favor and for the benefit of the Agent and the other Secured Parties with respect to the Obligations or under the Loan Documents, in each case of this </w:t>
      </w:r>
      <w:r>
        <w:rPr>
          <w:rFonts w:ascii="Times New Roman" w:cs="Times New Roman" w:eastAsia="Times New Roman" w:hAnsi="Times New Roman"/>
          <w:sz w:val="20"/>
          <w:szCs w:val="20"/>
          <w:u w:val="single" w:color="auto"/>
          <w:color w:val="auto"/>
        </w:rPr>
        <w:t>Section 6.6(a)</w:t>
      </w:r>
      <w:r>
        <w:rPr>
          <w:rFonts w:ascii="Times New Roman" w:cs="Times New Roman" w:eastAsia="Times New Roman" w:hAnsi="Times New Roman"/>
          <w:sz w:val="20"/>
          <w:szCs w:val="20"/>
          <w:color w:val="auto"/>
        </w:rPr>
        <w:t>, other than Permitted Negative Pledges.</w:t>
      </w:r>
    </w:p>
    <w:p>
      <w:pPr>
        <w:spacing w:after="0" w:line="170" w:lineRule="exact"/>
        <w:rPr>
          <w:sz w:val="20"/>
          <w:szCs w:val="20"/>
          <w:color w:val="auto"/>
        </w:rPr>
      </w:pPr>
    </w:p>
    <w:p>
      <w:pPr>
        <w:ind w:right="2660" w:firstLine="1145"/>
        <w:spacing w:after="0" w:line="273" w:lineRule="auto"/>
        <w:rPr>
          <w:sz w:val="20"/>
          <w:szCs w:val="20"/>
          <w:color w:val="auto"/>
        </w:rPr>
      </w:pPr>
      <w:r>
        <w:rPr>
          <w:rFonts w:ascii="Times New Roman" w:cs="Times New Roman" w:eastAsia="Times New Roman" w:hAnsi="Times New Roman"/>
          <w:sz w:val="20"/>
          <w:szCs w:val="20"/>
          <w:b w:val="1"/>
          <w:bCs w:val="1"/>
          <w:color w:val="auto"/>
        </w:rPr>
        <w:t>6.7. Maintenance of Collateral Accounts</w:t>
      </w:r>
      <w:r>
        <w:rPr>
          <w:rFonts w:ascii="Times New Roman" w:cs="Times New Roman" w:eastAsia="Times New Roman" w:hAnsi="Times New Roman"/>
          <w:sz w:val="20"/>
          <w:szCs w:val="20"/>
          <w:color w:val="auto"/>
        </w:rPr>
        <w:t>. Maintain any Collateral Account except pursuant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to the terms of </w:t>
      </w:r>
      <w:r>
        <w:rPr>
          <w:rFonts w:ascii="Times New Roman" w:cs="Times New Roman" w:eastAsia="Times New Roman" w:hAnsi="Times New Roman"/>
          <w:sz w:val="20"/>
          <w:szCs w:val="20"/>
          <w:u w:val="single" w:color="auto"/>
          <w:color w:val="auto"/>
        </w:rPr>
        <w:t>Section 5.5</w:t>
      </w:r>
      <w:r>
        <w:rPr>
          <w:rFonts w:ascii="Times New Roman" w:cs="Times New Roman" w:eastAsia="Times New Roman" w:hAnsi="Times New Roman"/>
          <w:sz w:val="20"/>
          <w:szCs w:val="20"/>
          <w:color w:val="auto"/>
        </w:rPr>
        <w:t xml:space="preserve"> hereof.</w:t>
      </w:r>
    </w:p>
    <w:p>
      <w:pPr>
        <w:spacing w:after="0" w:line="15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0"/>
          <w:szCs w:val="20"/>
          <w:b w:val="1"/>
          <w:bCs w:val="1"/>
          <w:color w:val="auto"/>
        </w:rPr>
        <w:t>6.8. Distributions; Investments</w:t>
      </w:r>
      <w:r>
        <w:rPr>
          <w:rFonts w:ascii="Times New Roman" w:cs="Times New Roman" w:eastAsia="Times New Roman" w:hAnsi="Times New Roman"/>
          <w:sz w:val="20"/>
          <w:szCs w:val="20"/>
          <w:color w:val="auto"/>
        </w:rPr>
        <w:t>.</w:t>
      </w:r>
    </w:p>
    <w:p>
      <w:pPr>
        <w:spacing w:after="0" w:line="206" w:lineRule="exact"/>
        <w:rPr>
          <w:sz w:val="20"/>
          <w:szCs w:val="20"/>
          <w:color w:val="auto"/>
        </w:rPr>
      </w:pPr>
    </w:p>
    <w:p>
      <w:pPr>
        <w:jc w:val="both"/>
        <w:ind w:firstLine="1580"/>
        <w:spacing w:after="0" w:line="245" w:lineRule="auto"/>
        <w:tabs>
          <w:tab w:leader="none" w:pos="2036" w:val="left"/>
        </w:tabs>
        <w:numPr>
          <w:ilvl w:val="0"/>
          <w:numId w:val="1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Directly or indirectly declare or pay any dividends or make any distribution or payment on or redeem, retire, defease, acquire, cancel, terminate or purchase (or set apart assets for a sinking or other analogous fund for the redemption, retirement, defeasance, acquisition, cancellation, termination or purchase of) any Equity Interests (or warrants, options or other right or obligation to purchase of acquire any such Equity Interests), whether in cash, property or obligations (each, a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20"/>
          <w:szCs w:val="20"/>
          <w:b w:val="1"/>
          <w:bCs w:val="1"/>
          <w:color w:val="auto"/>
        </w:rPr>
        <w:t>Restricted Distribution</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20"/>
          <w:szCs w:val="20"/>
          <w:color w:val="auto"/>
        </w:rPr>
        <w:t xml:space="preserve">), except, in each case of this </w:t>
      </w:r>
      <w:r>
        <w:rPr>
          <w:rFonts w:ascii="Times New Roman" w:cs="Times New Roman" w:eastAsia="Times New Roman" w:hAnsi="Times New Roman"/>
          <w:sz w:val="20"/>
          <w:szCs w:val="20"/>
          <w:u w:val="single" w:color="auto"/>
          <w:color w:val="auto"/>
        </w:rPr>
        <w:t>Section 6.8</w:t>
      </w:r>
      <w:r>
        <w:rPr>
          <w:rFonts w:ascii="Times New Roman" w:cs="Times New Roman" w:eastAsia="Times New Roman" w:hAnsi="Times New Roman"/>
          <w:sz w:val="20"/>
          <w:szCs w:val="20"/>
          <w:color w:val="auto"/>
        </w:rPr>
        <w:t>, so long as no Default or Event of Default has occurred and is continuing or could reasonably be expected to occur or result therefrom, for Permitted Distributions.</w:t>
      </w:r>
    </w:p>
    <w:p>
      <w:pPr>
        <w:spacing w:after="0" w:line="197" w:lineRule="exact"/>
        <w:rPr>
          <w:rFonts w:ascii="Times New Roman" w:cs="Times New Roman" w:eastAsia="Times New Roman" w:hAnsi="Times New Roman"/>
          <w:sz w:val="20"/>
          <w:szCs w:val="20"/>
          <w:color w:val="auto"/>
        </w:rPr>
      </w:pPr>
    </w:p>
    <w:p>
      <w:pPr>
        <w:ind w:left="2040" w:hanging="460"/>
        <w:spacing w:after="0"/>
        <w:tabs>
          <w:tab w:leader="none" w:pos="2040" w:val="left"/>
        </w:tabs>
        <w:numPr>
          <w:ilvl w:val="0"/>
          <w:numId w:val="1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Directly or indirectly make any Investment other than Permitted Investments.</w:t>
      </w:r>
    </w:p>
    <w:p>
      <w:pPr>
        <w:spacing w:after="0" w:line="202" w:lineRule="exact"/>
        <w:rPr>
          <w:rFonts w:ascii="Times New Roman" w:cs="Times New Roman" w:eastAsia="Times New Roman" w:hAnsi="Times New Roman"/>
          <w:sz w:val="20"/>
          <w:szCs w:val="20"/>
          <w:color w:val="auto"/>
        </w:rPr>
      </w:pPr>
    </w:p>
    <w:p>
      <w:pPr>
        <w:jc w:val="both"/>
        <w:ind w:firstLine="1580"/>
        <w:spacing w:after="0" w:line="246" w:lineRule="auto"/>
        <w:tabs>
          <w:tab w:leader="none" w:pos="2036" w:val="left"/>
        </w:tabs>
        <w:numPr>
          <w:ilvl w:val="0"/>
          <w:numId w:val="1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the generality of the foregoing clauses (a) and (b), in no event shall (x) a Credit Party, directly or indirectly, make a Restricted Distribution or Investment with any Intellectual Property to any Person other than licenses constituting Permitted Transfers permitted pursuant to clause (j) or (k) of the definition of Permitted Transfers, (y) the Borrower, directly or indirectly, make any Restricted Distribution that is not in the form of cash or Qualified Equity Interests, or (z) a Credit Party, directly or indirectly, make any Restricted Distribution to a Subsidiary that is not a Credit Party.</w:t>
      </w:r>
    </w:p>
    <w:p>
      <w:pPr>
        <w:spacing w:after="0" w:line="19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0"/>
          <w:szCs w:val="20"/>
          <w:b w:val="1"/>
          <w:bCs w:val="1"/>
          <w:color w:val="auto"/>
        </w:rPr>
        <w:t>6.9. No Restrictions on Subsidiary Distributions</w:t>
      </w:r>
      <w:r>
        <w:rPr>
          <w:rFonts w:ascii="Times New Roman" w:cs="Times New Roman" w:eastAsia="Times New Roman" w:hAnsi="Times New Roman"/>
          <w:sz w:val="20"/>
          <w:szCs w:val="20"/>
          <w:color w:val="auto"/>
        </w:rPr>
        <w:t>. Enter into any agreement, document or</w:t>
      </w:r>
    </w:p>
    <w:p>
      <w:pPr>
        <w:spacing w:after="0" w:line="26"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color w:val="auto"/>
        </w:rPr>
        <w:t>instrument directly or indirectly prohibiting (or having the effect of prohibiting), restricting, imposing any condition upon or otherwise limiting the ability of any Subsidiary of Borrower to (a) pay dividends or make any other distributions on any of such Subsidiary</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20"/>
          <w:szCs w:val="20"/>
          <w:color w:val="auto"/>
        </w:rPr>
        <w:t xml:space="preserve">s Equity Interests owned by Borrower or any other Subsidiary of Borrower, (b) repay or prepay any Indebtedness owed by such Subsidiary to Borrower or any other Subsidiary of Borrower, (c) make loans or advances to Borrower or any other Subsidiary of Borrower, or (d) transfer, lease or license any Collateral to Borrower or any other Subsidiary of Borrower, except, in each case of this </w:t>
      </w:r>
      <w:r>
        <w:rPr>
          <w:rFonts w:ascii="Times New Roman" w:cs="Times New Roman" w:eastAsia="Times New Roman" w:hAnsi="Times New Roman"/>
          <w:sz w:val="20"/>
          <w:szCs w:val="20"/>
          <w:u w:val="single" w:color="auto"/>
          <w:color w:val="auto"/>
        </w:rPr>
        <w:t>Section 6.9</w:t>
      </w:r>
      <w:r>
        <w:rPr>
          <w:rFonts w:ascii="Times New Roman" w:cs="Times New Roman" w:eastAsia="Times New Roman" w:hAnsi="Times New Roman"/>
          <w:sz w:val="20"/>
          <w:szCs w:val="20"/>
          <w:color w:val="auto"/>
        </w:rPr>
        <w:t>, for Permitted Subsidiary Distribution Restrictions.</w:t>
      </w:r>
    </w:p>
    <w:p>
      <w:pPr>
        <w:spacing w:after="0" w:line="174"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19"/>
          <w:szCs w:val="19"/>
          <w:b w:val="1"/>
          <w:bCs w:val="1"/>
          <w:color w:val="auto"/>
        </w:rPr>
        <w:t>6.10. Junior Indebtedness</w:t>
      </w:r>
      <w:r>
        <w:rPr>
          <w:rFonts w:ascii="Times New Roman" w:cs="Times New Roman" w:eastAsia="Times New Roman" w:hAnsi="Times New Roman"/>
          <w:sz w:val="19"/>
          <w:szCs w:val="19"/>
          <w:color w:val="auto"/>
        </w:rPr>
        <w:t>. Make or permit any voluntary or optional prepayment, or otherwise repay, redeem, purchase, defease,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 xml:space="preserve">acquire or satisfy prior to its regularly scheduled due date, any (a) Indebtedness which is secured by a Lien on any Collateral, to the extent such Lien is junior in priority to the Lien on such Collateral securing any Obligations, (b) Subordinated Debt, (c) Permitted Convertible Bond Indebtedness or (d) unsecured Indebtedness for borrowed money (clauses (a) through (d), collectively, </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9"/>
          <w:szCs w:val="19"/>
          <w:b w:val="1"/>
          <w:bCs w:val="1"/>
          <w:color w:val="auto"/>
        </w:rPr>
        <w:t>Junior Indebtedness</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9"/>
          <w:szCs w:val="19"/>
          <w:color w:val="auto"/>
        </w:rPr>
        <w:t>), except: (i) to the extent permitted under the terms of any subordination, intercreditor, or other similar agreement to which any Junior Indebtedness is subject; (ii) any prepayment, exchange or conversion of any Permitted Convertible Bond Indebtedness that is made or settled solely in Qualified Equity Interests of Borrower (and cash in lieu of fractional shares, subject to the Permitted Convertible Cash Prepayment Cap); or</w:t>
      </w:r>
    </w:p>
    <w:p>
      <w:pPr>
        <w:spacing w:after="0" w:line="1" w:lineRule="exact"/>
        <w:rPr>
          <w:sz w:val="20"/>
          <w:szCs w:val="20"/>
          <w:color w:val="auto"/>
        </w:rPr>
      </w:pPr>
    </w:p>
    <w:p>
      <w:pPr>
        <w:ind w:firstLine="8"/>
        <w:spacing w:after="0" w:line="246" w:lineRule="auto"/>
        <w:tabs>
          <w:tab w:leader="none" w:pos="356" w:val="left"/>
        </w:tabs>
        <w:numPr>
          <w:ilvl w:val="0"/>
          <w:numId w:val="1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the proceeds from substantially concurrent equity contributions or issuances of new Qualified Equity Interests of Borrower (to the extent not otherwise applied as Equity Funded Consideration or Permitted Distributions pursuant to clause (c) of the definition thereof).</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6.11. Amendments or Waivers of Organizational Documents or Junior Indebtedness</w:t>
      </w: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621030</wp:posOffset>
            </wp:positionV>
            <wp:extent cx="7157720" cy="4254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6" w:right="339" w:bottom="1440" w:gutter="0" w:footer="0" w:header="0"/>
        </w:sectPr>
      </w:pPr>
    </w:p>
    <w:bookmarkStart w:id="214" w:name="page215"/>
    <w:bookmarkEnd w:id="214"/>
    <w:p>
      <w:pPr>
        <w:spacing w:after="0" w:line="200" w:lineRule="exact"/>
        <w:rPr>
          <w:sz w:val="20"/>
          <w:szCs w:val="20"/>
          <w:color w:val="auto"/>
        </w:rPr>
      </w:pPr>
    </w:p>
    <w:p>
      <w:pPr>
        <w:spacing w:after="0" w:line="210"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47</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4905-3710-6484 v.17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600710</wp:posOffset>
            </wp:positionV>
            <wp:extent cx="7157720" cy="4254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215" w:name="page216"/>
    <w:bookmarkEnd w:id="215"/>
    <w:p>
      <w:pPr>
        <w:jc w:val="both"/>
        <w:ind w:firstLine="1490"/>
        <w:spacing w:after="0" w:line="254" w:lineRule="auto"/>
        <w:tabs>
          <w:tab w:leader="none" w:pos="1949" w:val="left"/>
        </w:tabs>
        <w:numPr>
          <w:ilvl w:val="0"/>
          <w:numId w:val="1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Amend, restate, supplement or otherwise modify, or waive, any provision of its Operating Documents or equivalent, which amendment, restatement, supplement, modification or waiver would be materially adverse to the interests of the Secured Parties.</w:t>
      </w:r>
    </w:p>
    <w:p>
      <w:pPr>
        <w:spacing w:after="0" w:line="174" w:lineRule="exact"/>
        <w:rPr>
          <w:rFonts w:ascii="Times New Roman" w:cs="Times New Roman" w:eastAsia="Times New Roman" w:hAnsi="Times New Roman"/>
          <w:sz w:val="20"/>
          <w:szCs w:val="20"/>
          <w:color w:val="auto"/>
        </w:rPr>
      </w:pPr>
    </w:p>
    <w:p>
      <w:pPr>
        <w:jc w:val="both"/>
        <w:ind w:firstLine="1490"/>
        <w:spacing w:after="0" w:line="242" w:lineRule="auto"/>
        <w:tabs>
          <w:tab w:leader="none" w:pos="1949" w:val="left"/>
        </w:tabs>
        <w:numPr>
          <w:ilvl w:val="0"/>
          <w:numId w:val="1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Amend, restate, supplement or otherwise modify, or waive, the terms of any (i) Subordinated Indebtedness, except to the extent permitted by the subordination agreement executed by the Agent (at the direction of the Blackstone Representative), or (ii) Junior Indebtedness not constituting Subordinated Debt if the effect of such amendment, restatement, supplement, modification or waiver would: (A) increase the interest rate on such Indebtedness by more than two percent (2.00%); (B) shorten the dates upon which payments of principal or interest are due on such Indebtedness; (C) add or change in a manner adverse to the Credit Parties any event of default, or add or make more restrictive any covenant with respect to such Indebtedness; (D) change in a manner adverse to the Credit Parties the prepayment provisions of such Indebtedness; (E) change the subordination provisions thereof (or the subordination terms of any guaranty thereof); (F) change or amend any other term if such change or amendment would materially increase the obligations of the Credit Parties or confer additional material rights on the holder of such Indebtedness in a manner adverse to the Credit Parties, the Agent or the Lenders (in their respective capacities as such); or (G) otherwise be materially adverse to the interests of the Secured Parties.</w:t>
      </w:r>
    </w:p>
    <w:p>
      <w:pPr>
        <w:spacing w:after="0" w:line="202"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0"/>
          <w:szCs w:val="20"/>
          <w:b w:val="1"/>
          <w:bCs w:val="1"/>
          <w:color w:val="auto"/>
        </w:rPr>
        <w:t>6.12. Compliance</w:t>
      </w:r>
      <w:r>
        <w:rPr>
          <w:rFonts w:ascii="Times New Roman" w:cs="Times New Roman" w:eastAsia="Times New Roman" w:hAnsi="Times New Roman"/>
          <w:sz w:val="20"/>
          <w:szCs w:val="20"/>
          <w:color w:val="auto"/>
        </w:rPr>
        <w:t>.</w:t>
      </w:r>
    </w:p>
    <w:p>
      <w:pPr>
        <w:spacing w:after="0" w:line="206" w:lineRule="exact"/>
        <w:rPr>
          <w:sz w:val="20"/>
          <w:szCs w:val="20"/>
          <w:color w:val="auto"/>
        </w:rPr>
      </w:pPr>
    </w:p>
    <w:p>
      <w:pPr>
        <w:ind w:firstLine="1490"/>
        <w:spacing w:after="0" w:line="295" w:lineRule="auto"/>
        <w:tabs>
          <w:tab w:leader="none" w:pos="1949" w:val="left"/>
        </w:tabs>
        <w:numPr>
          <w:ilvl w:val="0"/>
          <w:numId w:val="12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Become an “investment company” under the Investment Company Act of 1940, as amended, or undertake as one of its important activities extending credit to purchase or carry Margin Stock, or use the proceeds of any Credit Extension for that purpose;</w:t>
      </w:r>
    </w:p>
    <w:p>
      <w:pPr>
        <w:spacing w:after="0" w:line="151" w:lineRule="exact"/>
        <w:rPr>
          <w:rFonts w:ascii="Times New Roman" w:cs="Times New Roman" w:eastAsia="Times New Roman" w:hAnsi="Times New Roman"/>
          <w:sz w:val="19"/>
          <w:szCs w:val="19"/>
          <w:color w:val="auto"/>
        </w:rPr>
      </w:pPr>
    </w:p>
    <w:p>
      <w:pPr>
        <w:jc w:val="both"/>
        <w:ind w:firstLine="1490"/>
        <w:spacing w:after="0" w:line="249" w:lineRule="auto"/>
        <w:tabs>
          <w:tab w:leader="none" w:pos="1949" w:val="left"/>
        </w:tabs>
        <w:numPr>
          <w:ilvl w:val="0"/>
          <w:numId w:val="1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Cause or suffer to exist, and no ERISA Affiliate shall cause or suffer to exist, (i) any event that would result in the imposition of a Lien on any assets or properties of any Credit Party or a Subsidiary of a Credit Party with respect to any Plan or Multiemployer Plan or (ii) any other ERISA Event that, in the cases of clause </w:t>
      </w:r>
      <w:r>
        <w:rPr>
          <w:rFonts w:ascii="Times New Roman" w:cs="Times New Roman" w:eastAsia="Times New Roman" w:hAnsi="Times New Roman"/>
          <w:sz w:val="20"/>
          <w:szCs w:val="20"/>
          <w:u w:val="single" w:color="auto"/>
          <w:color w:val="auto"/>
        </w:rPr>
        <w:t>(ii)</w:t>
      </w:r>
      <w:r>
        <w:rPr>
          <w:rFonts w:ascii="Times New Roman" w:cs="Times New Roman" w:eastAsia="Times New Roman" w:hAnsi="Times New Roman"/>
          <w:sz w:val="20"/>
          <w:szCs w:val="20"/>
          <w:color w:val="auto"/>
        </w:rPr>
        <w:t>, could reasonably be expected to, individually or in the aggregate, result in a Material Adverse Change; or</w:t>
      </w:r>
    </w:p>
    <w:p>
      <w:pPr>
        <w:spacing w:after="0" w:line="179" w:lineRule="exact"/>
        <w:rPr>
          <w:rFonts w:ascii="Times New Roman" w:cs="Times New Roman" w:eastAsia="Times New Roman" w:hAnsi="Times New Roman"/>
          <w:sz w:val="20"/>
          <w:szCs w:val="20"/>
          <w:color w:val="auto"/>
        </w:rPr>
      </w:pPr>
    </w:p>
    <w:p>
      <w:pPr>
        <w:jc w:val="both"/>
        <w:ind w:firstLine="1490"/>
        <w:spacing w:after="0" w:line="254" w:lineRule="auto"/>
        <w:tabs>
          <w:tab w:leader="none" w:pos="1949" w:val="left"/>
        </w:tabs>
        <w:numPr>
          <w:ilvl w:val="0"/>
          <w:numId w:val="1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Permit the occurrence of any violation of applicable law with respect to any Employee Benefit Plan, or any other plan or arrangement to provide pension, profit sharing, severance or deferred compensation which could reasonably be expected to, individually or in the aggregate, result in a Material Adverse Change.</w:t>
      </w:r>
    </w:p>
    <w:p>
      <w:pPr>
        <w:spacing w:after="0" w:line="157" w:lineRule="exact"/>
        <w:rPr>
          <w:sz w:val="20"/>
          <w:szCs w:val="20"/>
          <w:color w:val="auto"/>
        </w:rPr>
      </w:pPr>
    </w:p>
    <w:p>
      <w:pPr>
        <w:jc w:val="both"/>
        <w:ind w:firstLine="669"/>
        <w:spacing w:after="0" w:line="243" w:lineRule="auto"/>
        <w:rPr>
          <w:sz w:val="20"/>
          <w:szCs w:val="20"/>
          <w:color w:val="auto"/>
        </w:rPr>
      </w:pPr>
      <w:r>
        <w:rPr>
          <w:rFonts w:ascii="Times New Roman" w:cs="Times New Roman" w:eastAsia="Times New Roman" w:hAnsi="Times New Roman"/>
          <w:sz w:val="20"/>
          <w:szCs w:val="20"/>
          <w:b w:val="1"/>
          <w:bCs w:val="1"/>
          <w:color w:val="auto"/>
        </w:rPr>
        <w:t>6.13. Compliance with Anti-Terrorism Laws</w:t>
      </w:r>
      <w:r>
        <w:rPr>
          <w:rFonts w:ascii="Times New Roman" w:cs="Times New Roman" w:eastAsia="Times New Roman" w:hAnsi="Times New Roman"/>
          <w:sz w:val="20"/>
          <w:szCs w:val="20"/>
          <w:color w:val="auto"/>
        </w:rPr>
        <w:t>. Agent and each Lender hereby notifies each Credit Party that pursuant to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requirements of Anti-Terrorism Laws, and such Person’s policies and practices, Agent and each Lender is required to obtain, verify and record certain information and documentation that identifies each Credit Party and its principals, which information includes the name and address of each Credit Party and its principals and such other information that will allow Agent and each Lender to identify such party in accordance with Anti-Terrorism Laws. No Credit Party shall, nor shall any Credit Party permit any of its Subsidiaries or Affiliates to, directly or indirectly, knowingly enter into any documents or contracts with any Blocked Person. Each Credit Party shall promptly (but in any event within three (3) Business Days) notify Agent in writing upon any Responsible Officer of Borrower or any other Credit Party or Subsidiary having knowledge that any Credit Party or any Subsidiary or Affiliate of any Credit Party is a Blocked Person or (a) is convicted on, (b) pleads </w:t>
      </w:r>
      <w:r>
        <w:rPr>
          <w:rFonts w:ascii="Times New Roman" w:cs="Times New Roman" w:eastAsia="Times New Roman" w:hAnsi="Times New Roman"/>
          <w:sz w:val="20"/>
          <w:szCs w:val="20"/>
          <w:i w:val="1"/>
          <w:iCs w:val="1"/>
          <w:color w:val="auto"/>
        </w:rPr>
        <w:t>nolo contendere</w:t>
      </w:r>
      <w:r>
        <w:rPr>
          <w:rFonts w:ascii="Times New Roman" w:cs="Times New Roman" w:eastAsia="Times New Roman" w:hAnsi="Times New Roman"/>
          <w:sz w:val="20"/>
          <w:szCs w:val="20"/>
          <w:color w:val="auto"/>
        </w:rPr>
        <w:t xml:space="preserve"> to, (c) is indicted on, or</w:t>
      </w:r>
    </w:p>
    <w:p>
      <w:pPr>
        <w:spacing w:after="0" w:line="3" w:lineRule="exact"/>
        <w:rPr>
          <w:sz w:val="20"/>
          <w:szCs w:val="20"/>
          <w:color w:val="auto"/>
        </w:rPr>
      </w:pPr>
    </w:p>
    <w:p>
      <w:pPr>
        <w:jc w:val="both"/>
        <w:ind w:firstLine="1490"/>
        <w:spacing w:after="0" w:line="242" w:lineRule="auto"/>
        <w:tabs>
          <w:tab w:leader="none" w:pos="1949" w:val="left"/>
        </w:tabs>
        <w:numPr>
          <w:ilvl w:val="0"/>
          <w:numId w:val="1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is arraigned and held over on charges involving money laundering or predicate crimes to money laundering. No Credit Party shall, nor shall any Credit Party permit any of its Subsidiaries or Affiliates to, directly or indirectly, (i) conduct any business or engage in any transaction or dealing with any Blocked Person, including the making or receiving of any contribution of funds, goods or services to or for the benefit of any Blocked Person, (ii) deal in, or otherwise engage in any transaction relating to, any property or interests in property in violation of Sanctions or Anti-Terrorism Law, or (iii) engage in or conspire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601980</wp:posOffset>
            </wp:positionV>
            <wp:extent cx="7157720" cy="4254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400" w:top="1413" w:right="419" w:bottom="1440" w:gutter="0" w:footer="0" w:header="0"/>
        </w:sectPr>
      </w:pPr>
    </w:p>
    <w:bookmarkStart w:id="216" w:name="page217"/>
    <w:bookmarkEnd w:id="216"/>
    <w:p>
      <w:pPr>
        <w:spacing w:after="0" w:line="153"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48</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4905-3710-6484 v.17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600710</wp:posOffset>
            </wp:positionV>
            <wp:extent cx="7157720" cy="4254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59"/>
          </w:cols>
          <w:pgMar w:left="400" w:top="1440" w:right="1440" w:bottom="1440" w:gutter="0" w:footer="0" w:header="0"/>
        </w:sectPr>
      </w:pPr>
    </w:p>
    <w:bookmarkStart w:id="217" w:name="page218"/>
    <w:bookmarkEnd w:id="217"/>
    <w:p>
      <w:pPr>
        <w:jc w:val="both"/>
        <w:spacing w:after="0" w:line="269" w:lineRule="auto"/>
        <w:rPr>
          <w:sz w:val="20"/>
          <w:szCs w:val="20"/>
          <w:color w:val="auto"/>
        </w:rPr>
      </w:pPr>
      <w:r>
        <w:rPr>
          <w:rFonts w:ascii="Times New Roman" w:cs="Times New Roman" w:eastAsia="Times New Roman" w:hAnsi="Times New Roman"/>
          <w:sz w:val="20"/>
          <w:szCs w:val="20"/>
          <w:color w:val="auto"/>
        </w:rPr>
        <w:t>engage in any transaction that evades or avoids or violates, or has the purpose of evading or avoiding, or attempts to violate, any Sanctions or Anti-Terrorism Law.</w:t>
      </w:r>
    </w:p>
    <w:p>
      <w:pPr>
        <w:spacing w:after="0" w:line="142"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b w:val="1"/>
          <w:bCs w:val="1"/>
          <w:color w:val="auto"/>
        </w:rPr>
        <w:t>6.14. Amendments or Waivers of Material Contracts</w:t>
      </w:r>
      <w:r>
        <w:rPr>
          <w:rFonts w:ascii="Times New Roman" w:cs="Times New Roman" w:eastAsia="Times New Roman" w:hAnsi="Times New Roman"/>
          <w:sz w:val="20"/>
          <w:szCs w:val="20"/>
          <w:color w:val="auto"/>
        </w:rPr>
        <w:t>. (a) Waive, amend, cancel or terminate, or fail to exercise, any material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rights constituting or relating to any Material Contract, (b) breach, default under, or take any action or fail to take any action that, with the passage of time or the giving of notice or both, would constitute a default or event of default under any Material Contract, in each case of this </w:t>
      </w:r>
      <w:r>
        <w:rPr>
          <w:rFonts w:ascii="Times New Roman" w:cs="Times New Roman" w:eastAsia="Times New Roman" w:hAnsi="Times New Roman"/>
          <w:sz w:val="20"/>
          <w:szCs w:val="20"/>
          <w:u w:val="single" w:color="auto"/>
          <w:color w:val="auto"/>
        </w:rPr>
        <w:t>Section 6.14</w:t>
      </w:r>
      <w:r>
        <w:rPr>
          <w:rFonts w:ascii="Times New Roman" w:cs="Times New Roman" w:eastAsia="Times New Roman" w:hAnsi="Times New Roman"/>
          <w:sz w:val="20"/>
          <w:szCs w:val="20"/>
          <w:color w:val="auto"/>
        </w:rPr>
        <w:t>, (i) which could reasonably be expected to, individually or together with any other such waivers, amendments, agreements, cancellations, terminations, exercises or failures, result in a Material Adverse Change, or (ii) would be materially adverse to the interests of the Agent and the Lenders.</w:t>
      </w:r>
    </w:p>
    <w:p>
      <w:pPr>
        <w:spacing w:after="0" w:line="165"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0"/>
          <w:szCs w:val="20"/>
          <w:b w:val="1"/>
          <w:bCs w:val="1"/>
          <w:color w:val="auto"/>
        </w:rPr>
        <w:t>6.15. Transactions with Affiliates</w:t>
      </w:r>
      <w:r>
        <w:rPr>
          <w:rFonts w:ascii="Times New Roman" w:cs="Times New Roman" w:eastAsia="Times New Roman" w:hAnsi="Times New Roman"/>
          <w:sz w:val="20"/>
          <w:szCs w:val="20"/>
          <w:color w:val="auto"/>
        </w:rPr>
        <w:t>. Enter into or permit to exist any arrangement, contract or transaction, including any purchase,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sale, lease or exchange of property, the rendering of any service or the payment of any management, advisory or similar fees, with any Affiliate that is not a Credit Party or a Wholly-Owned Subsidiary of a Credit Party, unless such transaction is in the ordinary course of business and pursuant to reasonable terms no less favorable to such Credit Party or such Subsidiary than would be obtained in a comparable arm’s length transaction with a Person not an Affiliate of Borrower or such Subsidiary.</w:t>
      </w:r>
    </w:p>
    <w:p>
      <w:pPr>
        <w:spacing w:after="0" w:line="180" w:lineRule="exact"/>
        <w:rPr>
          <w:sz w:val="20"/>
          <w:szCs w:val="20"/>
          <w:color w:val="auto"/>
        </w:rPr>
      </w:pPr>
    </w:p>
    <w:p>
      <w:pPr>
        <w:jc w:val="both"/>
        <w:ind w:firstLine="749"/>
        <w:spacing w:after="0" w:line="273" w:lineRule="auto"/>
        <w:rPr>
          <w:sz w:val="20"/>
          <w:szCs w:val="20"/>
          <w:color w:val="auto"/>
        </w:rPr>
      </w:pPr>
      <w:r>
        <w:rPr>
          <w:rFonts w:ascii="Times New Roman" w:cs="Times New Roman" w:eastAsia="Times New Roman" w:hAnsi="Times New Roman"/>
          <w:sz w:val="20"/>
          <w:szCs w:val="20"/>
          <w:b w:val="1"/>
          <w:bCs w:val="1"/>
          <w:color w:val="auto"/>
        </w:rPr>
        <w:t>6.16. Minimum Liquidity</w:t>
      </w:r>
      <w:r>
        <w:rPr>
          <w:rFonts w:ascii="Times New Roman" w:cs="Times New Roman" w:eastAsia="Times New Roman" w:hAnsi="Times New Roman"/>
          <w:sz w:val="20"/>
          <w:szCs w:val="20"/>
          <w:color w:val="auto"/>
        </w:rPr>
        <w:t>. Permit Liquidity of U.S. Credit Parties to be less than $30,000,000 on the last day of any fiscal quarter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ending after the Closing Date.</w:t>
      </w:r>
    </w:p>
    <w:p>
      <w:pPr>
        <w:spacing w:after="0" w:line="15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6.17. Malta Credit Parties</w:t>
      </w:r>
      <w:r>
        <w:rPr>
          <w:rFonts w:ascii="Times New Roman" w:cs="Times New Roman" w:eastAsia="Times New Roman" w:hAnsi="Times New Roman"/>
          <w:sz w:val="20"/>
          <w:szCs w:val="20"/>
          <w:color w:val="auto"/>
        </w:rPr>
        <w:t>. No Malta Credit Party shall own or hold cash in excess of $20,000,000 in the aggregate at any time.</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6.18. No Liability Management Transactions</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jc w:val="both"/>
        <w:ind w:firstLine="1580"/>
        <w:spacing w:after="0" w:line="254" w:lineRule="auto"/>
        <w:tabs>
          <w:tab w:leader="none" w:pos="2033" w:val="left"/>
        </w:tabs>
        <w:numPr>
          <w:ilvl w:val="0"/>
          <w:numId w:val="1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Make any Investment in or dispose of any assets to a Person that is not a Credit Party to facilitate a new financing incurred by a Subsidiary of the Borrower (including a debtor in possession financing) or to guarantee an existing financing, in connection with a liability management transaction.</w:t>
      </w:r>
    </w:p>
    <w:p>
      <w:pPr>
        <w:spacing w:after="0" w:line="174" w:lineRule="exact"/>
        <w:rPr>
          <w:rFonts w:ascii="Times New Roman" w:cs="Times New Roman" w:eastAsia="Times New Roman" w:hAnsi="Times New Roman"/>
          <w:sz w:val="20"/>
          <w:szCs w:val="20"/>
          <w:color w:val="auto"/>
        </w:rPr>
      </w:pPr>
    </w:p>
    <w:p>
      <w:pPr>
        <w:ind w:firstLine="1580"/>
        <w:spacing w:after="0" w:line="269" w:lineRule="auto"/>
        <w:tabs>
          <w:tab w:leader="none" w:pos="2033" w:val="left"/>
        </w:tabs>
        <w:numPr>
          <w:ilvl w:val="0"/>
          <w:numId w:val="1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Permit any Subsidiary of the Borrower to cease to be Wholly-Owned Subsidiary at all times unless any such Subsidiary no longer exists pursuant to a transaction permitted by </w:t>
      </w:r>
      <w:r>
        <w:rPr>
          <w:rFonts w:ascii="Times New Roman" w:cs="Times New Roman" w:eastAsia="Times New Roman" w:hAnsi="Times New Roman"/>
          <w:sz w:val="20"/>
          <w:szCs w:val="20"/>
          <w:u w:val="single" w:color="auto"/>
          <w:color w:val="auto"/>
        </w:rPr>
        <w:t>Section 6.3</w:t>
      </w: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3930650</wp:posOffset>
            </wp:positionH>
            <wp:positionV relativeFrom="paragraph">
              <wp:posOffset>-46355</wp:posOffset>
            </wp:positionV>
            <wp:extent cx="31115" cy="825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9">
                      <a:extLst>
                        <a:ext uri="{28A0092B-C50C-407E-A947-70E740481C1C}"/>
                      </a:extLst>
                    </a:blip>
                    <a:srcRect/>
                    <a:stretch>
                      <a:fillRect/>
                    </a:stretch>
                  </pic:blipFill>
                  <pic:spPr bwMode="auto">
                    <a:xfrm>
                      <a:off x="0" y="0"/>
                      <a:ext cx="31115" cy="8255"/>
                    </a:xfrm>
                    <a:prstGeom prst="rect">
                      <a:avLst/>
                    </a:prstGeom>
                    <a:noFill/>
                  </pic:spPr>
                </pic:pic>
              </a:graphicData>
            </a:graphic>
          </wp:anchor>
        </w:drawing>
      </w:r>
    </w:p>
    <w:p>
      <w:pPr>
        <w:spacing w:after="0" w:line="135" w:lineRule="exact"/>
        <w:rPr>
          <w:sz w:val="20"/>
          <w:szCs w:val="20"/>
          <w:color w:val="auto"/>
        </w:rPr>
      </w:pPr>
    </w:p>
    <w:p>
      <w:pPr>
        <w:ind w:firstLine="749"/>
        <w:spacing w:after="0" w:line="273" w:lineRule="auto"/>
        <w:rPr>
          <w:sz w:val="20"/>
          <w:szCs w:val="20"/>
          <w:color w:val="auto"/>
        </w:rPr>
      </w:pPr>
      <w:r>
        <w:rPr>
          <w:rFonts w:ascii="Times New Roman" w:cs="Times New Roman" w:eastAsia="Times New Roman" w:hAnsi="Times New Roman"/>
          <w:sz w:val="20"/>
          <w:szCs w:val="20"/>
          <w:b w:val="1"/>
          <w:bCs w:val="1"/>
          <w:color w:val="auto"/>
        </w:rPr>
        <w:t>6.19. Antecip License Agreement</w:t>
      </w:r>
      <w:r>
        <w:rPr>
          <w:rFonts w:ascii="Times New Roman" w:cs="Times New Roman" w:eastAsia="Times New Roman" w:hAnsi="Times New Roman"/>
          <w:sz w:val="20"/>
          <w:szCs w:val="20"/>
          <w:color w:val="auto"/>
        </w:rPr>
        <w:t>. Amend or terminate the Antecip License Agreement in any respect, nor permit the Antecip</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License Agreement to cease to be in full force and effect at all times.</w:t>
      </w:r>
    </w:p>
    <w:p>
      <w:pPr>
        <w:spacing w:after="0" w:line="13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6.20. Fiscal Year</w:t>
      </w:r>
      <w:r>
        <w:rPr>
          <w:rFonts w:ascii="Times New Roman" w:cs="Times New Roman" w:eastAsia="Times New Roman" w:hAnsi="Times New Roman"/>
          <w:sz w:val="20"/>
          <w:szCs w:val="20"/>
          <w:color w:val="auto"/>
        </w:rPr>
        <w:t>. Change its fiscal year or any of its fiscal quarters without the consent of the Blackstone Representative and the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Lenders.</w:t>
      </w:r>
    </w:p>
    <w:p>
      <w:pPr>
        <w:spacing w:after="0" w:line="203" w:lineRule="exact"/>
        <w:rPr>
          <w:sz w:val="20"/>
          <w:szCs w:val="20"/>
          <w:color w:val="auto"/>
        </w:rPr>
      </w:pPr>
    </w:p>
    <w:p>
      <w:pPr>
        <w:ind w:left="1160" w:hanging="403"/>
        <w:spacing w:after="0"/>
        <w:tabs>
          <w:tab w:leader="none" w:pos="1160" w:val="left"/>
        </w:tabs>
        <w:numPr>
          <w:ilvl w:val="0"/>
          <w:numId w:val="12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EVENTS OF DEFAULT</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Any one of the following shall constitute an event of default (an “</w:t>
      </w:r>
      <w:r>
        <w:rPr>
          <w:rFonts w:ascii="Times New Roman" w:cs="Times New Roman" w:eastAsia="Times New Roman" w:hAnsi="Times New Roman"/>
          <w:sz w:val="20"/>
          <w:szCs w:val="20"/>
          <w:b w:val="1"/>
          <w:bCs w:val="1"/>
          <w:color w:val="auto"/>
        </w:rPr>
        <w:t>Event of Default</w:t>
      </w:r>
      <w:r>
        <w:rPr>
          <w:rFonts w:ascii="Times New Roman" w:cs="Times New Roman" w:eastAsia="Times New Roman" w:hAnsi="Times New Roman"/>
          <w:sz w:val="20"/>
          <w:szCs w:val="20"/>
          <w:color w:val="auto"/>
        </w:rPr>
        <w:t>”) under this Agreement:</w:t>
      </w:r>
    </w:p>
    <w:p>
      <w:pPr>
        <w:spacing w:after="0" w:line="202"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b w:val="1"/>
          <w:bCs w:val="1"/>
          <w:color w:val="auto"/>
        </w:rPr>
        <w:t>7.1. Payment Default</w:t>
      </w:r>
      <w:r>
        <w:rPr>
          <w:rFonts w:ascii="Times New Roman" w:cs="Times New Roman" w:eastAsia="Times New Roman" w:hAnsi="Times New Roman"/>
          <w:sz w:val="20"/>
          <w:szCs w:val="20"/>
          <w:color w:val="auto"/>
        </w:rPr>
        <w:t>. Any Credit Party or any Subsidiary fails to (a) make any payment of any principal of the Loans when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as the same shall become due and payable, whether at the due date thereof or at a date fixed for prepayment (whether voluntary or mandatory) thereof or by acceleration thereof or otherwise, or (b) within five (5) Business Days after the same becomes due, any payment of interest or premium pursuant to </w:t>
      </w:r>
      <w:r>
        <w:rPr>
          <w:rFonts w:ascii="Times New Roman" w:cs="Times New Roman" w:eastAsia="Times New Roman" w:hAnsi="Times New Roman"/>
          <w:sz w:val="20"/>
          <w:szCs w:val="20"/>
          <w:u w:val="single" w:color="auto"/>
          <w:color w:val="auto"/>
        </w:rPr>
        <w:t>Section 2.2</w:t>
      </w:r>
      <w:r>
        <w:rPr>
          <w:rFonts w:ascii="Times New Roman" w:cs="Times New Roman" w:eastAsia="Times New Roman" w:hAnsi="Times New Roman"/>
          <w:sz w:val="20"/>
          <w:szCs w:val="20"/>
          <w:color w:val="auto"/>
        </w:rPr>
        <w:t xml:space="preserve">, including any applicable fees, the Yield Protection Premium, or any other Obligations (which five (5) Business Day cure period shall not apply to any payments due on the Maturity Date or the date of acceleration pursuant to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8.1(a)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2.2(b)</w:t>
      </w:r>
      <w:r>
        <w:rPr>
          <w:rFonts w:ascii="Times New Roman" w:cs="Times New Roman" w:eastAsia="Times New Roman" w:hAnsi="Times New Roman"/>
          <w:sz w:val="20"/>
          <w:szCs w:val="20"/>
          <w:color w:val="auto"/>
        </w:rPr>
        <w:t xml:space="preserve"> hereof).</w:t>
      </w:r>
    </w:p>
    <w:p>
      <w:pPr>
        <w:spacing w:after="0" w:line="1"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color w:val="auto"/>
        </w:rPr>
        <w:t>49</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4905-3710-6484 v.17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600710</wp:posOffset>
            </wp:positionV>
            <wp:extent cx="7157720" cy="4254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26" w:right="419" w:bottom="1440" w:gutter="0" w:footer="0" w:header="0"/>
        </w:sectPr>
      </w:pPr>
    </w:p>
    <w:bookmarkStart w:id="218" w:name="page219"/>
    <w:bookmarkEnd w:id="218"/>
    <w:p>
      <w:pPr>
        <w:ind w:left="40"/>
        <w:spacing w:after="0"/>
        <w:rPr>
          <w:sz w:val="20"/>
          <w:szCs w:val="20"/>
          <w:color w:val="auto"/>
        </w:rPr>
      </w:pPr>
      <w:r>
        <w:rPr>
          <w:rFonts w:ascii="Times New Roman" w:cs="Times New Roman" w:eastAsia="Times New Roman" w:hAnsi="Times New Roman"/>
          <w:sz w:val="20"/>
          <w:szCs w:val="20"/>
          <w:b w:val="1"/>
          <w:bCs w:val="1"/>
          <w:color w:val="auto"/>
        </w:rPr>
        <w:t>7.2. Covenant Default</w:t>
      </w:r>
      <w:r>
        <w:rPr>
          <w:rFonts w:ascii="Times New Roman" w:cs="Times New Roman" w:eastAsia="Times New Roman" w:hAnsi="Times New Roman"/>
          <w:sz w:val="20"/>
          <w:szCs w:val="20"/>
          <w:color w:val="auto"/>
        </w:rPr>
        <w:t>.</w:t>
      </w:r>
    </w:p>
    <w:p>
      <w:pPr>
        <w:spacing w:after="0" w:line="233" w:lineRule="exact"/>
        <w:rPr>
          <w:sz w:val="20"/>
          <w:szCs w:val="20"/>
          <w:color w:val="auto"/>
        </w:rPr>
      </w:pPr>
    </w:p>
    <w:p>
      <w:pPr>
        <w:ind w:left="-1040" w:firstLine="1490"/>
        <w:spacing w:after="0" w:line="269" w:lineRule="auto"/>
        <w:tabs>
          <w:tab w:leader="none" w:pos="909" w:val="left"/>
        </w:tabs>
        <w:numPr>
          <w:ilvl w:val="0"/>
          <w:numId w:val="1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Credit Parties or their Subsidiaries fail or neglect to perform, keep or observe any term, provision, condition, covenant or agreement in </w:t>
      </w:r>
      <w:r>
        <w:rPr>
          <w:rFonts w:ascii="Times New Roman" w:cs="Times New Roman" w:eastAsia="Times New Roman" w:hAnsi="Times New Roman"/>
          <w:sz w:val="20"/>
          <w:szCs w:val="20"/>
          <w:u w:val="single" w:color="auto"/>
          <w:color w:val="auto"/>
        </w:rPr>
        <w:t>Sections 5.2</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5.3</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5.4</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5.5</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5.6</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5.7</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5.10</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5.12</w:t>
      </w:r>
      <w:r>
        <w:rPr>
          <w:rFonts w:ascii="Times New Roman" w:cs="Times New Roman" w:eastAsia="Times New Roman" w:hAnsi="Times New Roman"/>
          <w:sz w:val="20"/>
          <w:szCs w:val="20"/>
          <w:color w:val="auto"/>
        </w:rPr>
        <w:t xml:space="preserve">, 5.13 or </w:t>
      </w:r>
      <w:r>
        <w:rPr>
          <w:rFonts w:ascii="Times New Roman" w:cs="Times New Roman" w:eastAsia="Times New Roman" w:hAnsi="Times New Roman"/>
          <w:sz w:val="20"/>
          <w:szCs w:val="20"/>
          <w:u w:val="single" w:color="auto"/>
          <w:color w:val="auto"/>
        </w:rPr>
        <w:t>5.17</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6</w:t>
      </w:r>
      <w:r>
        <w:rPr>
          <w:rFonts w:ascii="Times New Roman" w:cs="Times New Roman" w:eastAsia="Times New Roman" w:hAnsi="Times New Roman"/>
          <w:sz w:val="20"/>
          <w:szCs w:val="20"/>
          <w:color w:val="auto"/>
        </w:rPr>
        <w:t>; or</w:t>
      </w:r>
    </w:p>
    <w:p>
      <w:pPr>
        <w:spacing w:after="0" w:line="159" w:lineRule="exact"/>
        <w:rPr>
          <w:rFonts w:ascii="Times New Roman" w:cs="Times New Roman" w:eastAsia="Times New Roman" w:hAnsi="Times New Roman"/>
          <w:sz w:val="20"/>
          <w:szCs w:val="20"/>
          <w:color w:val="auto"/>
        </w:rPr>
      </w:pPr>
    </w:p>
    <w:p>
      <w:pPr>
        <w:jc w:val="both"/>
        <w:ind w:left="-1040" w:firstLine="1490"/>
        <w:spacing w:after="0" w:line="245" w:lineRule="auto"/>
        <w:tabs>
          <w:tab w:leader="none" w:pos="909" w:val="left"/>
        </w:tabs>
        <w:numPr>
          <w:ilvl w:val="0"/>
          <w:numId w:val="1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Credit Parties or their Subsidiaries fail or neglect to perform, keep, or observe any other term, provision, condition, covenant or agreement contained in this Agreement or any Loan Documents on its part to be performed, kept or observed, and such failure continues for ten (10) days after the earlier of the date on which (i) a Responsible Officer of any Credit Party becomes aware of such failure and (ii) written notice thereof shall have been given to Borrower by the Agent (at the direction of the Blackstone Representative). The cure period provided under this </w:t>
      </w:r>
      <w:r>
        <w:rPr>
          <w:rFonts w:ascii="Times New Roman" w:cs="Times New Roman" w:eastAsia="Times New Roman" w:hAnsi="Times New Roman"/>
          <w:sz w:val="20"/>
          <w:szCs w:val="20"/>
          <w:u w:val="single" w:color="auto"/>
          <w:color w:val="auto"/>
        </w:rPr>
        <w:t>Section 7.2(b)</w:t>
      </w:r>
      <w:r>
        <w:rPr>
          <w:rFonts w:ascii="Times New Roman" w:cs="Times New Roman" w:eastAsia="Times New Roman" w:hAnsi="Times New Roman"/>
          <w:sz w:val="20"/>
          <w:szCs w:val="20"/>
          <w:color w:val="auto"/>
        </w:rPr>
        <w:t xml:space="preserve"> shall not apply, among other things, to any of the covenants referenced in </w:t>
      </w:r>
      <w:r>
        <w:rPr>
          <w:rFonts w:ascii="Times New Roman" w:cs="Times New Roman" w:eastAsia="Times New Roman" w:hAnsi="Times New Roman"/>
          <w:sz w:val="20"/>
          <w:szCs w:val="20"/>
          <w:u w:val="single" w:color="auto"/>
          <w:color w:val="auto"/>
        </w:rPr>
        <w:t>clause (a)</w:t>
      </w:r>
      <w:r>
        <w:rPr>
          <w:rFonts w:ascii="Times New Roman" w:cs="Times New Roman" w:eastAsia="Times New Roman" w:hAnsi="Times New Roman"/>
          <w:sz w:val="20"/>
          <w:szCs w:val="20"/>
          <w:color w:val="auto"/>
        </w:rPr>
        <w:t xml:space="preserve">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2955925</wp:posOffset>
            </wp:positionH>
            <wp:positionV relativeFrom="paragraph">
              <wp:posOffset>-1042035</wp:posOffset>
            </wp:positionV>
            <wp:extent cx="251460" cy="825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1">
                      <a:extLst>
                        <a:ext uri="{28A0092B-C50C-407E-A947-70E740481C1C}"/>
                      </a:extLst>
                    </a:blip>
                    <a:srcRect/>
                    <a:stretch>
                      <a:fillRect/>
                    </a:stretch>
                  </pic:blipFill>
                  <pic:spPr bwMode="auto">
                    <a:xfrm>
                      <a:off x="0" y="0"/>
                      <a:ext cx="251460" cy="8255"/>
                    </a:xfrm>
                    <a:prstGeom prst="rect">
                      <a:avLst/>
                    </a:prstGeom>
                    <a:noFill/>
                  </pic:spPr>
                </pic:pic>
              </a:graphicData>
            </a:graphic>
          </wp:anchor>
        </w:drawing>
      </w:r>
    </w:p>
    <w:p>
      <w:pPr>
        <w:spacing w:after="0" w:line="1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b w:val="1"/>
          <w:bCs w:val="1"/>
          <w:color w:val="auto"/>
        </w:rPr>
        <w:t>7.3. Material Adverse Change</w:t>
      </w:r>
      <w:r>
        <w:rPr>
          <w:rFonts w:ascii="Times New Roman" w:cs="Times New Roman" w:eastAsia="Times New Roman" w:hAnsi="Times New Roman"/>
          <w:sz w:val="20"/>
          <w:szCs w:val="20"/>
          <w:color w:val="auto"/>
        </w:rPr>
        <w:t>. A Material Adverse Change occurs.</w:t>
      </w:r>
    </w:p>
    <w:p>
      <w:pPr>
        <w:spacing w:after="0" w:line="20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b w:val="1"/>
          <w:bCs w:val="1"/>
          <w:color w:val="auto"/>
        </w:rPr>
        <w:t>7.4. Attachment; Levy; Restraint on Business</w:t>
      </w:r>
      <w:r>
        <w:rPr>
          <w:rFonts w:ascii="Times New Roman" w:cs="Times New Roman" w:eastAsia="Times New Roman" w:hAnsi="Times New Roman"/>
          <w:sz w:val="20"/>
          <w:szCs w:val="20"/>
          <w:color w:val="auto"/>
        </w:rPr>
        <w:t>.</w:t>
      </w:r>
    </w:p>
    <w:p>
      <w:pPr>
        <w:spacing w:after="0" w:line="233" w:lineRule="exact"/>
        <w:rPr>
          <w:sz w:val="20"/>
          <w:szCs w:val="20"/>
          <w:color w:val="auto"/>
        </w:rPr>
      </w:pPr>
    </w:p>
    <w:p>
      <w:pPr>
        <w:jc w:val="both"/>
        <w:ind w:left="-1040" w:firstLine="1490"/>
        <w:spacing w:after="0" w:line="246" w:lineRule="auto"/>
        <w:tabs>
          <w:tab w:leader="none" w:pos="909" w:val="left"/>
        </w:tabs>
        <w:numPr>
          <w:ilvl w:val="0"/>
          <w:numId w:val="1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 The service of process seeking to attach, by trustee or similar process, any funds of any Credit Party or any Subsidiary in excess of $5,000,000 on deposit or otherwise maintained with the Agent, or (ii) a notice of lien or levy is filed against any of material portion of Collateral by any Governmental Authority, and the same under </w:t>
      </w:r>
      <w:r>
        <w:rPr>
          <w:rFonts w:ascii="Times New Roman" w:cs="Times New Roman" w:eastAsia="Times New Roman" w:hAnsi="Times New Roman"/>
          <w:sz w:val="20"/>
          <w:szCs w:val="20"/>
          <w:u w:val="single" w:color="auto"/>
          <w:color w:val="auto"/>
        </w:rPr>
        <w:t>sub-clauses (i)</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(ii)</w:t>
      </w:r>
      <w:r>
        <w:rPr>
          <w:rFonts w:ascii="Times New Roman" w:cs="Times New Roman" w:eastAsia="Times New Roman" w:hAnsi="Times New Roman"/>
          <w:sz w:val="20"/>
          <w:szCs w:val="20"/>
          <w:color w:val="auto"/>
        </w:rPr>
        <w:t xml:space="preserve"> hereof are not, within thirty (30) days after the occurrence thereof, discharged or stayed (whether through the posting of a bond or otherwise);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no Credit Extensions shall be made during any thirty (30) day cure period; or</w:t>
      </w:r>
    </w:p>
    <w:p>
      <w:pPr>
        <w:spacing w:after="0" w:line="171" w:lineRule="exact"/>
        <w:rPr>
          <w:rFonts w:ascii="Times New Roman" w:cs="Times New Roman" w:eastAsia="Times New Roman" w:hAnsi="Times New Roman"/>
          <w:sz w:val="20"/>
          <w:szCs w:val="20"/>
          <w:color w:val="auto"/>
        </w:rPr>
      </w:pPr>
    </w:p>
    <w:p>
      <w:pPr>
        <w:jc w:val="both"/>
        <w:ind w:left="-1040" w:firstLine="1490"/>
        <w:spacing w:after="0" w:line="254" w:lineRule="auto"/>
        <w:tabs>
          <w:tab w:leader="none" w:pos="909" w:val="left"/>
        </w:tabs>
        <w:numPr>
          <w:ilvl w:val="0"/>
          <w:numId w:val="1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Any material portion of Collateral is attached, seized, levied on, or comes into possession of a trustee or receiver, or (ii) any court order enjoins, restrains, or prevents any Credit Party or any Subsidiary (other than an Excluded Subsidiary) from conducting any material part of their business, taken as a whole.</w:t>
      </w:r>
    </w:p>
    <w:p>
      <w:pPr>
        <w:spacing w:after="0" w:line="17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b w:val="1"/>
          <w:bCs w:val="1"/>
          <w:color w:val="auto"/>
        </w:rPr>
        <w:t>7.5. Insolvency</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jc w:val="both"/>
        <w:ind w:left="-1040" w:firstLine="1490"/>
        <w:spacing w:after="0" w:line="243" w:lineRule="auto"/>
        <w:tabs>
          <w:tab w:leader="none" w:pos="909" w:val="left"/>
        </w:tabs>
        <w:numPr>
          <w:ilvl w:val="0"/>
          <w:numId w:val="1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involuntary proceeding shall be commenced, or an involuntary petition shall be filed in a court of competent jurisdiction seeking: (i) relief in respect of any Credit Party or any Subsidiary (other than an Immaterial Subsidiary), or of a substantial part of the property of any Credit Party or any Subsidiary (other than an Immaterial Subsidiary), under Title 11 of the United States Code, as now constituted or hereafter amended, or any other federal, state or foreign bankruptcy, insolvency, court protection, receivership or similar law; (ii) the appointment of a receiver, examiner, trustee, custodian, sequestrator, conservator or similar official for any Credit Party or any Subsidiary (other than an Immaterial Subsidiary) or for a substantial part of the property or assets of any Credit Party or any Subsidiary (other than an Immaterial Subsidiary); or (iii) the winding-up or liquidation of any Credit Party or any Subsidiary (other than an Immaterial Subsidiary), and such proceeding or petition shall continue undismissed or unstayed for sixty (60) days, or an order or decree approving or ordering any of the foregoing shall be entered;</w:t>
      </w:r>
    </w:p>
    <w:p>
      <w:pPr>
        <w:spacing w:after="0" w:line="185" w:lineRule="exact"/>
        <w:rPr>
          <w:rFonts w:ascii="Times New Roman" w:cs="Times New Roman" w:eastAsia="Times New Roman" w:hAnsi="Times New Roman"/>
          <w:sz w:val="20"/>
          <w:szCs w:val="20"/>
          <w:color w:val="auto"/>
        </w:rPr>
      </w:pPr>
    </w:p>
    <w:p>
      <w:pPr>
        <w:jc w:val="both"/>
        <w:ind w:left="-1040" w:firstLine="1490"/>
        <w:spacing w:after="0" w:line="245" w:lineRule="auto"/>
        <w:tabs>
          <w:tab w:leader="none" w:pos="909" w:val="left"/>
        </w:tabs>
        <w:numPr>
          <w:ilvl w:val="0"/>
          <w:numId w:val="1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Credit Party or any Subsidiary (other than an Immaterial Subsidiary) shall: (i) voluntarily commence any proceeding or file any petition seeking relief under Title 11 of the United States Code, as now constituted or hereafter amended, or any other federal, state or foreign bankruptcy, insolvency, court protection, receivership or similar law; (ii) consent to the institution of, or fail to contest in a timely and appropriate manner, any proceeding or the filing of any petition described in </w:t>
      </w:r>
      <w:r>
        <w:rPr>
          <w:rFonts w:ascii="Times New Roman" w:cs="Times New Roman" w:eastAsia="Times New Roman" w:hAnsi="Times New Roman"/>
          <w:sz w:val="20"/>
          <w:szCs w:val="20"/>
          <w:u w:val="single" w:color="auto"/>
          <w:color w:val="auto"/>
        </w:rPr>
        <w:t>clause (a)</w:t>
      </w:r>
      <w:r>
        <w:rPr>
          <w:rFonts w:ascii="Times New Roman" w:cs="Times New Roman" w:eastAsia="Times New Roman" w:hAnsi="Times New Roman"/>
          <w:sz w:val="20"/>
          <w:szCs w:val="20"/>
          <w:color w:val="auto"/>
        </w:rPr>
        <w:t xml:space="preserve"> above; (iii) apply for or consent to the appointment of a receiver, examiner, trustee, custodian, sequestrator, conservator or similar official for any Credit Party or any Subsidiary (other than an Immaterial Subsidiary)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598805</wp:posOffset>
            </wp:positionV>
            <wp:extent cx="7157720" cy="4254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40"/>
          </w:cols>
          <w:pgMar w:left="1440" w:top="1409" w:right="419" w:bottom="1440" w:gutter="0" w:footer="0" w:header="0"/>
        </w:sectPr>
      </w:pPr>
    </w:p>
    <w:bookmarkStart w:id="219" w:name="page220"/>
    <w:bookmarkEnd w:id="219"/>
    <w:p>
      <w:pPr>
        <w:spacing w:after="0" w:line="194" w:lineRule="exact"/>
        <w:rPr>
          <w:sz w:val="20"/>
          <w:szCs w:val="20"/>
          <w:color w:val="auto"/>
        </w:rPr>
      </w:pPr>
    </w:p>
    <w:p>
      <w:pPr>
        <w:jc w:val="right"/>
        <w:ind w:right="4379"/>
        <w:spacing w:after="0"/>
        <w:rPr>
          <w:sz w:val="20"/>
          <w:szCs w:val="20"/>
          <w:color w:val="auto"/>
        </w:rPr>
      </w:pPr>
      <w:r>
        <w:rPr>
          <w:rFonts w:ascii="Times New Roman" w:cs="Times New Roman" w:eastAsia="Times New Roman" w:hAnsi="Times New Roman"/>
          <w:sz w:val="18"/>
          <w:szCs w:val="18"/>
          <w:color w:val="auto"/>
        </w:rPr>
        <w:t>50</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4905-3710-6484 v.17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600710</wp:posOffset>
            </wp:positionV>
            <wp:extent cx="7157720" cy="4254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59"/>
          </w:cols>
          <w:pgMar w:left="400" w:top="1440" w:right="1440" w:bottom="1440" w:gutter="0" w:footer="0" w:header="0"/>
        </w:sectPr>
      </w:pPr>
    </w:p>
    <w:bookmarkStart w:id="220" w:name="page221"/>
    <w:bookmarkEnd w:id="220"/>
    <w:p>
      <w:pPr>
        <w:jc w:val="both"/>
        <w:spacing w:after="0" w:line="249" w:lineRule="auto"/>
        <w:rPr>
          <w:sz w:val="20"/>
          <w:szCs w:val="20"/>
          <w:color w:val="auto"/>
        </w:rPr>
      </w:pPr>
      <w:r>
        <w:rPr>
          <w:rFonts w:ascii="Times New Roman" w:cs="Times New Roman" w:eastAsia="Times New Roman" w:hAnsi="Times New Roman"/>
          <w:sz w:val="20"/>
          <w:szCs w:val="20"/>
          <w:color w:val="auto"/>
        </w:rPr>
        <w:t>or for a substantial part of the property or assets of any Credit Party or any Subsidiary (other than an Immaterial Subsidiary); (iv) file an answer admitting the material allegations of a petition filed against it in any such proceeding; (v) make a general assignment for the benefit of creditors; (vi) become unable, admit in writing its inability or fail generally to pay its debts as they become due; (vii) take any action for the purpose of effecting any of the foregoing; or (viii) wind up or liquidate (except as otherwise expressly permitted hereunder); or</w:t>
      </w:r>
    </w:p>
    <w:p>
      <w:pPr>
        <w:spacing w:after="0" w:line="193" w:lineRule="exact"/>
        <w:rPr>
          <w:sz w:val="20"/>
          <w:szCs w:val="20"/>
          <w:color w:val="auto"/>
        </w:rPr>
      </w:pPr>
    </w:p>
    <w:p>
      <w:pPr>
        <w:jc w:val="both"/>
        <w:ind w:firstLine="1580"/>
        <w:spacing w:after="0" w:line="243" w:lineRule="auto"/>
        <w:tabs>
          <w:tab w:leader="none" w:pos="2036" w:val="left"/>
        </w:tabs>
        <w:numPr>
          <w:ilvl w:val="0"/>
          <w:numId w:val="1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corporate action, legal proceedings or other procedure or step is taken in relation to: (i) the suspension of payments, a moratorium of any indebtedness, winding-up, court protection, dissolution, administration or reorganization (by way of voluntary arrangement, scheme of arrangement or otherwise) of any Credit Party or any Subsidiary (other than an Immaterial Subsidiary); (ii) a composition, compromise, assignment or arrangement with any creditor of any Credit Party or any Subsidiary (other than an Immaterial Subsidiary); (iii) the appointment of a liquidator, receiver, administrative receiver, examiner, administrator, compulsory manager or other similar officer in respect of any Credit Party or any Subsidiary (other than an Immaterial Subsidiary) or any of its assets; or (iv) enforcement of any security interest over any assets of any Credit Party or any Subsidiary (other than an Immaterial Subsidiary), or any analogous procedure or step is taken in any jurisdiction. The foregoing shall not apply to any winding-up petition which is frivolous or vexatious and is discharged, stayed or dismissed within fourteen (14) days of commencement.</w:t>
      </w:r>
    </w:p>
    <w:p>
      <w:pPr>
        <w:spacing w:after="0" w:line="18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0"/>
          <w:szCs w:val="20"/>
          <w:b w:val="1"/>
          <w:bCs w:val="1"/>
          <w:color w:val="auto"/>
        </w:rPr>
        <w:t>7.6. Other Agreements</w:t>
      </w:r>
      <w:r>
        <w:rPr>
          <w:rFonts w:ascii="Times New Roman" w:cs="Times New Roman" w:eastAsia="Times New Roman" w:hAnsi="Times New Roman"/>
          <w:sz w:val="20"/>
          <w:szCs w:val="20"/>
          <w:color w:val="auto"/>
        </w:rPr>
        <w:t>.</w:t>
      </w:r>
    </w:p>
    <w:p>
      <w:pPr>
        <w:spacing w:after="0" w:line="206" w:lineRule="exact"/>
        <w:rPr>
          <w:sz w:val="20"/>
          <w:szCs w:val="20"/>
          <w:color w:val="auto"/>
        </w:rPr>
      </w:pPr>
    </w:p>
    <w:p>
      <w:pPr>
        <w:jc w:val="both"/>
        <w:ind w:firstLine="1580"/>
        <w:spacing w:after="0" w:line="249" w:lineRule="auto"/>
        <w:tabs>
          <w:tab w:leader="none" w:pos="2036" w:val="left"/>
        </w:tabs>
        <w:numPr>
          <w:ilvl w:val="0"/>
          <w:numId w:val="1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default or breach shall have occurred under (x) subject to the Antecip Direct Agreement, the Antecip License Agreement that permits the counterparty thereto to terminate such agreement, or the Antecip License Agreement otherwise ceases to be in full force and effect for any reason, or (y) any other Material Contract that permits the counterparty thereto to terminate such Material Contract or accelerate payments in excess of $5,000,000 owed thereunder; or</w:t>
      </w:r>
    </w:p>
    <w:p>
      <w:pPr>
        <w:spacing w:after="0" w:line="193" w:lineRule="exact"/>
        <w:rPr>
          <w:rFonts w:ascii="Times New Roman" w:cs="Times New Roman" w:eastAsia="Times New Roman" w:hAnsi="Times New Roman"/>
          <w:sz w:val="20"/>
          <w:szCs w:val="20"/>
          <w:color w:val="auto"/>
        </w:rPr>
      </w:pPr>
    </w:p>
    <w:p>
      <w:pPr>
        <w:jc w:val="both"/>
        <w:ind w:firstLine="1580"/>
        <w:spacing w:after="0" w:line="242" w:lineRule="auto"/>
        <w:tabs>
          <w:tab w:leader="none" w:pos="2036" w:val="left"/>
        </w:tabs>
        <w:numPr>
          <w:ilvl w:val="0"/>
          <w:numId w:val="1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Credit Party or any Subsidiary shall (i) fail to pay any principal or interest, regardless of amount, due in respect of any Indebtedness (other than the Obligations), when and as the same shall become due and payable beyond any applicable grace period, or (ii) fail to observe or perform any other term, covenant, condition or agreement contained in any agreement or instrument evidencing or governing any such Indebtedness, if the effect of any failure referred to in this clause (ii) is to cause, or to permit the holder or holders of such Indebtedness or a trustee or other representative on its or their behalf to cause (with or without the giving of notice, and taking into account any applicable grace periods or waivers), such Indebtedness to become due prior to its stated maturity or become subject to a mandatory offer to purchase by the obligor;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this clause (ii) shall not apply to secured Indebtedness that becomes due as a result of the sale, transfer or other disposition (including as a result of a casualty or condemnation event) of the property or assets securing such Indebtedness (to the extent such sale, transfer or other disposition is not prohibited under this Agreement and such Indebtedness is repaid in accordance with its terms); </w:t>
      </w:r>
      <w:r>
        <w:rPr>
          <w:rFonts w:ascii="Times New Roman" w:cs="Times New Roman" w:eastAsia="Times New Roman" w:hAnsi="Times New Roman"/>
          <w:sz w:val="20"/>
          <w:szCs w:val="20"/>
          <w:u w:val="single" w:color="auto"/>
          <w:color w:val="auto"/>
        </w:rPr>
        <w:t>provided further</w:t>
      </w:r>
      <w:r>
        <w:rPr>
          <w:rFonts w:ascii="Times New Roman" w:cs="Times New Roman" w:eastAsia="Times New Roman" w:hAnsi="Times New Roman"/>
          <w:sz w:val="20"/>
          <w:szCs w:val="20"/>
          <w:color w:val="auto"/>
        </w:rPr>
        <w:t xml:space="preserve"> that, it shall not constitute an Event of Default pursuant to this </w:t>
      </w:r>
      <w:r>
        <w:rPr>
          <w:rFonts w:ascii="Times New Roman" w:cs="Times New Roman" w:eastAsia="Times New Roman" w:hAnsi="Times New Roman"/>
          <w:sz w:val="20"/>
          <w:szCs w:val="20"/>
          <w:u w:val="single" w:color="auto"/>
          <w:color w:val="auto"/>
        </w:rPr>
        <w:t>Section 7.6(b)</w:t>
      </w:r>
      <w:r>
        <w:rPr>
          <w:rFonts w:ascii="Times New Roman" w:cs="Times New Roman" w:eastAsia="Times New Roman" w:hAnsi="Times New Roman"/>
          <w:sz w:val="20"/>
          <w:szCs w:val="20"/>
          <w:color w:val="auto"/>
        </w:rPr>
        <w:t xml:space="preserve"> unless the aggregate principal amount of all such Indebtedness referred to in clauses (i) and (ii) exceeds $5,000,000 at any one time.</w:t>
      </w:r>
    </w:p>
    <w:p>
      <w:pPr>
        <w:spacing w:after="0" w:line="17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0"/>
          <w:szCs w:val="20"/>
          <w:b w:val="1"/>
          <w:bCs w:val="1"/>
          <w:color w:val="auto"/>
        </w:rPr>
        <w:t>7.7. Judgments</w:t>
      </w:r>
      <w:r>
        <w:rPr>
          <w:rFonts w:ascii="Times New Roman" w:cs="Times New Roman" w:eastAsia="Times New Roman" w:hAnsi="Times New Roman"/>
          <w:sz w:val="20"/>
          <w:szCs w:val="20"/>
          <w:color w:val="auto"/>
        </w:rPr>
        <w:t>. One or more final, non-appealable judgments, orders, or decrees for the</w:t>
      </w:r>
    </w:p>
    <w:p>
      <w:pPr>
        <w:spacing w:after="0" w:line="32"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payment of money in an amount in excess of $5,000,000 (but excluding any final judgments, orders, or decrees for the payment of money that are covered by independent third-party insurance as to which liability has not been denied by such insurance carrier, or by an indemnification claim against a solvent and unaffiliated Person that is not a Credit Party as to which such Person has not denied liability for such claim), shall be rendered against one or more Credit Parties or any Subsidiary, and the same are not, within thirty (30) days after the entry thereof, discharged or execution thereof stayed or bonded pending appeal, or such judgments are not discharged prior to the expiration of any such stay.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600075</wp:posOffset>
            </wp:positionV>
            <wp:extent cx="7157720" cy="4254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21" w:name="page222"/>
    <w:bookmarkEnd w:id="221"/>
    <w:p>
      <w:pPr>
        <w:spacing w:after="0" w:line="140"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51</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4905-3710-6484 v.17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600710</wp:posOffset>
            </wp:positionV>
            <wp:extent cx="7157720" cy="4254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222" w:name="page223"/>
    <w:bookmarkEnd w:id="222"/>
    <w:p>
      <w:pPr>
        <w:ind w:left="760"/>
        <w:spacing w:after="0"/>
        <w:rPr>
          <w:sz w:val="20"/>
          <w:szCs w:val="20"/>
          <w:color w:val="auto"/>
        </w:rPr>
      </w:pPr>
      <w:r>
        <w:rPr>
          <w:rFonts w:ascii="Times New Roman" w:cs="Times New Roman" w:eastAsia="Times New Roman" w:hAnsi="Times New Roman"/>
          <w:sz w:val="20"/>
          <w:szCs w:val="20"/>
          <w:b w:val="1"/>
          <w:bCs w:val="1"/>
          <w:color w:val="auto"/>
        </w:rPr>
        <w:t>7.8. Misrepresentations</w:t>
      </w:r>
      <w:r>
        <w:rPr>
          <w:rFonts w:ascii="Times New Roman" w:cs="Times New Roman" w:eastAsia="Times New Roman" w:hAnsi="Times New Roman"/>
          <w:sz w:val="20"/>
          <w:szCs w:val="20"/>
          <w:color w:val="auto"/>
        </w:rPr>
        <w:t>. Any Credit Party or any Subsidiary or any Person acting for any</w:t>
      </w:r>
    </w:p>
    <w:p>
      <w:pPr>
        <w:spacing w:after="0" w:line="26"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0"/>
          <w:szCs w:val="20"/>
          <w:color w:val="auto"/>
        </w:rPr>
        <w:t>Credit Party or any Subsidiary makes or is deemed to make any representation, warranty, or other statement now or later in this Agreement, any other Loan Document or in any writing delivered to the Agent or the Lenders or to induce the Agent or any Lender to enter this Agreement or any other Loan Document, and such representation, warranty, or other statement is incorrect in any material respect (or, to the extent any such representation, warranty or other statement is qualified by materiality or Material Adverse Change, in any respect) when made or deemed to be made.</w:t>
      </w:r>
    </w:p>
    <w:p>
      <w:pPr>
        <w:spacing w:after="0" w:line="18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7.9. Loan Documents; Collateral</w:t>
      </w:r>
      <w:r>
        <w:rPr>
          <w:rFonts w:ascii="Times New Roman" w:cs="Times New Roman" w:eastAsia="Times New Roman" w:hAnsi="Times New Roman"/>
          <w:sz w:val="20"/>
          <w:szCs w:val="20"/>
          <w:color w:val="auto"/>
        </w:rPr>
        <w:t>. Any material provision of any Loan Document shall for</w:t>
      </w:r>
    </w:p>
    <w:p>
      <w:pPr>
        <w:spacing w:after="0" w:line="26"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color w:val="auto"/>
        </w:rPr>
        <w:t>any reason cease to be valid and binding on or enforceable against any Credit Party or any Subsidiary, or any Credit Party or any Subsidiary shall so state in writing or bring an action to limit its obligations or liabilities thereunder; or any Collateral Document shall for any reason (other than pursuant to the terms thereof) cease to create a valid security interest in any portion of the Collateral having a fair market value, together with all such Collateral that is not subject to a valid security interest, in excess of $2,500,000 purported to be covered thereby, or such security interest shall for any reason (other than pursuant to the terms of the Loan Documents) cease to be a perfected and first priority security interest in any portion of the Collateral having a fair market value, together with all such Collateral that is not subject to a valid security interest, in excess of $2,500,000 subject only to Permitted Liens, in each case, other than as a direct result of any action by the Agent or any Lender or the failure of the Agent or any Lender to perform an obligation under the Loan Documents.</w:t>
      </w:r>
    </w:p>
    <w:p>
      <w:pPr>
        <w:spacing w:after="0" w:line="186" w:lineRule="exact"/>
        <w:rPr>
          <w:sz w:val="20"/>
          <w:szCs w:val="20"/>
          <w:color w:val="auto"/>
        </w:rPr>
      </w:pPr>
    </w:p>
    <w:p>
      <w:pPr>
        <w:ind w:left="760"/>
        <w:spacing w:after="0"/>
        <w:tabs>
          <w:tab w:leader="none" w:pos="3120" w:val="left"/>
        </w:tabs>
        <w:rPr>
          <w:sz w:val="20"/>
          <w:szCs w:val="20"/>
          <w:color w:val="auto"/>
        </w:rPr>
      </w:pPr>
      <w:r>
        <w:rPr>
          <w:rFonts w:ascii="Times New Roman" w:cs="Times New Roman" w:eastAsia="Times New Roman" w:hAnsi="Times New Roman"/>
          <w:sz w:val="20"/>
          <w:szCs w:val="20"/>
          <w:b w:val="1"/>
          <w:bCs w:val="1"/>
          <w:color w:val="auto"/>
        </w:rPr>
        <w:t>7.10. Subordinated Debt</w:t>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19"/>
          <w:szCs w:val="19"/>
          <w:color w:val="auto"/>
        </w:rPr>
        <w:t>Any document, instrument, or agreement evidencing the</w:t>
      </w:r>
    </w:p>
    <w:p>
      <w:pPr>
        <w:spacing w:after="0" w:line="26"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0"/>
          <w:szCs w:val="20"/>
          <w:color w:val="auto"/>
        </w:rPr>
        <w:t>subordination of any Subordinated Debt shall for any reason be revoked or invalidated or otherwise cease to be in full force and effect; any Credit Party or any Subsidiary shall contest in any manner the validity or enforceability thereof or deny that it has any further liability or obligation thereunder, or the Obligations shall for any reason be subordinated or shall not have the priority contemplated by this Agreement, other than with respect to Permitted Liens.</w:t>
      </w:r>
    </w:p>
    <w:p>
      <w:pPr>
        <w:spacing w:after="0" w:line="184" w:lineRule="exact"/>
        <w:rPr>
          <w:sz w:val="20"/>
          <w:szCs w:val="20"/>
          <w:color w:val="auto"/>
        </w:rPr>
      </w:pPr>
    </w:p>
    <w:p>
      <w:pPr>
        <w:jc w:val="both"/>
        <w:ind w:firstLine="749"/>
        <w:spacing w:after="0" w:line="273" w:lineRule="auto"/>
        <w:rPr>
          <w:sz w:val="20"/>
          <w:szCs w:val="20"/>
          <w:color w:val="auto"/>
        </w:rPr>
      </w:pPr>
      <w:r>
        <w:rPr>
          <w:rFonts w:ascii="Times New Roman" w:cs="Times New Roman" w:eastAsia="Times New Roman" w:hAnsi="Times New Roman"/>
          <w:sz w:val="20"/>
          <w:szCs w:val="20"/>
          <w:b w:val="1"/>
          <w:bCs w:val="1"/>
          <w:color w:val="auto"/>
        </w:rPr>
        <w:t>7.11. ERISA Event</w:t>
      </w:r>
      <w:r>
        <w:rPr>
          <w:rFonts w:ascii="Times New Roman" w:cs="Times New Roman" w:eastAsia="Times New Roman" w:hAnsi="Times New Roman"/>
          <w:sz w:val="20"/>
          <w:szCs w:val="20"/>
          <w:color w:val="auto"/>
        </w:rPr>
        <w:t>. An ERISA Event occurs that, individually or together with any other ERISA Events, results or could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reasonably be expected to result in a Material Adverse Change or the imposition of a Lien on any Collateral.</w:t>
      </w:r>
    </w:p>
    <w:p>
      <w:pPr>
        <w:spacing w:after="0" w:line="152"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0"/>
          <w:szCs w:val="20"/>
          <w:b w:val="1"/>
          <w:bCs w:val="1"/>
          <w:color w:val="auto"/>
        </w:rPr>
        <w:t>7.12. Regulatory Matters</w:t>
      </w:r>
      <w:r>
        <w:rPr>
          <w:rFonts w:ascii="Times New Roman" w:cs="Times New Roman" w:eastAsia="Times New Roman" w:hAnsi="Times New Roman"/>
          <w:sz w:val="20"/>
          <w:szCs w:val="20"/>
          <w:color w:val="auto"/>
        </w:rPr>
        <w:t>. If any of the following occurs: (A) any Credit Party or any Subsidiary of a Credit Party receives written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notification from FDA, EMA or any other Governmental Authority equivalent to the FDA or EMA and recognized as the health authority with primary responsibility for granting marketing approval in a foreign country which written notification is reasonably likely to result in the Product being withdrawn from the market and/or the Product approval and/or marketing authorization to be withdrawn, if the revenue attributable to the affected Product in the affected market constitutes more than 25% of consolidated revenues of the Borrower and its Subsidiaries, calculated as of the four fiscal quarter period most recently ended prior to the receipt of the written notification for which financial statements have been delivered pursuant to </w:t>
      </w:r>
      <w:r>
        <w:rPr>
          <w:rFonts w:ascii="Times New Roman" w:cs="Times New Roman" w:eastAsia="Times New Roman" w:hAnsi="Times New Roman"/>
          <w:sz w:val="20"/>
          <w:szCs w:val="20"/>
          <w:u w:val="single" w:color="auto"/>
          <w:color w:val="auto"/>
        </w:rPr>
        <w:t>Section 5.2(a)</w:t>
      </w:r>
      <w:r>
        <w:rPr>
          <w:rFonts w:ascii="Times New Roman" w:cs="Times New Roman" w:eastAsia="Times New Roman" w:hAnsi="Times New Roman"/>
          <w:sz w:val="20"/>
          <w:szCs w:val="20"/>
          <w:color w:val="auto"/>
        </w:rPr>
        <w:t>; (B) FDA, CMS, EMA or any other Governmental Authority initiates enforcement action, including without limitations, a Warning Letter, seizure, an injunction, or administrative procedure, against any Credit Party or any Subsidiary of a Credit Party with respect to the Products or the manufacturing facilities therefor, that causes the Credit Party or Subsidiary of a Credit Party to discontinue or suspend the sale of, or withdraw, any of its Products or causes a delay in the approval or offering of any Product, which discontinuation, withdrawal or delay would reasonably be expected to last for more than ninety (90) days (or, if a resolution to such discontinuation, suspension of sale, withdrawal or delay is being pursued in good faith through appropriate proceedings diligently conducted, and solely if the applicable event or circumstance has not actually resulted in a Material Adverse Change at the time, an additional thirty (30) days thereafter), in each case if the impact on revenue resulting from such discontinuation, suspension, withdrawal or delay, would be more than 25% of Consolidated Revenue calculated as of the fourth (4</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20"/>
          <w:szCs w:val="20"/>
          <w:color w:val="auto"/>
        </w:rPr>
        <w:t>) fiscal quarter period most recently ended prior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601345</wp:posOffset>
            </wp:positionV>
            <wp:extent cx="7157720" cy="4254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22" w:right="419" w:bottom="1440" w:gutter="0" w:footer="0" w:header="0"/>
        </w:sectPr>
      </w:pPr>
    </w:p>
    <w:bookmarkStart w:id="223" w:name="page224"/>
    <w:bookmarkEnd w:id="223"/>
    <w:p>
      <w:pPr>
        <w:spacing w:after="0" w:line="126"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52</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4905-3710-6484 v.17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600710</wp:posOffset>
            </wp:positionV>
            <wp:extent cx="7157720" cy="4254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224" w:name="page225"/>
    <w:bookmarkEnd w:id="224"/>
    <w:p>
      <w:pPr>
        <w:jc w:val="both"/>
        <w:spacing w:after="0" w:line="249" w:lineRule="auto"/>
        <w:rPr>
          <w:sz w:val="20"/>
          <w:szCs w:val="20"/>
          <w:color w:val="auto"/>
        </w:rPr>
      </w:pPr>
      <w:r>
        <w:rPr>
          <w:rFonts w:ascii="Times New Roman" w:cs="Times New Roman" w:eastAsia="Times New Roman" w:hAnsi="Times New Roman"/>
          <w:sz w:val="20"/>
          <w:szCs w:val="20"/>
          <w:color w:val="auto"/>
        </w:rPr>
        <w:t xml:space="preserve">the initiation of the enforcement action for which financial statements have been delivered pursuant to </w:t>
      </w:r>
      <w:r>
        <w:rPr>
          <w:rFonts w:ascii="Times New Roman" w:cs="Times New Roman" w:eastAsia="Times New Roman" w:hAnsi="Times New Roman"/>
          <w:sz w:val="20"/>
          <w:szCs w:val="20"/>
          <w:u w:val="single" w:color="auto"/>
          <w:color w:val="auto"/>
        </w:rPr>
        <w:t>Section 5.2(a)</w:t>
      </w:r>
      <w:r>
        <w:rPr>
          <w:rFonts w:ascii="Times New Roman" w:cs="Times New Roman" w:eastAsia="Times New Roman" w:hAnsi="Times New Roman"/>
          <w:sz w:val="20"/>
          <w:szCs w:val="20"/>
          <w:color w:val="auto"/>
        </w:rPr>
        <w:t>; (C) any Credit Party recalls any of its Products that would reasonably be expected to result in a Material Adverse Change; or (D) any Credit Party enters into a settlement agreement with the FDA, CMS, EMA or any other Governmental Authority that would reasonably be expected to result in a Material Adverse Change.</w:t>
      </w:r>
    </w:p>
    <w:p>
      <w:pPr>
        <w:spacing w:after="0" w:line="176"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0"/>
          <w:szCs w:val="20"/>
          <w:b w:val="1"/>
          <w:bCs w:val="1"/>
          <w:color w:val="auto"/>
        </w:rPr>
        <w:t>7.13. Change in Control</w:t>
      </w:r>
      <w:r>
        <w:rPr>
          <w:rFonts w:ascii="Times New Roman" w:cs="Times New Roman" w:eastAsia="Times New Roman" w:hAnsi="Times New Roman"/>
          <w:sz w:val="20"/>
          <w:szCs w:val="20"/>
          <w:color w:val="auto"/>
        </w:rPr>
        <w:t>. A Change in Control shall occur.</w:t>
      </w:r>
    </w:p>
    <w:p>
      <w:pPr>
        <w:spacing w:after="0" w:line="216" w:lineRule="exact"/>
        <w:rPr>
          <w:sz w:val="20"/>
          <w:szCs w:val="20"/>
          <w:color w:val="auto"/>
        </w:rPr>
      </w:pPr>
    </w:p>
    <w:p>
      <w:pPr>
        <w:ind w:left="1080" w:hanging="403"/>
        <w:spacing w:after="0"/>
        <w:tabs>
          <w:tab w:leader="none" w:pos="1080" w:val="left"/>
        </w:tabs>
        <w:numPr>
          <w:ilvl w:val="0"/>
          <w:numId w:val="13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RIGHTS AND REMEDIES UPON AN EVENT OF DEFAULT</w:t>
      </w:r>
    </w:p>
    <w:p>
      <w:pPr>
        <w:spacing w:after="0" w:line="216" w:lineRule="exact"/>
        <w:rPr>
          <w:sz w:val="20"/>
          <w:szCs w:val="20"/>
          <w:color w:val="auto"/>
        </w:rPr>
      </w:pPr>
    </w:p>
    <w:p>
      <w:pPr>
        <w:ind w:firstLine="669"/>
        <w:spacing w:after="0" w:line="273" w:lineRule="auto"/>
        <w:rPr>
          <w:sz w:val="20"/>
          <w:szCs w:val="20"/>
          <w:color w:val="auto"/>
        </w:rPr>
      </w:pPr>
      <w:r>
        <w:rPr>
          <w:rFonts w:ascii="Times New Roman" w:cs="Times New Roman" w:eastAsia="Times New Roman" w:hAnsi="Times New Roman"/>
          <w:sz w:val="20"/>
          <w:szCs w:val="20"/>
          <w:b w:val="1"/>
          <w:bCs w:val="1"/>
          <w:color w:val="auto"/>
        </w:rPr>
        <w:t>8.1. Rights and Remedies</w:t>
      </w:r>
      <w:r>
        <w:rPr>
          <w:rFonts w:ascii="Times New Roman" w:cs="Times New Roman" w:eastAsia="Times New Roman" w:hAnsi="Times New Roman"/>
          <w:sz w:val="20"/>
          <w:szCs w:val="20"/>
          <w:color w:val="auto"/>
        </w:rPr>
        <w:t>. If any Event of Default occurs, the Agent shall, at the direction of the Required Lenders, take any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all of the following actions:</w:t>
      </w:r>
    </w:p>
    <w:p>
      <w:pPr>
        <w:spacing w:after="0" w:line="156" w:lineRule="exact"/>
        <w:rPr>
          <w:sz w:val="20"/>
          <w:szCs w:val="20"/>
          <w:color w:val="auto"/>
        </w:rPr>
      </w:pPr>
    </w:p>
    <w:p>
      <w:pPr>
        <w:jc w:val="both"/>
        <w:ind w:firstLine="1490"/>
        <w:spacing w:after="0" w:line="244" w:lineRule="auto"/>
        <w:tabs>
          <w:tab w:leader="none" w:pos="1949" w:val="left"/>
        </w:tabs>
        <w:numPr>
          <w:ilvl w:val="0"/>
          <w:numId w:val="1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declare all Obligations (including the Yield Protection Premium, as applicable) immediately due and payable and terminate all Commitments hereunder (but if an Event of Default described in </w:t>
      </w:r>
      <w:r>
        <w:rPr>
          <w:rFonts w:ascii="Times New Roman" w:cs="Times New Roman" w:eastAsia="Times New Roman" w:hAnsi="Times New Roman"/>
          <w:sz w:val="20"/>
          <w:szCs w:val="20"/>
          <w:u w:val="single" w:color="auto"/>
          <w:color w:val="auto"/>
        </w:rPr>
        <w:t>Section 7.5</w:t>
      </w:r>
      <w:r>
        <w:rPr>
          <w:rFonts w:ascii="Times New Roman" w:cs="Times New Roman" w:eastAsia="Times New Roman" w:hAnsi="Times New Roman"/>
          <w:sz w:val="20"/>
          <w:szCs w:val="20"/>
          <w:color w:val="auto"/>
        </w:rPr>
        <w:t xml:space="preserve"> occurs all Obligations, including the Yield Protection Premium, as applicable, are automatically and immediately due and payable, all Commitments shall automatically and immediately terminate and the Lenders shall have no obligation to make any Loan to the Borrower hereunder, in each case, without any action by the Agent or the Required Lenders), whereupon all Obligations for principal, interest, premium or otherwise (including the Yield Protection Premium, as applicable) shall become due and payable by Borrower without presentment, demand, protest or other notice of any kind, which are all expressly waived by the Credit Parties hereby;</w:t>
      </w:r>
    </w:p>
    <w:p>
      <w:pPr>
        <w:spacing w:after="0" w:line="189" w:lineRule="exact"/>
        <w:rPr>
          <w:rFonts w:ascii="Times New Roman" w:cs="Times New Roman" w:eastAsia="Times New Roman" w:hAnsi="Times New Roman"/>
          <w:sz w:val="20"/>
          <w:szCs w:val="20"/>
          <w:color w:val="auto"/>
        </w:rPr>
      </w:pPr>
    </w:p>
    <w:p>
      <w:pPr>
        <w:ind w:left="1960" w:hanging="470"/>
        <w:spacing w:after="0"/>
        <w:tabs>
          <w:tab w:leader="none" w:pos="1960" w:val="left"/>
        </w:tabs>
        <w:numPr>
          <w:ilvl w:val="0"/>
          <w:numId w:val="1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stop advancing money or extending credit for Borrower’s benefit under this Agreement;</w:t>
      </w:r>
    </w:p>
    <w:p>
      <w:pPr>
        <w:spacing w:after="0" w:line="225" w:lineRule="exact"/>
        <w:rPr>
          <w:rFonts w:ascii="Times New Roman" w:cs="Times New Roman" w:eastAsia="Times New Roman" w:hAnsi="Times New Roman"/>
          <w:sz w:val="20"/>
          <w:szCs w:val="20"/>
          <w:color w:val="auto"/>
        </w:rPr>
      </w:pPr>
    </w:p>
    <w:p>
      <w:pPr>
        <w:jc w:val="both"/>
        <w:ind w:firstLine="1490"/>
        <w:spacing w:after="0" w:line="261" w:lineRule="auto"/>
        <w:tabs>
          <w:tab w:leader="none" w:pos="1949" w:val="left"/>
        </w:tabs>
        <w:numPr>
          <w:ilvl w:val="0"/>
          <w:numId w:val="1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settle or adjust disputes and claims directly with account debtors for amounts on terms and in any order that Agent (at the direction of the Blackstone Representative) considers advisable, notify any Person owing the Credit Parties money of the Agent’s security interest in such funds, and verify the amount of all Accounts;</w:t>
      </w:r>
    </w:p>
    <w:p>
      <w:pPr>
        <w:spacing w:after="0" w:line="171" w:lineRule="exact"/>
        <w:rPr>
          <w:rFonts w:ascii="Times New Roman" w:cs="Times New Roman" w:eastAsia="Times New Roman" w:hAnsi="Times New Roman"/>
          <w:sz w:val="20"/>
          <w:szCs w:val="20"/>
          <w:color w:val="auto"/>
        </w:rPr>
      </w:pPr>
    </w:p>
    <w:p>
      <w:pPr>
        <w:jc w:val="both"/>
        <w:ind w:firstLine="1490"/>
        <w:spacing w:after="0" w:line="247" w:lineRule="auto"/>
        <w:tabs>
          <w:tab w:leader="none" w:pos="1949" w:val="left"/>
        </w:tabs>
        <w:numPr>
          <w:ilvl w:val="0"/>
          <w:numId w:val="1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make any payments and do any acts it considers necessary or reasonable to protect the Collateral or Agent’s security interest in favor and for the benefit of the Agent and the other Secured Parties in the Collateral. The Credit Parties shall assemble the Collateral if the Agent (at the direction of the Blackstone Representative) requests and make it available as Agent (at the direction of the Blackstone Representative) designates. The Agent (at the direction of the Blackstone Representative) or its agents or representatives may enter premises where the Collateral is located, take and maintain possession of any part of the Collateral, and pay, purchase, contest, or compromise any Lien which appears to be prior or superior to its security interest in favor and for the benefit of the Agent and the other Secured Parties and pay all expenses incurred. The Credit Parties grant the Agent a license to enter and occupy (and for its agents or representatives to enter and occupy) any of its premises, without charge, to exercise any of the Agent’s rights or remedies;</w:t>
      </w:r>
    </w:p>
    <w:p>
      <w:pPr>
        <w:spacing w:after="0" w:line="182" w:lineRule="exact"/>
        <w:rPr>
          <w:rFonts w:ascii="Times New Roman" w:cs="Times New Roman" w:eastAsia="Times New Roman" w:hAnsi="Times New Roman"/>
          <w:sz w:val="20"/>
          <w:szCs w:val="20"/>
          <w:color w:val="auto"/>
        </w:rPr>
      </w:pPr>
    </w:p>
    <w:p>
      <w:pPr>
        <w:ind w:firstLine="1490"/>
        <w:spacing w:after="0" w:line="269" w:lineRule="auto"/>
        <w:tabs>
          <w:tab w:leader="none" w:pos="1949" w:val="left"/>
        </w:tabs>
        <w:numPr>
          <w:ilvl w:val="0"/>
          <w:numId w:val="1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apply to the Obligations (i) any balances and deposits of the Credit Parties it holds, or (ii) any amount held by the Agent or the Lenders owing to or for the credit or the account of any Credit Party;</w:t>
      </w:r>
    </w:p>
    <w:p>
      <w:pPr>
        <w:spacing w:after="0" w:line="159" w:lineRule="exact"/>
        <w:rPr>
          <w:rFonts w:ascii="Times New Roman" w:cs="Times New Roman" w:eastAsia="Times New Roman" w:hAnsi="Times New Roman"/>
          <w:sz w:val="20"/>
          <w:szCs w:val="20"/>
          <w:color w:val="auto"/>
        </w:rPr>
      </w:pPr>
    </w:p>
    <w:p>
      <w:pPr>
        <w:jc w:val="both"/>
        <w:ind w:firstLine="1490"/>
        <w:spacing w:after="0" w:line="247" w:lineRule="auto"/>
        <w:tabs>
          <w:tab w:leader="none" w:pos="1949" w:val="left"/>
        </w:tabs>
        <w:numPr>
          <w:ilvl w:val="0"/>
          <w:numId w:val="1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ship, reclaim, recover, store, finish, maintain, repair, prepare for sale, advertise for sale, and sell the Collateral. With respect to any and all Intellectual Property owned by any Credit Party and included in Collateral, upon the occurrence of and during the existence of an Event of Default, each Credit Party hereby grants to the Agent, for the benefit of all Secured Parties, as of the Closing</w:t>
      </w:r>
    </w:p>
    <w:p>
      <w:pPr>
        <w:spacing w:after="0"/>
        <w:rPr>
          <w:sz w:val="20"/>
          <w:szCs w:val="20"/>
          <w:color w:val="auto"/>
        </w:rPr>
      </w:pPr>
      <w:r>
        <w:rPr>
          <w:rFonts w:ascii="Times New Roman" w:cs="Times New Roman" w:eastAsia="Times New Roman" w:hAnsi="Times New Roman"/>
          <w:sz w:val="20"/>
          <w:szCs w:val="20"/>
          <w:color w:val="auto"/>
        </w:rPr>
        <w:t>Date, a non  exclusive, irrevocable, worldwide, freely sublicensable (through multiple tiers), royalty-free license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604520</wp:posOffset>
            </wp:positionV>
            <wp:extent cx="7157720" cy="4254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400" w:top="1426" w:right="419" w:bottom="1440" w:gutter="0" w:footer="0" w:header="0"/>
        </w:sectPr>
      </w:pPr>
    </w:p>
    <w:bookmarkStart w:id="225" w:name="page226"/>
    <w:bookmarkEnd w:id="225"/>
    <w:p>
      <w:pPr>
        <w:spacing w:after="0" w:line="194"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53</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4905-3710-6484 v.17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600710</wp:posOffset>
            </wp:positionV>
            <wp:extent cx="7157720" cy="4254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59"/>
          </w:cols>
          <w:pgMar w:left="400" w:top="1440" w:right="1440" w:bottom="1440" w:gutter="0" w:footer="0" w:header="0"/>
        </w:sectPr>
      </w:pPr>
    </w:p>
    <w:bookmarkStart w:id="226" w:name="page227"/>
    <w:bookmarkEnd w:id="226"/>
    <w:p>
      <w:pPr>
        <w:jc w:val="both"/>
        <w:spacing w:after="0" w:line="257" w:lineRule="auto"/>
        <w:rPr>
          <w:sz w:val="20"/>
          <w:szCs w:val="20"/>
          <w:color w:val="auto"/>
        </w:rPr>
      </w:pPr>
      <w:r>
        <w:rPr>
          <w:rFonts w:ascii="Times New Roman" w:cs="Times New Roman" w:eastAsia="Times New Roman" w:hAnsi="Times New Roman"/>
          <w:sz w:val="20"/>
          <w:szCs w:val="20"/>
          <w:color w:val="auto"/>
        </w:rPr>
        <w:t xml:space="preserve">other right to use, without charge, such Intellectual Property for any purpose in connection with the Agent’s exercise of its rights and remedies under this Agreement or any other Loan Document, including in advertising for sale and selling any Collateral, in connection with the Agent’s exercise of its rights under this </w:t>
      </w:r>
      <w:r>
        <w:rPr>
          <w:rFonts w:ascii="Times New Roman" w:cs="Times New Roman" w:eastAsia="Times New Roman" w:hAnsi="Times New Roman"/>
          <w:sz w:val="20"/>
          <w:szCs w:val="20"/>
          <w:u w:val="single" w:color="auto"/>
          <w:color w:val="auto"/>
        </w:rPr>
        <w:t>Section 8.1</w:t>
      </w:r>
      <w:r>
        <w:rPr>
          <w:rFonts w:ascii="Times New Roman" w:cs="Times New Roman" w:eastAsia="Times New Roman" w:hAnsi="Times New Roman"/>
          <w:sz w:val="20"/>
          <w:szCs w:val="20"/>
          <w:color w:val="auto"/>
        </w:rPr>
        <w:t>, and the Credit Parties’ rights under all licenses and ensuring all franchise contracts (if any) inure to the benefit of all Secured Parties;</w:t>
      </w:r>
    </w:p>
    <w:p>
      <w:pPr>
        <w:spacing w:after="0" w:line="176" w:lineRule="exact"/>
        <w:rPr>
          <w:sz w:val="20"/>
          <w:szCs w:val="20"/>
          <w:color w:val="auto"/>
        </w:rPr>
      </w:pPr>
    </w:p>
    <w:p>
      <w:pPr>
        <w:ind w:firstLine="1580"/>
        <w:spacing w:after="0" w:line="279" w:lineRule="auto"/>
        <w:tabs>
          <w:tab w:leader="none" w:pos="2033" w:val="left"/>
        </w:tabs>
        <w:numPr>
          <w:ilvl w:val="0"/>
          <w:numId w:val="1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place a “hold” on any account maintained with the Agent or deliver a notice of exclusive control, any entitlement order, or other directions or instructions pursuant to any Control Agreement or similar agreements providing control of any Collateral;</w:t>
      </w:r>
    </w:p>
    <w:p>
      <w:pPr>
        <w:spacing w:after="0" w:line="150" w:lineRule="exact"/>
        <w:rPr>
          <w:rFonts w:ascii="Times New Roman" w:cs="Times New Roman" w:eastAsia="Times New Roman" w:hAnsi="Times New Roman"/>
          <w:sz w:val="20"/>
          <w:szCs w:val="20"/>
          <w:color w:val="auto"/>
        </w:rPr>
      </w:pPr>
    </w:p>
    <w:p>
      <w:pPr>
        <w:ind w:left="2040" w:hanging="460"/>
        <w:spacing w:after="0"/>
        <w:tabs>
          <w:tab w:leader="none" w:pos="2040" w:val="left"/>
        </w:tabs>
        <w:numPr>
          <w:ilvl w:val="0"/>
          <w:numId w:val="1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demand and receive possession of the Books of the Credit Parties regarding Collateral; and</w:t>
      </w:r>
    </w:p>
    <w:p>
      <w:pPr>
        <w:spacing w:after="0" w:line="202" w:lineRule="exact"/>
        <w:rPr>
          <w:rFonts w:ascii="Times New Roman" w:cs="Times New Roman" w:eastAsia="Times New Roman" w:hAnsi="Times New Roman"/>
          <w:sz w:val="20"/>
          <w:szCs w:val="20"/>
          <w:color w:val="auto"/>
        </w:rPr>
      </w:pPr>
    </w:p>
    <w:p>
      <w:pPr>
        <w:jc w:val="both"/>
        <w:ind w:firstLine="1580"/>
        <w:spacing w:after="0" w:line="254" w:lineRule="auto"/>
        <w:tabs>
          <w:tab w:leader="none" w:pos="2033" w:val="left"/>
        </w:tabs>
        <w:numPr>
          <w:ilvl w:val="0"/>
          <w:numId w:val="1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exercise all rights and remedies available to the Agent and each Lender under the Collateral Documents or any other Loan Documents or at law or equity, including all remedies provided under the Code (including disposal of the Collateral pursuant to the terms thereof).</w:t>
      </w:r>
    </w:p>
    <w:p>
      <w:pPr>
        <w:spacing w:after="0" w:line="18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0"/>
          <w:szCs w:val="20"/>
          <w:b w:val="1"/>
          <w:bCs w:val="1"/>
          <w:color w:val="auto"/>
        </w:rPr>
        <w:t>8.2. Power of Attorney</w:t>
      </w:r>
      <w:r>
        <w:rPr>
          <w:rFonts w:ascii="Times New Roman" w:cs="Times New Roman" w:eastAsia="Times New Roman" w:hAnsi="Times New Roman"/>
          <w:sz w:val="20"/>
          <w:szCs w:val="20"/>
          <w:color w:val="auto"/>
        </w:rPr>
        <w:t>. Each Credit Party hereby irrevocably appoints the Agent and any</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Related Party thereof as its lawful attorney-in-fact, exercisable upon the occurrence and during the continuance of an Event of Default, to:</w:t>
      </w:r>
    </w:p>
    <w:p>
      <w:pPr>
        <w:spacing w:after="0" w:line="5" w:lineRule="exact"/>
        <w:rPr>
          <w:sz w:val="20"/>
          <w:szCs w:val="20"/>
          <w:color w:val="auto"/>
        </w:rPr>
      </w:pPr>
    </w:p>
    <w:p>
      <w:pPr>
        <w:jc w:val="both"/>
        <w:ind w:firstLine="8"/>
        <w:spacing w:after="0" w:line="258" w:lineRule="auto"/>
        <w:tabs>
          <w:tab w:leader="none" w:pos="269" w:val="left"/>
        </w:tabs>
        <w:numPr>
          <w:ilvl w:val="0"/>
          <w:numId w:val="13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endorse such Credit Party’s name on any checks or other forms of payment or security; (b) sign such Credit Party’s name on any invoice or bill of lading for any Account or drafts against Account Debtors; (c) settle and adjust disputes and claims about the Collateral Accounts directly with depository banks where the Collateral Accounts are maintained, for amounts and on terms the Agent (at the direction of the Blackstone Representative) determines reasonable; (d) make, settle, and adjust all claims under such Credit Party’s products liability or general liability insurance policies maintained in the United States regarding Collateral; (e) pay, contest or settle any Lien, charge, encumbrance, security interest, and adverse claim in or to the Collateral, or any judgment based thereon, or otherwise take any action to terminate or discharge the same; and (f) transfer the Collateral into the name of the Agent or a third party as the Code permits. Each Credit Party hereby appoints the Agent, any Related Party thereof and their designees as its lawful attorney-in-fact to file or record any documents necessary to perfect or continue the perfection of the Agent’s security interest in favor and for the benefit of the Agent and the other Secured Parties in the Collateral, regardless of whether an Event of Default has occurred, until all Obligations (other than inchoate indemnity obligations in respect of which no claim has been asserted) have been satisfied in full in cash in immediately available funds, any Lender is not under any further obligation to make Credit Extensions hereunder. The foregoing appointment of the Agent and any Related Party thereof as each Credit Party’s attorney in fact, and all of the Agent’s (or such Related Party’s) rights and powers, coupled with an interest, are irrevocable until all Obligations (other than inchoate indemnity obligations in respect of which no claim has been asserted) have been fully repaid in cash in immediately available funds and the Agent’s and each Lenders’ obligation to provide Credit Extensions terminates.</w:t>
      </w:r>
    </w:p>
    <w:p>
      <w:pPr>
        <w:spacing w:after="0" w:line="15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0"/>
          <w:szCs w:val="20"/>
          <w:b w:val="1"/>
          <w:bCs w:val="1"/>
          <w:color w:val="auto"/>
        </w:rPr>
        <w:t>8.3. Application of Payments and Proceeds Upon Default</w:t>
      </w:r>
      <w:r>
        <w:rPr>
          <w:rFonts w:ascii="Times New Roman" w:cs="Times New Roman" w:eastAsia="Times New Roman" w:hAnsi="Times New Roman"/>
          <w:sz w:val="20"/>
          <w:szCs w:val="20"/>
          <w:color w:val="auto"/>
        </w:rPr>
        <w:t>. During the continuance of an</w:t>
      </w:r>
    </w:p>
    <w:p>
      <w:pPr>
        <w:spacing w:after="0" w:line="26"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0"/>
          <w:szCs w:val="20"/>
          <w:color w:val="auto"/>
        </w:rPr>
        <w:t xml:space="preserve">Event of Default, Agent shall upon the direction of Required Lenders, apply any and all payments received by Agent in respect of any Obligation in accordance with clauses </w:t>
      </w:r>
      <w:r>
        <w:rPr>
          <w:rFonts w:ascii="Times New Roman" w:cs="Times New Roman" w:eastAsia="Times New Roman" w:hAnsi="Times New Roman"/>
          <w:sz w:val="20"/>
          <w:szCs w:val="20"/>
          <w:u w:val="single" w:color="auto"/>
          <w:color w:val="auto"/>
        </w:rPr>
        <w:t>first</w:t>
      </w:r>
      <w:r>
        <w:rPr>
          <w:rFonts w:ascii="Times New Roman" w:cs="Times New Roman" w:eastAsia="Times New Roman" w:hAnsi="Times New Roman"/>
          <w:sz w:val="20"/>
          <w:szCs w:val="20"/>
          <w:color w:val="auto"/>
        </w:rPr>
        <w:t xml:space="preserve"> through </w:t>
      </w:r>
      <w:r>
        <w:rPr>
          <w:rFonts w:ascii="Times New Roman" w:cs="Times New Roman" w:eastAsia="Times New Roman" w:hAnsi="Times New Roman"/>
          <w:sz w:val="20"/>
          <w:szCs w:val="20"/>
          <w:u w:val="single" w:color="auto"/>
          <w:color w:val="auto"/>
        </w:rPr>
        <w:t>eighth</w:t>
      </w:r>
      <w:r>
        <w:rPr>
          <w:rFonts w:ascii="Times New Roman" w:cs="Times New Roman" w:eastAsia="Times New Roman" w:hAnsi="Times New Roman"/>
          <w:sz w:val="20"/>
          <w:szCs w:val="20"/>
          <w:color w:val="auto"/>
        </w:rPr>
        <w:t xml:space="preserve"> below. All payments received by Agent in respect of the Obligations after any or all of the Obligations have been accelerated (so long as such acceleration has not been rescinded), including proceeds of Collateral, shall be applied as follows:</w:t>
      </w:r>
    </w:p>
    <w:p>
      <w:pPr>
        <w:spacing w:after="0" w:line="198" w:lineRule="exact"/>
        <w:rPr>
          <w:sz w:val="20"/>
          <w:szCs w:val="20"/>
          <w:color w:val="auto"/>
        </w:rPr>
      </w:pPr>
    </w:p>
    <w:p>
      <w:pPr>
        <w:ind w:left="2720" w:hanging="391"/>
        <w:spacing w:after="0"/>
        <w:tabs>
          <w:tab w:leader="none" w:pos="2720" w:val="left"/>
        </w:tabs>
        <w:numPr>
          <w:ilvl w:val="0"/>
          <w:numId w:val="1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First</w:t>
      </w:r>
      <w:r>
        <w:rPr>
          <w:rFonts w:ascii="Times New Roman" w:cs="Times New Roman" w:eastAsia="Times New Roman" w:hAnsi="Times New Roman"/>
          <w:sz w:val="20"/>
          <w:szCs w:val="20"/>
          <w:color w:val="auto"/>
        </w:rPr>
        <w:t>, to payment of that portion of the Obligations constituting fees,</w:t>
      </w:r>
    </w:p>
    <w:p>
      <w:pPr>
        <w:spacing w:after="0" w:line="26" w:lineRule="exact"/>
        <w:rPr>
          <w:sz w:val="20"/>
          <w:szCs w:val="20"/>
          <w:color w:val="auto"/>
        </w:rPr>
      </w:pPr>
    </w:p>
    <w:p>
      <w:pPr>
        <w:ind w:left="760"/>
        <w:spacing w:after="0" w:line="246" w:lineRule="auto"/>
        <w:rPr>
          <w:sz w:val="20"/>
          <w:szCs w:val="20"/>
          <w:color w:val="auto"/>
        </w:rPr>
      </w:pPr>
      <w:r>
        <w:rPr>
          <w:rFonts w:ascii="Times New Roman" w:cs="Times New Roman" w:eastAsia="Times New Roman" w:hAnsi="Times New Roman"/>
          <w:sz w:val="20"/>
          <w:szCs w:val="20"/>
          <w:color w:val="auto"/>
        </w:rPr>
        <w:t>indemnities, expenses and all other amounts (other than principal and interest, but including Lender and Agent Expenses) payable to the Agent in its capacity as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596900</wp:posOffset>
            </wp:positionV>
            <wp:extent cx="7157720" cy="4254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30" w:right="419" w:bottom="1440" w:gutter="0" w:footer="0" w:header="0"/>
        </w:sectPr>
      </w:pPr>
    </w:p>
    <w:bookmarkStart w:id="227" w:name="page228"/>
    <w:bookmarkEnd w:id="227"/>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right"/>
        <w:ind w:right="4459"/>
        <w:spacing w:after="0"/>
        <w:rPr>
          <w:sz w:val="20"/>
          <w:szCs w:val="20"/>
          <w:color w:val="auto"/>
        </w:rPr>
      </w:pPr>
      <w:r>
        <w:rPr>
          <w:rFonts w:ascii="Times New Roman" w:cs="Times New Roman" w:eastAsia="Times New Roman" w:hAnsi="Times New Roman"/>
          <w:sz w:val="18"/>
          <w:szCs w:val="18"/>
          <w:color w:val="auto"/>
        </w:rPr>
        <w:t>54</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4905-3710-6484 v.17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600710</wp:posOffset>
            </wp:positionV>
            <wp:extent cx="7157720" cy="4254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228" w:name="page229"/>
    <w:bookmarkEnd w:id="228"/>
    <w:p>
      <w:pPr>
        <w:jc w:val="both"/>
        <w:ind w:left="840" w:firstLine="1498"/>
        <w:spacing w:after="0" w:line="250" w:lineRule="auto"/>
        <w:rPr>
          <w:sz w:val="20"/>
          <w:szCs w:val="20"/>
          <w:color w:val="auto"/>
        </w:rPr>
      </w:pPr>
      <w:r>
        <w:rPr>
          <w:rFonts w:ascii="Times New Roman" w:cs="Times New Roman" w:eastAsia="Times New Roman" w:hAnsi="Times New Roman"/>
          <w:sz w:val="20"/>
          <w:szCs w:val="20"/>
          <w:i w:val="1"/>
          <w:iCs w:val="1"/>
          <w:color w:val="auto"/>
        </w:rPr>
        <w:t>(ii)Second</w:t>
      </w:r>
      <w:r>
        <w:rPr>
          <w:rFonts w:ascii="Times New Roman" w:cs="Times New Roman" w:eastAsia="Times New Roman" w:hAnsi="Times New Roman"/>
          <w:sz w:val="20"/>
          <w:szCs w:val="20"/>
          <w:color w:val="auto"/>
        </w:rPr>
        <w:t>, to payment of that portion of the Obligations constituting fees, indemnities and other amounts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(other than principal, interest, Commitment Fees, Yield Protection Premium and breakage and termination Obligations, but including Lender and Agent Expenses) payable to the Lenders, ratably among them in proportion to the amounts described in this clause </w:t>
      </w:r>
      <w:r>
        <w:rPr>
          <w:rFonts w:ascii="Times New Roman" w:cs="Times New Roman" w:eastAsia="Times New Roman" w:hAnsi="Times New Roman"/>
          <w:sz w:val="20"/>
          <w:szCs w:val="20"/>
          <w:i w:val="1"/>
          <w:iCs w:val="1"/>
          <w:color w:val="auto"/>
        </w:rPr>
        <w:t>Second</w:t>
      </w:r>
      <w:r>
        <w:rPr>
          <w:rFonts w:ascii="Times New Roman" w:cs="Times New Roman" w:eastAsia="Times New Roman" w:hAnsi="Times New Roman"/>
          <w:sz w:val="20"/>
          <w:szCs w:val="20"/>
          <w:color w:val="auto"/>
        </w:rPr>
        <w:t xml:space="preserve"> payable to them;</w:t>
      </w:r>
    </w:p>
    <w:p>
      <w:pPr>
        <w:spacing w:after="0" w:line="176" w:lineRule="exact"/>
        <w:rPr>
          <w:sz w:val="20"/>
          <w:szCs w:val="20"/>
          <w:color w:val="auto"/>
        </w:rPr>
      </w:pPr>
    </w:p>
    <w:p>
      <w:pPr>
        <w:jc w:val="both"/>
        <w:ind w:left="840" w:firstLine="1498"/>
        <w:spacing w:after="0" w:line="256" w:lineRule="auto"/>
        <w:rPr>
          <w:sz w:val="20"/>
          <w:szCs w:val="20"/>
          <w:color w:val="auto"/>
        </w:rPr>
      </w:pPr>
      <w:r>
        <w:rPr>
          <w:rFonts w:ascii="Times New Roman" w:cs="Times New Roman" w:eastAsia="Times New Roman" w:hAnsi="Times New Roman"/>
          <w:sz w:val="20"/>
          <w:szCs w:val="20"/>
          <w:i w:val="1"/>
          <w:iCs w:val="1"/>
          <w:color w:val="auto"/>
        </w:rPr>
        <w:t>(iii)Third</w:t>
      </w:r>
      <w:r>
        <w:rPr>
          <w:rFonts w:ascii="Times New Roman" w:cs="Times New Roman" w:eastAsia="Times New Roman" w:hAnsi="Times New Roman"/>
          <w:sz w:val="20"/>
          <w:szCs w:val="20"/>
          <w:color w:val="auto"/>
        </w:rPr>
        <w:t>, to payment of that portion of the Obligations constituting accrued and unpaid interest on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Revolving Credit Loans and any Commitment Fees, ratably among the Revolving Credit Lenders in proportion to the respective amounts described in this clause </w:t>
      </w:r>
      <w:r>
        <w:rPr>
          <w:rFonts w:ascii="Times New Roman" w:cs="Times New Roman" w:eastAsia="Times New Roman" w:hAnsi="Times New Roman"/>
          <w:sz w:val="20"/>
          <w:szCs w:val="20"/>
          <w:i w:val="1"/>
          <w:iCs w:val="1"/>
          <w:color w:val="auto"/>
        </w:rPr>
        <w:t>Third</w:t>
      </w:r>
      <w:r>
        <w:rPr>
          <w:rFonts w:ascii="Times New Roman" w:cs="Times New Roman" w:eastAsia="Times New Roman" w:hAnsi="Times New Roman"/>
          <w:sz w:val="20"/>
          <w:szCs w:val="20"/>
          <w:color w:val="auto"/>
        </w:rPr>
        <w:t xml:space="preserve"> payable to them;</w:t>
      </w:r>
    </w:p>
    <w:p>
      <w:pPr>
        <w:spacing w:after="0" w:line="169" w:lineRule="exact"/>
        <w:rPr>
          <w:sz w:val="20"/>
          <w:szCs w:val="20"/>
          <w:color w:val="auto"/>
        </w:rPr>
      </w:pPr>
    </w:p>
    <w:p>
      <w:pPr>
        <w:jc w:val="both"/>
        <w:ind w:left="840" w:firstLine="1498"/>
        <w:spacing w:after="0" w:line="256" w:lineRule="auto"/>
        <w:rPr>
          <w:sz w:val="20"/>
          <w:szCs w:val="20"/>
          <w:color w:val="auto"/>
        </w:rPr>
      </w:pPr>
      <w:r>
        <w:rPr>
          <w:rFonts w:ascii="Times New Roman" w:cs="Times New Roman" w:eastAsia="Times New Roman" w:hAnsi="Times New Roman"/>
          <w:sz w:val="20"/>
          <w:szCs w:val="20"/>
          <w:i w:val="1"/>
          <w:iCs w:val="1"/>
          <w:color w:val="auto"/>
        </w:rPr>
        <w:t>(iv)Fourth</w:t>
      </w:r>
      <w:r>
        <w:rPr>
          <w:rFonts w:ascii="Times New Roman" w:cs="Times New Roman" w:eastAsia="Times New Roman" w:hAnsi="Times New Roman"/>
          <w:sz w:val="20"/>
          <w:szCs w:val="20"/>
          <w:color w:val="auto"/>
        </w:rPr>
        <w:t>, to payment of that portion of the Obligations constituting unpaid principal of the Revolving Credit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Loans and any breakage or termination Obligations, ratably among the Revolving Credit Lenders in proportion to the respective amounts described in this clause </w:t>
      </w:r>
      <w:r>
        <w:rPr>
          <w:rFonts w:ascii="Times New Roman" w:cs="Times New Roman" w:eastAsia="Times New Roman" w:hAnsi="Times New Roman"/>
          <w:sz w:val="20"/>
          <w:szCs w:val="20"/>
          <w:i w:val="1"/>
          <w:iCs w:val="1"/>
          <w:color w:val="auto"/>
        </w:rPr>
        <w:t>Fourth</w:t>
      </w:r>
      <w:r>
        <w:rPr>
          <w:rFonts w:ascii="Times New Roman" w:cs="Times New Roman" w:eastAsia="Times New Roman" w:hAnsi="Times New Roman"/>
          <w:sz w:val="20"/>
          <w:szCs w:val="20"/>
          <w:color w:val="auto"/>
        </w:rPr>
        <w:t xml:space="preserve"> payable to them;</w:t>
      </w:r>
    </w:p>
    <w:p>
      <w:pPr>
        <w:spacing w:after="0" w:line="155" w:lineRule="exact"/>
        <w:rPr>
          <w:sz w:val="20"/>
          <w:szCs w:val="20"/>
          <w:color w:val="auto"/>
        </w:rPr>
      </w:pPr>
    </w:p>
    <w:p>
      <w:pPr>
        <w:jc w:val="both"/>
        <w:ind w:left="840" w:firstLine="1498"/>
        <w:spacing w:after="0" w:line="256" w:lineRule="auto"/>
        <w:rPr>
          <w:sz w:val="20"/>
          <w:szCs w:val="20"/>
          <w:color w:val="auto"/>
        </w:rPr>
      </w:pPr>
      <w:r>
        <w:rPr>
          <w:rFonts w:ascii="Times New Roman" w:cs="Times New Roman" w:eastAsia="Times New Roman" w:hAnsi="Times New Roman"/>
          <w:sz w:val="20"/>
          <w:szCs w:val="20"/>
          <w:i w:val="1"/>
          <w:iCs w:val="1"/>
          <w:color w:val="auto"/>
        </w:rPr>
        <w:t>(v)Fifth</w:t>
      </w:r>
      <w:r>
        <w:rPr>
          <w:rFonts w:ascii="Times New Roman" w:cs="Times New Roman" w:eastAsia="Times New Roman" w:hAnsi="Times New Roman"/>
          <w:sz w:val="20"/>
          <w:szCs w:val="20"/>
          <w:color w:val="auto"/>
        </w:rPr>
        <w:t>, to payment of that portion of the Obligations constituting accrued and unpaid interest on the Term</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Loans and any Yield Protection Premium</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 xml:space="preserve"> ratably among the Lenders holding such Term Loans in proportion to the respective amounts described in this clause </w:t>
      </w:r>
      <w:r>
        <w:rPr>
          <w:rFonts w:ascii="Times New Roman" w:cs="Times New Roman" w:eastAsia="Times New Roman" w:hAnsi="Times New Roman"/>
          <w:sz w:val="20"/>
          <w:szCs w:val="20"/>
          <w:i w:val="1"/>
          <w:iCs w:val="1"/>
          <w:color w:val="auto"/>
        </w:rPr>
        <w:t>Fifth</w:t>
      </w:r>
      <w:r>
        <w:rPr>
          <w:rFonts w:ascii="Times New Roman" w:cs="Times New Roman" w:eastAsia="Times New Roman" w:hAnsi="Times New Roman"/>
          <w:sz w:val="20"/>
          <w:szCs w:val="20"/>
          <w:color w:val="auto"/>
        </w:rPr>
        <w:t xml:space="preserve"> payable to them;</w:t>
      </w:r>
    </w:p>
    <w:p>
      <w:pPr>
        <w:spacing w:after="0" w:line="169" w:lineRule="exact"/>
        <w:rPr>
          <w:sz w:val="20"/>
          <w:szCs w:val="20"/>
          <w:color w:val="auto"/>
        </w:rPr>
      </w:pPr>
    </w:p>
    <w:p>
      <w:pPr>
        <w:jc w:val="both"/>
        <w:ind w:left="840" w:firstLine="1498"/>
        <w:spacing w:after="0" w:line="256" w:lineRule="auto"/>
        <w:rPr>
          <w:sz w:val="20"/>
          <w:szCs w:val="20"/>
          <w:color w:val="auto"/>
        </w:rPr>
      </w:pPr>
      <w:r>
        <w:rPr>
          <w:rFonts w:ascii="Times New Roman" w:cs="Times New Roman" w:eastAsia="Times New Roman" w:hAnsi="Times New Roman"/>
          <w:sz w:val="20"/>
          <w:szCs w:val="20"/>
          <w:i w:val="1"/>
          <w:iCs w:val="1"/>
          <w:color w:val="auto"/>
        </w:rPr>
        <w:t>(vi)Sixth</w:t>
      </w:r>
      <w:r>
        <w:rPr>
          <w:rFonts w:ascii="Times New Roman" w:cs="Times New Roman" w:eastAsia="Times New Roman" w:hAnsi="Times New Roman"/>
          <w:sz w:val="20"/>
          <w:szCs w:val="20"/>
          <w:color w:val="auto"/>
        </w:rPr>
        <w:t>, to payment of that portion of the Obligations constituting unpaid principal of the Term Loans and any</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breakage or termination Obligations, ratably among the Lenders holding such Term Loan in proportion to the respective amounts described in this clause </w:t>
      </w:r>
      <w:r>
        <w:rPr>
          <w:rFonts w:ascii="Times New Roman" w:cs="Times New Roman" w:eastAsia="Times New Roman" w:hAnsi="Times New Roman"/>
          <w:sz w:val="20"/>
          <w:szCs w:val="20"/>
          <w:i w:val="1"/>
          <w:iCs w:val="1"/>
          <w:color w:val="auto"/>
        </w:rPr>
        <w:t>Sixth</w:t>
      </w:r>
      <w:r>
        <w:rPr>
          <w:rFonts w:ascii="Times New Roman" w:cs="Times New Roman" w:eastAsia="Times New Roman" w:hAnsi="Times New Roman"/>
          <w:sz w:val="20"/>
          <w:szCs w:val="20"/>
          <w:color w:val="auto"/>
        </w:rPr>
        <w:t xml:space="preserve"> payable to them;</w:t>
      </w:r>
    </w:p>
    <w:p>
      <w:pPr>
        <w:spacing w:after="0" w:line="169" w:lineRule="exact"/>
        <w:rPr>
          <w:sz w:val="20"/>
          <w:szCs w:val="20"/>
          <w:color w:val="auto"/>
        </w:rPr>
      </w:pPr>
    </w:p>
    <w:p>
      <w:pPr>
        <w:jc w:val="both"/>
        <w:ind w:left="840" w:firstLine="1498"/>
        <w:spacing w:after="0" w:line="256" w:lineRule="auto"/>
        <w:rPr>
          <w:sz w:val="20"/>
          <w:szCs w:val="20"/>
          <w:color w:val="auto"/>
        </w:rPr>
      </w:pPr>
      <w:r>
        <w:rPr>
          <w:rFonts w:ascii="Times New Roman" w:cs="Times New Roman" w:eastAsia="Times New Roman" w:hAnsi="Times New Roman"/>
          <w:sz w:val="20"/>
          <w:szCs w:val="20"/>
          <w:i w:val="1"/>
          <w:iCs w:val="1"/>
          <w:color w:val="auto"/>
        </w:rPr>
        <w:t>(vii)Seventh</w:t>
      </w:r>
      <w:r>
        <w:rPr>
          <w:rFonts w:ascii="Times New Roman" w:cs="Times New Roman" w:eastAsia="Times New Roman" w:hAnsi="Times New Roman"/>
          <w:sz w:val="20"/>
          <w:szCs w:val="20"/>
          <w:color w:val="auto"/>
        </w:rPr>
        <w:t>, to the payment of all other Obligations (other than to a Defaulting Lender) that are due and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payable to Secured Parties (other than Agent) on such date, in each case, ratably based upon the respective aggregate amounts of all such Obligations owing to the Secured Parties on such date;</w:t>
      </w:r>
    </w:p>
    <w:p>
      <w:pPr>
        <w:spacing w:after="0" w:line="169" w:lineRule="exact"/>
        <w:rPr>
          <w:sz w:val="20"/>
          <w:szCs w:val="20"/>
          <w:color w:val="auto"/>
        </w:rPr>
      </w:pPr>
    </w:p>
    <w:p>
      <w:pPr>
        <w:ind w:left="2320"/>
        <w:spacing w:after="0"/>
        <w:rPr>
          <w:sz w:val="20"/>
          <w:szCs w:val="20"/>
          <w:color w:val="auto"/>
        </w:rPr>
      </w:pPr>
      <w:r>
        <w:rPr>
          <w:rFonts w:ascii="Times New Roman" w:cs="Times New Roman" w:eastAsia="Times New Roman" w:hAnsi="Times New Roman"/>
          <w:sz w:val="20"/>
          <w:szCs w:val="20"/>
          <w:i w:val="1"/>
          <w:iCs w:val="1"/>
          <w:color w:val="auto"/>
        </w:rPr>
        <w:t>(viii)Eighth</w:t>
      </w:r>
      <w:r>
        <w:rPr>
          <w:rFonts w:ascii="Times New Roman" w:cs="Times New Roman" w:eastAsia="Times New Roman" w:hAnsi="Times New Roman"/>
          <w:sz w:val="20"/>
          <w:szCs w:val="20"/>
          <w:color w:val="auto"/>
        </w:rPr>
        <w:t>, to payment of any Obligations owed to Defaulting Lenders; and</w:t>
      </w:r>
    </w:p>
    <w:p>
      <w:pPr>
        <w:spacing w:after="0" w:line="216" w:lineRule="exact"/>
        <w:rPr>
          <w:sz w:val="20"/>
          <w:szCs w:val="20"/>
          <w:color w:val="auto"/>
        </w:rPr>
      </w:pPr>
    </w:p>
    <w:p>
      <w:pPr>
        <w:jc w:val="both"/>
        <w:ind w:left="840" w:firstLine="1498"/>
        <w:spacing w:after="0" w:line="273" w:lineRule="auto"/>
        <w:rPr>
          <w:sz w:val="20"/>
          <w:szCs w:val="20"/>
          <w:color w:val="auto"/>
        </w:rPr>
      </w:pPr>
      <w:r>
        <w:rPr>
          <w:rFonts w:ascii="Times New Roman" w:cs="Times New Roman" w:eastAsia="Times New Roman" w:hAnsi="Times New Roman"/>
          <w:sz w:val="20"/>
          <w:szCs w:val="20"/>
          <w:i w:val="1"/>
          <w:iCs w:val="1"/>
          <w:color w:val="auto"/>
        </w:rPr>
        <w:t>(ix)Last</w:t>
      </w:r>
      <w:r>
        <w:rPr>
          <w:rFonts w:ascii="Times New Roman" w:cs="Times New Roman" w:eastAsia="Times New Roman" w:hAnsi="Times New Roman"/>
          <w:sz w:val="20"/>
          <w:szCs w:val="20"/>
          <w:color w:val="auto"/>
        </w:rPr>
        <w:t>, the balance, if any, after all of the Obligations have been paid in full, in cash in immediately available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funds, to Borrower or as otherwise required by Law.</w:t>
      </w:r>
    </w:p>
    <w:p>
      <w:pPr>
        <w:spacing w:after="0" w:line="152"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20"/>
          <w:szCs w:val="20"/>
          <w:b w:val="1"/>
          <w:bCs w:val="1"/>
          <w:color w:val="auto"/>
        </w:rPr>
        <w:t>8.4. Agent</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 Liability for Collateral</w:t>
      </w:r>
      <w:r>
        <w:rPr>
          <w:rFonts w:ascii="Times New Roman" w:cs="Times New Roman" w:eastAsia="Times New Roman" w:hAnsi="Times New Roman"/>
          <w:sz w:val="20"/>
          <w:szCs w:val="20"/>
          <w:color w:val="auto"/>
        </w:rPr>
        <w:t>. Agent’s sole duty with respect to the custody,</w:t>
      </w:r>
    </w:p>
    <w:p>
      <w:pPr>
        <w:spacing w:after="0" w:line="26"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0"/>
          <w:szCs w:val="20"/>
          <w:color w:val="auto"/>
        </w:rPr>
        <w:t>safekeeping and physical preservation of the Collateral in its possession, under Section 9-207 of the UCC or otherwise, shall be to deal with it in the same manner as the Agent deals with its own property consisting of similar instruments or interests. Neither the Agent nor any Lender shall not be liable or responsible for: (a) the safekeeping of the Collateral; (b) any loss or damage to the Collateral; or (c) any act or default of any other Person. In no event shall the Agent or any Lender have any liability for any diminution in the value of the Collateral for any reason. The Credit Parties bear all risk of loss, damage or destruction of the Collateral.</w:t>
      </w:r>
    </w:p>
    <w:p>
      <w:pPr>
        <w:spacing w:after="0" w:line="183"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20"/>
          <w:szCs w:val="20"/>
          <w:b w:val="1"/>
          <w:bCs w:val="1"/>
          <w:color w:val="auto"/>
        </w:rPr>
        <w:t>8.5. No Waiver; Remedies Cumulative</w:t>
      </w:r>
      <w:r>
        <w:rPr>
          <w:rFonts w:ascii="Times New Roman" w:cs="Times New Roman" w:eastAsia="Times New Roman" w:hAnsi="Times New Roman"/>
          <w:sz w:val="20"/>
          <w:szCs w:val="20"/>
          <w:color w:val="auto"/>
        </w:rPr>
        <w:t>. The Agent’s or the Lenders’ failure, at any time or</w:t>
      </w:r>
    </w:p>
    <w:p>
      <w:pPr>
        <w:spacing w:after="0" w:line="26"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0"/>
          <w:szCs w:val="20"/>
          <w:color w:val="auto"/>
        </w:rPr>
        <w:t>times, to require strict performance by any Credit Party of any provision of this Agreement or any other Loan Document shall not waive, affect, or diminish any right of the Agent or any Lender thereafter to demand strict performance and compliance herewith or therewith. No waiver hereunder shall be effective unless signed by the party granting the waiver, and then is only effective for the specific instance and purpose for which it is given. The Agent’s and the Lenders’ rights and remedies under this Agreement and the other Loan Documents are cumulative. The Agent and the Lenders have all rights and remedies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600710</wp:posOffset>
            </wp:positionV>
            <wp:extent cx="7157720" cy="4254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09" w:right="419" w:bottom="1440" w:gutter="0" w:footer="0" w:header="0"/>
        </w:sectPr>
      </w:pPr>
    </w:p>
    <w:bookmarkStart w:id="229" w:name="page230"/>
    <w:bookmarkEnd w:id="229"/>
    <w:p>
      <w:pPr>
        <w:spacing w:after="0" w:line="194" w:lineRule="exact"/>
        <w:rPr>
          <w:sz w:val="20"/>
          <w:szCs w:val="20"/>
          <w:color w:val="auto"/>
        </w:rPr>
      </w:pPr>
    </w:p>
    <w:p>
      <w:pPr>
        <w:jc w:val="right"/>
        <w:ind w:right="4459"/>
        <w:spacing w:after="0"/>
        <w:rPr>
          <w:sz w:val="20"/>
          <w:szCs w:val="20"/>
          <w:color w:val="auto"/>
        </w:rPr>
      </w:pPr>
      <w:r>
        <w:rPr>
          <w:rFonts w:ascii="Times New Roman" w:cs="Times New Roman" w:eastAsia="Times New Roman" w:hAnsi="Times New Roman"/>
          <w:sz w:val="18"/>
          <w:szCs w:val="18"/>
          <w:color w:val="auto"/>
        </w:rPr>
        <w:t>55</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4905-3710-6484 v.17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600710</wp:posOffset>
            </wp:positionV>
            <wp:extent cx="7157720" cy="4254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230" w:name="page231"/>
    <w:bookmarkEnd w:id="230"/>
    <w:p>
      <w:pPr>
        <w:jc w:val="both"/>
        <w:spacing w:after="0" w:line="249" w:lineRule="auto"/>
        <w:rPr>
          <w:sz w:val="20"/>
          <w:szCs w:val="20"/>
          <w:color w:val="auto"/>
        </w:rPr>
      </w:pPr>
      <w:r>
        <w:rPr>
          <w:rFonts w:ascii="Times New Roman" w:cs="Times New Roman" w:eastAsia="Times New Roman" w:hAnsi="Times New Roman"/>
          <w:sz w:val="20"/>
          <w:szCs w:val="20"/>
          <w:color w:val="auto"/>
        </w:rPr>
        <w:t>provided under the Code, by law, or in equity. The exercise by the Agent or any Lender of one right or remedy is not an election and shall not preclude the Agent or any Lender from exercising any other remedy under this Agreement or other remedy available at law or in equity, and the waiver by the Agent (at the direction of the Blackstone Representative) or the Lenders of any Event of Default is not a continuing waiver. The Agent’s or the Lenders’ delay in exercising any remedy is not a waiver, election, or acquiescence.</w:t>
      </w:r>
    </w:p>
    <w:p>
      <w:pPr>
        <w:spacing w:after="0" w:line="176"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0"/>
          <w:szCs w:val="20"/>
          <w:b w:val="1"/>
          <w:bCs w:val="1"/>
          <w:color w:val="auto"/>
        </w:rPr>
        <w:t>8.6. Demand Waiver</w:t>
      </w:r>
      <w:r>
        <w:rPr>
          <w:rFonts w:ascii="Times New Roman" w:cs="Times New Roman" w:eastAsia="Times New Roman" w:hAnsi="Times New Roman"/>
          <w:sz w:val="20"/>
          <w:szCs w:val="20"/>
          <w:color w:val="auto"/>
        </w:rPr>
        <w:t>. Each Credit Party waives demand, notice of default or dishonor, notice of payment and nonpayment, notice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of any default, nonpayment at maturity, release, compromise, settlement, extension, or renewal of accounts, documents, instruments, chattel paper, and guarantees held by the Agent on which any Credit Party is liable.</w:t>
      </w:r>
    </w:p>
    <w:p>
      <w:pPr>
        <w:spacing w:after="0" w:line="182" w:lineRule="exact"/>
        <w:rPr>
          <w:sz w:val="20"/>
          <w:szCs w:val="20"/>
          <w:color w:val="auto"/>
        </w:rPr>
      </w:pPr>
    </w:p>
    <w:p>
      <w:pPr>
        <w:ind w:left="1160" w:hanging="403"/>
        <w:spacing w:after="0"/>
        <w:tabs>
          <w:tab w:leader="none" w:pos="1160" w:val="left"/>
        </w:tabs>
        <w:numPr>
          <w:ilvl w:val="0"/>
          <w:numId w:val="14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NOTICES.</w:t>
      </w:r>
    </w:p>
    <w:p>
      <w:pPr>
        <w:spacing w:after="0" w:line="220"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0"/>
          <w:szCs w:val="20"/>
          <w:color w:val="auto"/>
        </w:rPr>
        <w:t xml:space="preserve">All notices, consents, requests, approvals, demands, or other communication by any party to this Agreement or any other Loan Document must be in writing and shall be deemed to have been validly served, given, or delivered: (a) upon the earlier of actual receipt and three (3) Business Days after deposit in the U.S. mail, first class, registered or certified mail return receipt requested, with proper postage prepaid; (b) upon transmission, when sent by electronic mail or facsimile transmission; (c) one (1) Business Day after deposit with a reputable overnight courier with all charges prepaid; or (d) when delivered, if hand-delivered by messenger, all of which shall be addressed to the party to be notified and sent to the address, facsimile number, or email address (if any) indicated on </w:t>
      </w:r>
      <w:r>
        <w:rPr>
          <w:rFonts w:ascii="Times New Roman" w:cs="Times New Roman" w:eastAsia="Times New Roman" w:hAnsi="Times New Roman"/>
          <w:sz w:val="20"/>
          <w:szCs w:val="20"/>
          <w:u w:val="single" w:color="auto"/>
          <w:color w:val="auto"/>
        </w:rPr>
        <w:t>Schedule 9</w:t>
      </w:r>
      <w:r>
        <w:rPr>
          <w:rFonts w:ascii="Times New Roman" w:cs="Times New Roman" w:eastAsia="Times New Roman" w:hAnsi="Times New Roman"/>
          <w:sz w:val="20"/>
          <w:szCs w:val="20"/>
          <w:color w:val="auto"/>
        </w:rPr>
        <w:t xml:space="preserve"> of the Disclosure Letter. Any party to this Agreement may change its mailing or electronic mail address or facsimile number by giving all other parties hereto written notice thereof in accordance with the terms of this </w:t>
      </w:r>
      <w:r>
        <w:rPr>
          <w:rFonts w:ascii="Times New Roman" w:cs="Times New Roman" w:eastAsia="Times New Roman" w:hAnsi="Times New Roman"/>
          <w:sz w:val="20"/>
          <w:szCs w:val="20"/>
          <w:u w:val="single" w:color="auto"/>
          <w:color w:val="auto"/>
        </w:rPr>
        <w:t>Section 9</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0"/>
          <w:szCs w:val="20"/>
          <w:color w:val="auto"/>
        </w:rPr>
        <w:t>The Borrower agrees that the Agent may, but shall not be obligated to, make the Communications (as defined below) available to the Lenders by posting the Communications on the Platform. The Platform is provided “as is” and “as available.” The Agent Parties (as defined below) do not warrant the adequacy of the Platform and expressly disclaim liability for errors or omissions in the Communications. No warranty of any kind, express, implied or statutory, including any warranty of merchantability, fitness for a particular purpose, non-infringement of third-party rights or freedom from viruses or other code defects, is made by any Agent Party in connection with the Communications or the Platform. In no event shall the Agent or any of its Related Parties (collectively, the “</w:t>
      </w:r>
      <w:r>
        <w:rPr>
          <w:rFonts w:ascii="Times New Roman" w:cs="Times New Roman" w:eastAsia="Times New Roman" w:hAnsi="Times New Roman"/>
          <w:sz w:val="20"/>
          <w:szCs w:val="20"/>
          <w:b w:val="1"/>
          <w:bCs w:val="1"/>
          <w:color w:val="auto"/>
        </w:rPr>
        <w:t>Agent Parties</w:t>
      </w:r>
      <w:r>
        <w:rPr>
          <w:rFonts w:ascii="Times New Roman" w:cs="Times New Roman" w:eastAsia="Times New Roman" w:hAnsi="Times New Roman"/>
          <w:sz w:val="20"/>
          <w:szCs w:val="20"/>
          <w:color w:val="auto"/>
        </w:rPr>
        <w:t>”) have any liability to the Borrower, any Lender, or any other Person or entity for damages of any kind, including direct or indirect, special, incidental or consequential damages, losses or expenses (whether in tort, contract or otherwise) arising out of the Borrower’s or the Agent’s transmission of communications through the Platform. “</w:t>
      </w:r>
      <w:r>
        <w:rPr>
          <w:rFonts w:ascii="Times New Roman" w:cs="Times New Roman" w:eastAsia="Times New Roman" w:hAnsi="Times New Roman"/>
          <w:sz w:val="20"/>
          <w:szCs w:val="20"/>
          <w:u w:val="single" w:color="auto"/>
          <w:color w:val="auto"/>
        </w:rPr>
        <w:t>Communications</w:t>
      </w:r>
      <w:r>
        <w:rPr>
          <w:rFonts w:ascii="Times New Roman" w:cs="Times New Roman" w:eastAsia="Times New Roman" w:hAnsi="Times New Roman"/>
          <w:sz w:val="20"/>
          <w:szCs w:val="20"/>
          <w:color w:val="auto"/>
        </w:rPr>
        <w:t>” means, collectively, any notice, demand, communication, information, document or other material provided by or on behalf of the Borrower or any other Credit Party pursuant to any Loan Document or the transactions contemplated therein that is distributed to the Agent or any Lender by means of electronic communications pursuant to this Section, including through the Platform.</w:t>
      </w:r>
    </w:p>
    <w:p>
      <w:pPr>
        <w:spacing w:after="0" w:line="183"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0"/>
          <w:szCs w:val="20"/>
          <w:color w:val="auto"/>
        </w:rPr>
        <w:t>The Borrower hereby acknowledges that certain of the Lenders (each, a “</w:t>
      </w:r>
      <w:r>
        <w:rPr>
          <w:rFonts w:ascii="Times New Roman" w:cs="Times New Roman" w:eastAsia="Times New Roman" w:hAnsi="Times New Roman"/>
          <w:sz w:val="20"/>
          <w:szCs w:val="20"/>
          <w:b w:val="1"/>
          <w:bCs w:val="1"/>
          <w:color w:val="auto"/>
        </w:rPr>
        <w:t>Public Lender</w:t>
      </w:r>
      <w:r>
        <w:rPr>
          <w:rFonts w:ascii="Times New Roman" w:cs="Times New Roman" w:eastAsia="Times New Roman" w:hAnsi="Times New Roman"/>
          <w:sz w:val="20"/>
          <w:szCs w:val="20"/>
          <w:color w:val="auto"/>
        </w:rPr>
        <w:t>”) may have personnel who do not wish to receive material non-public information with respect to the Borrower or its Affiliates, or the respective securities of any of the foregoing, and who may be engaged in investment and other market-related activities with respect to such Persons’ securities. The Borrower hereby agrees that it shall use commercially reasonable efforts to identify that portion of the materials and information provided by or on behalf of the Borrower hereunder and under the other Loan Documents (collectively, “</w:t>
      </w:r>
      <w:r>
        <w:rPr>
          <w:rFonts w:ascii="Times New Roman" w:cs="Times New Roman" w:eastAsia="Times New Roman" w:hAnsi="Times New Roman"/>
          <w:sz w:val="20"/>
          <w:szCs w:val="20"/>
          <w:b w:val="1"/>
          <w:bCs w:val="1"/>
          <w:color w:val="auto"/>
        </w:rPr>
        <w:t>Borrower Materials</w:t>
      </w:r>
      <w:r>
        <w:rPr>
          <w:rFonts w:ascii="Times New Roman" w:cs="Times New Roman" w:eastAsia="Times New Roman" w:hAnsi="Times New Roman"/>
          <w:sz w:val="20"/>
          <w:szCs w:val="20"/>
          <w:color w:val="auto"/>
        </w:rPr>
        <w:t>”) that may be distributed to the Public Lenders, and that (i) all such Borrower Materials shall be clearly and conspicuously marked “PUBLIC,” which, at a minimum, shall mean that the word “PUBLIC” shall appear prominently on the first page thereof; (ii) by marking Borrower Materials “PUBLIC,” the Borrower shall be deemed to have authorized the Agent and the Lenders to treat such Borrower Materials as not containing any material non-public information with respect to the Borrower or</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4905-3710-6484 v.17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600710</wp:posOffset>
            </wp:positionV>
            <wp:extent cx="7157720" cy="4254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31" w:name="page232"/>
    <w:bookmarkEnd w:id="231"/>
    <w:p>
      <w:pPr>
        <w:jc w:val="both"/>
        <w:spacing w:after="0" w:line="246" w:lineRule="auto"/>
        <w:rPr>
          <w:sz w:val="20"/>
          <w:szCs w:val="20"/>
          <w:color w:val="auto"/>
        </w:rPr>
      </w:pPr>
      <w:r>
        <w:rPr>
          <w:rFonts w:ascii="Times New Roman" w:cs="Times New Roman" w:eastAsia="Times New Roman" w:hAnsi="Times New Roman"/>
          <w:sz w:val="20"/>
          <w:szCs w:val="20"/>
          <w:color w:val="auto"/>
        </w:rPr>
        <w:t>any other Credit Party or their securities for purposes of U.S. federal and state securities laws; (iii) all Borrower Materials marked “PUBLIC” are permitted to be made available through a portion of the Platform designated “Public Side Information;” and (iv) the Agent shall be entitled to treat any Borrower Materials that are not marked “PUBLIC” as being suitable only for posting on a portion of the Platform not designated “Public Side Information”. Each Public Lender shall designate one or more representatives that shall be permitted to receive information that is not designated as being available for Public Lenders.</w:t>
      </w:r>
    </w:p>
    <w:p>
      <w:pPr>
        <w:spacing w:after="0" w:line="181"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0"/>
          <w:szCs w:val="20"/>
          <w:b w:val="1"/>
          <w:bCs w:val="1"/>
          <w:u w:val="single" w:color="auto"/>
          <w:color w:val="auto"/>
        </w:rPr>
        <w:t>10.CHOICE OF LAW, VENUE, AND JURY TRIAL WAIVER</w:t>
      </w:r>
    </w:p>
    <w:p>
      <w:pPr>
        <w:spacing w:after="0" w:line="247" w:lineRule="exact"/>
        <w:rPr>
          <w:sz w:val="20"/>
          <w:szCs w:val="20"/>
          <w:color w:val="auto"/>
        </w:rPr>
      </w:pPr>
    </w:p>
    <w:p>
      <w:pPr>
        <w:jc w:val="both"/>
        <w:ind w:firstLine="823"/>
        <w:spacing w:after="0" w:line="241" w:lineRule="auto"/>
        <w:rPr>
          <w:sz w:val="20"/>
          <w:szCs w:val="20"/>
          <w:color w:val="auto"/>
        </w:rPr>
      </w:pPr>
      <w:r>
        <w:rPr>
          <w:rFonts w:ascii="Times New Roman" w:cs="Times New Roman" w:eastAsia="Times New Roman" w:hAnsi="Times New Roman"/>
          <w:sz w:val="20"/>
          <w:szCs w:val="20"/>
          <w:color w:val="auto"/>
        </w:rPr>
        <w:t xml:space="preserve">THE LOAN DOCUMENTS SHALL BE GOVERNED BY, AND CONSTRUED AND INTERPRETED IN ACCORDANCE WITH, THE LAWS OF THE STATE OF NEW YORK, WITHOUT REGARD TO ANY PRINCIPLES OF CONFLICTS OF LAW THAT COULD REQUIRE THE APPLICATION OF THE LAW OF ANY OTHER JURISDICTION. Each party hereto submits to the exclusive jurisdiction of the courts of the State of New York sitting in New York County, and of the United States District Court of the Southern District of New York, and any appellate court from any thereof, and agrees that all claims in respect of any such action, litigation or proceeding may be heard and determined in such New York State court or, to the fullest extent permitted by Requirements of Law, in such Federal court;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nothing in this Agreement shall be deemed to operate to preclude the Agent or any Lender from bringing suit or taking other legal action in any other jurisdiction to realize on the Collateral or any other security for the Obligations, or to enforce a judgment or other court order in favor of the Agent or any Lender. Each Credit Party expressly submits and consents in advance to such jurisdiction in any action or suit commenced in any such court, and each Credit Party hereby waives any objection that it may have based upon lack of personal jurisdiction, improper venue, or </w:t>
      </w:r>
      <w:r>
        <w:rPr>
          <w:rFonts w:ascii="Times New Roman" w:cs="Times New Roman" w:eastAsia="Times New Roman" w:hAnsi="Times New Roman"/>
          <w:sz w:val="20"/>
          <w:szCs w:val="20"/>
          <w:i w:val="1"/>
          <w:iCs w:val="1"/>
          <w:color w:val="auto"/>
        </w:rPr>
        <w:t>forum non conveniens</w:t>
      </w:r>
      <w:r>
        <w:rPr>
          <w:rFonts w:ascii="Times New Roman" w:cs="Times New Roman" w:eastAsia="Times New Roman" w:hAnsi="Times New Roman"/>
          <w:sz w:val="20"/>
          <w:szCs w:val="20"/>
          <w:color w:val="auto"/>
        </w:rPr>
        <w:t xml:space="preserve"> and hereby consents to the granting of such legal or equitable relief as is deemed appropriate by such court. Each Credit Party hereby waives personal service of the summons, complaints, and other process issued in such action or suit and agrees that service of such summons, complaints, and other process may be made by registered or certified mail addressed to such party at the address set forth in (or otherwise provided in accordance with the terms of) </w:t>
      </w:r>
      <w:r>
        <w:rPr>
          <w:rFonts w:ascii="Times New Roman" w:cs="Times New Roman" w:eastAsia="Times New Roman" w:hAnsi="Times New Roman"/>
          <w:sz w:val="20"/>
          <w:szCs w:val="20"/>
          <w:u w:val="single" w:color="auto"/>
          <w:color w:val="auto"/>
        </w:rPr>
        <w:t>Section 9</w:t>
      </w:r>
      <w:r>
        <w:rPr>
          <w:rFonts w:ascii="Times New Roman" w:cs="Times New Roman" w:eastAsia="Times New Roman" w:hAnsi="Times New Roman"/>
          <w:sz w:val="20"/>
          <w:szCs w:val="20"/>
          <w:color w:val="auto"/>
        </w:rPr>
        <w:t xml:space="preserve"> of this Agreement, and that service so made shall be deemed completed upon the earlier to occur of such party’s actual receipt thereof or three (3) days after deposit in the U.S. mails, proper postage prepaid.</w:t>
      </w:r>
    </w:p>
    <w:p>
      <w:pPr>
        <w:spacing w:after="0" w:line="176" w:lineRule="exact"/>
        <w:rPr>
          <w:sz w:val="20"/>
          <w:szCs w:val="20"/>
          <w:color w:val="auto"/>
        </w:rPr>
      </w:pPr>
    </w:p>
    <w:p>
      <w:pPr>
        <w:jc w:val="both"/>
        <w:ind w:firstLine="823"/>
        <w:spacing w:after="0" w:line="244" w:lineRule="auto"/>
        <w:rPr>
          <w:sz w:val="20"/>
          <w:szCs w:val="20"/>
          <w:color w:val="auto"/>
        </w:rPr>
      </w:pPr>
      <w:r>
        <w:rPr>
          <w:rFonts w:ascii="Times New Roman" w:cs="Times New Roman" w:eastAsia="Times New Roman" w:hAnsi="Times New Roman"/>
          <w:sz w:val="20"/>
          <w:szCs w:val="20"/>
          <w:b w:val="1"/>
          <w:bCs w:val="1"/>
          <w:color w:val="auto"/>
        </w:rPr>
        <w:t>TO THE FULLEST EXTENT PERMITTED BY APPLICABLE LAW, EACH PARTY HERETO WAIVES ITS RIGHT TO A JURY TRIAL OF ANY CLAIM OR CAUSE OF ACTION ARISING OUT OF OR BASED UPON THIS AGREEMENT, THE LOAN DOCUMENTS OR ANY CONTEMPLATED TRANSACTION, INCLUDING CONTRACT, TORT, BREACH OF DUTY AND ALL OTHER CLAIMS. THIS WAIVER IS A MATERIAL INDUCEMENT FOR ALL PARTIES HERETO TO ENTER INTO THIS AGREEMENT. EACH PARTY HERETO HAS REVIEWED THIS WAIVER WITH ITS COUNSEL.</w:t>
      </w:r>
    </w:p>
    <w:p>
      <w:pPr>
        <w:spacing w:after="0" w:line="4"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0"/>
          <w:szCs w:val="20"/>
          <w:b w:val="1"/>
          <w:bCs w:val="1"/>
          <w:u w:val="single" w:color="auto"/>
          <w:color w:val="auto"/>
        </w:rPr>
        <w:t>11.GENERAL PROVISIONS</w:t>
      </w:r>
    </w:p>
    <w:p>
      <w:pPr>
        <w:ind w:left="840"/>
        <w:spacing w:after="0"/>
        <w:rPr>
          <w:sz w:val="20"/>
          <w:szCs w:val="20"/>
          <w:color w:val="auto"/>
        </w:rPr>
      </w:pPr>
      <w:r>
        <w:rPr>
          <w:rFonts w:ascii="Times New Roman" w:cs="Times New Roman" w:eastAsia="Times New Roman" w:hAnsi="Times New Roman"/>
          <w:sz w:val="20"/>
          <w:szCs w:val="20"/>
          <w:b w:val="1"/>
          <w:bCs w:val="1"/>
          <w:color w:val="auto"/>
        </w:rPr>
        <w:t>11.1. Successors and Assigns</w:t>
      </w:r>
      <w:r>
        <w:rPr>
          <w:rFonts w:ascii="Times New Roman" w:cs="Times New Roman" w:eastAsia="Times New Roman" w:hAnsi="Times New Roman"/>
          <w:sz w:val="20"/>
          <w:szCs w:val="20"/>
          <w:color w:val="auto"/>
        </w:rPr>
        <w:t>.</w:t>
      </w:r>
    </w:p>
    <w:p>
      <w:pPr>
        <w:spacing w:after="0" w:line="194" w:lineRule="exact"/>
        <w:rPr>
          <w:sz w:val="20"/>
          <w:szCs w:val="20"/>
          <w:color w:val="auto"/>
        </w:rPr>
      </w:pPr>
    </w:p>
    <w:p>
      <w:pPr>
        <w:ind w:left="2040" w:hanging="460"/>
        <w:spacing w:after="0"/>
        <w:tabs>
          <w:tab w:leader="none" w:pos="2040" w:val="left"/>
        </w:tabs>
        <w:numPr>
          <w:ilvl w:val="0"/>
          <w:numId w:val="1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Agreement binds and is for the benefit of the parties hereto and their respective successors and permitted</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assigns.</w:t>
      </w:r>
    </w:p>
    <w:p>
      <w:pPr>
        <w:spacing w:after="0" w:line="194" w:lineRule="exact"/>
        <w:rPr>
          <w:sz w:val="20"/>
          <w:szCs w:val="20"/>
          <w:color w:val="auto"/>
        </w:rPr>
      </w:pPr>
    </w:p>
    <w:p>
      <w:pPr>
        <w:jc w:val="both"/>
        <w:ind w:firstLine="1580"/>
        <w:spacing w:after="0" w:line="246" w:lineRule="auto"/>
        <w:tabs>
          <w:tab w:leader="none" w:pos="2036" w:val="left"/>
        </w:tabs>
        <w:numPr>
          <w:ilvl w:val="0"/>
          <w:numId w:val="1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Credit Party may, directly or indirectly, sell, transfer or assign this Agreement or any other Loan Document or any rights or obligations hereunder or thereunder without the prior written consent of all Lenders. Any Lender may sell, transfer or assign this Agreement or any other Loan Document or any of its rights or obligations hereunder or thereunder (including all or a portion of its Commitments and the Loans at the time owing to it), in full or in part, to any third party without Borrower’s prior written consent (any such sale, transfer or assignment, a “</w:t>
      </w:r>
      <w:r>
        <w:rPr>
          <w:rFonts w:ascii="Times New Roman" w:cs="Times New Roman" w:eastAsia="Times New Roman" w:hAnsi="Times New Roman"/>
          <w:sz w:val="20"/>
          <w:szCs w:val="20"/>
          <w:b w:val="1"/>
          <w:bCs w:val="1"/>
          <w:color w:val="auto"/>
        </w:rPr>
        <w:t>Lender Transfer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(i) that no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599440</wp:posOffset>
            </wp:positionV>
            <wp:extent cx="7157720" cy="4254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6" w:right="339" w:bottom="1440" w:gutter="0" w:footer="0" w:header="0"/>
        </w:sectPr>
      </w:pPr>
    </w:p>
    <w:bookmarkStart w:id="232" w:name="page233"/>
    <w:bookmarkEnd w:id="232"/>
    <w:p>
      <w:pPr>
        <w:spacing w:after="0" w:line="153"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57</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4905-3710-6484 v.17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600710</wp:posOffset>
            </wp:positionV>
            <wp:extent cx="7157720" cy="4254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233" w:name="page234"/>
    <w:bookmarkEnd w:id="233"/>
    <w:p>
      <w:pPr>
        <w:jc w:val="both"/>
        <w:spacing w:after="0" w:line="242" w:lineRule="auto"/>
        <w:rPr>
          <w:sz w:val="20"/>
          <w:szCs w:val="20"/>
          <w:color w:val="auto"/>
        </w:rPr>
      </w:pPr>
      <w:r>
        <w:rPr>
          <w:rFonts w:ascii="Times New Roman" w:cs="Times New Roman" w:eastAsia="Times New Roman" w:hAnsi="Times New Roman"/>
          <w:sz w:val="20"/>
          <w:szCs w:val="20"/>
          <w:color w:val="auto"/>
        </w:rPr>
        <w:t xml:space="preserve">may make a Lender Transfer to (w) a Competitor of Borrower without Borrower’s prior written consent, (x) a natural person, (y) any Credit Party or Affiliate thereof or (z) a Disqualified Institution without Borrower’s prior written consent, (ii) except in the case of a Lender Transfer to a Lender, an Affiliate of a Lender or an Approved Fund or an assignment of the entire remaining amount of the assigning Lender’s Loans or Commitments of any Class, the amount of the Loan or Commitment of the assigning Lender subject to each such assignment shall not be less than $1,000,000 (unless otherwise consented to in writing by Borrower and Agent),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amounts shall be aggregated in respect of each Lender and its Affiliates or Approved Funds, if any, (iii) the parties to each Lender Transfer shall execute and deliver to the Agent an Assignment and Assumption, and, except in the case of a Lender Transfer by a Lender that is a Blackstone Entity to another Blackstone Entity, together with a processing and recordation fee of $3,500 (unless waived or reduced by the Agent in its sole discretion), and (iv) the assignee, if it shall not be a Lender, shall deliver to the Agent (x) an Administrative Questionnaire,</w:t>
      </w:r>
    </w:p>
    <w:p>
      <w:pPr>
        <w:jc w:val="both"/>
        <w:ind w:firstLine="8"/>
        <w:spacing w:after="0"/>
        <w:tabs>
          <w:tab w:leader="none" w:pos="312" w:val="left"/>
        </w:tabs>
        <w:numPr>
          <w:ilvl w:val="0"/>
          <w:numId w:val="1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its applicable tax form under </w:t>
      </w:r>
      <w:r>
        <w:rPr>
          <w:rFonts w:ascii="Times New Roman" w:cs="Times New Roman" w:eastAsia="Times New Roman" w:hAnsi="Times New Roman"/>
          <w:sz w:val="20"/>
          <w:szCs w:val="20"/>
          <w:u w:val="single" w:color="auto"/>
          <w:color w:val="auto"/>
        </w:rPr>
        <w:t>Section 2.6(e)</w:t>
      </w:r>
      <w:r>
        <w:rPr>
          <w:rFonts w:ascii="Times New Roman" w:cs="Times New Roman" w:eastAsia="Times New Roman" w:hAnsi="Times New Roman"/>
          <w:sz w:val="20"/>
          <w:szCs w:val="20"/>
          <w:color w:val="auto"/>
        </w:rPr>
        <w:t xml:space="preserve"> and (z) all documentation and other information required under applicable “know your customer” and anti-money laundering rules and regulations, including the USA Patriot Act. Subject to acceptance and recording thereof by the Agent in the Register, from and after the effective date specified in each Assignment and Assumption by Agent, (1) the assignee thereunder shall be a party to this Agreement and, to the extent of the interest assigned by such Assignment and Assumption, have the rights and obligations of a Lender under this Agreement, and (2)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w:t>
      </w:r>
      <w:r>
        <w:rPr>
          <w:rFonts w:ascii="Times New Roman" w:cs="Times New Roman" w:eastAsia="Times New Roman" w:hAnsi="Times New Roman"/>
          <w:sz w:val="20"/>
          <w:szCs w:val="20"/>
          <w:u w:val="single" w:color="auto"/>
          <w:color w:val="auto"/>
        </w:rPr>
        <w:t>Sections 2.5</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2.6</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11.2</w:t>
      </w:r>
      <w:r>
        <w:rPr>
          <w:rFonts w:ascii="Times New Roman" w:cs="Times New Roman" w:eastAsia="Times New Roman" w:hAnsi="Times New Roman"/>
          <w:sz w:val="20"/>
          <w:szCs w:val="20"/>
          <w:color w:val="auto"/>
        </w:rPr>
        <w:t xml:space="preserve"> with respect to facts and circumstances occurring prior to the effective date of such assignment and shall continue to be liable with respect to obligations that survive the termination of this Agreement, including such assigning Lender’s obligations under </w:t>
      </w:r>
      <w:r>
        <w:rPr>
          <w:rFonts w:ascii="Times New Roman" w:cs="Times New Roman" w:eastAsia="Times New Roman" w:hAnsi="Times New Roman"/>
          <w:sz w:val="20"/>
          <w:szCs w:val="20"/>
          <w:u w:val="single" w:color="auto"/>
          <w:color w:val="auto"/>
        </w:rPr>
        <w:t>Section 12</w:t>
      </w:r>
      <w:r>
        <w:rPr>
          <w:rFonts w:ascii="Times New Roman" w:cs="Times New Roman" w:eastAsia="Times New Roman" w:hAnsi="Times New Roman"/>
          <w:sz w:val="20"/>
          <w:szCs w:val="20"/>
          <w:color w:val="auto"/>
        </w:rPr>
        <w:t>). Upon request, and the surrender by the assigning Lender of its Note, Borrower (at its expense) shall execute and deliver a Note to the assignee Lender. Any assignment or transfer by a Lender of rights or obligations under this Agreement that does not comply with this clause (b) shall be treated for purposes of this Agreement as a sale by such Lender of a participation in such rights and obligations in accordance with clause (c) below.</w:t>
      </w:r>
    </w:p>
    <w:p>
      <w:pPr>
        <w:spacing w:after="0" w:line="187" w:lineRule="exact"/>
        <w:rPr>
          <w:rFonts w:ascii="Times New Roman" w:cs="Times New Roman" w:eastAsia="Times New Roman" w:hAnsi="Times New Roman"/>
          <w:sz w:val="20"/>
          <w:szCs w:val="20"/>
          <w:color w:val="auto"/>
        </w:rPr>
      </w:pPr>
    </w:p>
    <w:p>
      <w:pPr>
        <w:jc w:val="both"/>
        <w:ind w:firstLine="1580"/>
        <w:spacing w:after="0" w:line="254" w:lineRule="auto"/>
        <w:tabs>
          <w:tab w:leader="none" w:pos="2036" w:val="left"/>
        </w:tabs>
        <w:numPr>
          <w:ilvl w:val="1"/>
          <w:numId w:val="14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In the case of a participation granted by a Lender to any third party, (i) such Lender’s obligations under this Agreement shall remain unchanged, (ii) such Lender shall remain solely responsible to the other parties hereto for the performance of its obligations hereunder, (iii) Agent and Borrower shall continue to deal solely and directly with such Lender in connection with such Lender’s rights and obligations under this Agreement, (iv) Borrower shall not have any rights to consent to such participation, and (v) any agreement or instrument pursuant to which such Lender sells such participation shall provide that such Lender shall retain the sole right to enforce this Agreement and to approve any amendment, modification, or other modification hereto, in each case subject to the terms and conditions of this Agreement. Borrower agrees that each participant shall be entitled to the benefits of </w:t>
      </w:r>
      <w:r>
        <w:rPr>
          <w:rFonts w:ascii="Times New Roman" w:cs="Times New Roman" w:eastAsia="Times New Roman" w:hAnsi="Times New Roman"/>
          <w:sz w:val="19"/>
          <w:szCs w:val="19"/>
          <w:u w:val="single" w:color="auto"/>
          <w:color w:val="auto"/>
        </w:rPr>
        <w:t>Sections 2.5 and 2.6</w:t>
      </w:r>
      <w:r>
        <w:rPr>
          <w:rFonts w:ascii="Times New Roman" w:cs="Times New Roman" w:eastAsia="Times New Roman" w:hAnsi="Times New Roman"/>
          <w:sz w:val="19"/>
          <w:szCs w:val="19"/>
          <w:color w:val="auto"/>
        </w:rPr>
        <w:t xml:space="preserve"> (subject to the requirements and limitations therein, including the requirements under </w:t>
      </w:r>
      <w:r>
        <w:rPr>
          <w:rFonts w:ascii="Times New Roman" w:cs="Times New Roman" w:eastAsia="Times New Roman" w:hAnsi="Times New Roman"/>
          <w:sz w:val="19"/>
          <w:szCs w:val="19"/>
          <w:u w:val="single" w:color="auto"/>
          <w:color w:val="auto"/>
        </w:rPr>
        <w:t>Section 2.6(e)</w:t>
      </w:r>
      <w:r>
        <w:rPr>
          <w:rFonts w:ascii="Times New Roman" w:cs="Times New Roman" w:eastAsia="Times New Roman" w:hAnsi="Times New Roman"/>
          <w:sz w:val="19"/>
          <w:szCs w:val="19"/>
          <w:color w:val="auto"/>
        </w:rPr>
        <w:t xml:space="preserve"> (it being understood that the documentation required under </w:t>
      </w:r>
      <w:r>
        <w:rPr>
          <w:rFonts w:ascii="Times New Roman" w:cs="Times New Roman" w:eastAsia="Times New Roman" w:hAnsi="Times New Roman"/>
          <w:sz w:val="19"/>
          <w:szCs w:val="19"/>
          <w:u w:val="single" w:color="auto"/>
          <w:color w:val="auto"/>
        </w:rPr>
        <w:t>Section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2.6(e)</w:t>
      </w:r>
      <w:r>
        <w:rPr>
          <w:rFonts w:ascii="Times New Roman" w:cs="Times New Roman" w:eastAsia="Times New Roman" w:hAnsi="Times New Roman"/>
          <w:sz w:val="19"/>
          <w:szCs w:val="19"/>
          <w:color w:val="auto"/>
        </w:rPr>
        <w:t xml:space="preserve"> shall be delivered to the Agent)) to the same extent as if it were a Lender that had acquired its interest by assignment pursuant to </w:t>
      </w:r>
      <w:r>
        <w:rPr>
          <w:rFonts w:ascii="Times New Roman" w:cs="Times New Roman" w:eastAsia="Times New Roman" w:hAnsi="Times New Roman"/>
          <w:sz w:val="19"/>
          <w:szCs w:val="19"/>
          <w:u w:val="single" w:color="auto"/>
          <w:color w:val="auto"/>
        </w:rPr>
        <w:t>clause</w:t>
      </w:r>
    </w:p>
    <w:p>
      <w:pPr>
        <w:spacing w:after="0" w:line="6" w:lineRule="exact"/>
        <w:rPr>
          <w:rFonts w:ascii="Times New Roman" w:cs="Times New Roman" w:eastAsia="Times New Roman" w:hAnsi="Times New Roman"/>
          <w:sz w:val="19"/>
          <w:szCs w:val="19"/>
          <w:color w:val="auto"/>
        </w:rPr>
      </w:pPr>
    </w:p>
    <w:p>
      <w:pPr>
        <w:jc w:val="both"/>
        <w:ind w:firstLine="8"/>
        <w:spacing w:after="0" w:line="241" w:lineRule="auto"/>
        <w:tabs>
          <w:tab w:leader="none" w:pos="383" w:val="left"/>
        </w:tabs>
        <w:numPr>
          <w:ilvl w:val="0"/>
          <w:numId w:val="144"/>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 xml:space="preserve">above; provided that, with respect to any participation, such participant shall not be entitled to receive any greater payment under </w:t>
      </w:r>
      <w:r>
        <w:rPr>
          <w:rFonts w:ascii="Times New Roman" w:cs="Times New Roman" w:eastAsia="Times New Roman" w:hAnsi="Times New Roman"/>
          <w:sz w:val="20"/>
          <w:szCs w:val="20"/>
          <w:u w:val="single" w:color="auto"/>
          <w:color w:val="auto"/>
        </w:rPr>
        <w:t>Sections 2.5</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2.6</w:t>
      </w:r>
      <w:r>
        <w:rPr>
          <w:rFonts w:ascii="Times New Roman" w:cs="Times New Roman" w:eastAsia="Times New Roman" w:hAnsi="Times New Roman"/>
          <w:sz w:val="20"/>
          <w:szCs w:val="20"/>
          <w:color w:val="auto"/>
        </w:rPr>
        <w:t xml:space="preserve"> than the Lender (the party that participated the interest) would have been entitled to receive, except to the extent of any entitlement to receive a greater payment resulting from a Change in Law that occurs after such participant acquired the applicable participation.</w:t>
      </w:r>
    </w:p>
    <w:p>
      <w:pPr>
        <w:spacing w:after="0" w:line="188" w:lineRule="exact"/>
        <w:rPr>
          <w:rFonts w:ascii="Times New Roman" w:cs="Times New Roman" w:eastAsia="Times New Roman" w:hAnsi="Times New Roman"/>
          <w:sz w:val="20"/>
          <w:szCs w:val="20"/>
          <w:u w:val="single" w:color="auto"/>
          <w:color w:val="auto"/>
        </w:rPr>
      </w:pPr>
    </w:p>
    <w:p>
      <w:pPr>
        <w:jc w:val="both"/>
        <w:ind w:firstLine="1580"/>
        <w:spacing w:after="0" w:line="249" w:lineRule="auto"/>
        <w:tabs>
          <w:tab w:leader="none" w:pos="2036" w:val="left"/>
        </w:tabs>
        <w:numPr>
          <w:ilvl w:val="1"/>
          <w:numId w:val="1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Agent shall record any Lender Transfer in the Register. Any Lender may grant a participation in all or any part of, or any interest in, Lender’s obligations, rights or benefits under this Agreement and the other Loan Documents. If a Lender sells a participation it shall, acting solely for this purpose as a non-fiduciary agent of Borrower, maintain a register on which it enters the name and address of each participant and principal amounts (and stated interest) of each participant’s interest in the Loans or</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4905-3710-6484 v.17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600710</wp:posOffset>
            </wp:positionV>
            <wp:extent cx="7157720" cy="4254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6" w:right="339" w:bottom="1440" w:gutter="0" w:footer="0" w:header="0"/>
        </w:sectPr>
      </w:pPr>
    </w:p>
    <w:bookmarkStart w:id="234" w:name="page235"/>
    <w:bookmarkEnd w:id="234"/>
    <w:p>
      <w:pPr>
        <w:jc w:val="both"/>
        <w:spacing w:after="0" w:line="245" w:lineRule="auto"/>
        <w:rPr>
          <w:sz w:val="20"/>
          <w:szCs w:val="20"/>
          <w:color w:val="auto"/>
        </w:rPr>
      </w:pPr>
      <w:r>
        <w:rPr>
          <w:rFonts w:ascii="Times New Roman" w:cs="Times New Roman" w:eastAsia="Times New Roman" w:hAnsi="Times New Roman"/>
          <w:sz w:val="20"/>
          <w:szCs w:val="20"/>
          <w:color w:val="auto"/>
        </w:rPr>
        <w:t xml:space="preserve">other obligations under the Loan Documents (the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20"/>
          <w:szCs w:val="20"/>
          <w:b w:val="1"/>
          <w:bCs w:val="1"/>
          <w:color w:val="auto"/>
        </w:rPr>
        <w:t>Participant Register</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the Lender shall have no obligation to disclose all or any portion of the Participant Register (including the identity of any participant or any information relating to a participant</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20"/>
          <w:szCs w:val="20"/>
          <w:color w:val="auto"/>
        </w:rPr>
        <w:t>s interest in any commitments, loans or its other obligations under any Loan Document) to any Person except to the extent that such disclosure is necessary to establish that such commitment, loan, letter of credit or other obligation is in registered form under Section 5f.103-1(c) of the United States Treasury Regulations. The entries in the Participant Register shall be conclusive absent manifest error, and the Lender shall treat each Person whose name is recorded in the Participant Register as the owner of such participation for all purposes of this Agreement notwithstanding any notice to the contrary.</w:t>
      </w:r>
    </w:p>
    <w:p>
      <w:pPr>
        <w:spacing w:after="0" w:line="183" w:lineRule="exact"/>
        <w:rPr>
          <w:sz w:val="20"/>
          <w:szCs w:val="20"/>
          <w:color w:val="auto"/>
        </w:rPr>
      </w:pPr>
    </w:p>
    <w:p>
      <w:pPr>
        <w:jc w:val="both"/>
        <w:ind w:firstLine="1500"/>
        <w:spacing w:after="0" w:line="246" w:lineRule="auto"/>
        <w:tabs>
          <w:tab w:leader="none" w:pos="1962" w:val="left"/>
        </w:tabs>
        <w:numPr>
          <w:ilvl w:val="0"/>
          <w:numId w:val="1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Lender may, without the consent of, or notice to, the Agent or any Credit Party, at any time pledge or assign a security interest in all or any portion of its rights under the Loan Documents to secure obligations of such Lender, including any pledge or assignment to secure obligations to a Federal Reserve Bank, subscription-line credit facilities, NAV credit facilities or other financings;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 such pledge or assignment shall release such Lender from any of its obligations hereunder or substitute any such pledgee or assignee for such Lender as a party hereto.</w:t>
      </w:r>
    </w:p>
    <w:p>
      <w:pPr>
        <w:spacing w:after="0" w:line="184" w:lineRule="exact"/>
        <w:rPr>
          <w:rFonts w:ascii="Times New Roman" w:cs="Times New Roman" w:eastAsia="Times New Roman" w:hAnsi="Times New Roman"/>
          <w:sz w:val="20"/>
          <w:szCs w:val="20"/>
          <w:color w:val="auto"/>
        </w:rPr>
      </w:pPr>
    </w:p>
    <w:p>
      <w:pPr>
        <w:ind w:firstLine="1500"/>
        <w:spacing w:after="0" w:line="269" w:lineRule="auto"/>
        <w:tabs>
          <w:tab w:leader="none" w:pos="1962" w:val="left"/>
        </w:tabs>
        <w:numPr>
          <w:ilvl w:val="0"/>
          <w:numId w:val="1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attempted transfer, pledge or assignment of this Agreement or any other Loan Document or any rights or obligations hereunder or thereunder in violation of this </w:t>
      </w:r>
      <w:r>
        <w:rPr>
          <w:rFonts w:ascii="Times New Roman" w:cs="Times New Roman" w:eastAsia="Times New Roman" w:hAnsi="Times New Roman"/>
          <w:sz w:val="20"/>
          <w:szCs w:val="20"/>
          <w:u w:val="single" w:color="auto"/>
          <w:color w:val="auto"/>
        </w:rPr>
        <w:t>Section 11.1</w:t>
      </w:r>
      <w:r>
        <w:rPr>
          <w:rFonts w:ascii="Times New Roman" w:cs="Times New Roman" w:eastAsia="Times New Roman" w:hAnsi="Times New Roman"/>
          <w:sz w:val="20"/>
          <w:szCs w:val="20"/>
          <w:color w:val="auto"/>
        </w:rPr>
        <w:t xml:space="preserve"> shall be null and void </w:t>
      </w:r>
      <w:r>
        <w:rPr>
          <w:rFonts w:ascii="Times New Roman" w:cs="Times New Roman" w:eastAsia="Times New Roman" w:hAnsi="Times New Roman"/>
          <w:sz w:val="20"/>
          <w:szCs w:val="20"/>
          <w:i w:val="1"/>
          <w:iCs w:val="1"/>
          <w:color w:val="auto"/>
        </w:rPr>
        <w:t>ab initio</w:t>
      </w:r>
      <w:r>
        <w:rPr>
          <w:rFonts w:ascii="Times New Roman" w:cs="Times New Roman" w:eastAsia="Times New Roman" w:hAnsi="Times New Roman"/>
          <w:sz w:val="20"/>
          <w:szCs w:val="20"/>
          <w:color w:val="auto"/>
        </w:rPr>
        <w:t>.</w:t>
      </w:r>
    </w:p>
    <w:p>
      <w:pPr>
        <w:spacing w:after="0" w:line="15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11.2. Indemnification; Lender and Agent Expenses</w:t>
      </w:r>
      <w:r>
        <w:rPr>
          <w:rFonts w:ascii="Times New Roman" w:cs="Times New Roman" w:eastAsia="Times New Roman" w:hAnsi="Times New Roman"/>
          <w:sz w:val="20"/>
          <w:szCs w:val="20"/>
          <w:color w:val="auto"/>
        </w:rPr>
        <w:t>.</w:t>
      </w:r>
    </w:p>
    <w:p>
      <w:pPr>
        <w:spacing w:after="0" w:line="206" w:lineRule="exact"/>
        <w:rPr>
          <w:sz w:val="20"/>
          <w:szCs w:val="20"/>
          <w:color w:val="auto"/>
        </w:rPr>
      </w:pPr>
    </w:p>
    <w:p>
      <w:pPr>
        <w:jc w:val="both"/>
        <w:ind w:firstLine="1500"/>
        <w:spacing w:after="0" w:line="250" w:lineRule="auto"/>
        <w:tabs>
          <w:tab w:leader="none" w:pos="1962" w:val="left"/>
        </w:tabs>
        <w:numPr>
          <w:ilvl w:val="0"/>
          <w:numId w:val="1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Credit Party agrees to indemnify and hold harmless each of the Agent, each Lender and their respective Affiliates and Approved Funds (and its or their respective successors and assigns) and each manager, member, partner, controlling Person,</w:t>
      </w:r>
    </w:p>
    <w:p>
      <w:pPr>
        <w:spacing w:after="0" w:line="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9"/>
          <w:szCs w:val="19"/>
          <w:color w:val="auto"/>
        </w:rPr>
        <w:t xml:space="preserve">director, officer, employee, agent or sub agent, advisor and affiliate thereof (each such Person, an </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9"/>
          <w:szCs w:val="19"/>
          <w:b w:val="1"/>
          <w:bCs w:val="1"/>
          <w:color w:val="auto"/>
        </w:rPr>
        <w:t>Indemnified Person</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9"/>
          <w:szCs w:val="19"/>
          <w:color w:val="auto"/>
        </w:rPr>
        <w:t xml:space="preserve">) from and against any and all Indemnified Liabilities;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however</w:t>
      </w:r>
      <w:r>
        <w:rPr>
          <w:rFonts w:ascii="Times New Roman" w:cs="Times New Roman" w:eastAsia="Times New Roman" w:hAnsi="Times New Roman"/>
          <w:sz w:val="19"/>
          <w:szCs w:val="19"/>
          <w:color w:val="auto"/>
        </w:rPr>
        <w:t>, that (i) no Credit Party shall have an obligation to any Indemnified Person hereunder with respect to any Indemnified Liabilities to the extent such Indemnified Liabilities arise from the bad faith (other than with respect to the Agent and its Related Parties), gross negligence or willful misconduct of that Indemnified Person (or its Affiliates, Approved Funds or controlling Persons or their respective directors, officers, managers, partners, members, agents, sub-agents or advisors), in each case, as determined by a final, non-appealable judgment of a court of competent jurisdiction, (ii) other than in the case of the Agent and its Related Parties, Borrower shall have no obligation to any Indemnified Person hereunder with respect to any Indemnified Liabilities to the extent such Indemnified Liabilities arise from a material breach of any funding obligation of such Indemnified Person hereunder (other than against the Agent in its capacity as such), (iii) no Credit Party shall have an obligation to any Indemnified Person hereunder with respect to any Indemnified Liabilities to the extent such Indemnified Liabilities arise from any claim by one Indemnified Person against another Indemnified Person (other than against the Agent in its capacity as such) that does not relate to any act or omission of any Credit Party, and</w:t>
      </w:r>
    </w:p>
    <w:p>
      <w:pPr>
        <w:spacing w:after="0" w:line="1" w:lineRule="exact"/>
        <w:rPr>
          <w:sz w:val="20"/>
          <w:szCs w:val="20"/>
          <w:color w:val="auto"/>
        </w:rPr>
      </w:pPr>
    </w:p>
    <w:p>
      <w:pPr>
        <w:jc w:val="both"/>
        <w:ind w:firstLine="3"/>
        <w:spacing w:after="0"/>
        <w:tabs>
          <w:tab w:leader="none" w:pos="360" w:val="left"/>
        </w:tabs>
        <w:numPr>
          <w:ilvl w:val="0"/>
          <w:numId w:val="1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 Credit Party shall be liable for any settlement of any claim or proceeding effected by any Indemnified Person without the prior written consent of such Credit Party (which consent shall not be unreasonably withheld or delayed), but if settled with such consent, or if there shall be a final judgment against an Indemnified Person, each of the Credit Parties shall, jointly and severally, indemnify and hold harmless such Indemnified Person from and against any loss or liability by reason of such settlement or judgment in the manner set forth in this Agreement. This </w:t>
      </w:r>
      <w:r>
        <w:rPr>
          <w:rFonts w:ascii="Times New Roman" w:cs="Times New Roman" w:eastAsia="Times New Roman" w:hAnsi="Times New Roman"/>
          <w:sz w:val="20"/>
          <w:szCs w:val="20"/>
          <w:u w:val="single" w:color="auto"/>
          <w:color w:val="auto"/>
        </w:rPr>
        <w:t>Section 11.2(a)</w:t>
      </w:r>
      <w:r>
        <w:rPr>
          <w:rFonts w:ascii="Times New Roman" w:cs="Times New Roman" w:eastAsia="Times New Roman" w:hAnsi="Times New Roman"/>
          <w:sz w:val="20"/>
          <w:szCs w:val="20"/>
          <w:color w:val="auto"/>
        </w:rPr>
        <w:t xml:space="preserve"> shall not apply with respect to Taxes other than any Taxes that represent liabilities, obligations, losses, damages, penalties, claims, costs, expenses and disbursements arising from any non-Tax claim.</w:t>
      </w:r>
    </w:p>
    <w:p>
      <w:pPr>
        <w:spacing w:after="0" w:line="191" w:lineRule="exact"/>
        <w:rPr>
          <w:rFonts w:ascii="Times New Roman" w:cs="Times New Roman" w:eastAsia="Times New Roman" w:hAnsi="Times New Roman"/>
          <w:sz w:val="20"/>
          <w:szCs w:val="20"/>
          <w:color w:val="auto"/>
        </w:rPr>
      </w:pPr>
    </w:p>
    <w:p>
      <w:pPr>
        <w:jc w:val="both"/>
        <w:ind w:right="20" w:firstLine="1500"/>
        <w:spacing w:after="0" w:line="254" w:lineRule="auto"/>
        <w:tabs>
          <w:tab w:leader="none" w:pos="1962" w:val="left"/>
        </w:tabs>
        <w:numPr>
          <w:ilvl w:val="1"/>
          <w:numId w:val="1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To the extent permitted by Requirements of Law, the Borrower and each Credit Party shall not assert, and hereby waives, any claim against the Agent (and any sub-agent thereof), any Lender and any Related Party of any of the foregoing Persons (each such Person being called an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20"/>
          <w:szCs w:val="20"/>
          <w:b w:val="1"/>
          <w:bCs w:val="1"/>
          <w:color w:val="auto"/>
        </w:rPr>
        <w:t>Protected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592455</wp:posOffset>
            </wp:positionV>
            <wp:extent cx="7157720" cy="4254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400" w:top="1422" w:right="339" w:bottom="1440" w:gutter="0" w:footer="0" w:header="0"/>
        </w:sectPr>
      </w:pPr>
    </w:p>
    <w:bookmarkStart w:id="235" w:name="page236"/>
    <w:bookmarkEnd w:id="235"/>
    <w:p>
      <w:pPr>
        <w:spacing w:after="0" w:line="140" w:lineRule="exact"/>
        <w:rPr>
          <w:sz w:val="20"/>
          <w:szCs w:val="20"/>
          <w:color w:val="auto"/>
        </w:rPr>
      </w:pPr>
    </w:p>
    <w:p>
      <w:pPr>
        <w:jc w:val="right"/>
        <w:ind w:right="4379"/>
        <w:spacing w:after="0"/>
        <w:rPr>
          <w:sz w:val="20"/>
          <w:szCs w:val="20"/>
          <w:color w:val="auto"/>
        </w:rPr>
      </w:pPr>
      <w:r>
        <w:rPr>
          <w:rFonts w:ascii="Times New Roman" w:cs="Times New Roman" w:eastAsia="Times New Roman" w:hAnsi="Times New Roman"/>
          <w:sz w:val="18"/>
          <w:szCs w:val="18"/>
          <w:color w:val="auto"/>
        </w:rPr>
        <w:t>59</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4905-3710-6484 v.17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600710</wp:posOffset>
            </wp:positionV>
            <wp:extent cx="7157720" cy="4254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59"/>
          </w:cols>
          <w:pgMar w:left="400" w:top="1440" w:right="1440" w:bottom="1440" w:gutter="0" w:footer="0" w:header="0"/>
        </w:sectPr>
      </w:pPr>
    </w:p>
    <w:bookmarkStart w:id="236" w:name="page237"/>
    <w:bookmarkEnd w:id="236"/>
    <w:p>
      <w:pPr>
        <w:jc w:val="both"/>
        <w:ind w:right="20"/>
        <w:spacing w:after="0" w:line="256" w:lineRule="auto"/>
        <w:rPr>
          <w:sz w:val="20"/>
          <w:szCs w:val="20"/>
          <w:color w:val="auto"/>
        </w:rPr>
      </w:pPr>
      <w:r>
        <w:rPr>
          <w:rFonts w:ascii="Times New Roman" w:cs="Times New Roman" w:eastAsia="Times New Roman" w:hAnsi="Times New Roman"/>
          <w:sz w:val="20"/>
          <w:szCs w:val="20"/>
          <w:b w:val="1"/>
          <w:bCs w:val="1"/>
          <w:color w:val="auto"/>
        </w:rPr>
        <w:t>Person</w:t>
      </w:r>
      <w:r>
        <w:rPr>
          <w:rFonts w:ascii="Times New Roman" w:cs="Times New Roman" w:eastAsia="Times New Roman" w:hAnsi="Times New Roman"/>
          <w:sz w:val="20"/>
          <w:szCs w:val="20"/>
          <w:color w:val="auto"/>
        </w:rPr>
        <w:t>”), on any theory of liability, for special, indirect, consequential or punitive damages (as opposed to direct or actual damages) arising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out of, in connection with, or as a result of, this Agreement, any other Loan Document or any agreement or instrument contemplated hereby, the transactions contemplated hereby or thereby, any Loan or the use of the proceeds thereof.</w:t>
      </w:r>
    </w:p>
    <w:p>
      <w:pPr>
        <w:spacing w:after="0" w:line="173" w:lineRule="exact"/>
        <w:rPr>
          <w:sz w:val="20"/>
          <w:szCs w:val="20"/>
          <w:color w:val="auto"/>
        </w:rPr>
      </w:pPr>
    </w:p>
    <w:p>
      <w:pPr>
        <w:ind w:left="1500"/>
        <w:spacing w:after="0"/>
        <w:tabs>
          <w:tab w:leader="none" w:pos="1880" w:val="left"/>
        </w:tabs>
        <w:rPr>
          <w:sz w:val="20"/>
          <w:szCs w:val="20"/>
          <w:color w:val="auto"/>
        </w:rPr>
      </w:pPr>
      <w:r>
        <w:rPr>
          <w:rFonts w:ascii="Times New Roman" w:cs="Times New Roman" w:eastAsia="Times New Roman" w:hAnsi="Times New Roman"/>
          <w:sz w:val="20"/>
          <w:szCs w:val="20"/>
          <w:color w:val="auto"/>
        </w:rPr>
        <w:t>(c)</w:t>
        <w:tab/>
        <w:t>Borrower shall pay, promptly following written demand therefor, all Lender and Agent Expenses of the Agent and</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each Lender.</w:t>
      </w:r>
    </w:p>
    <w:p>
      <w:pPr>
        <w:spacing w:after="0" w:line="190"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0"/>
          <w:szCs w:val="20"/>
          <w:b w:val="1"/>
          <w:bCs w:val="1"/>
          <w:color w:val="auto"/>
        </w:rPr>
        <w:t>11.3. Severability of Provisions</w:t>
      </w:r>
      <w:r>
        <w:rPr>
          <w:rFonts w:ascii="Times New Roman" w:cs="Times New Roman" w:eastAsia="Times New Roman" w:hAnsi="Times New Roman"/>
          <w:sz w:val="20"/>
          <w:szCs w:val="20"/>
          <w:color w:val="auto"/>
        </w:rPr>
        <w:t>. In case any provision in or obligation hereunder or under any other Loan Document shall be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invalid, illegal or unenforceable in any jurisdiction, the validity, legality and enforceability of the remaining provisions or obligations, or of such provision or obligation in any other jurisdiction, shall not in any way be affected or impaired thereby.</w:t>
      </w:r>
    </w:p>
    <w:p>
      <w:pPr>
        <w:spacing w:after="0" w:line="169" w:lineRule="exact"/>
        <w:rPr>
          <w:sz w:val="20"/>
          <w:szCs w:val="20"/>
          <w:color w:val="auto"/>
        </w:rPr>
      </w:pPr>
    </w:p>
    <w:p>
      <w:pPr>
        <w:ind w:left="760"/>
        <w:spacing w:after="0"/>
        <w:tabs>
          <w:tab w:leader="none" w:pos="1520" w:val="left"/>
        </w:tabs>
        <w:rPr>
          <w:sz w:val="20"/>
          <w:szCs w:val="20"/>
          <w:color w:val="auto"/>
        </w:rPr>
      </w:pPr>
      <w:r>
        <w:rPr>
          <w:rFonts w:ascii="Times New Roman" w:cs="Times New Roman" w:eastAsia="Times New Roman" w:hAnsi="Times New Roman"/>
          <w:sz w:val="20"/>
          <w:szCs w:val="20"/>
          <w:b w:val="1"/>
          <w:bCs w:val="1"/>
          <w:color w:val="auto"/>
        </w:rPr>
        <w:t>11.4.</w:t>
      </w:r>
      <w:r>
        <w:rPr>
          <w:sz w:val="20"/>
          <w:szCs w:val="20"/>
          <w:color w:val="auto"/>
        </w:rPr>
        <w:tab/>
      </w:r>
      <w:r>
        <w:rPr>
          <w:rFonts w:ascii="Times New Roman" w:cs="Times New Roman" w:eastAsia="Times New Roman" w:hAnsi="Times New Roman"/>
          <w:sz w:val="19"/>
          <w:szCs w:val="19"/>
          <w:b w:val="1"/>
          <w:bCs w:val="1"/>
          <w:color w:val="auto"/>
        </w:rPr>
        <w:t>[Reserved]</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11.5. Amendments in Writing; Integration</w:t>
      </w:r>
      <w:r>
        <w:rPr>
          <w:rFonts w:ascii="Times New Roman" w:cs="Times New Roman" w:eastAsia="Times New Roman" w:hAnsi="Times New Roman"/>
          <w:sz w:val="20"/>
          <w:szCs w:val="20"/>
          <w:color w:val="auto"/>
        </w:rPr>
        <w:t>.</w:t>
      </w:r>
    </w:p>
    <w:p>
      <w:pPr>
        <w:spacing w:after="0" w:line="206" w:lineRule="exact"/>
        <w:rPr>
          <w:sz w:val="20"/>
          <w:szCs w:val="20"/>
          <w:color w:val="auto"/>
        </w:rPr>
      </w:pPr>
    </w:p>
    <w:p>
      <w:pPr>
        <w:jc w:val="both"/>
        <w:ind w:firstLine="1505"/>
        <w:spacing w:after="0" w:line="243" w:lineRule="auto"/>
        <w:tabs>
          <w:tab w:leader="none" w:pos="1893" w:val="left"/>
        </w:tabs>
        <w:numPr>
          <w:ilvl w:val="0"/>
          <w:numId w:val="1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amendment or modification of any provision of this Agreement or any other Loan Document (other than the Agent Fee Letter, which may be amended in writing by the Agent and the applicable Credit Party and the Lender Fee Letter, which may be amended in writing by the Lenders and the applicable Credit Party), or waiver, discharge or termination of any obligation hereunder or thereunder, no approval or consent hereunder or thereunder (including any consent to any departure by Borrower or any other Credit Party herefrom or therefrom), shall in any event be effective unless the same shall be in writing and signed by Borrower (on its own behalf and on behalf of each other Credit Party), the Required Lenders and the Agent (acting at the direction of the Required Lenders); provided, however, that no such amendment, modification, waiver, discharge or termination contemplated in clauses (i) through (vi) shall, unless in writing and signed by all the Lenders expressly set forth therein, in addition to the Required Lenders, the Agent (or by the Agent acting at the direction of the Required Lenders) and Borrower, do any of the following:</w:t>
      </w:r>
    </w:p>
    <w:p>
      <w:pPr>
        <w:spacing w:after="0" w:line="185" w:lineRule="exact"/>
        <w:rPr>
          <w:rFonts w:ascii="Times New Roman" w:cs="Times New Roman" w:eastAsia="Times New Roman" w:hAnsi="Times New Roman"/>
          <w:sz w:val="20"/>
          <w:szCs w:val="20"/>
          <w:color w:val="auto"/>
        </w:rPr>
      </w:pPr>
    </w:p>
    <w:p>
      <w:pPr>
        <w:jc w:val="both"/>
        <w:ind w:left="840" w:firstLine="1489"/>
        <w:spacing w:after="0" w:line="249" w:lineRule="auto"/>
        <w:tabs>
          <w:tab w:leader="none" w:pos="2562" w:val="left"/>
        </w:tabs>
        <w:numPr>
          <w:ilvl w:val="1"/>
          <w:numId w:val="1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extend or increase the Commitments or Loans of any Lender without the written consent of such Lender (it being understood that a waiver of any condition precedent set forth in Section 3 or of any Default, Event of Default, mandatory prepayment or mandatory reduction of any Loan or Commitment shall not constitute an extension or increase of the Loan or Commitment of any Lender);</w:t>
      </w:r>
    </w:p>
    <w:p>
      <w:pPr>
        <w:spacing w:after="0" w:line="166" w:lineRule="exact"/>
        <w:rPr>
          <w:sz w:val="20"/>
          <w:szCs w:val="20"/>
          <w:color w:val="auto"/>
        </w:rPr>
      </w:pPr>
    </w:p>
    <w:p>
      <w:pPr>
        <w:jc w:val="both"/>
        <w:ind w:left="840" w:firstLine="1498"/>
        <w:spacing w:after="0" w:line="246" w:lineRule="auto"/>
        <w:rPr>
          <w:sz w:val="20"/>
          <w:szCs w:val="20"/>
          <w:color w:val="auto"/>
        </w:rPr>
      </w:pPr>
      <w:r>
        <w:rPr>
          <w:rFonts w:ascii="Times New Roman" w:cs="Times New Roman" w:eastAsia="Times New Roman" w:hAnsi="Times New Roman"/>
          <w:sz w:val="20"/>
          <w:szCs w:val="20"/>
          <w:color w:val="auto"/>
        </w:rPr>
        <w:t>(ii)postpone any date scheduled for, or reduce the amount of, any payment of principal, interest, fees, premiums (including the Yield Protection Premium), or other amounts payable hereunder or under any other Loan Documents, without the written consent of each Lender directly and adversely affected thereby, it being understood that the waiver of (or amendment to the terms of) any mandatory prepayment of any Loan shall not constitute a postponement of any date scheduled for the payment of principal or interest;</w:t>
      </w:r>
    </w:p>
    <w:p>
      <w:pPr>
        <w:spacing w:after="0" w:line="185" w:lineRule="exact"/>
        <w:rPr>
          <w:sz w:val="20"/>
          <w:szCs w:val="20"/>
          <w:color w:val="auto"/>
        </w:rPr>
      </w:pPr>
    </w:p>
    <w:p>
      <w:pPr>
        <w:jc w:val="both"/>
        <w:ind w:left="840" w:firstLine="1498"/>
        <w:spacing w:after="0" w:line="246" w:lineRule="auto"/>
        <w:rPr>
          <w:sz w:val="20"/>
          <w:szCs w:val="20"/>
          <w:color w:val="auto"/>
        </w:rPr>
      </w:pPr>
      <w:r>
        <w:rPr>
          <w:rFonts w:ascii="Times New Roman" w:cs="Times New Roman" w:eastAsia="Times New Roman" w:hAnsi="Times New Roman"/>
          <w:sz w:val="20"/>
          <w:szCs w:val="20"/>
          <w:color w:val="auto"/>
        </w:rPr>
        <w:t xml:space="preserve">(iii)reduce or forgive the principal of, or the rate of interest specified herein on, any Loan, or any fees, premiums (including the Yield Protection Premium) or other amounts payable hereunder or under any other Loan Document (or extend the timing of payments of such fees or other amounts) without the written consent of each Lender directly and adversely affected thereby;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only the consent of the Required Lenders shall be necessary to amend the definition of “Default Rate” or to waive any obligation of Borrower to pay interest at the Default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599440</wp:posOffset>
            </wp:positionV>
            <wp:extent cx="7157720" cy="4254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237" w:name="page238"/>
    <w:bookmarkEnd w:id="237"/>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60</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4905-3710-6484 v.17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600710</wp:posOffset>
            </wp:positionV>
            <wp:extent cx="7157720" cy="4254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238" w:name="page239"/>
    <w:bookmarkEnd w:id="238"/>
    <w:p>
      <w:pPr>
        <w:jc w:val="both"/>
        <w:ind w:firstLine="1498"/>
        <w:spacing w:after="0" w:line="246" w:lineRule="auto"/>
        <w:rPr>
          <w:sz w:val="20"/>
          <w:szCs w:val="20"/>
          <w:color w:val="auto"/>
        </w:rPr>
      </w:pPr>
      <w:r>
        <w:rPr>
          <w:rFonts w:ascii="Times New Roman" w:cs="Times New Roman" w:eastAsia="Times New Roman" w:hAnsi="Times New Roman"/>
          <w:sz w:val="20"/>
          <w:szCs w:val="20"/>
          <w:color w:val="auto"/>
        </w:rPr>
        <w:t xml:space="preserve">(iv)amend, modify or eliminate (w) this </w:t>
      </w:r>
      <w:r>
        <w:rPr>
          <w:rFonts w:ascii="Times New Roman" w:cs="Times New Roman" w:eastAsia="Times New Roman" w:hAnsi="Times New Roman"/>
          <w:sz w:val="20"/>
          <w:szCs w:val="20"/>
          <w:u w:val="single" w:color="auto"/>
          <w:color w:val="auto"/>
        </w:rPr>
        <w:t>Section 11.5</w:t>
      </w:r>
      <w:r>
        <w:rPr>
          <w:rFonts w:ascii="Times New Roman" w:cs="Times New Roman" w:eastAsia="Times New Roman" w:hAnsi="Times New Roman"/>
          <w:sz w:val="20"/>
          <w:szCs w:val="20"/>
          <w:color w:val="auto"/>
        </w:rPr>
        <w:t xml:space="preserve">, (x) the definition of “Required Lenders”, “Required Initial Term Loan Lenders”, “Required Tranche A Delayed Draw Term Loan Lenders”, “Required Tranche B Delayed Draw Term Loan Lenders”, “Required Revolving Credit Lenders” or any other provision specifying the number of Lenders or portion of a Loan required to take any action under the Loan Documents, (y) any provision set forth in any Loan Document that alters the pro rata sharing provisions amongst the Lenders or (z) </w:t>
      </w:r>
      <w:r>
        <w:rPr>
          <w:rFonts w:ascii="Times New Roman" w:cs="Times New Roman" w:eastAsia="Times New Roman" w:hAnsi="Times New Roman"/>
          <w:sz w:val="20"/>
          <w:szCs w:val="20"/>
          <w:u w:val="single" w:color="auto"/>
          <w:color w:val="auto"/>
        </w:rPr>
        <w:t>Section 8.3</w:t>
      </w:r>
      <w:r>
        <w:rPr>
          <w:rFonts w:ascii="Times New Roman" w:cs="Times New Roman" w:eastAsia="Times New Roman" w:hAnsi="Times New Roman"/>
          <w:sz w:val="20"/>
          <w:szCs w:val="20"/>
          <w:color w:val="auto"/>
        </w:rPr>
        <w:t>, in each case, without the written consent of each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3350895</wp:posOffset>
            </wp:positionH>
            <wp:positionV relativeFrom="paragraph">
              <wp:posOffset>-30480</wp:posOffset>
            </wp:positionV>
            <wp:extent cx="31115" cy="825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2">
                      <a:extLst>
                        <a:ext uri="{28A0092B-C50C-407E-A947-70E740481C1C}"/>
                      </a:extLst>
                    </a:blip>
                    <a:srcRect/>
                    <a:stretch>
                      <a:fillRect/>
                    </a:stretch>
                  </pic:blipFill>
                  <pic:spPr bwMode="auto">
                    <a:xfrm>
                      <a:off x="0" y="0"/>
                      <a:ext cx="31115" cy="8255"/>
                    </a:xfrm>
                    <a:prstGeom prst="rect">
                      <a:avLst/>
                    </a:prstGeom>
                    <a:noFill/>
                  </pic:spPr>
                </pic:pic>
              </a:graphicData>
            </a:graphic>
          </wp:anchor>
        </w:drawing>
      </w:r>
    </w:p>
    <w:p>
      <w:pPr>
        <w:spacing w:after="0" w:line="165" w:lineRule="exact"/>
        <w:rPr>
          <w:sz w:val="20"/>
          <w:szCs w:val="20"/>
          <w:color w:val="auto"/>
        </w:rPr>
      </w:pPr>
    </w:p>
    <w:p>
      <w:pPr>
        <w:jc w:val="both"/>
        <w:ind w:firstLine="1498"/>
        <w:spacing w:after="0" w:line="269" w:lineRule="auto"/>
        <w:rPr>
          <w:sz w:val="20"/>
          <w:szCs w:val="20"/>
          <w:color w:val="auto"/>
        </w:rPr>
      </w:pPr>
      <w:r>
        <w:rPr>
          <w:rFonts w:ascii="Times New Roman" w:cs="Times New Roman" w:eastAsia="Times New Roman" w:hAnsi="Times New Roman"/>
          <w:sz w:val="20"/>
          <w:szCs w:val="20"/>
          <w:color w:val="auto"/>
        </w:rPr>
        <w:t xml:space="preserve">(v)amend, modify or eliminate the application of payments set forth in </w:t>
      </w:r>
      <w:r>
        <w:rPr>
          <w:rFonts w:ascii="Times New Roman" w:cs="Times New Roman" w:eastAsia="Times New Roman" w:hAnsi="Times New Roman"/>
          <w:sz w:val="20"/>
          <w:szCs w:val="20"/>
          <w:u w:val="single" w:color="auto"/>
          <w:color w:val="auto"/>
        </w:rPr>
        <w:t>Section 8.3</w:t>
      </w:r>
      <w:r>
        <w:rPr>
          <w:rFonts w:ascii="Times New Roman" w:cs="Times New Roman" w:eastAsia="Times New Roman" w:hAnsi="Times New Roman"/>
          <w:sz w:val="20"/>
          <w:szCs w:val="20"/>
          <w:color w:val="auto"/>
        </w:rPr>
        <w:t xml:space="preserve"> that alters the order of payments in respect of Revolving Credit Loans, without the written consent of each Revolving Credit Lender;</w:t>
      </w:r>
    </w:p>
    <w:p>
      <w:pPr>
        <w:spacing w:after="0" w:line="159" w:lineRule="exact"/>
        <w:rPr>
          <w:sz w:val="20"/>
          <w:szCs w:val="20"/>
          <w:color w:val="auto"/>
        </w:rPr>
      </w:pPr>
    </w:p>
    <w:p>
      <w:pPr>
        <w:jc w:val="both"/>
        <w:ind w:firstLine="1498"/>
        <w:spacing w:after="0" w:line="269" w:lineRule="auto"/>
        <w:rPr>
          <w:sz w:val="20"/>
          <w:szCs w:val="20"/>
          <w:color w:val="auto"/>
        </w:rPr>
      </w:pPr>
      <w:r>
        <w:rPr>
          <w:rFonts w:ascii="Times New Roman" w:cs="Times New Roman" w:eastAsia="Times New Roman" w:hAnsi="Times New Roman"/>
          <w:sz w:val="20"/>
          <w:szCs w:val="20"/>
          <w:color w:val="auto"/>
        </w:rPr>
        <w:t>(vi)unless otherwise permitted under the Agreement, release all or substantially all of the Collateral in any transaction or series of related transactions, without the written consent of each applicable Lender; or</w:t>
      </w:r>
    </w:p>
    <w:p>
      <w:pPr>
        <w:spacing w:after="0" w:line="146" w:lineRule="exact"/>
        <w:rPr>
          <w:sz w:val="20"/>
          <w:szCs w:val="20"/>
          <w:color w:val="auto"/>
        </w:rPr>
      </w:pPr>
    </w:p>
    <w:p>
      <w:pPr>
        <w:jc w:val="both"/>
        <w:ind w:firstLine="1498"/>
        <w:spacing w:after="0" w:line="269" w:lineRule="auto"/>
        <w:rPr>
          <w:sz w:val="20"/>
          <w:szCs w:val="20"/>
          <w:color w:val="auto"/>
        </w:rPr>
      </w:pPr>
      <w:r>
        <w:rPr>
          <w:rFonts w:ascii="Times New Roman" w:cs="Times New Roman" w:eastAsia="Times New Roman" w:hAnsi="Times New Roman"/>
          <w:sz w:val="20"/>
          <w:szCs w:val="20"/>
          <w:color w:val="auto"/>
        </w:rPr>
        <w:t>(vii)unless otherwise permitted under the Agreement, release all or substantially all of the Guarantors (or all or substantially all of the aggregate value of the Guarantees), without the written consent of each applicable Lender;</w:t>
      </w:r>
    </w:p>
    <w:p>
      <w:pPr>
        <w:spacing w:after="0" w:line="15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 xml:space="preserve">and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xml:space="preserve">, that no amendment, waiver or consent shall, unless in writing and signed by the Agent in addition to the Lenders required above, affect the rights, obligations, immunities, indemnities or duties of, or any fees or other amounts payable to, the Agent under this Agreement or any other Loan Document, or otherwise amend, modify or eliminate any provisions of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12.</w:t>
      </w:r>
    </w:p>
    <w:p>
      <w:pPr>
        <w:spacing w:after="0" w:line="180" w:lineRule="exact"/>
        <w:rPr>
          <w:sz w:val="20"/>
          <w:szCs w:val="20"/>
          <w:color w:val="auto"/>
        </w:rPr>
      </w:pPr>
    </w:p>
    <w:p>
      <w:pPr>
        <w:jc w:val="both"/>
        <w:ind w:left="-760" w:firstLine="1490"/>
        <w:spacing w:after="0" w:line="245" w:lineRule="auto"/>
        <w:tabs>
          <w:tab w:leader="none" w:pos="1189" w:val="left"/>
        </w:tabs>
        <w:numPr>
          <w:ilvl w:val="0"/>
          <w:numId w:val="1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Notwithstanding anything to the contrary contained in this </w:t>
      </w:r>
      <w:r>
        <w:rPr>
          <w:rFonts w:ascii="Times New Roman" w:cs="Times New Roman" w:eastAsia="Times New Roman" w:hAnsi="Times New Roman"/>
          <w:sz w:val="20"/>
          <w:szCs w:val="20"/>
          <w:u w:val="single" w:color="auto"/>
          <w:color w:val="auto"/>
        </w:rPr>
        <w:t>Section 11.5</w:t>
      </w:r>
      <w:r>
        <w:rPr>
          <w:rFonts w:ascii="Times New Roman" w:cs="Times New Roman" w:eastAsia="Times New Roman" w:hAnsi="Times New Roman"/>
          <w:sz w:val="20"/>
          <w:szCs w:val="20"/>
          <w:color w:val="auto"/>
        </w:rPr>
        <w:t>, if the Agent, Blackstone Representative and Borrower shall have jointly identified an obvious error (including an incorrect cross-reference) or any error or omission of a technical or immaterial nature, in each case, in any provision of this Agreement or any other Loan Document (including, for the avoidance of doubt, any exhibit, schedule or other attachment to any Loan Document), then the Agent (at the direction of the Blackstone Representative) and Borrower or any other relevant Credit Party shall be permitted to amend such provision and such amendment shall become effective without any further action or consent of any other party to any Loan Document.</w:t>
      </w:r>
    </w:p>
    <w:p>
      <w:pPr>
        <w:spacing w:after="0" w:line="170" w:lineRule="exact"/>
        <w:rPr>
          <w:rFonts w:ascii="Times New Roman" w:cs="Times New Roman" w:eastAsia="Times New Roman" w:hAnsi="Times New Roman"/>
          <w:sz w:val="20"/>
          <w:szCs w:val="20"/>
          <w:color w:val="auto"/>
        </w:rPr>
      </w:pPr>
    </w:p>
    <w:p>
      <w:pPr>
        <w:jc w:val="both"/>
        <w:ind w:left="-760" w:firstLine="1490"/>
        <w:spacing w:after="0" w:line="246" w:lineRule="auto"/>
        <w:tabs>
          <w:tab w:leader="none" w:pos="1189" w:val="left"/>
        </w:tabs>
        <w:numPr>
          <w:ilvl w:val="0"/>
          <w:numId w:val="1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Agreement and the Loan Documents represent the entire agreement about this subject matter and supersede prior negotiations or agreements (it being understood that paragraph seven of the letter between Borrower and the Blackstone Representative dated April 4, 2025 shall continue to apply with respect to the cap on expenses incurred on or prior to the Closing Date). All prior agreements, understandings, representations, warranties, and negotiations among the parties hereto about the subject matter of this Agreement and the Loan Documents merge into this Agreement and the Loan Documents.</w:t>
      </w:r>
    </w:p>
    <w:p>
      <w:pPr>
        <w:spacing w:after="0" w:line="171" w:lineRule="exact"/>
        <w:rPr>
          <w:rFonts w:ascii="Times New Roman" w:cs="Times New Roman" w:eastAsia="Times New Roman" w:hAnsi="Times New Roman"/>
          <w:sz w:val="20"/>
          <w:szCs w:val="20"/>
          <w:color w:val="auto"/>
        </w:rPr>
      </w:pPr>
    </w:p>
    <w:p>
      <w:pPr>
        <w:jc w:val="both"/>
        <w:ind w:left="-760" w:firstLine="1490"/>
        <w:spacing w:after="0" w:line="259" w:lineRule="auto"/>
        <w:tabs>
          <w:tab w:leader="none" w:pos="1189" w:val="left"/>
        </w:tabs>
        <w:numPr>
          <w:ilvl w:val="0"/>
          <w:numId w:val="14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Only the Required Revolving Credit Lenders shall have the ability to waive, amend, restate, supplement or modify any conditions precedent in </w:t>
      </w:r>
      <w:r>
        <w:rPr>
          <w:rFonts w:ascii="Times New Roman" w:cs="Times New Roman" w:eastAsia="Times New Roman" w:hAnsi="Times New Roman"/>
          <w:sz w:val="19"/>
          <w:szCs w:val="19"/>
          <w:u w:val="single" w:color="auto"/>
          <w:color w:val="auto"/>
        </w:rPr>
        <w:t>Section 3</w:t>
      </w:r>
      <w:r>
        <w:rPr>
          <w:rFonts w:ascii="Times New Roman" w:cs="Times New Roman" w:eastAsia="Times New Roman" w:hAnsi="Times New Roman"/>
          <w:sz w:val="19"/>
          <w:szCs w:val="19"/>
          <w:color w:val="auto"/>
        </w:rPr>
        <w:t xml:space="preserve"> herein with respect to a Borrowing of Revolving Credit Loans. Only the Required Initial Term Loan Lenders shall have the ability to waive, amend, restate, supplement or modify any conditions precedent in </w:t>
      </w:r>
      <w:r>
        <w:rPr>
          <w:rFonts w:ascii="Times New Roman" w:cs="Times New Roman" w:eastAsia="Times New Roman" w:hAnsi="Times New Roman"/>
          <w:sz w:val="19"/>
          <w:szCs w:val="19"/>
          <w:u w:val="single" w:color="auto"/>
          <w:color w:val="auto"/>
        </w:rPr>
        <w:t>Section 3</w:t>
      </w:r>
      <w:r>
        <w:rPr>
          <w:rFonts w:ascii="Times New Roman" w:cs="Times New Roman" w:eastAsia="Times New Roman" w:hAnsi="Times New Roman"/>
          <w:sz w:val="19"/>
          <w:szCs w:val="19"/>
          <w:color w:val="auto"/>
        </w:rPr>
        <w:t xml:space="preserve"> herein with respect to a Borrowing of Initial Term Loans. Only the Required Tranche A Delayed Draw Term Loan Lenders shall have the ability to waive, amend, restate, supplement or modify any conditions precedent in </w:t>
      </w:r>
      <w:r>
        <w:rPr>
          <w:rFonts w:ascii="Times New Roman" w:cs="Times New Roman" w:eastAsia="Times New Roman" w:hAnsi="Times New Roman"/>
          <w:sz w:val="19"/>
          <w:szCs w:val="19"/>
          <w:u w:val="single" w:color="auto"/>
          <w:color w:val="auto"/>
        </w:rPr>
        <w:t>Section</w:t>
      </w:r>
      <w:r>
        <w:rPr>
          <w:rFonts w:ascii="Times New Roman" w:cs="Times New Roman" w:eastAsia="Times New Roman" w:hAnsi="Times New Roman"/>
          <w:sz w:val="19"/>
          <w:szCs w:val="19"/>
          <w:color w:val="auto"/>
        </w:rPr>
        <w:t xml:space="preserve"> 3 herein with respect to a Borrowing of Tranche A Delayed Draw Term Loans. Only the Required Tranche B Delayed Draw Term Loan Lenders shall have the ability to waive, amend, restate, supplement or modify any conditions precedent in </w:t>
      </w:r>
      <w:r>
        <w:rPr>
          <w:rFonts w:ascii="Times New Roman" w:cs="Times New Roman" w:eastAsia="Times New Roman" w:hAnsi="Times New Roman"/>
          <w:sz w:val="19"/>
          <w:szCs w:val="19"/>
          <w:u w:val="single" w:color="auto"/>
          <w:color w:val="auto"/>
        </w:rPr>
        <w:t>Section 3</w:t>
      </w:r>
      <w:r>
        <w:rPr>
          <w:rFonts w:ascii="Times New Roman" w:cs="Times New Roman" w:eastAsia="Times New Roman" w:hAnsi="Times New Roman"/>
          <w:sz w:val="19"/>
          <w:szCs w:val="19"/>
          <w:color w:val="auto"/>
        </w:rPr>
        <w:t xml:space="preserve"> herein with respect to a Borrowing of Tranche B Delayed Draw Term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-540385</wp:posOffset>
            </wp:positionH>
            <wp:positionV relativeFrom="paragraph">
              <wp:posOffset>591185</wp:posOffset>
            </wp:positionV>
            <wp:extent cx="7157720" cy="4254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320"/>
          </w:cols>
          <w:pgMar w:left="1160" w:top="1413" w:right="419" w:bottom="1440" w:gutter="0" w:footer="0" w:header="0"/>
        </w:sectPr>
      </w:pPr>
    </w:p>
    <w:bookmarkStart w:id="239" w:name="page240"/>
    <w:bookmarkEnd w:id="239"/>
    <w:p>
      <w:pPr>
        <w:spacing w:after="0" w:line="167"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61</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4905-3710-6484 v.17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600710</wp:posOffset>
            </wp:positionV>
            <wp:extent cx="7157720" cy="4254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59"/>
          </w:cols>
          <w:pgMar w:left="400" w:top="1440" w:right="1440" w:bottom="1440" w:gutter="0" w:footer="0" w:header="0"/>
        </w:sectPr>
      </w:pPr>
    </w:p>
    <w:bookmarkStart w:id="240" w:name="page241"/>
    <w:bookmarkEnd w:id="240"/>
    <w:p>
      <w:pPr>
        <w:jc w:val="both"/>
        <w:ind w:firstLine="749"/>
        <w:spacing w:after="0" w:line="273" w:lineRule="auto"/>
        <w:rPr>
          <w:sz w:val="20"/>
          <w:szCs w:val="20"/>
          <w:color w:val="auto"/>
        </w:rPr>
      </w:pPr>
      <w:r>
        <w:rPr>
          <w:rFonts w:ascii="Times New Roman" w:cs="Times New Roman" w:eastAsia="Times New Roman" w:hAnsi="Times New Roman"/>
          <w:sz w:val="20"/>
          <w:szCs w:val="20"/>
          <w:b w:val="1"/>
          <w:bCs w:val="1"/>
          <w:color w:val="auto"/>
        </w:rPr>
        <w:t>11.6. Counterparts</w:t>
      </w:r>
      <w:r>
        <w:rPr>
          <w:rFonts w:ascii="Times New Roman" w:cs="Times New Roman" w:eastAsia="Times New Roman" w:hAnsi="Times New Roman"/>
          <w:sz w:val="20"/>
          <w:szCs w:val="20"/>
          <w:color w:val="auto"/>
        </w:rPr>
        <w:t>. This Agreement may be executed in any number of counterparts and by different parties on separate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counterparts, each of which, when executed and delivered, is an original, and all taken together, constitute one Agreement.</w:t>
      </w:r>
    </w:p>
    <w:p>
      <w:pPr>
        <w:spacing w:after="0" w:line="165"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0"/>
          <w:szCs w:val="20"/>
          <w:b w:val="1"/>
          <w:bCs w:val="1"/>
          <w:color w:val="auto"/>
        </w:rPr>
        <w:t>11.7. Survival</w:t>
      </w:r>
      <w:r>
        <w:rPr>
          <w:rFonts w:ascii="Times New Roman" w:cs="Times New Roman" w:eastAsia="Times New Roman" w:hAnsi="Times New Roman"/>
          <w:sz w:val="20"/>
          <w:szCs w:val="20"/>
          <w:color w:val="auto"/>
        </w:rPr>
        <w:t>. All covenants, representations and warranties made in this Agreement continue in full force until this Agreement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has terminated pursuant to its terms and all Obligations (other than inchoate indemnity obligations and any other obligations which, by their terms, are to survive the termination of this Agreement) have been paid in full in cash in immediately available funds. The obligation of Borrower or any other the Credit Parties in </w:t>
      </w:r>
      <w:r>
        <w:rPr>
          <w:rFonts w:ascii="Times New Roman" w:cs="Times New Roman" w:eastAsia="Times New Roman" w:hAnsi="Times New Roman"/>
          <w:sz w:val="20"/>
          <w:szCs w:val="20"/>
          <w:u w:val="single" w:color="auto"/>
          <w:color w:val="auto"/>
        </w:rPr>
        <w:t>Section 11.2</w:t>
      </w:r>
      <w:r>
        <w:rPr>
          <w:rFonts w:ascii="Times New Roman" w:cs="Times New Roman" w:eastAsia="Times New Roman" w:hAnsi="Times New Roman"/>
          <w:sz w:val="20"/>
          <w:szCs w:val="20"/>
          <w:color w:val="auto"/>
        </w:rPr>
        <w:t xml:space="preserve"> to indemnify Indemnified Persons shall survive until the statute of limitations with respect to such claim or cause of action shall have run.</w:t>
      </w:r>
    </w:p>
    <w:p>
      <w:pPr>
        <w:spacing w:after="0" w:line="180"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0"/>
          <w:szCs w:val="20"/>
          <w:b w:val="1"/>
          <w:bCs w:val="1"/>
          <w:color w:val="auto"/>
        </w:rPr>
        <w:t>11.8. Confidentiality</w:t>
      </w:r>
      <w:r>
        <w:rPr>
          <w:rFonts w:ascii="Times New Roman" w:cs="Times New Roman" w:eastAsia="Times New Roman" w:hAnsi="Times New Roman"/>
          <w:sz w:val="20"/>
          <w:szCs w:val="20"/>
          <w:color w:val="auto"/>
        </w:rPr>
        <w:t>. Any information regarding the Credit Parties and their Subsidiaries and their businesses provided to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Agent or any Lender by or on behalf of any Credit Party pursuant to the Loan Documents shall be deemed “Confidential Information”;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Confidential Information does not include information that is either: (i) in the public domain or in the possession of the Agent, any Lender or any of their respective Affiliates or Approved Funds or when disclosed to the Agent, a Lender or any of their respective Affiliates or Approved Funds, or becomes part of the public domain after disclosure to the Agent, a Lender or any of their respective Affiliates or Approved Funds, in each case, other than as a result of a breach by Agent, a Lender or any of their respective Affiliates or Approved Funds of the obligations under this </w:t>
      </w:r>
      <w:r>
        <w:rPr>
          <w:rFonts w:ascii="Times New Roman" w:cs="Times New Roman" w:eastAsia="Times New Roman" w:hAnsi="Times New Roman"/>
          <w:sz w:val="20"/>
          <w:szCs w:val="20"/>
          <w:u w:val="single" w:color="auto"/>
          <w:color w:val="auto"/>
        </w:rPr>
        <w:t>Section 11.8</w:t>
      </w:r>
      <w:r>
        <w:rPr>
          <w:rFonts w:ascii="Times New Roman" w:cs="Times New Roman" w:eastAsia="Times New Roman" w:hAnsi="Times New Roman"/>
          <w:sz w:val="20"/>
          <w:szCs w:val="20"/>
          <w:color w:val="auto"/>
        </w:rPr>
        <w:t xml:space="preserve">; or (ii) disclosed to the Agent, any Lender or any of their Affiliates or Approved Funds by a third party if Agent, any Lender or any of their Affiliates and Approved Funds do not know that the third party is prohibited from disclosing the information. Each of the Agent and the Lenders shall not disclose any Confidential Information to a third party or use Confidential Information for any purpose other than the exercise of its rights and the performance of its duties or obligations under the Loan Documents. The foregoing in this </w:t>
      </w:r>
      <w:r>
        <w:rPr>
          <w:rFonts w:ascii="Times New Roman" w:cs="Times New Roman" w:eastAsia="Times New Roman" w:hAnsi="Times New Roman"/>
          <w:sz w:val="20"/>
          <w:szCs w:val="20"/>
          <w:u w:val="single" w:color="auto"/>
          <w:color w:val="auto"/>
        </w:rPr>
        <w:t>Section 11.8</w:t>
      </w:r>
      <w:r>
        <w:rPr>
          <w:rFonts w:ascii="Times New Roman" w:cs="Times New Roman" w:eastAsia="Times New Roman" w:hAnsi="Times New Roman"/>
          <w:sz w:val="20"/>
          <w:szCs w:val="20"/>
          <w:color w:val="auto"/>
        </w:rPr>
        <w:t xml:space="preserve"> notwithstanding, each of the Agent and the Lenders may disclose Confidential Information: (a) to its and its Affiliates’ and Approved Funds’ directors, officers, members, managers, partners, current and prospective investors or funding sources, employees and agents, including accountants, legal counsel and other advisors (it being understood that the Persons to whom such disclosure is made shall be informed of the confidential nature of such Information and instructed to keep such Information confidential); (b) to prospective transferees or purchasers of any interest in the Credit Extensions (including in connection with any proposed Lender Transfer); (c) as required by law, regulation, subpoena, or other order provided, that (x) prior to any disclosure under this clause (c), the Agent or Lender making such disclosure agrees to endeavor to provide Borrower with prior written notice thereof and with respect to any law, regulation, subpoena or other order, to the extent that the Agent or such Lender is permitted to provide such prior notice to Borrower pursuant to the terms hereof, and (y) any disclosure under this clause (c) shall be limited solely to that portion of the Confidential Information required to be so disclosed (as reasonably determined by the Agent or such Lender, as applicable) by such law, regulation, subpoena or other order; (d) to the extent requested by regulators having jurisdiction over the Agent or any Lender or as otherwise required in connection with the Agent’s or any Lender’s examination or audit by such regulators; (e) as the Agent or any Lender considers reasonably necessary in exercising remedies under the Loan Documents; (f) to third-party service providers of the Agent or any Lender; (g) with the consent of Borrower; (h) in connection with public filings required to be made by the Agent or any Lender; (i) to any of Lender’s Related Parties or to any party to this Agreement; (j) to any rating agency in connection with rating Borrower or the facilities hereunder (including shadow ratings) and the CUSIP Service Bureau, Clearpar or Loanserv or any similar agency in connection with the issuance and monitoring of CUSIP numbers with respect to the Loans (it being understood and agreed that any Lender may apply for the issuance of one or more CUSIP numbers with respect to any of the Loans without the consent of Borrower or the other Credit Parties); and (k) pursuant to periodic regulatory filings, including to any self-regulatory body such as the National Association of Insurance Commissioners;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the third parties to which Confidential Information is disclosed pursuant to </w:t>
      </w:r>
      <w:r>
        <w:rPr>
          <w:rFonts w:ascii="Times New Roman" w:cs="Times New Roman" w:eastAsia="Times New Roman" w:hAnsi="Times New Roman"/>
          <w:sz w:val="20"/>
          <w:szCs w:val="20"/>
          <w:u w:val="single" w:color="auto"/>
          <w:color w:val="auto"/>
        </w:rPr>
        <w:t>clauses (b)</w:t>
      </w:r>
      <w:r>
        <w:rPr>
          <w:rFonts w:ascii="Times New Roman" w:cs="Times New Roman" w:eastAsia="Times New Roman" w:hAnsi="Times New Roman"/>
          <w:sz w:val="20"/>
          <w:szCs w:val="20"/>
          <w:color w:val="auto"/>
        </w:rPr>
        <w:t>, (f) and (j) are bound by obligations of confidentiality and non-use that are no less restrictive than those contained herein. Nothing in any Loan Document shall prevent disclosure of any Confidential Information or other matter to the extent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607060</wp:posOffset>
            </wp:positionV>
            <wp:extent cx="7157720" cy="4254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241" w:name="page242"/>
    <w:bookmarkEnd w:id="241"/>
    <w:p>
      <w:pPr>
        <w:spacing w:after="0" w:line="99"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62</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4905-3710-6484 v.17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600710</wp:posOffset>
            </wp:positionV>
            <wp:extent cx="7157720" cy="4254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242" w:name="page243"/>
    <w:bookmarkEnd w:id="242"/>
    <w:p>
      <w:pPr>
        <w:jc w:val="both"/>
        <w:spacing w:after="0" w:line="254" w:lineRule="auto"/>
        <w:rPr>
          <w:sz w:val="20"/>
          <w:szCs w:val="20"/>
          <w:color w:val="auto"/>
        </w:rPr>
      </w:pPr>
      <w:r>
        <w:rPr>
          <w:rFonts w:ascii="Times New Roman" w:cs="Times New Roman" w:eastAsia="Times New Roman" w:hAnsi="Times New Roman"/>
          <w:sz w:val="20"/>
          <w:szCs w:val="20"/>
          <w:color w:val="auto"/>
        </w:rPr>
        <w:t>that preventing that disclosure would otherwise cause any transaction contemplated by the Loan Documents or any transaction carried out in connection with any transaction contemplated by the Loan Documents to become an arrangement in Part II A 1 of Annex IV of Director 2011/16/EU.</w:t>
      </w:r>
    </w:p>
    <w:p>
      <w:pPr>
        <w:spacing w:after="0" w:line="188"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 xml:space="preserve">The provisions of this </w:t>
      </w:r>
      <w:r>
        <w:rPr>
          <w:rFonts w:ascii="Times New Roman" w:cs="Times New Roman" w:eastAsia="Times New Roman" w:hAnsi="Times New Roman"/>
          <w:sz w:val="20"/>
          <w:szCs w:val="20"/>
          <w:u w:val="single" w:color="auto"/>
          <w:color w:val="auto"/>
        </w:rPr>
        <w:t>Section 11.8</w:t>
      </w:r>
      <w:r>
        <w:rPr>
          <w:rFonts w:ascii="Times New Roman" w:cs="Times New Roman" w:eastAsia="Times New Roman" w:hAnsi="Times New Roman"/>
          <w:sz w:val="20"/>
          <w:szCs w:val="20"/>
          <w:color w:val="auto"/>
        </w:rPr>
        <w:t xml:space="preserve"> shall survive for a period of two (2) years following the date on which this Agreement terminates in accordance with the terms hereof.</w:t>
      </w:r>
    </w:p>
    <w:p>
      <w:pPr>
        <w:spacing w:after="0" w:line="14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11.9. Release of Collateral or Guarantors</w:t>
      </w:r>
      <w:r>
        <w:rPr>
          <w:rFonts w:ascii="Times New Roman" w:cs="Times New Roman" w:eastAsia="Times New Roman" w:hAnsi="Times New Roman"/>
          <w:sz w:val="20"/>
          <w:szCs w:val="20"/>
          <w:color w:val="auto"/>
        </w:rPr>
        <w:t>.</w:t>
      </w:r>
    </w:p>
    <w:p>
      <w:pPr>
        <w:spacing w:after="0" w:line="233" w:lineRule="exact"/>
        <w:rPr>
          <w:sz w:val="20"/>
          <w:szCs w:val="20"/>
          <w:color w:val="auto"/>
        </w:rPr>
      </w:pPr>
    </w:p>
    <w:p>
      <w:pPr>
        <w:jc w:val="both"/>
        <w:ind w:firstLine="1580"/>
        <w:spacing w:after="0" w:line="246" w:lineRule="auto"/>
        <w:tabs>
          <w:tab w:leader="none" w:pos="2033" w:val="left"/>
        </w:tabs>
        <w:numPr>
          <w:ilvl w:val="0"/>
          <w:numId w:val="1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Upon the payment in full of all Obligations, in cash in immediately available funds (other than inchoate indemnity obligations in respect of which no claim has been asserted), and subject to the reinstatement provisions set forth in Section 8.1 of the Security Agreement, (i) the Collateral shall be automatically released from the security interests and Liens created by the Collateral Documents in favor of the Agent, for the benefit of itself and the Secured Parties, and (ii) each Guarantor shall be automatically released from its obligations to guaranty the Obligations pursuant to Article 2 of the Security Agreement.</w:t>
      </w:r>
    </w:p>
    <w:p>
      <w:pPr>
        <w:spacing w:after="0" w:line="171" w:lineRule="exact"/>
        <w:rPr>
          <w:rFonts w:ascii="Times New Roman" w:cs="Times New Roman" w:eastAsia="Times New Roman" w:hAnsi="Times New Roman"/>
          <w:sz w:val="20"/>
          <w:szCs w:val="20"/>
          <w:color w:val="auto"/>
        </w:rPr>
      </w:pPr>
    </w:p>
    <w:p>
      <w:pPr>
        <w:jc w:val="both"/>
        <w:ind w:firstLine="1580"/>
        <w:spacing w:after="0" w:line="274" w:lineRule="auto"/>
        <w:tabs>
          <w:tab w:leader="none" w:pos="2033" w:val="left"/>
        </w:tabs>
        <w:numPr>
          <w:ilvl w:val="0"/>
          <w:numId w:val="15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At the time any Collateral is sold or to be sold in a sale expressly permitted (other than a lease or license, and other than to a Person that is a Credit Party) hereunder and under the other Loan Documents, such Collateral shall be automatically released from the security interests and Liens created by the Collateral Documents in favor of the Agent, for the benefit of itself and the Secured Parties.</w:t>
      </w:r>
    </w:p>
    <w:p>
      <w:pPr>
        <w:spacing w:after="0" w:line="169" w:lineRule="exact"/>
        <w:rPr>
          <w:rFonts w:ascii="Times New Roman" w:cs="Times New Roman" w:eastAsia="Times New Roman" w:hAnsi="Times New Roman"/>
          <w:sz w:val="19"/>
          <w:szCs w:val="19"/>
          <w:color w:val="auto"/>
        </w:rPr>
      </w:pPr>
    </w:p>
    <w:p>
      <w:pPr>
        <w:jc w:val="both"/>
        <w:ind w:firstLine="1580"/>
        <w:spacing w:after="0" w:line="249" w:lineRule="auto"/>
        <w:tabs>
          <w:tab w:leader="none" w:pos="2033" w:val="left"/>
        </w:tabs>
        <w:numPr>
          <w:ilvl w:val="0"/>
          <w:numId w:val="1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Guarantor shall be released from its guaranty of any Obligation prior to the payment in full of all Obligations, in cash in immediately available funds (other than inchoate indemnity obligations in respect of which no claim has been asserted) unless all of the Equity Interests of such Guarantor owned by any Credit Party are sold or transferred (in a transaction or series of transactions) to a Person that is not a Credit Party in any sale or transaction expressly permitted hereunder and under the other Loan Documents.</w:t>
      </w:r>
    </w:p>
    <w:p>
      <w:pPr>
        <w:spacing w:after="0" w:line="176"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0"/>
          <w:szCs w:val="20"/>
          <w:b w:val="1"/>
          <w:bCs w:val="1"/>
          <w:color w:val="auto"/>
        </w:rPr>
        <w:t>11.10. Right of Set-Off</w:t>
      </w:r>
      <w:r>
        <w:rPr>
          <w:rFonts w:ascii="Times New Roman" w:cs="Times New Roman" w:eastAsia="Times New Roman" w:hAnsi="Times New Roman"/>
          <w:sz w:val="20"/>
          <w:szCs w:val="20"/>
          <w:color w:val="auto"/>
        </w:rPr>
        <w:t>. In addition to any rights now or hereafter granted under Requirements of Law and not by way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limitation of any such rights, upon the occurrence of an Event of Default and at any time thereafter during the continuance of any Event of Default, the Agent is hereby authorized by each Credit Party at any time or from time to time, without prior notice to any Credit Party, any such notice being hereby expressly waived by Borrower (on its own behalf and on behalf of each other Credit Party), to set off and to appropriate and to apply any and all deposits (general or special, including Indebtedness evidenced by certificates of deposit, whether matured or unmatured, but not including trust accounts) and any other Indebtedness at any time held or owing by the Agent or any Lender to or for the credit or the account of any Credit Party against and on account of the obligations and liabilities of any Credit Party to the Agent or any Lender hereunder and under the other Loan Documents, including all claims of any nature or description arising out of or connected hereto or with any other Loan Document, irrespective of whether or not (a) the Agent or any Lender shall have made any demand hereunder, or (b) the principal of or the interest on any Loan or any other amounts due hereunder shall have become due and payable pursuant to </w:t>
      </w:r>
      <w:r>
        <w:rPr>
          <w:rFonts w:ascii="Times New Roman" w:cs="Times New Roman" w:eastAsia="Times New Roman" w:hAnsi="Times New Roman"/>
          <w:sz w:val="20"/>
          <w:szCs w:val="20"/>
          <w:u w:val="single" w:color="auto"/>
          <w:color w:val="auto"/>
        </w:rPr>
        <w:t>Section 2</w:t>
      </w:r>
      <w:r>
        <w:rPr>
          <w:rFonts w:ascii="Times New Roman" w:cs="Times New Roman" w:eastAsia="Times New Roman" w:hAnsi="Times New Roman"/>
          <w:sz w:val="20"/>
          <w:szCs w:val="20"/>
          <w:color w:val="auto"/>
        </w:rPr>
        <w:t xml:space="preserve"> and although such obligations and liabilities, or any of them, may be contingent or unmatured. The Agent agrees promptly to notify Borrower after any such set off and application made by the Agent;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failure to give such notice shall not affect the validity of such set off and application.</w:t>
      </w:r>
    </w:p>
    <w:p>
      <w:pPr>
        <w:spacing w:after="0" w:line="185"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b w:val="1"/>
          <w:bCs w:val="1"/>
          <w:color w:val="auto"/>
        </w:rPr>
        <w:t>11.11. Marshalling; Payments Set Aside</w:t>
      </w:r>
      <w:r>
        <w:rPr>
          <w:rFonts w:ascii="Times New Roman" w:cs="Times New Roman" w:eastAsia="Times New Roman" w:hAnsi="Times New Roman"/>
          <w:sz w:val="20"/>
          <w:szCs w:val="20"/>
          <w:color w:val="auto"/>
        </w:rPr>
        <w:t>. Neither the Agent nor any Lender shall be under any obligation to marshal any assets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favor of any Credit Party or any other Person or against or in payment of any or all of the Obligations. To the extent that any Credit Party makes a payment or payments to the Agent or any Lender, or the Agent or any Lender enforces any Liens or exercises its rights of setoff, and such payment or payments or the proceeds of such enforcement or setoff or any part thereof are subsequently invalidated, declared to be fraudulent or preferential, set aside or required to be repaid to a trustee, receiver or any other party under any bankruptcy law, any other state or federal law, common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597535</wp:posOffset>
            </wp:positionV>
            <wp:extent cx="7157720" cy="4254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13" w:right="419" w:bottom="1440" w:gutter="0" w:footer="0" w:header="0"/>
        </w:sectPr>
      </w:pPr>
    </w:p>
    <w:bookmarkStart w:id="243" w:name="page244"/>
    <w:bookmarkEnd w:id="243"/>
    <w:p>
      <w:pPr>
        <w:spacing w:after="0" w:line="167" w:lineRule="exact"/>
        <w:rPr>
          <w:sz w:val="20"/>
          <w:szCs w:val="20"/>
          <w:color w:val="auto"/>
        </w:rPr>
      </w:pPr>
    </w:p>
    <w:p>
      <w:pPr>
        <w:jc w:val="right"/>
        <w:ind w:right="4459"/>
        <w:spacing w:after="0"/>
        <w:rPr>
          <w:sz w:val="20"/>
          <w:szCs w:val="20"/>
          <w:color w:val="auto"/>
        </w:rPr>
      </w:pPr>
      <w:r>
        <w:rPr>
          <w:rFonts w:ascii="Times New Roman" w:cs="Times New Roman" w:eastAsia="Times New Roman" w:hAnsi="Times New Roman"/>
          <w:sz w:val="18"/>
          <w:szCs w:val="18"/>
          <w:color w:val="auto"/>
        </w:rPr>
        <w:t>63</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4905-3710-6484 v.17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600710</wp:posOffset>
            </wp:positionV>
            <wp:extent cx="7157720" cy="4254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244" w:name="page245"/>
    <w:bookmarkEnd w:id="244"/>
    <w:p>
      <w:pPr>
        <w:jc w:val="both"/>
        <w:spacing w:after="0" w:line="259" w:lineRule="auto"/>
        <w:rPr>
          <w:sz w:val="20"/>
          <w:szCs w:val="20"/>
          <w:color w:val="auto"/>
        </w:rPr>
      </w:pPr>
      <w:r>
        <w:rPr>
          <w:rFonts w:ascii="Times New Roman" w:cs="Times New Roman" w:eastAsia="Times New Roman" w:hAnsi="Times New Roman"/>
          <w:sz w:val="19"/>
          <w:szCs w:val="19"/>
          <w:color w:val="auto"/>
        </w:rPr>
        <w:t xml:space="preserve">or any equitable cause, then, to the extent of such recovery, the obligation or part thereof originally intended to be satisfied, and all Liens, rights and remedies therefor or related thereto, shall be revived and continued in full force and effect as if such payment or payments had not been made, or such enforcement or setoff had not occurred. Each Lender severally agrees to pay to the Agent upon demand its applicable share (without duplication) of any amount so recovered from or repaid by the Agent, plus interest thereon from the date of such demand to the date such payment is made at a rate per annum equal to the Federal Funds Rate from time to time in effect, and Agent’s Liens securing such obligation shall be effective, revived, and remain in full force and effect, in each case, as fully as if such recovered payment had not been made. The provisions of this </w:t>
      </w:r>
      <w:r>
        <w:rPr>
          <w:rFonts w:ascii="Times New Roman" w:cs="Times New Roman" w:eastAsia="Times New Roman" w:hAnsi="Times New Roman"/>
          <w:sz w:val="19"/>
          <w:szCs w:val="19"/>
          <w:u w:val="single" w:color="auto"/>
          <w:color w:val="auto"/>
        </w:rPr>
        <w:t>Section 11.11</w:t>
      </w:r>
      <w:r>
        <w:rPr>
          <w:rFonts w:ascii="Times New Roman" w:cs="Times New Roman" w:eastAsia="Times New Roman" w:hAnsi="Times New Roman"/>
          <w:sz w:val="19"/>
          <w:szCs w:val="19"/>
          <w:color w:val="auto"/>
        </w:rPr>
        <w:t xml:space="preserve"> shall survive the payment in full of the Obligations and the termination of this Agreement.</w:t>
      </w:r>
    </w:p>
    <w:p>
      <w:pPr>
        <w:spacing w:after="0" w:line="168" w:lineRule="exact"/>
        <w:rPr>
          <w:sz w:val="20"/>
          <w:szCs w:val="20"/>
          <w:color w:val="auto"/>
        </w:rPr>
      </w:pPr>
    </w:p>
    <w:p>
      <w:pPr>
        <w:jc w:val="both"/>
        <w:ind w:firstLine="749"/>
        <w:spacing w:after="0" w:line="268" w:lineRule="auto"/>
        <w:rPr>
          <w:sz w:val="20"/>
          <w:szCs w:val="20"/>
          <w:color w:val="auto"/>
        </w:rPr>
      </w:pPr>
      <w:r>
        <w:rPr>
          <w:rFonts w:ascii="Times New Roman" w:cs="Times New Roman" w:eastAsia="Times New Roman" w:hAnsi="Times New Roman"/>
          <w:sz w:val="19"/>
          <w:szCs w:val="19"/>
          <w:b w:val="1"/>
          <w:bCs w:val="1"/>
          <w:color w:val="auto"/>
        </w:rPr>
        <w:t>11.12. Electronic Execution of Documents</w:t>
      </w:r>
      <w:r>
        <w:rPr>
          <w:rFonts w:ascii="Times New Roman" w:cs="Times New Roman" w:eastAsia="Times New Roman" w:hAnsi="Times New Roman"/>
          <w:sz w:val="19"/>
          <w:szCs w:val="19"/>
          <w:color w:val="auto"/>
        </w:rPr>
        <w:t>. The words “execution,” “signed,” “signature” and words of like import in any Loan</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Document shall be deemed to include electronic signatures or the keeping of records in electronic form, each of which shall be of the same legal effect, validity and enforceability as a manually executed signature or the use of a paper-based recordkeeping systems, as the case may be, to the extent and as provided for in any Requirements of Law, including any state law based on the Uniform Electronic Transactions Act.</w:t>
      </w:r>
    </w:p>
    <w:p>
      <w:pPr>
        <w:spacing w:after="0" w:line="172" w:lineRule="exact"/>
        <w:rPr>
          <w:sz w:val="20"/>
          <w:szCs w:val="20"/>
          <w:color w:val="auto"/>
        </w:rPr>
      </w:pPr>
    </w:p>
    <w:p>
      <w:pPr>
        <w:jc w:val="both"/>
        <w:ind w:firstLine="749"/>
        <w:spacing w:after="0" w:line="273" w:lineRule="auto"/>
        <w:rPr>
          <w:sz w:val="20"/>
          <w:szCs w:val="20"/>
          <w:color w:val="auto"/>
        </w:rPr>
      </w:pPr>
      <w:r>
        <w:rPr>
          <w:rFonts w:ascii="Times New Roman" w:cs="Times New Roman" w:eastAsia="Times New Roman" w:hAnsi="Times New Roman"/>
          <w:sz w:val="20"/>
          <w:szCs w:val="20"/>
          <w:b w:val="1"/>
          <w:bCs w:val="1"/>
          <w:color w:val="auto"/>
        </w:rPr>
        <w:t>11.13. Captions</w:t>
      </w:r>
      <w:r>
        <w:rPr>
          <w:rFonts w:ascii="Times New Roman" w:cs="Times New Roman" w:eastAsia="Times New Roman" w:hAnsi="Times New Roman"/>
          <w:sz w:val="20"/>
          <w:szCs w:val="20"/>
          <w:color w:val="auto"/>
        </w:rPr>
        <w:t>. Section headings herein are included herein for convenience of reference only and shall not constitute a part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hereof for any other purpose or be given any substantive effect.</w:t>
      </w:r>
    </w:p>
    <w:p>
      <w:pPr>
        <w:spacing w:after="0" w:line="152"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0"/>
          <w:szCs w:val="20"/>
          <w:b w:val="1"/>
          <w:bCs w:val="1"/>
          <w:color w:val="auto"/>
        </w:rPr>
        <w:t>11.14. Construction of Agreement</w:t>
      </w:r>
      <w:r>
        <w:rPr>
          <w:rFonts w:ascii="Times New Roman" w:cs="Times New Roman" w:eastAsia="Times New Roman" w:hAnsi="Times New Roman"/>
          <w:sz w:val="20"/>
          <w:szCs w:val="20"/>
          <w:color w:val="auto"/>
        </w:rPr>
        <w:t>. The parties hereto mutually acknowledge that they and their respective attorneys have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participated in the preparation and negotiation of this Agreement. In cases of uncertainty, this Agreement shall be construed without regard to which of the parties hereto caused the uncertainty to exist.</w:t>
      </w:r>
    </w:p>
    <w:p>
      <w:pPr>
        <w:spacing w:after="0" w:line="155"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0"/>
          <w:szCs w:val="20"/>
          <w:b w:val="1"/>
          <w:bCs w:val="1"/>
          <w:color w:val="auto"/>
        </w:rPr>
        <w:t>11.15. Third Parties</w:t>
      </w:r>
      <w:r>
        <w:rPr>
          <w:rFonts w:ascii="Times New Roman" w:cs="Times New Roman" w:eastAsia="Times New Roman" w:hAnsi="Times New Roman"/>
          <w:sz w:val="20"/>
          <w:szCs w:val="20"/>
          <w:color w:val="auto"/>
        </w:rPr>
        <w:t>. Nothing in this Agreement, whether express or implied, is intended to: (a) except as expressly provided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Section 11.2(a)</w:t>
      </w:r>
      <w:r>
        <w:rPr>
          <w:rFonts w:ascii="Times New Roman" w:cs="Times New Roman" w:eastAsia="Times New Roman" w:hAnsi="Times New Roman"/>
          <w:sz w:val="20"/>
          <w:szCs w:val="20"/>
          <w:color w:val="auto"/>
        </w:rPr>
        <w:t>, confer any benefits, rights or remedies under or by reason of this Agreement on any Persons other than the express parties to it and their respective successors and permitted assigns; (b) relieve or discharge the obligation or liability of any Person not an express party to this Agreement; or (c) give any Person not an express party to this Agreement any right of subrogation or action against any party to this Agreement.</w:t>
      </w:r>
    </w:p>
    <w:p>
      <w:pPr>
        <w:spacing w:after="0" w:line="180"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0"/>
          <w:szCs w:val="20"/>
          <w:b w:val="1"/>
          <w:bCs w:val="1"/>
          <w:color w:val="auto"/>
        </w:rPr>
        <w:t>11.16. No Advisory or Fiduciary Duty</w:t>
      </w:r>
      <w:r>
        <w:rPr>
          <w:rFonts w:ascii="Times New Roman" w:cs="Times New Roman" w:eastAsia="Times New Roman" w:hAnsi="Times New Roman"/>
          <w:sz w:val="20"/>
          <w:szCs w:val="20"/>
          <w:color w:val="auto"/>
        </w:rPr>
        <w:t>. The Agent and each Lender may have economic interests that conflict with those of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Credit Parties. Each Credit Party agrees that nothing in the Loan Documents or otherwise shall be deemed to create an advisory, fiduciary or agency relationship or fiduciary or other implied duty between the Agent and the Lenders, on the one hand, and such Credit Party, its Subsidiaries, and any of their respective stockholders or affiliates, on the other hand. Each Credit Party acknowledges and agrees that (i) the transactions contemplated by the Loan Documents are arm’s-length commercial transactions between the Agent and the Lenders, on the one hand, and such Credit Party, its Subsidiaries and their respective affiliates, on the other hand; (ii) in connection therewith and with the process leading to such transaction, each of the Agent and the Lenders are acting solely as a principal and not the advisor, agent or fiduciary of such Credit Party, its Subsidiaries or their respective affiliates, management, stockholders, creditors or any other Person; (iii) neither the Agent nor any Lender has assumed an advisory or fiduciary responsibility in favor of any Credit Party, its Subsidiaries or their respective affiliates with respect to the transactions contemplated hereby or the process leading thereto (irrespective of whether the Agent, any Lender or any of their respective affiliates has advised or is currently advising such Credit Party, its Subsidiaries or their respective affiliates on other matters) or any other obligation to such Credit Party, its Subsidiaries or their respective affiliates except the obligations expressly set forth in the Loan Documents; and (iv) each Credit Party, its Subsidiaries and their respective affiliates have consulted their own legal and financial advisors to the extent each deemed appropriate. Each Credit Party further acknowledges and agrees that it is responsible for making its own independent judgment 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607695</wp:posOffset>
            </wp:positionV>
            <wp:extent cx="7157720" cy="4254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13" w:right="419" w:bottom="1440" w:gutter="0" w:footer="0" w:header="0"/>
        </w:sectPr>
      </w:pPr>
    </w:p>
    <w:bookmarkStart w:id="245" w:name="page246"/>
    <w:bookmarkEnd w:id="245"/>
    <w:p>
      <w:pPr>
        <w:spacing w:after="0" w:line="140" w:lineRule="exact"/>
        <w:rPr>
          <w:sz w:val="20"/>
          <w:szCs w:val="20"/>
          <w:color w:val="auto"/>
        </w:rPr>
      </w:pPr>
    </w:p>
    <w:p>
      <w:pPr>
        <w:jc w:val="right"/>
        <w:ind w:right="4459"/>
        <w:spacing w:after="0"/>
        <w:rPr>
          <w:sz w:val="20"/>
          <w:szCs w:val="20"/>
          <w:color w:val="auto"/>
        </w:rPr>
      </w:pPr>
      <w:r>
        <w:rPr>
          <w:rFonts w:ascii="Times New Roman" w:cs="Times New Roman" w:eastAsia="Times New Roman" w:hAnsi="Times New Roman"/>
          <w:sz w:val="18"/>
          <w:szCs w:val="18"/>
          <w:color w:val="auto"/>
        </w:rPr>
        <w:t>64</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4905-3710-6484 v.17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600710</wp:posOffset>
            </wp:positionV>
            <wp:extent cx="7157720" cy="4254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246" w:name="page247"/>
    <w:bookmarkEnd w:id="246"/>
    <w:p>
      <w:pPr>
        <w:jc w:val="both"/>
        <w:spacing w:after="0" w:line="254" w:lineRule="auto"/>
        <w:rPr>
          <w:sz w:val="20"/>
          <w:szCs w:val="20"/>
          <w:color w:val="auto"/>
        </w:rPr>
      </w:pPr>
      <w:r>
        <w:rPr>
          <w:rFonts w:ascii="Times New Roman" w:cs="Times New Roman" w:eastAsia="Times New Roman" w:hAnsi="Times New Roman"/>
          <w:sz w:val="20"/>
          <w:szCs w:val="20"/>
          <w:color w:val="auto"/>
        </w:rPr>
        <w:t>respect to such transactions and the process leading thereto. Each Credit Party agrees that it shall not claim that either the Agent or any Lender has rendered advisory services of any nature or respect, or owes a fiduciary or similar duty to such Credit Party, its Subsidiaries or their respective affiliates in connection with such transaction or the process leading thereto.</w:t>
      </w:r>
    </w:p>
    <w:p>
      <w:pPr>
        <w:spacing w:after="0" w:line="170"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b w:val="1"/>
          <w:bCs w:val="1"/>
          <w:color w:val="auto"/>
        </w:rPr>
        <w:t>11.17. Contractual Recognition of Bail-In</w:t>
      </w:r>
      <w:r>
        <w:rPr>
          <w:rFonts w:ascii="Times New Roman" w:cs="Times New Roman" w:eastAsia="Times New Roman" w:hAnsi="Times New Roman"/>
          <w:sz w:val="20"/>
          <w:szCs w:val="20"/>
          <w:color w:val="auto"/>
        </w:rPr>
        <w:t>. Notwithstanding any other term of any Loan Document or any other agreement,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arrangement or understanding between the parties, each party acknowledges and accepts that any liability of any party to any other party under or in connection with the Loan Documents may be subject to Bail-In Action by the relevant Resolution Authority and acknowledges and accepts to be bound by the effect of:</w:t>
      </w:r>
    </w:p>
    <w:p>
      <w:pPr>
        <w:spacing w:after="0" w:line="180" w:lineRule="exact"/>
        <w:rPr>
          <w:sz w:val="20"/>
          <w:szCs w:val="20"/>
          <w:color w:val="auto"/>
        </w:rPr>
      </w:pPr>
    </w:p>
    <w:p>
      <w:pPr>
        <w:ind w:left="1900" w:hanging="395"/>
        <w:spacing w:after="0"/>
        <w:tabs>
          <w:tab w:leader="none" w:pos="1900" w:val="left"/>
        </w:tabs>
        <w:numPr>
          <w:ilvl w:val="0"/>
          <w:numId w:val="1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Bail-In Action in relation to any such liability, including (without limitation):</w:t>
      </w:r>
    </w:p>
    <w:p>
      <w:pPr>
        <w:spacing w:after="0" w:line="215" w:lineRule="exact"/>
        <w:rPr>
          <w:rFonts w:ascii="Times New Roman" w:cs="Times New Roman" w:eastAsia="Times New Roman" w:hAnsi="Times New Roman"/>
          <w:sz w:val="20"/>
          <w:szCs w:val="20"/>
          <w:color w:val="auto"/>
        </w:rPr>
      </w:pPr>
    </w:p>
    <w:p>
      <w:pPr>
        <w:ind w:left="840" w:firstLine="1489"/>
        <w:spacing w:after="0" w:line="269" w:lineRule="auto"/>
        <w:tabs>
          <w:tab w:leader="none" w:pos="2561" w:val="left"/>
        </w:tabs>
        <w:numPr>
          <w:ilvl w:val="1"/>
          <w:numId w:val="1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reduction, in full or in part, in the principal amount, or outstanding amount due (including any accrued but unpaid interest) in respect of any such liability;</w:t>
      </w:r>
    </w:p>
    <w:p>
      <w:pPr>
        <w:spacing w:after="0" w:line="159" w:lineRule="exact"/>
        <w:rPr>
          <w:sz w:val="20"/>
          <w:szCs w:val="20"/>
          <w:color w:val="auto"/>
        </w:rPr>
      </w:pPr>
    </w:p>
    <w:p>
      <w:pPr>
        <w:ind w:left="840" w:firstLine="1498"/>
        <w:spacing w:after="0" w:line="269" w:lineRule="auto"/>
        <w:rPr>
          <w:sz w:val="20"/>
          <w:szCs w:val="20"/>
          <w:color w:val="auto"/>
        </w:rPr>
      </w:pPr>
      <w:r>
        <w:rPr>
          <w:rFonts w:ascii="Times New Roman" w:cs="Times New Roman" w:eastAsia="Times New Roman" w:hAnsi="Times New Roman"/>
          <w:sz w:val="20"/>
          <w:szCs w:val="20"/>
          <w:color w:val="auto"/>
        </w:rPr>
        <w:t>(ii)a conversion of all, or part of, any such liability into shares or other instruments of ownership that may be issued to, or conferred on, it; and</w:t>
      </w:r>
    </w:p>
    <w:p>
      <w:pPr>
        <w:spacing w:after="0" w:line="159" w:lineRule="exact"/>
        <w:rPr>
          <w:sz w:val="20"/>
          <w:szCs w:val="20"/>
          <w:color w:val="auto"/>
        </w:rPr>
      </w:pPr>
    </w:p>
    <w:p>
      <w:pPr>
        <w:ind w:left="2320"/>
        <w:spacing w:after="0"/>
        <w:rPr>
          <w:sz w:val="20"/>
          <w:szCs w:val="20"/>
          <w:color w:val="auto"/>
        </w:rPr>
      </w:pPr>
      <w:r>
        <w:rPr>
          <w:rFonts w:ascii="Times New Roman" w:cs="Times New Roman" w:eastAsia="Times New Roman" w:hAnsi="Times New Roman"/>
          <w:sz w:val="20"/>
          <w:szCs w:val="20"/>
          <w:color w:val="auto"/>
        </w:rPr>
        <w:t>(iii)a cancellation of any such liability; and</w:t>
      </w:r>
    </w:p>
    <w:p>
      <w:pPr>
        <w:spacing w:after="0" w:line="202" w:lineRule="exact"/>
        <w:rPr>
          <w:sz w:val="20"/>
          <w:szCs w:val="20"/>
          <w:color w:val="auto"/>
        </w:rPr>
      </w:pPr>
    </w:p>
    <w:p>
      <w:pPr>
        <w:ind w:left="1900" w:hanging="395"/>
        <w:spacing w:after="0"/>
        <w:tabs>
          <w:tab w:leader="none" w:pos="1900" w:val="left"/>
        </w:tabs>
        <w:numPr>
          <w:ilvl w:val="0"/>
          <w:numId w:val="15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variation of any term of any Loan Document to the extent necessary to give effect to any Bail-In Action in relation</w:t>
      </w:r>
    </w:p>
    <w:p>
      <w:pPr>
        <w:spacing w:after="0" w:line="33" w:lineRule="exact"/>
        <w:rPr>
          <w:rFonts w:ascii="Times New Roman" w:cs="Times New Roman" w:eastAsia="Times New Roman" w:hAnsi="Times New Roman"/>
          <w:sz w:val="19"/>
          <w:szCs w:val="19"/>
          <w:color w:val="auto"/>
        </w:rPr>
      </w:pPr>
    </w:p>
    <w:p>
      <w:pPr>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to any such liability.</w:t>
      </w:r>
    </w:p>
    <w:p>
      <w:pPr>
        <w:spacing w:after="0" w:line="20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11.18. Currency Equivalents Generally.</w:t>
      </w:r>
    </w:p>
    <w:p>
      <w:pPr>
        <w:spacing w:after="0" w:line="206" w:lineRule="exact"/>
        <w:rPr>
          <w:sz w:val="20"/>
          <w:szCs w:val="20"/>
          <w:color w:val="auto"/>
        </w:rPr>
      </w:pPr>
    </w:p>
    <w:p>
      <w:pPr>
        <w:jc w:val="both"/>
        <w:ind w:firstLine="1580"/>
        <w:spacing w:after="0" w:line="249" w:lineRule="auto"/>
        <w:tabs>
          <w:tab w:leader="none" w:pos="2033" w:val="left"/>
        </w:tabs>
        <w:numPr>
          <w:ilvl w:val="0"/>
          <w:numId w:val="1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For purposes of determining compliance with the provisions of this Agreement generally, any amount in a currency other than Dollars shall be converted to Dollars in a manner consistent with that used in calculating net income in Borrower’s annual financial statements delivered pursuant to </w:t>
      </w:r>
      <w:r>
        <w:rPr>
          <w:rFonts w:ascii="Times New Roman" w:cs="Times New Roman" w:eastAsia="Times New Roman" w:hAnsi="Times New Roman"/>
          <w:sz w:val="20"/>
          <w:szCs w:val="20"/>
          <w:u w:val="single" w:color="auto"/>
          <w:color w:val="auto"/>
        </w:rPr>
        <w:t>Section 5.2(a)</w:t>
      </w:r>
      <w:r>
        <w:rPr>
          <w:rFonts w:ascii="Times New Roman" w:cs="Times New Roman" w:eastAsia="Times New Roman" w:hAnsi="Times New Roman"/>
          <w:sz w:val="20"/>
          <w:szCs w:val="20"/>
          <w:color w:val="auto"/>
        </w:rPr>
        <w:t xml:space="preserve"> at the time of determination; provided that no Default or Event of Default shall be deemed to have occurred thereafter solely as a result of such changes in rates of exchange thereafter.</w:t>
      </w:r>
    </w:p>
    <w:p>
      <w:pPr>
        <w:spacing w:after="0" w:line="179" w:lineRule="exact"/>
        <w:rPr>
          <w:rFonts w:ascii="Times New Roman" w:cs="Times New Roman" w:eastAsia="Times New Roman" w:hAnsi="Times New Roman"/>
          <w:sz w:val="20"/>
          <w:szCs w:val="20"/>
          <w:color w:val="auto"/>
        </w:rPr>
      </w:pPr>
    </w:p>
    <w:p>
      <w:pPr>
        <w:jc w:val="both"/>
        <w:ind w:firstLine="1580"/>
        <w:spacing w:after="0" w:line="254" w:lineRule="auto"/>
        <w:tabs>
          <w:tab w:leader="none" w:pos="2033" w:val="left"/>
        </w:tabs>
        <w:numPr>
          <w:ilvl w:val="0"/>
          <w:numId w:val="1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provision of this Agreement shall be subject to such reasonable changes of construction as the Blackstone Representative and the Lenders may from time to time specify with Borrower’s consent to appropriately reflect a change in currency of any country and any relevant market convention or practice relating to such change in currency.</w:t>
      </w:r>
    </w:p>
    <w:p>
      <w:pPr>
        <w:spacing w:after="0" w:line="157"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0"/>
          <w:szCs w:val="20"/>
          <w:b w:val="1"/>
          <w:bCs w:val="1"/>
          <w:color w:val="auto"/>
        </w:rPr>
        <w:t>11.19. Reinstatement</w:t>
      </w:r>
      <w:r>
        <w:rPr>
          <w:rFonts w:ascii="Times New Roman" w:cs="Times New Roman" w:eastAsia="Times New Roman" w:hAnsi="Times New Roman"/>
          <w:sz w:val="20"/>
          <w:szCs w:val="20"/>
          <w:color w:val="auto"/>
        </w:rPr>
        <w:t>. Each Credit Party agrees that, if any payment made by any Credit Party or other Person and applied to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Obligations is at any time annulled, avoided, set aside, rescinded, invalidated, declared to be fraudulent or preferential or otherwise required to be refunded or repaid, or the proceeds of any Collateral are required to be returned by any Secured Party to such Credit Party, its estate, trustee, receiver or any other party, including any Credit Party, under any bankruptcy law, state or federal law, common law or equitable cause, then, to the extent of such payment or repayment, any Lien or other Collateral securing such liability shall be and remain in full force and effect, as fully as if such payment had never been made. If, prior to any of the foregoing, (a) any Lien or other Collateral granted pursuant to the Collateral Documents securing such Credit Party’s liability hereunder shall have been released or terminated by virtue of the foregoing, or (b) any provision of the Guaranty hereunder shall have been terminated, cancelled or surrendered, such Lien, other Collateral or provision shall be reinstated in full force and effect, and such prior release, termination, cancellation or surrender shall not diminish, release, discharge, impair or otherwise affect the obligations of such Credit Party in respect of any Lien or other Collateral securing such obligation or the amount of such payment.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604520</wp:posOffset>
            </wp:positionV>
            <wp:extent cx="7157720" cy="4254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13" w:right="419" w:bottom="1440" w:gutter="0" w:footer="0" w:header="0"/>
        </w:sectPr>
      </w:pPr>
    </w:p>
    <w:bookmarkStart w:id="247" w:name="page248"/>
    <w:bookmarkEnd w:id="247"/>
    <w:p>
      <w:pPr>
        <w:spacing w:after="0" w:line="200" w:lineRule="exact"/>
        <w:rPr>
          <w:sz w:val="20"/>
          <w:szCs w:val="20"/>
          <w:color w:val="auto"/>
        </w:rPr>
      </w:pPr>
    </w:p>
    <w:p>
      <w:pPr>
        <w:spacing w:after="0" w:line="223" w:lineRule="exact"/>
        <w:rPr>
          <w:sz w:val="20"/>
          <w:szCs w:val="20"/>
          <w:color w:val="auto"/>
        </w:rPr>
      </w:pPr>
    </w:p>
    <w:p>
      <w:pPr>
        <w:jc w:val="right"/>
        <w:ind w:right="4459"/>
        <w:spacing w:after="0"/>
        <w:rPr>
          <w:sz w:val="20"/>
          <w:szCs w:val="20"/>
          <w:color w:val="auto"/>
        </w:rPr>
      </w:pPr>
      <w:r>
        <w:rPr>
          <w:rFonts w:ascii="Times New Roman" w:cs="Times New Roman" w:eastAsia="Times New Roman" w:hAnsi="Times New Roman"/>
          <w:sz w:val="18"/>
          <w:szCs w:val="18"/>
          <w:color w:val="auto"/>
        </w:rPr>
        <w:t>65</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4905-3710-6484 v.17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600710</wp:posOffset>
            </wp:positionV>
            <wp:extent cx="7157720" cy="4254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248" w:name="page249"/>
    <w:bookmarkEnd w:id="248"/>
    <w:p>
      <w:pPr>
        <w:jc w:val="both"/>
        <w:ind w:firstLine="749"/>
        <w:spacing w:after="0" w:line="247" w:lineRule="auto"/>
        <w:rPr>
          <w:sz w:val="20"/>
          <w:szCs w:val="20"/>
          <w:color w:val="auto"/>
        </w:rPr>
      </w:pPr>
      <w:r>
        <w:rPr>
          <w:rFonts w:ascii="Times New Roman" w:cs="Times New Roman" w:eastAsia="Times New Roman" w:hAnsi="Times New Roman"/>
          <w:sz w:val="20"/>
          <w:szCs w:val="20"/>
          <w:b w:val="1"/>
          <w:bCs w:val="1"/>
          <w:color w:val="auto"/>
        </w:rPr>
        <w:t>11.20. Restricted Licenses</w:t>
      </w:r>
      <w:r>
        <w:rPr>
          <w:rFonts w:ascii="Times New Roman" w:cs="Times New Roman" w:eastAsia="Times New Roman" w:hAnsi="Times New Roman"/>
          <w:sz w:val="20"/>
          <w:szCs w:val="20"/>
          <w:color w:val="auto"/>
        </w:rPr>
        <w:t>. Each Credit Party hereby agrees that, following the Closing Date, it shall not enter into, and shall not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permit its Subsidiaries to enter into, as licensor any license agreement with any other Credit Party or a Subsidiary of a Credit Party as licensee, which prohibits or otherwise restricts the licensee from granting a security interest to the Agent in such licensee’s interest in such license agreement in a manner enforceable under Requirements of Law, except to the extent the licensor of such license is otherwise prohibited from permitting such security interest.</w:t>
      </w:r>
    </w:p>
    <w:p>
      <w:pPr>
        <w:spacing w:after="0" w:line="194" w:lineRule="exact"/>
        <w:rPr>
          <w:sz w:val="20"/>
          <w:szCs w:val="20"/>
          <w:color w:val="auto"/>
        </w:rPr>
      </w:pPr>
    </w:p>
    <w:p>
      <w:pPr>
        <w:ind w:left="1160" w:hanging="403"/>
        <w:spacing w:after="0"/>
        <w:tabs>
          <w:tab w:leader="none" w:pos="1160" w:val="left"/>
        </w:tabs>
        <w:numPr>
          <w:ilvl w:val="0"/>
          <w:numId w:val="15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AGENT</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12.1. Appointment and Authority</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jc w:val="both"/>
        <w:ind w:left="80" w:firstLine="1500"/>
        <w:spacing w:after="0" w:line="244" w:lineRule="auto"/>
        <w:tabs>
          <w:tab w:leader="none" w:pos="2042" w:val="left"/>
        </w:tabs>
        <w:numPr>
          <w:ilvl w:val="0"/>
          <w:numId w:val="1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of the Lenders hereby irrevocably appoints Wilmington Trust, National Association to act on its behalf as the Agent hereunder and under the other Loan Documents and authorizes the Agent, through its agents or employees, to take such actions on its behalf and to exercise such powers as are delegated to the Agent by the terms hereof or thereof, together with such actions and powers as are reasonably incidental thereto. The provisions of this </w:t>
      </w:r>
      <w:r>
        <w:rPr>
          <w:rFonts w:ascii="Times New Roman" w:cs="Times New Roman" w:eastAsia="Times New Roman" w:hAnsi="Times New Roman"/>
          <w:sz w:val="20"/>
          <w:szCs w:val="20"/>
          <w:u w:val="single" w:color="auto"/>
          <w:color w:val="auto"/>
        </w:rPr>
        <w:t>Section 12</w:t>
      </w:r>
      <w:r>
        <w:rPr>
          <w:rFonts w:ascii="Times New Roman" w:cs="Times New Roman" w:eastAsia="Times New Roman" w:hAnsi="Times New Roman"/>
          <w:sz w:val="20"/>
          <w:szCs w:val="20"/>
          <w:color w:val="auto"/>
        </w:rPr>
        <w:t xml:space="preserve"> (other than </w:t>
      </w:r>
      <w:r>
        <w:rPr>
          <w:rFonts w:ascii="Times New Roman" w:cs="Times New Roman" w:eastAsia="Times New Roman" w:hAnsi="Times New Roman"/>
          <w:sz w:val="20"/>
          <w:szCs w:val="20"/>
          <w:u w:val="single" w:color="auto"/>
          <w:color w:val="auto"/>
        </w:rPr>
        <w:t>Section 12.6</w:t>
      </w:r>
      <w:r>
        <w:rPr>
          <w:rFonts w:ascii="Times New Roman" w:cs="Times New Roman" w:eastAsia="Times New Roman" w:hAnsi="Times New Roman"/>
          <w:sz w:val="20"/>
          <w:szCs w:val="20"/>
          <w:color w:val="auto"/>
        </w:rPr>
        <w:t xml:space="preserve"> (solely with respect to the removal and consent rights of Borrower set forth therein) and </w:t>
      </w:r>
      <w:r>
        <w:rPr>
          <w:rFonts w:ascii="Times New Roman" w:cs="Times New Roman" w:eastAsia="Times New Roman" w:hAnsi="Times New Roman"/>
          <w:sz w:val="20"/>
          <w:szCs w:val="20"/>
          <w:u w:val="single" w:color="auto"/>
          <w:color w:val="auto"/>
        </w:rPr>
        <w:t>Section 12.10</w:t>
      </w:r>
      <w:r>
        <w:rPr>
          <w:rFonts w:ascii="Times New Roman" w:cs="Times New Roman" w:eastAsia="Times New Roman" w:hAnsi="Times New Roman"/>
          <w:sz w:val="20"/>
          <w:szCs w:val="20"/>
          <w:color w:val="auto"/>
        </w:rPr>
        <w:t xml:space="preserve"> (solely with respect to the requirement for execution, filing and other actions with respect to the Collateral Documents and other collateral documentation set forth therein)) are solely for the benefit of the Agent and the Lenders, and no Credit Party shall have rights as a third party beneficiary of any of such provisions.</w:t>
      </w:r>
    </w:p>
    <w:p>
      <w:pPr>
        <w:spacing w:after="0" w:line="185" w:lineRule="exact"/>
        <w:rPr>
          <w:rFonts w:ascii="Times New Roman" w:cs="Times New Roman" w:eastAsia="Times New Roman" w:hAnsi="Times New Roman"/>
          <w:sz w:val="20"/>
          <w:szCs w:val="20"/>
          <w:color w:val="auto"/>
        </w:rPr>
      </w:pPr>
    </w:p>
    <w:p>
      <w:pPr>
        <w:jc w:val="both"/>
        <w:ind w:left="80" w:firstLine="1500"/>
        <w:spacing w:after="0" w:line="241" w:lineRule="auto"/>
        <w:tabs>
          <w:tab w:leader="none" w:pos="2042" w:val="left"/>
        </w:tabs>
        <w:numPr>
          <w:ilvl w:val="0"/>
          <w:numId w:val="1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Agent shall also act as the secured party, collateral agent and security trustee under the Loan Documents, and each of the Lenders hereby irrevocably appoints and authorizes the Agent to act as the agent and security trustee of such Lender for purposes of acquiring, administering, holding and enforcing any and all Liens on Collateral granted by any of the Credit Parties to secure any of the Obligations (including in trust, if applicable) for itself and the Lenders, together with such powers and discretion as are reasonably incidental thereto. In this connection, the Agent, as secured party, collateral agent and security trustee, and any co-agents, sub-agents and attorneys-in-fact appointed by the Agent pursuant to </w:t>
      </w:r>
      <w:r>
        <w:rPr>
          <w:rFonts w:ascii="Times New Roman" w:cs="Times New Roman" w:eastAsia="Times New Roman" w:hAnsi="Times New Roman"/>
          <w:sz w:val="20"/>
          <w:szCs w:val="20"/>
          <w:u w:val="single" w:color="auto"/>
          <w:color w:val="auto"/>
        </w:rPr>
        <w:t>Section 12.5</w:t>
      </w:r>
      <w:r>
        <w:rPr>
          <w:rFonts w:ascii="Times New Roman" w:cs="Times New Roman" w:eastAsia="Times New Roman" w:hAnsi="Times New Roman"/>
          <w:sz w:val="20"/>
          <w:szCs w:val="20"/>
          <w:color w:val="auto"/>
        </w:rPr>
        <w:t xml:space="preserve"> for purposes of holding or enforcing any Lien on the Collateral (or any portion thereof) granted under the Collateral Documents, or for exercising any rights and remedies thereunder at the direction of the Agent, shall be entitled to the benefits of all provisions of </w:t>
      </w:r>
      <w:r>
        <w:rPr>
          <w:rFonts w:ascii="Times New Roman" w:cs="Times New Roman" w:eastAsia="Times New Roman" w:hAnsi="Times New Roman"/>
          <w:sz w:val="20"/>
          <w:szCs w:val="20"/>
          <w:u w:val="single" w:color="auto"/>
          <w:color w:val="auto"/>
        </w:rPr>
        <w:t>Section 2.4</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11</w:t>
      </w:r>
      <w:r>
        <w:rPr>
          <w:rFonts w:ascii="Times New Roman" w:cs="Times New Roman" w:eastAsia="Times New Roman" w:hAnsi="Times New Roman"/>
          <w:sz w:val="20"/>
          <w:szCs w:val="20"/>
          <w:color w:val="auto"/>
        </w:rPr>
        <w:t xml:space="preserve"> (including </w:t>
      </w:r>
      <w:r>
        <w:rPr>
          <w:rFonts w:ascii="Times New Roman" w:cs="Times New Roman" w:eastAsia="Times New Roman" w:hAnsi="Times New Roman"/>
          <w:sz w:val="20"/>
          <w:szCs w:val="20"/>
          <w:u w:val="single" w:color="auto"/>
          <w:color w:val="auto"/>
        </w:rPr>
        <w:t>Section 11.2</w:t>
      </w:r>
      <w:r>
        <w:rPr>
          <w:rFonts w:ascii="Times New Roman" w:cs="Times New Roman" w:eastAsia="Times New Roman" w:hAnsi="Times New Roman"/>
          <w:sz w:val="20"/>
          <w:szCs w:val="20"/>
          <w:color w:val="auto"/>
        </w:rPr>
        <w:t xml:space="preserve">), and this </w:t>
      </w:r>
      <w:r>
        <w:rPr>
          <w:rFonts w:ascii="Times New Roman" w:cs="Times New Roman" w:eastAsia="Times New Roman" w:hAnsi="Times New Roman"/>
          <w:sz w:val="20"/>
          <w:szCs w:val="20"/>
          <w:u w:val="single" w:color="auto"/>
          <w:color w:val="auto"/>
        </w:rPr>
        <w:t>Section 12</w:t>
      </w:r>
      <w:r>
        <w:rPr>
          <w:rFonts w:ascii="Times New Roman" w:cs="Times New Roman" w:eastAsia="Times New Roman" w:hAnsi="Times New Roman"/>
          <w:sz w:val="20"/>
          <w:szCs w:val="20"/>
          <w:color w:val="auto"/>
        </w:rPr>
        <w:t>, as though such co-agents, sub-agents and attorneys-in-fact were the secured party, collateral agent and security trustee under the Loan Documents as if set forth in full herein with respect thereto. Without limiting the generality of the foregoing, the Lenders hereby expressly authorize the Agent, including in its capacity as collateral agent and security trustee for itself and the Lenders, to (i) execute any and all documents (including releases) with respect to the Collateral and the rights of the Secured Parties with respect thereto (including any intercreditor agreement), as contemplated by and in accordance with the provisions of this Agreement and the Collateral Documents and acknowledge and agree that any such action by the Agent, including in its capacity as collateral agent and security trustee for itself and the Lenders, shall bind the Lenders, and (ii) negotiate, enforce or settle any claim, action or proceeding affecting the Lenders in their capacity as such, at the direction of the Required Lenders, which negotiation, enforcement or settlement shall be binding upon each Lender.</w:t>
      </w:r>
    </w:p>
    <w:p>
      <w:pPr>
        <w:spacing w:after="0" w:line="193" w:lineRule="exact"/>
        <w:rPr>
          <w:rFonts w:ascii="Times New Roman" w:cs="Times New Roman" w:eastAsia="Times New Roman" w:hAnsi="Times New Roman"/>
          <w:sz w:val="20"/>
          <w:szCs w:val="20"/>
          <w:color w:val="auto"/>
        </w:rPr>
      </w:pPr>
    </w:p>
    <w:p>
      <w:pPr>
        <w:jc w:val="both"/>
        <w:ind w:left="80" w:firstLine="1500"/>
        <w:spacing w:after="0" w:line="245" w:lineRule="auto"/>
        <w:tabs>
          <w:tab w:leader="none" w:pos="2042" w:val="left"/>
        </w:tabs>
        <w:numPr>
          <w:ilvl w:val="0"/>
          <w:numId w:val="1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corporation or association into which the Agent may be converted or merged, or with which it may be consolidated, or to which it may sell or transfer all or substantially all of its corporate trust business and assets as a whole or substantially as a whole, or any corporation or association resulting from any such conversion, sale, merger, consolidation or transfer to which the Agent is a party, shall be and become the successor Agent under this Agreement and the other Loan Documents and shall have and succeed to the rights, powers, duties, immunities and privileges as its predecessor, without the execution or filing of any instrument or paper or the performance of any further act.</w:t>
      </w:r>
    </w:p>
    <w:p>
      <w:pPr>
        <w:spacing w:after="0" w:line="180" w:lineRule="exact"/>
        <w:rPr>
          <w:sz w:val="20"/>
          <w:szCs w:val="20"/>
          <w:color w:val="auto"/>
        </w:rPr>
      </w:pPr>
    </w:p>
    <w:p>
      <w:pPr>
        <w:ind w:left="760"/>
        <w:spacing w:after="0"/>
        <w:tabs>
          <w:tab w:leader="none" w:pos="1520" w:val="left"/>
        </w:tabs>
        <w:rPr>
          <w:sz w:val="20"/>
          <w:szCs w:val="20"/>
          <w:color w:val="auto"/>
        </w:rPr>
      </w:pPr>
      <w:r>
        <w:rPr>
          <w:rFonts w:ascii="Times New Roman" w:cs="Times New Roman" w:eastAsia="Times New Roman" w:hAnsi="Times New Roman"/>
          <w:sz w:val="20"/>
          <w:szCs w:val="20"/>
          <w:b w:val="1"/>
          <w:bCs w:val="1"/>
          <w:color w:val="auto"/>
        </w:rPr>
        <w:t>12.2.</w:t>
      </w:r>
      <w:r>
        <w:rPr>
          <w:sz w:val="20"/>
          <w:szCs w:val="20"/>
          <w:color w:val="auto"/>
        </w:rPr>
        <w:tab/>
      </w:r>
      <w:r>
        <w:rPr>
          <w:rFonts w:ascii="Times New Roman" w:cs="Times New Roman" w:eastAsia="Times New Roman" w:hAnsi="Times New Roman"/>
          <w:sz w:val="19"/>
          <w:szCs w:val="19"/>
          <w:b w:val="1"/>
          <w:bCs w:val="1"/>
          <w:color w:val="auto"/>
        </w:rPr>
        <w:t>[Reserved]</w:t>
      </w:r>
      <w:r>
        <w:rPr>
          <w:rFonts w:ascii="Times New Roman" w:cs="Times New Roman" w:eastAsia="Times New Roman" w:hAnsi="Times New Roman"/>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715645</wp:posOffset>
            </wp:positionV>
            <wp:extent cx="7157720" cy="4254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249" w:name="page250"/>
    <w:bookmarkEnd w:id="249"/>
    <w:p>
      <w:pPr>
        <w:jc w:val="right"/>
        <w:ind w:right="4419"/>
        <w:spacing w:after="0"/>
        <w:rPr>
          <w:sz w:val="20"/>
          <w:szCs w:val="20"/>
          <w:color w:val="auto"/>
        </w:rPr>
      </w:pPr>
      <w:r>
        <w:rPr>
          <w:rFonts w:ascii="Times New Roman" w:cs="Times New Roman" w:eastAsia="Times New Roman" w:hAnsi="Times New Roman"/>
          <w:sz w:val="18"/>
          <w:szCs w:val="18"/>
          <w:color w:val="auto"/>
        </w:rPr>
        <w:t>66</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4905-3710-6484 v.17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600710</wp:posOffset>
            </wp:positionV>
            <wp:extent cx="7157720" cy="4254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31" w:right="1440" w:bottom="1440" w:gutter="0" w:footer="0" w:header="0"/>
        </w:sectPr>
      </w:pPr>
    </w:p>
    <w:bookmarkStart w:id="250" w:name="page251"/>
    <w:bookmarkEnd w:id="250"/>
    <w:p>
      <w:pPr>
        <w:jc w:val="both"/>
        <w:ind w:firstLine="823"/>
        <w:spacing w:after="0" w:line="246" w:lineRule="auto"/>
        <w:rPr>
          <w:sz w:val="20"/>
          <w:szCs w:val="20"/>
          <w:color w:val="auto"/>
        </w:rPr>
      </w:pPr>
      <w:r>
        <w:rPr>
          <w:rFonts w:ascii="Times New Roman" w:cs="Times New Roman" w:eastAsia="Times New Roman" w:hAnsi="Times New Roman"/>
          <w:sz w:val="20"/>
          <w:szCs w:val="20"/>
          <w:b w:val="1"/>
          <w:bCs w:val="1"/>
          <w:color w:val="auto"/>
        </w:rPr>
        <w:t>12.3. Exculpatory Provisions</w:t>
      </w:r>
      <w:r>
        <w:rPr>
          <w:rFonts w:ascii="Times New Roman" w:cs="Times New Roman" w:eastAsia="Times New Roman" w:hAnsi="Times New Roman"/>
          <w:sz w:val="20"/>
          <w:szCs w:val="20"/>
          <w:color w:val="auto"/>
        </w:rPr>
        <w:t>. Neither the Agent nor any Agent-Related Person shall have any duties or obligations except those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expressly set forth herein and in the other Loan Documents, and its duties hereunder shall be administrative in nature. The permissive rights of the Agent and each Agent-Related Person to do things enumerated in this Agreement shall not be construed as a duty and, with respect to such permissive rights, the Agent and each Agent-Related Person shall not be liable for any action taken or not taken other than its gross negligence or willful misconduct as determined by a final, non-appealable judgment of a court of competent jurisdiction. Without limiting the generality of the foregoing, the Agent and each Agent-Related Person:</w:t>
      </w:r>
    </w:p>
    <w:p>
      <w:pPr>
        <w:spacing w:after="0" w:line="183" w:lineRule="exact"/>
        <w:rPr>
          <w:sz w:val="20"/>
          <w:szCs w:val="20"/>
          <w:color w:val="auto"/>
        </w:rPr>
      </w:pPr>
    </w:p>
    <w:p>
      <w:pPr>
        <w:jc w:val="both"/>
        <w:ind w:left="160" w:firstLine="1495"/>
        <w:spacing w:after="0" w:line="246" w:lineRule="auto"/>
        <w:tabs>
          <w:tab w:leader="none" w:pos="2047" w:val="left"/>
        </w:tabs>
        <w:numPr>
          <w:ilvl w:val="0"/>
          <w:numId w:val="1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shall not be subject to any fiduciary or other implied duties or obligations, regardless of whether a Default has occurred and is continuing and without limiting the generality of the foregoing, the use of the term “agent” herein and in other Loan Documents with reference to the Agent is not intended to connote any fiduciary or other implied (or express) duties or obligations arising under any agency doctrine of any applicable law and instead, such term is used merely as a matter of market custom, and is intended to create or reflect only an administrative relationship between independent contracting parties;</w:t>
      </w:r>
    </w:p>
    <w:p>
      <w:pPr>
        <w:spacing w:after="0" w:line="171" w:lineRule="exact"/>
        <w:rPr>
          <w:rFonts w:ascii="Times New Roman" w:cs="Times New Roman" w:eastAsia="Times New Roman" w:hAnsi="Times New Roman"/>
          <w:sz w:val="20"/>
          <w:szCs w:val="20"/>
          <w:color w:val="auto"/>
        </w:rPr>
      </w:pPr>
    </w:p>
    <w:p>
      <w:pPr>
        <w:jc w:val="both"/>
        <w:ind w:left="160" w:firstLine="1495"/>
        <w:spacing w:after="0" w:line="241" w:lineRule="auto"/>
        <w:tabs>
          <w:tab w:leader="none" w:pos="2047" w:val="left"/>
        </w:tabs>
        <w:numPr>
          <w:ilvl w:val="0"/>
          <w:numId w:val="1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shall not have any duty to take any discretionary action or exercise any discretionary powers, except discretionary rights and powers expressly contemplated hereby or by the other Loan Documents that the Agent is required to exercise as directed in writing by the Blackstone Representative or the Required Lenders, Lenders, Required Initial Term Loan Lenders, Required Tranche A Delayed Draw Term Loan Lenders, Required Tranche B Delayed Draw Term Loan Lenders or the Required Revolving Credit Lenders (or such other number or percentage of the Lenders as shall be expressly provided for herein or in the other Loan Documents), and in all cases the Agent shall be fully justified in failing or refusing to act hereunder or under any other Loan Documents, unless it shall receive written instructions from the Blackstone Representative or the Required Lenders, Lenders, Required Initial Term Loan Lenders, Required Tranche A Delayed Draw Term Loan Lenders, Required Tranche B Delayed Draw Term Loan Lenders or the Required Revolving Credit Lenders, as applicable (or such other number or percentage of the Lenders as shall be expressly provided for herein or in the other Loan Documents), specifying the action to be taken and, provided that no Agent shall be required to take any action that, in its opinion or the opinion of its counsel, may expose the Agent to liability or that is contrary to any Loan Document or applicable law, including refraining from any action that, in its opinion or the opinion of its counsel, may be a violation of automatic stay under Title 11 of the United States Code, as now constituted or hereafter amended, or any other federal, state or foreign bankruptcy, insolvency, reorganization, receivership, conservatorship, liquidation, assignment for the benefit of creditors, moratorium, rearrangement, or similar law, or that may effect a forfeiture, modification or termination of property of a Defaulting Lender in violation of any federal, state or foreign bankruptcy, insolvency, reorganization, receivership, conservatorship, liquidation, assignment for the benefit of creditors, moratorium, rearrangement, or similar law; the instructions as aforesaid and any action taken or failure to act pursuant thereto by the Agent shall be binding on all of the Lenders;</w:t>
      </w:r>
    </w:p>
    <w:p>
      <w:pPr>
        <w:spacing w:after="0" w:line="190" w:lineRule="exact"/>
        <w:rPr>
          <w:rFonts w:ascii="Times New Roman" w:cs="Times New Roman" w:eastAsia="Times New Roman" w:hAnsi="Times New Roman"/>
          <w:sz w:val="20"/>
          <w:szCs w:val="20"/>
          <w:color w:val="auto"/>
        </w:rPr>
      </w:pPr>
    </w:p>
    <w:p>
      <w:pPr>
        <w:ind w:left="160" w:firstLine="1495"/>
        <w:spacing w:after="0" w:line="269" w:lineRule="auto"/>
        <w:tabs>
          <w:tab w:leader="none" w:pos="2047" w:val="left"/>
        </w:tabs>
        <w:numPr>
          <w:ilvl w:val="0"/>
          <w:numId w:val="1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shall not be required to expend or risk its own funds or otherwise incur any financial liability in the performance of any of its duties or in the exercise of any of its rights or powers hereunder;</w:t>
      </w:r>
    </w:p>
    <w:p>
      <w:pPr>
        <w:spacing w:after="0" w:line="159" w:lineRule="exact"/>
        <w:rPr>
          <w:rFonts w:ascii="Times New Roman" w:cs="Times New Roman" w:eastAsia="Times New Roman" w:hAnsi="Times New Roman"/>
          <w:sz w:val="20"/>
          <w:szCs w:val="20"/>
          <w:color w:val="auto"/>
        </w:rPr>
      </w:pPr>
    </w:p>
    <w:p>
      <w:pPr>
        <w:jc w:val="both"/>
        <w:ind w:left="160" w:firstLine="1495"/>
        <w:spacing w:after="0" w:line="245" w:lineRule="auto"/>
        <w:tabs>
          <w:tab w:leader="none" w:pos="2047" w:val="left"/>
        </w:tabs>
        <w:numPr>
          <w:ilvl w:val="0"/>
          <w:numId w:val="1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shall not be liable for any action taken or not taken by it (i) with the consent or at the request of the Blackstone Representative or the Required Lenders, Lenders, Required Initial Term Loan Lenders, Required Tranche A Delayed Draw Term Loan Lenders, Required Tranche B Delayed Draw Term Loan Lenders or the Required Revolving Credit Lenders (or such other number or percentage of the Lenders as shall be necessary, or as the Agent shall believe in good faith shall be necessary, under the circumstances as provided herein or any other applicable Loan Document), (ii) in the absence of its own gross negligence or willful misconduct as determined by the final and non-appealable judgment of a</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4905-3710-6484 v.17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600710</wp:posOffset>
            </wp:positionV>
            <wp:extent cx="7157720" cy="4254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2" w:right="339" w:bottom="1440" w:gutter="0" w:footer="0" w:header="0"/>
        </w:sectPr>
      </w:pPr>
    </w:p>
    <w:bookmarkStart w:id="251" w:name="page252"/>
    <w:bookmarkEnd w:id="251"/>
    <w:p>
      <w:pPr>
        <w:ind w:left="2"/>
        <w:spacing w:after="0" w:line="269" w:lineRule="auto"/>
        <w:rPr>
          <w:sz w:val="20"/>
          <w:szCs w:val="20"/>
          <w:color w:val="auto"/>
        </w:rPr>
      </w:pPr>
      <w:r>
        <w:rPr>
          <w:rFonts w:ascii="Times New Roman" w:cs="Times New Roman" w:eastAsia="Times New Roman" w:hAnsi="Times New Roman"/>
          <w:sz w:val="20"/>
          <w:szCs w:val="20"/>
          <w:color w:val="auto"/>
        </w:rPr>
        <w:t>court of competent jurisdiction (iii) in good faith or (iv) in accordance with an order of a court, or any order, judgment or decree made or entered by any court order;</w:t>
      </w:r>
    </w:p>
    <w:p>
      <w:pPr>
        <w:spacing w:after="0" w:line="159" w:lineRule="exact"/>
        <w:rPr>
          <w:sz w:val="20"/>
          <w:szCs w:val="20"/>
          <w:color w:val="auto"/>
        </w:rPr>
      </w:pPr>
    </w:p>
    <w:p>
      <w:pPr>
        <w:ind w:left="2" w:firstLine="1495"/>
        <w:spacing w:after="0" w:line="269" w:lineRule="auto"/>
        <w:tabs>
          <w:tab w:leader="none" w:pos="1886" w:val="left"/>
        </w:tabs>
        <w:numPr>
          <w:ilvl w:val="1"/>
          <w:numId w:val="1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shall be deemed not to have knowledge of any Default unless and until written notice stating it is “notice of default” and referring to this Agreement and describing such Default is given to the Agent by Borrower or a Lender;</w:t>
      </w:r>
    </w:p>
    <w:p>
      <w:pPr>
        <w:spacing w:after="0" w:line="145" w:lineRule="exact"/>
        <w:rPr>
          <w:rFonts w:ascii="Times New Roman" w:cs="Times New Roman" w:eastAsia="Times New Roman" w:hAnsi="Times New Roman"/>
          <w:sz w:val="20"/>
          <w:szCs w:val="20"/>
          <w:color w:val="auto"/>
        </w:rPr>
      </w:pPr>
    </w:p>
    <w:p>
      <w:pPr>
        <w:jc w:val="both"/>
        <w:ind w:left="2" w:firstLine="1495"/>
        <w:spacing w:after="0" w:line="258" w:lineRule="auto"/>
        <w:tabs>
          <w:tab w:leader="none" w:pos="1886" w:val="left"/>
        </w:tabs>
        <w:numPr>
          <w:ilvl w:val="1"/>
          <w:numId w:val="15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shall not be responsible for or have any duty to ascertain or inquire into (i) any statement, warranty or representation made in or in connection with this Agreement or any other Loan Document, (ii) the contents of any certificate, opinion, report or other document delivered hereunder or thereunder or in connection herewith or therewith, (iii) the performance, nonperformance or observance of any of the covenants, agreements or other terms or conditions set forth herein or therein or the occurrence of any Default,</w:t>
      </w:r>
    </w:p>
    <w:p>
      <w:pPr>
        <w:jc w:val="both"/>
        <w:ind w:left="2" w:hanging="2"/>
        <w:spacing w:after="0" w:line="241" w:lineRule="auto"/>
        <w:tabs>
          <w:tab w:leader="none" w:pos="375" w:val="left"/>
        </w:tabs>
        <w:numPr>
          <w:ilvl w:val="0"/>
          <w:numId w:val="1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validity, enforceability, effectiveness or genuineness of this Agreement, any other Loan Document or any other agreement, instrument or document, or the creation, perfection or priority of any Lien purported to be created by the Collateral Documents, (v) the value or the sufficiency of any Collateral, (vi) the calculation of the Yield Protection Premium, or (vii) the satisfaction of any condition set forth in </w:t>
      </w:r>
      <w:r>
        <w:rPr>
          <w:rFonts w:ascii="Times New Roman" w:cs="Times New Roman" w:eastAsia="Times New Roman" w:hAnsi="Times New Roman"/>
          <w:sz w:val="20"/>
          <w:szCs w:val="20"/>
          <w:u w:val="single" w:color="auto"/>
          <w:color w:val="auto"/>
        </w:rPr>
        <w:t>Section 3</w:t>
      </w:r>
      <w:r>
        <w:rPr>
          <w:rFonts w:ascii="Times New Roman" w:cs="Times New Roman" w:eastAsia="Times New Roman" w:hAnsi="Times New Roman"/>
          <w:sz w:val="20"/>
          <w:szCs w:val="20"/>
          <w:color w:val="auto"/>
        </w:rPr>
        <w:t xml:space="preserve"> or elsewhere herein, other than to confirm receipt of items expressly required to be delivered to the Agent;</w:t>
      </w:r>
    </w:p>
    <w:p>
      <w:pPr>
        <w:spacing w:after="0" w:line="188" w:lineRule="exact"/>
        <w:rPr>
          <w:rFonts w:ascii="Times New Roman" w:cs="Times New Roman" w:eastAsia="Times New Roman" w:hAnsi="Times New Roman"/>
          <w:sz w:val="20"/>
          <w:szCs w:val="20"/>
          <w:color w:val="auto"/>
        </w:rPr>
      </w:pPr>
    </w:p>
    <w:p>
      <w:pPr>
        <w:jc w:val="both"/>
        <w:ind w:left="2" w:firstLine="1495"/>
        <w:spacing w:after="0" w:line="246" w:lineRule="auto"/>
        <w:tabs>
          <w:tab w:leader="none" w:pos="1886" w:val="left"/>
        </w:tabs>
        <w:numPr>
          <w:ilvl w:val="1"/>
          <w:numId w:val="1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shall not be responsible for nor have any duty to monitor the performance or any action of the Credit Parties, Lenders, or any of their directors, members, officers, agents, affiliates or employee, nor shall it have any liability in connection with the malfeasance or nonfeasance by such party;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the Agent and the Agent-Related Person may assume performance by all such Persons of their respective obligations and shall have no enforcement or notification obligations relating to breaches of representations or warranties of any other Person;</w:t>
      </w:r>
    </w:p>
    <w:p>
      <w:pPr>
        <w:spacing w:after="0" w:line="171" w:lineRule="exact"/>
        <w:rPr>
          <w:rFonts w:ascii="Times New Roman" w:cs="Times New Roman" w:eastAsia="Times New Roman" w:hAnsi="Times New Roman"/>
          <w:sz w:val="20"/>
          <w:szCs w:val="20"/>
          <w:color w:val="auto"/>
        </w:rPr>
      </w:pPr>
    </w:p>
    <w:p>
      <w:pPr>
        <w:jc w:val="both"/>
        <w:ind w:left="2" w:firstLine="1495"/>
        <w:spacing w:after="0" w:line="254" w:lineRule="auto"/>
        <w:tabs>
          <w:tab w:leader="none" w:pos="1886" w:val="left"/>
        </w:tabs>
        <w:numPr>
          <w:ilvl w:val="1"/>
          <w:numId w:val="1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shall not be responsible for, nor chargeable with, knowledge of the terms and conditions of any other agreement, instrument, or document other than the Loan Documents to which it is a party, whether or not an original or a copy of such agreement has been provided to the Agent or any Agent-Related Person;</w:t>
      </w:r>
    </w:p>
    <w:p>
      <w:pPr>
        <w:spacing w:after="0" w:line="174" w:lineRule="exact"/>
        <w:rPr>
          <w:rFonts w:ascii="Times New Roman" w:cs="Times New Roman" w:eastAsia="Times New Roman" w:hAnsi="Times New Roman"/>
          <w:sz w:val="20"/>
          <w:szCs w:val="20"/>
          <w:color w:val="auto"/>
        </w:rPr>
      </w:pPr>
    </w:p>
    <w:p>
      <w:pPr>
        <w:jc w:val="both"/>
        <w:ind w:left="2" w:firstLine="1495"/>
        <w:spacing w:after="0" w:line="245" w:lineRule="auto"/>
        <w:tabs>
          <w:tab w:leader="none" w:pos="1886" w:val="left"/>
        </w:tabs>
        <w:numPr>
          <w:ilvl w:val="1"/>
          <w:numId w:val="1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shall not be responsible or liable for any failure or delay in the performance of its obligations under this Agreement arising out of or caused, directly or indirectly, by circumstances beyond its control, including any act or provision of any present or future law or regulation or Governmental Authority; acts of God; earthquakes; fires; floods; wars; terrorism; civil or military disturbances; sabotage; epidemics; riots; interruptions, loss or malfunctions of utilities, computer (hardware or software) or communications service; accidents; labor disputes; acts of civil or military authority or governmental actions; or the unavailability of the Federal Reserve Bank wire or telex or other wire or communication facility;</w:t>
      </w:r>
    </w:p>
    <w:p>
      <w:pPr>
        <w:spacing w:after="0" w:line="184" w:lineRule="exact"/>
        <w:rPr>
          <w:rFonts w:ascii="Times New Roman" w:cs="Times New Roman" w:eastAsia="Times New Roman" w:hAnsi="Times New Roman"/>
          <w:sz w:val="20"/>
          <w:szCs w:val="20"/>
          <w:color w:val="auto"/>
        </w:rPr>
      </w:pPr>
    </w:p>
    <w:p>
      <w:pPr>
        <w:jc w:val="both"/>
        <w:ind w:left="2" w:firstLine="1495"/>
        <w:spacing w:after="0" w:line="254" w:lineRule="auto"/>
        <w:tabs>
          <w:tab w:leader="none" w:pos="1886" w:val="left"/>
        </w:tabs>
        <w:numPr>
          <w:ilvl w:val="1"/>
          <w:numId w:val="1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shall not be responsible for the negligence or misconduct of any sub-agent that it selects as provided in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12.5</w:t>
      </w:r>
      <w:r>
        <w:rPr>
          <w:rFonts w:ascii="Times New Roman" w:cs="Times New Roman" w:eastAsia="Times New Roman" w:hAnsi="Times New Roman"/>
          <w:sz w:val="20"/>
          <w:szCs w:val="20"/>
          <w:color w:val="auto"/>
        </w:rPr>
        <w:t xml:space="preserve"> absent gross negligence or willful misconduct by the Agent (as determined in a final non-appealable judgment by a court of competent jurisdictions) in the selection of such sub-agents;</w:t>
      </w:r>
    </w:p>
    <w:p>
      <w:pPr>
        <w:spacing w:after="0" w:line="160" w:lineRule="exact"/>
        <w:rPr>
          <w:rFonts w:ascii="Times New Roman" w:cs="Times New Roman" w:eastAsia="Times New Roman" w:hAnsi="Times New Roman"/>
          <w:sz w:val="20"/>
          <w:szCs w:val="20"/>
          <w:color w:val="auto"/>
        </w:rPr>
      </w:pPr>
    </w:p>
    <w:p>
      <w:pPr>
        <w:jc w:val="both"/>
        <w:ind w:left="2" w:firstLine="1495"/>
        <w:spacing w:after="0" w:line="247" w:lineRule="auto"/>
        <w:tabs>
          <w:tab w:leader="none" w:pos="1886" w:val="left"/>
        </w:tabs>
        <w:numPr>
          <w:ilvl w:val="1"/>
          <w:numId w:val="1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shall not be responsible or have any liability for, or have any duty to ascertain, inquire into, monitor or enforce, compliance with the provisions hereof relating to Competitors. Without limiting the generality of the foregoing, the Agent shall not (i) be obligated to ascertain, monitor or inquire as to whether any Lender or participant or prospective Lender or participant is a Competitor or</w:t>
      </w:r>
    </w:p>
    <w:p>
      <w:pPr>
        <w:ind w:left="2" w:hanging="2"/>
        <w:spacing w:after="0" w:line="246" w:lineRule="auto"/>
        <w:tabs>
          <w:tab w:leader="none" w:pos="295" w:val="left"/>
        </w:tabs>
        <w:numPr>
          <w:ilvl w:val="0"/>
          <w:numId w:val="1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have any liability with respect to or arising out of any assignment or participation of loans, or disclosure of confidential information, to any Competitors;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-107315</wp:posOffset>
            </wp:positionH>
            <wp:positionV relativeFrom="paragraph">
              <wp:posOffset>596900</wp:posOffset>
            </wp:positionV>
            <wp:extent cx="7157720" cy="4254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2"/>
          </w:cols>
          <w:pgMar w:left="478" w:top="1413" w:right="419" w:bottom="1440" w:gutter="0" w:footer="0" w:header="0"/>
        </w:sectPr>
      </w:pPr>
    </w:p>
    <w:bookmarkStart w:id="252" w:name="page253"/>
    <w:bookmarkEnd w:id="252"/>
    <w:p>
      <w:pPr>
        <w:spacing w:after="0" w:line="396" w:lineRule="exact"/>
        <w:rPr>
          <w:sz w:val="20"/>
          <w:szCs w:val="20"/>
          <w:color w:val="auto"/>
        </w:rPr>
      </w:pPr>
    </w:p>
    <w:p>
      <w:pPr>
        <w:jc w:val="right"/>
        <w:ind w:right="4459"/>
        <w:spacing w:after="0"/>
        <w:rPr>
          <w:sz w:val="20"/>
          <w:szCs w:val="20"/>
          <w:color w:val="auto"/>
        </w:rPr>
      </w:pPr>
      <w:r>
        <w:rPr>
          <w:rFonts w:ascii="Times New Roman" w:cs="Times New Roman" w:eastAsia="Times New Roman" w:hAnsi="Times New Roman"/>
          <w:sz w:val="18"/>
          <w:szCs w:val="18"/>
          <w:color w:val="auto"/>
        </w:rPr>
        <w:t>68</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4905-3710-6484 v.17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600710</wp:posOffset>
            </wp:positionV>
            <wp:extent cx="7157720" cy="4254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253" w:name="page254"/>
    <w:bookmarkEnd w:id="253"/>
    <w:p>
      <w:pPr>
        <w:ind w:left="1980" w:hanging="405"/>
        <w:spacing w:after="0"/>
        <w:tabs>
          <w:tab w:leader="none" w:pos="1980" w:val="left"/>
        </w:tabs>
        <w:numPr>
          <w:ilvl w:val="0"/>
          <w:numId w:val="1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shall not, except as expressly set forth herein and in the other Loan Documents,</w:t>
      </w:r>
    </w:p>
    <w:p>
      <w:pPr>
        <w:spacing w:after="0" w:line="2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have any duty to disclose, and shall not be liable for failure to disclose, any information relating to Borrower or any of its Affiliates that is communicated to or obtained by any Person serving as the Agent or any of its branches or Affiliates in any capacity.</w:t>
      </w:r>
    </w:p>
    <w:p>
      <w:pPr>
        <w:spacing w:after="0" w:line="182" w:lineRule="exact"/>
        <w:rPr>
          <w:sz w:val="20"/>
          <w:szCs w:val="20"/>
          <w:color w:val="auto"/>
        </w:rPr>
      </w:pPr>
    </w:p>
    <w:p>
      <w:pPr>
        <w:jc w:val="both"/>
        <w:ind w:firstLine="669"/>
        <w:spacing w:after="0" w:line="245" w:lineRule="auto"/>
        <w:rPr>
          <w:sz w:val="20"/>
          <w:szCs w:val="20"/>
          <w:color w:val="auto"/>
        </w:rPr>
      </w:pPr>
      <w:r>
        <w:rPr>
          <w:rFonts w:ascii="Times New Roman" w:cs="Times New Roman" w:eastAsia="Times New Roman" w:hAnsi="Times New Roman"/>
          <w:sz w:val="20"/>
          <w:szCs w:val="20"/>
          <w:color w:val="auto"/>
        </w:rPr>
        <w:t>The Agent shall be entitled to request and receive written instructions from the Blackstone Representative or the Required Lenders, Lenders, Required Initial Term Loan Lenders, Required Tranche A Delayed Draw Term Loan Lenders, Required Tranche B Delayed Draw Term Loan Lenders or the Required Revolving Credit Lenders, and shall have no responsibility or liability for any losses or damages of any nature that may arise from any action taken or not taken by the Agent in accordance with the written direction of the Blackstone Representative or the Required Lenders, Lenders, Required Initial Term Loan Lenders, Required Tranche A Delayed Draw Term Loan Lenders, Required Tranche B Delayed Draw Term Loan Lenders or the Required Revolving Credit Lenders.</w:t>
      </w:r>
    </w:p>
    <w:p>
      <w:pPr>
        <w:spacing w:after="0" w:line="184" w:lineRule="exact"/>
        <w:rPr>
          <w:sz w:val="20"/>
          <w:szCs w:val="20"/>
          <w:color w:val="auto"/>
        </w:rPr>
      </w:pPr>
    </w:p>
    <w:p>
      <w:pPr>
        <w:jc w:val="both"/>
        <w:ind w:firstLine="669"/>
        <w:spacing w:after="0" w:line="245" w:lineRule="auto"/>
        <w:rPr>
          <w:sz w:val="20"/>
          <w:szCs w:val="20"/>
          <w:color w:val="auto"/>
        </w:rPr>
      </w:pPr>
      <w:r>
        <w:rPr>
          <w:rFonts w:ascii="Times New Roman" w:cs="Times New Roman" w:eastAsia="Times New Roman" w:hAnsi="Times New Roman"/>
          <w:sz w:val="20"/>
          <w:szCs w:val="20"/>
          <w:color w:val="auto"/>
        </w:rPr>
        <w:t>Each Lender acknowledges and agrees that neither such Lender, nor any of its Affiliates or Approved Funds, participants or assignees, may rely on the Agent to carry out such Lender’s, Affiliate’s, Approved Funds’ participant’s or assignee’s customer identification program, or other obligations required or imposed under or pursuant to any Anti-Terrorism Law, including any programs involving any of the following items relating to or in connection with the Credit Parties or their respective Subsidiaries, any of their respective Affiliates, Approved Funds or agents, the Loan Documents or the transactions hereunder: (i) any identity verification procedures; (ii) any record keeping; (iii) any comparisons with government lists; (iv) any customer notices; or (v) any other procedures required under any Anti-Terrorism Law. No Agent-Related Person shall have any liability to any Lender or any of their respective Affiliates or Approved Funds if any request for a Loan or other extension of credit was not authorized by Borrower.</w:t>
      </w:r>
    </w:p>
    <w:p>
      <w:pPr>
        <w:spacing w:after="0" w:line="187" w:lineRule="exact"/>
        <w:rPr>
          <w:sz w:val="20"/>
          <w:szCs w:val="20"/>
          <w:color w:val="auto"/>
        </w:rPr>
      </w:pPr>
    </w:p>
    <w:p>
      <w:pPr>
        <w:jc w:val="both"/>
        <w:ind w:firstLine="669"/>
        <w:spacing w:after="0" w:line="241" w:lineRule="auto"/>
        <w:rPr>
          <w:sz w:val="20"/>
          <w:szCs w:val="20"/>
          <w:color w:val="auto"/>
        </w:rPr>
      </w:pPr>
      <w:r>
        <w:rPr>
          <w:rFonts w:ascii="Times New Roman" w:cs="Times New Roman" w:eastAsia="Times New Roman" w:hAnsi="Times New Roman"/>
          <w:sz w:val="20"/>
          <w:szCs w:val="20"/>
          <w:color w:val="auto"/>
        </w:rPr>
        <w:t>The Agent shall have no obligation to give, execute deliver, file, record, authorize or obtain any financing statements, notices, instruments, documents, agreements, consents or other papers as shall be necessary to (i) create, preserve, perfect or validate the security interest granted to the Agent pursuant to the Loan Documents or (ii) enable the Agent to exercise and enforce its rights under the Loan Documents with respect to such pledge and security interest. In addition, the Agent shall have no responsibility or liability (i) in connection with the acts or omissions of the Credit Parties in respect of the foregoing or (ii) for or with respect to the legality, validity and enforceability of any security interest created in the Collateral or the perfection and priority of such security interest. Each party to this Agreement acknowledges and agrees that the Blackstone Representative may from time to time use one or more outside service providers for the tracking of all UCC-1 financing statements (or other collateral related filings and registrations from time to time) required to be filed or recorded pursuant to the Collateral Documents and the notification to the Blackstone Representative, of, among other things, the upcoming lapse or expiration thereof, and that each of such service providers shall be deemed to be acting at the request and on behalf of Borrower and the other Credit Parties. The Agent shall not be liable for any action taken or not taken by any such service provider. Neither the Agent nor any of its officers, partners, directors, employees or agents shall be liable to the Lenders for any action taken or omitted by the Agent under or in connection with any of the Loan Documents.</w:t>
      </w:r>
    </w:p>
    <w:p>
      <w:pPr>
        <w:spacing w:after="0" w:line="180" w:lineRule="exact"/>
        <w:rPr>
          <w:sz w:val="20"/>
          <w:szCs w:val="20"/>
          <w:color w:val="auto"/>
        </w:rPr>
      </w:pPr>
    </w:p>
    <w:p>
      <w:pPr>
        <w:jc w:val="both"/>
        <w:ind w:firstLine="669"/>
        <w:spacing w:after="0" w:line="245" w:lineRule="auto"/>
        <w:rPr>
          <w:sz w:val="20"/>
          <w:szCs w:val="20"/>
          <w:color w:val="auto"/>
        </w:rPr>
      </w:pPr>
      <w:r>
        <w:rPr>
          <w:rFonts w:ascii="Times New Roman" w:cs="Times New Roman" w:eastAsia="Times New Roman" w:hAnsi="Times New Roman"/>
          <w:sz w:val="20"/>
          <w:szCs w:val="20"/>
          <w:b w:val="1"/>
          <w:bCs w:val="1"/>
          <w:color w:val="auto"/>
        </w:rPr>
        <w:t>12.4. Reliance by Agent</w:t>
      </w:r>
      <w:r>
        <w:rPr>
          <w:rFonts w:ascii="Times New Roman" w:cs="Times New Roman" w:eastAsia="Times New Roman" w:hAnsi="Times New Roman"/>
          <w:sz w:val="20"/>
          <w:szCs w:val="20"/>
          <w:color w:val="auto"/>
        </w:rPr>
        <w:t>. The Agent shall be entitled to rely upon, and shall not incur any liability for relying upon, any notice,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opinion, request, certificate, consent, statement, instrument, order, document or other writing (including any electronic message, Internet or intranet website posting or other distribution) believed by it to be genuine and to have been signed, sent or otherwise authenticated by the proper Person. The Agent also may rely upon any statement made to it orally or by telephone and believed by it to have been made by the proper Person, and shall not incur any liability for relying thereon. In determining compliance with any condition hereunder to the making of a Loan that by its terms must be fulfilled to the satisfaction of a Lender, the Agent may presume that such condition is satisfactory to such Lender, unless the Agent shall have received notice to the contrary from such Lender prior to the making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598170</wp:posOffset>
            </wp:positionV>
            <wp:extent cx="7157720" cy="4254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400" w:top="1426" w:right="419" w:bottom="1440" w:gutter="0" w:footer="0" w:header="0"/>
        </w:sectPr>
      </w:pPr>
    </w:p>
    <w:bookmarkStart w:id="254" w:name="page255"/>
    <w:bookmarkEnd w:id="254"/>
    <w:p>
      <w:pPr>
        <w:spacing w:after="0" w:line="126"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69</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4905-3710-6484 v.17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600710</wp:posOffset>
            </wp:positionV>
            <wp:extent cx="7157720" cy="4254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59"/>
          </w:cols>
          <w:pgMar w:left="400" w:top="1440" w:right="1440" w:bottom="1440" w:gutter="0" w:footer="0" w:header="0"/>
        </w:sectPr>
      </w:pPr>
    </w:p>
    <w:bookmarkStart w:id="255" w:name="page256"/>
    <w:bookmarkEnd w:id="255"/>
    <w:p>
      <w:pPr>
        <w:jc w:val="both"/>
        <w:spacing w:after="0" w:line="254" w:lineRule="auto"/>
        <w:rPr>
          <w:sz w:val="20"/>
          <w:szCs w:val="20"/>
          <w:color w:val="auto"/>
        </w:rPr>
      </w:pPr>
      <w:r>
        <w:rPr>
          <w:rFonts w:ascii="Times New Roman" w:cs="Times New Roman" w:eastAsia="Times New Roman" w:hAnsi="Times New Roman"/>
          <w:sz w:val="20"/>
          <w:szCs w:val="20"/>
          <w:color w:val="auto"/>
        </w:rPr>
        <w:t>of such Loan. The Agent may consult with legal counsel (who may be counsel for Borrower), independent accountants and other experts selected by it, and shall not be liable for any action taken or not taken by it in accordance with the advice of any such counsel, accountants or experts.</w:t>
      </w:r>
    </w:p>
    <w:p>
      <w:pPr>
        <w:spacing w:after="0" w:line="184" w:lineRule="exact"/>
        <w:rPr>
          <w:sz w:val="20"/>
          <w:szCs w:val="20"/>
          <w:color w:val="auto"/>
        </w:rPr>
      </w:pPr>
    </w:p>
    <w:p>
      <w:pPr>
        <w:jc w:val="both"/>
        <w:ind w:firstLine="749"/>
        <w:spacing w:after="0" w:line="264" w:lineRule="auto"/>
        <w:rPr>
          <w:sz w:val="20"/>
          <w:szCs w:val="20"/>
          <w:color w:val="auto"/>
        </w:rPr>
      </w:pPr>
      <w:r>
        <w:rPr>
          <w:rFonts w:ascii="Times New Roman" w:cs="Times New Roman" w:eastAsia="Times New Roman" w:hAnsi="Times New Roman"/>
          <w:sz w:val="19"/>
          <w:szCs w:val="19"/>
          <w:b w:val="1"/>
          <w:bCs w:val="1"/>
          <w:color w:val="auto"/>
        </w:rPr>
        <w:t>12.5. Delegation of Duties</w:t>
      </w:r>
      <w:r>
        <w:rPr>
          <w:rFonts w:ascii="Times New Roman" w:cs="Times New Roman" w:eastAsia="Times New Roman" w:hAnsi="Times New Roman"/>
          <w:sz w:val="19"/>
          <w:szCs w:val="19"/>
          <w:color w:val="auto"/>
        </w:rPr>
        <w:t>. The Agent may perform any and all of its duties and exercise its rights and powers hereunder or under</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 xml:space="preserve">any other Loan Document by or through any one or more sub-agents appointed by the Agent. The Agent and any such sub-agent may perform any and all of its duties and exercise its rights and powers by or through their respective Related Parties. The exculpatory provisions of this </w:t>
      </w:r>
      <w:r>
        <w:rPr>
          <w:rFonts w:ascii="Times New Roman" w:cs="Times New Roman" w:eastAsia="Times New Roman" w:hAnsi="Times New Roman"/>
          <w:sz w:val="19"/>
          <w:szCs w:val="19"/>
          <w:u w:val="single" w:color="auto"/>
          <w:color w:val="auto"/>
        </w:rPr>
        <w:t>Section 12</w:t>
      </w:r>
      <w:r>
        <w:rPr>
          <w:rFonts w:ascii="Times New Roman" w:cs="Times New Roman" w:eastAsia="Times New Roman" w:hAnsi="Times New Roman"/>
          <w:sz w:val="19"/>
          <w:szCs w:val="19"/>
          <w:color w:val="auto"/>
        </w:rPr>
        <w:t xml:space="preserve"> shall apply to any such sub-agent and to the Related Parties of the Agent and any such sub-agent, and shall apply to their respective activities in connection with the syndication of the credit facilities provided for herein as well as activities as Agent.</w:t>
      </w:r>
    </w:p>
    <w:p>
      <w:pPr>
        <w:spacing w:after="0" w:line="162"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b w:val="1"/>
          <w:bCs w:val="1"/>
          <w:color w:val="auto"/>
        </w:rPr>
        <w:t>12.6. Resignation of Agent</w:t>
      </w:r>
      <w:r>
        <w:rPr>
          <w:rFonts w:ascii="Times New Roman" w:cs="Times New Roman" w:eastAsia="Times New Roman" w:hAnsi="Times New Roman"/>
          <w:sz w:val="20"/>
          <w:szCs w:val="20"/>
          <w:color w:val="auto"/>
        </w:rPr>
        <w:t>. The Agent may at any time give notice of its resignation to the Lenders and the Borrower. Upon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receipt of any such notice of resignation, the Blackstone Representative shall appoint a successor. If no such successor shall have been so appointed by the Blackstone Representative and shall have accepted such appointment within thirty (30) days after the retiring Agent gives notice of its resignation (or such earlier day as shall be agreed by the Blackstone Representative) (the “</w:t>
      </w:r>
      <w:r>
        <w:rPr>
          <w:rFonts w:ascii="Times New Roman" w:cs="Times New Roman" w:eastAsia="Times New Roman" w:hAnsi="Times New Roman"/>
          <w:sz w:val="20"/>
          <w:szCs w:val="20"/>
          <w:b w:val="1"/>
          <w:bCs w:val="1"/>
          <w:color w:val="auto"/>
        </w:rPr>
        <w:t>Resignation Effective Date</w:t>
      </w:r>
      <w:r>
        <w:rPr>
          <w:rFonts w:ascii="Times New Roman" w:cs="Times New Roman" w:eastAsia="Times New Roman" w:hAnsi="Times New Roman"/>
          <w:sz w:val="20"/>
          <w:szCs w:val="20"/>
          <w:color w:val="auto"/>
        </w:rPr>
        <w:t>”), then the retiring Agent may (but shall not be obligated to), on behalf of the Lenders, appoint a successor Agent; provided that in no event shall any such successor Agent be a Defaulting Lender. Whether or not a successor has been appointed, such resignation shall become effective in accordance with such notice on the Resignation Effective Date.</w:t>
      </w:r>
    </w:p>
    <w:p>
      <w:pPr>
        <w:spacing w:after="0" w:line="183" w:lineRule="exact"/>
        <w:rPr>
          <w:sz w:val="20"/>
          <w:szCs w:val="20"/>
          <w:color w:val="auto"/>
        </w:rPr>
      </w:pPr>
    </w:p>
    <w:p>
      <w:pPr>
        <w:jc w:val="both"/>
        <w:ind w:left="160" w:firstLine="599"/>
        <w:spacing w:after="0" w:line="246" w:lineRule="auto"/>
        <w:rPr>
          <w:sz w:val="20"/>
          <w:szCs w:val="20"/>
          <w:color w:val="auto"/>
        </w:rPr>
      </w:pPr>
      <w:r>
        <w:rPr>
          <w:rFonts w:ascii="Times New Roman" w:cs="Times New Roman" w:eastAsia="Times New Roman" w:hAnsi="Times New Roman"/>
          <w:sz w:val="20"/>
          <w:szCs w:val="20"/>
          <w:color w:val="auto"/>
        </w:rPr>
        <w:t>The Required Lenders may remove the Agent as agent upon ten (10) days prior notice in writing to the Borrower and the Agent. Upon such removal, the Required Lenders shall appoint a successor. If no such successor shall have been so appointed by the Required Lenders and shall have accepted such appointment within ten (10) days (or such earlier day as shall be agreed by the Required Lenders) (the “</w:t>
      </w:r>
      <w:r>
        <w:rPr>
          <w:rFonts w:ascii="Times New Roman" w:cs="Times New Roman" w:eastAsia="Times New Roman" w:hAnsi="Times New Roman"/>
          <w:sz w:val="20"/>
          <w:szCs w:val="20"/>
          <w:b w:val="1"/>
          <w:bCs w:val="1"/>
          <w:color w:val="auto"/>
        </w:rPr>
        <w:t>Removal Effective Date</w:t>
      </w:r>
      <w:r>
        <w:rPr>
          <w:rFonts w:ascii="Times New Roman" w:cs="Times New Roman" w:eastAsia="Times New Roman" w:hAnsi="Times New Roman"/>
          <w:sz w:val="20"/>
          <w:szCs w:val="20"/>
          <w:color w:val="auto"/>
        </w:rPr>
        <w:t>”), then such removal shall nonetheless become effective in accordance with such notice on the Removal Effective Date.</w:t>
      </w:r>
    </w:p>
    <w:p>
      <w:pPr>
        <w:spacing w:after="0" w:line="171" w:lineRule="exact"/>
        <w:rPr>
          <w:sz w:val="20"/>
          <w:szCs w:val="20"/>
          <w:color w:val="auto"/>
        </w:rPr>
      </w:pPr>
    </w:p>
    <w:p>
      <w:pPr>
        <w:jc w:val="both"/>
        <w:ind w:left="160" w:firstLine="599"/>
        <w:spacing w:after="0" w:line="241" w:lineRule="auto"/>
        <w:rPr>
          <w:sz w:val="20"/>
          <w:szCs w:val="20"/>
          <w:color w:val="auto"/>
        </w:rPr>
      </w:pPr>
      <w:r>
        <w:rPr>
          <w:rFonts w:ascii="Times New Roman" w:cs="Times New Roman" w:eastAsia="Times New Roman" w:hAnsi="Times New Roman"/>
          <w:sz w:val="20"/>
          <w:szCs w:val="20"/>
          <w:color w:val="auto"/>
        </w:rPr>
        <w:t xml:space="preserve">With effect from the Resignation Effective Date or the Removal Effective Date (as applicable) (i) the retiring or removed Agent shall be discharged from its duties and obligations hereunder and under the other Loan Documents (except that in the case of any collateral security held by the Agent on behalf of the Lenders under any of the Loan Documents, the retired or removed Agent shall continue to hold such security until such time as a successor Agent is appointed), and (ii) except for any indemnity and expense reimbursement payments owed to the retiring or removed Agent, all payments, communications and determinations provided to be made by, to or through the Agent shall instead be made by or to each Lender directly, until such time, if any, as the Blackstone Representative or the Required Lenders, as applicable, appoints a successor Agent as provided for above. Upon the acceptance of a successor’s appointment as Agent hereunder, such successor shall succeed to and become vested with all of the rights, powers, privileges and duties of the retiring or removed Agent (other than any rights to indemnity or expense reimbursement payments owed to the retiring or removed Agent). The fees payable by the Borrower to a successor Agent shall be the same as those payable to its predecessor unless otherwise agreed between the Borrower and such successor. After the retiring or removed Agent’s resignation or removal hereunder and under the other Loan Documents, the provisions of this </w:t>
      </w:r>
      <w:r>
        <w:rPr>
          <w:rFonts w:ascii="Times New Roman" w:cs="Times New Roman" w:eastAsia="Times New Roman" w:hAnsi="Times New Roman"/>
          <w:sz w:val="20"/>
          <w:szCs w:val="20"/>
          <w:u w:val="single" w:color="auto"/>
          <w:color w:val="auto"/>
        </w:rPr>
        <w:t>Section 12</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Section 11.2</w:t>
      </w:r>
      <w:r>
        <w:rPr>
          <w:rFonts w:ascii="Times New Roman" w:cs="Times New Roman" w:eastAsia="Times New Roman" w:hAnsi="Times New Roman"/>
          <w:sz w:val="20"/>
          <w:szCs w:val="20"/>
          <w:color w:val="auto"/>
        </w:rPr>
        <w:t xml:space="preserve"> shall continue in effect for the benefit of such retiring or removed Agent, its sub agents and their respective Related Parties in respect of any actions taken or omitted to be taken by any of them while the retiring or removed Agent was acting as Agent.</w:t>
      </w:r>
    </w:p>
    <w:p>
      <w:pPr>
        <w:spacing w:after="0" w:line="192"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b w:val="1"/>
          <w:bCs w:val="1"/>
          <w:color w:val="auto"/>
        </w:rPr>
        <w:t>12.7. Non-Reliance on Agent and Other Lenders</w:t>
      </w:r>
      <w:r>
        <w:rPr>
          <w:rFonts w:ascii="Times New Roman" w:cs="Times New Roman" w:eastAsia="Times New Roman" w:hAnsi="Times New Roman"/>
          <w:sz w:val="20"/>
          <w:szCs w:val="20"/>
          <w:color w:val="auto"/>
        </w:rPr>
        <w:t>. Each Lender acknowledges that it has, independently and without reliance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upon the Agent or any other Lender or any of their Related Parties, and based on such documents and information as it has deemed appropriate, made its own credit analysis and decision to enter into this Agreement. Each Lender further represents and warrants that it has reviewed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596265</wp:posOffset>
            </wp:positionV>
            <wp:extent cx="7157720" cy="4254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13" w:right="419" w:bottom="1440" w:gutter="0" w:footer="0" w:header="0"/>
        </w:sectPr>
      </w:pPr>
    </w:p>
    <w:bookmarkStart w:id="256" w:name="page257"/>
    <w:bookmarkEnd w:id="256"/>
    <w:p>
      <w:pPr>
        <w:spacing w:after="0" w:line="140" w:lineRule="exact"/>
        <w:rPr>
          <w:sz w:val="20"/>
          <w:szCs w:val="20"/>
          <w:color w:val="auto"/>
        </w:rPr>
      </w:pPr>
    </w:p>
    <w:p>
      <w:pPr>
        <w:jc w:val="right"/>
        <w:ind w:right="4459"/>
        <w:spacing w:after="0"/>
        <w:rPr>
          <w:sz w:val="20"/>
          <w:szCs w:val="20"/>
          <w:color w:val="auto"/>
        </w:rPr>
      </w:pPr>
      <w:r>
        <w:rPr>
          <w:rFonts w:ascii="Times New Roman" w:cs="Times New Roman" w:eastAsia="Times New Roman" w:hAnsi="Times New Roman"/>
          <w:sz w:val="18"/>
          <w:szCs w:val="18"/>
          <w:color w:val="auto"/>
        </w:rPr>
        <w:t>70</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4905-3710-6484 v.17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600710</wp:posOffset>
            </wp:positionV>
            <wp:extent cx="7157720" cy="4254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257" w:name="page258"/>
    <w:bookmarkEnd w:id="257"/>
    <w:p>
      <w:pPr>
        <w:jc w:val="both"/>
        <w:spacing w:after="0" w:line="242" w:lineRule="auto"/>
        <w:rPr>
          <w:sz w:val="20"/>
          <w:szCs w:val="20"/>
          <w:color w:val="auto"/>
        </w:rPr>
      </w:pPr>
      <w:r>
        <w:rPr>
          <w:rFonts w:ascii="Times New Roman" w:cs="Times New Roman" w:eastAsia="Times New Roman" w:hAnsi="Times New Roman"/>
          <w:sz w:val="20"/>
          <w:szCs w:val="20"/>
          <w:color w:val="auto"/>
        </w:rPr>
        <w:t>each document made available to it in connection with this Agreement and has acknowledged and accepted the terms and conditions applicable to the recipients thereof. Each Lender represents and warrants that (i) the Loan Documents set forth the terms of a commercial lending facility and certain other facilities set forth herein, and (ii) it is engaged in making, acquiring or holding commercial loans or providing other similar facilities in the ordinary course and is entering into this Agreement as a Lender for the purpose of making, acquiring or holding commercial loans and providing other facilities set forth herein as may be applicable to such Lender, and not for the purpose of purchasing, acquiring or holding any other type of financial instrument, and each Lender agrees not to assert a claim in contravention of the foregoing. Each Lender represents and warrants that it is sophisticated with respect to decisions to make, acquire or hold commercial loans and to provide other facilities set forth herein, as may be applicable to such Lender, and either it, or the Person exercising discretion in making its decision to make, acquire or hold such commercial loans or to provide such other facilities, is experienced in making, acquiring or holding such commercial loans or providing such other facilities.</w:t>
      </w:r>
    </w:p>
    <w:p>
      <w:pPr>
        <w:spacing w:after="0" w:line="188"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0"/>
          <w:szCs w:val="20"/>
          <w:b w:val="1"/>
          <w:bCs w:val="1"/>
          <w:color w:val="auto"/>
        </w:rPr>
        <w:t xml:space="preserve">12.8. No Other Duties, Etc. </w:t>
      </w:r>
      <w:r>
        <w:rPr>
          <w:rFonts w:ascii="Times New Roman" w:cs="Times New Roman" w:eastAsia="Times New Roman" w:hAnsi="Times New Roman"/>
          <w:sz w:val="20"/>
          <w:szCs w:val="20"/>
          <w:color w:val="auto"/>
        </w:rPr>
        <w:t>Anything herein to the contrary notwithstanding, the Agent shall have no powers, duties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responsibilities under this Agreement or any of the other Loan Documents, except in its capacity, as applicable, as the Agent or a Lender hereunder.</w:t>
      </w:r>
    </w:p>
    <w:p>
      <w:pPr>
        <w:spacing w:after="0" w:line="169"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b w:val="1"/>
          <w:bCs w:val="1"/>
          <w:color w:val="auto"/>
        </w:rPr>
        <w:t>12.9. Agent May File Proofs of Claim</w:t>
      </w:r>
      <w:r>
        <w:rPr>
          <w:rFonts w:ascii="Times New Roman" w:cs="Times New Roman" w:eastAsia="Times New Roman" w:hAnsi="Times New Roman"/>
          <w:sz w:val="20"/>
          <w:szCs w:val="20"/>
          <w:color w:val="auto"/>
        </w:rPr>
        <w:t>. In case of the pendency of any proceeding under any federal, state or foreign bankruptcy,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insolvency, reorganization, receivership, conservatorship, liquidation, assignment for the benefit of creditors, moratorium, rearrangement, or similar law or any other judicial proceeding relative to any Credit Party, the Agent (irrespective of whether the principal of any Loan shall then be due and payable as herein expressed or by declaration or otherwise and irrespective of whether the Agent shall have made any demand on Borrower) shall be entitled and empowered (if directed by the Required Lenders), by intervention in such proceeding or otherwise:</w:t>
      </w:r>
    </w:p>
    <w:p>
      <w:pPr>
        <w:spacing w:after="0" w:line="196" w:lineRule="exact"/>
        <w:rPr>
          <w:sz w:val="20"/>
          <w:szCs w:val="20"/>
          <w:color w:val="auto"/>
        </w:rPr>
      </w:pPr>
    </w:p>
    <w:p>
      <w:pPr>
        <w:jc w:val="both"/>
        <w:ind w:firstLine="1580"/>
        <w:spacing w:after="0" w:line="246" w:lineRule="auto"/>
        <w:tabs>
          <w:tab w:leader="none" w:pos="2036" w:val="left"/>
        </w:tabs>
        <w:numPr>
          <w:ilvl w:val="0"/>
          <w:numId w:val="1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to file and prove a claim for the whole amount of the principal and interest owing and unpaid in respect of the Loans and all other Obligations that are owing and unpaid, and to file such other documents as may be necessary or advisable in order to have the claims of the Lenders and the Agent (including any claim for the reasonable compensation, expenses, disbursements and advances of the Lenders and the Agent and their respective agents and counsel and all other amounts due the Lenders and the Agent under </w:t>
      </w:r>
      <w:r>
        <w:rPr>
          <w:rFonts w:ascii="Times New Roman" w:cs="Times New Roman" w:eastAsia="Times New Roman" w:hAnsi="Times New Roman"/>
          <w:sz w:val="20"/>
          <w:szCs w:val="20"/>
          <w:u w:val="single" w:color="auto"/>
          <w:color w:val="auto"/>
        </w:rPr>
        <w:t>Sections 2.4</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11.2</w:t>
      </w:r>
      <w:r>
        <w:rPr>
          <w:rFonts w:ascii="Times New Roman" w:cs="Times New Roman" w:eastAsia="Times New Roman" w:hAnsi="Times New Roman"/>
          <w:sz w:val="20"/>
          <w:szCs w:val="20"/>
          <w:color w:val="auto"/>
        </w:rPr>
        <w:t>) allowed in such judicial proceeding; and</w:t>
      </w:r>
    </w:p>
    <w:p>
      <w:pPr>
        <w:spacing w:after="0" w:line="171" w:lineRule="exact"/>
        <w:rPr>
          <w:rFonts w:ascii="Times New Roman" w:cs="Times New Roman" w:eastAsia="Times New Roman" w:hAnsi="Times New Roman"/>
          <w:sz w:val="20"/>
          <w:szCs w:val="20"/>
          <w:color w:val="auto"/>
        </w:rPr>
      </w:pPr>
    </w:p>
    <w:p>
      <w:pPr>
        <w:ind w:left="2040" w:hanging="460"/>
        <w:spacing w:after="0"/>
        <w:tabs>
          <w:tab w:leader="none" w:pos="2040" w:val="left"/>
        </w:tabs>
        <w:numPr>
          <w:ilvl w:val="0"/>
          <w:numId w:val="1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collect and receive any monies or other property payable or deliverable on any such claims and to distribute the</w:t>
      </w:r>
    </w:p>
    <w:p>
      <w:pPr>
        <w:spacing w:after="0" w:line="21"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same;</w:t>
      </w:r>
    </w:p>
    <w:p>
      <w:pPr>
        <w:spacing w:after="0" w:line="20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 xml:space="preserve">and any custodian, receiver, assignee, trustee, liquidator, sequestrator or other similar official in any such judicial proceeding is hereby authorized by each Lender to make such payments to the Agent and, if the Agent shall consent to the making of such payments directly to the Lenders, to pay to the Agent any amount due for the reasonable compensation, expenses, disbursements and advances of the Agent and its agents and counsel, and any other amounts due the Agent under </w:t>
      </w:r>
      <w:r>
        <w:rPr>
          <w:rFonts w:ascii="Times New Roman" w:cs="Times New Roman" w:eastAsia="Times New Roman" w:hAnsi="Times New Roman"/>
          <w:sz w:val="20"/>
          <w:szCs w:val="20"/>
          <w:u w:val="single" w:color="auto"/>
          <w:color w:val="auto"/>
        </w:rPr>
        <w:t>Sections 2.4</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11.2</w:t>
      </w:r>
      <w:r>
        <w:rPr>
          <w:rFonts w:ascii="Times New Roman" w:cs="Times New Roman" w:eastAsia="Times New Roman" w:hAnsi="Times New Roman"/>
          <w:sz w:val="20"/>
          <w:szCs w:val="20"/>
          <w:color w:val="auto"/>
        </w:rPr>
        <w:t>.</w:t>
      </w:r>
    </w:p>
    <w:p>
      <w:pPr>
        <w:spacing w:after="0" w:line="166"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Nothing contained herein shall be deemed to authorize the Agent to authorize or consent to or accept or adopt on behalf of any Lender any reorganization plan, arrangement, adjustment or composition affecting the Obligations or the rights of any Lender to authorize the Agent to vote in respect of the claim of any Lender or in any such proceeding.</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12.10. Collateral and Guaranty Matters</w:t>
      </w:r>
      <w:r>
        <w:rPr>
          <w:rFonts w:ascii="Times New Roman" w:cs="Times New Roman" w:eastAsia="Times New Roman" w:hAnsi="Times New Roman"/>
          <w:sz w:val="20"/>
          <w:szCs w:val="20"/>
          <w:color w:val="auto"/>
        </w:rPr>
        <w:t>. The Lenders irrevocably authorize the Agent:</w:t>
      </w:r>
    </w:p>
    <w:p>
      <w:pPr>
        <w:spacing w:after="0" w:line="206" w:lineRule="exact"/>
        <w:rPr>
          <w:sz w:val="20"/>
          <w:szCs w:val="20"/>
          <w:color w:val="auto"/>
        </w:rPr>
      </w:pPr>
    </w:p>
    <w:p>
      <w:pPr>
        <w:ind w:right="20" w:firstLine="1580"/>
        <w:spacing w:after="0" w:line="269" w:lineRule="auto"/>
        <w:tabs>
          <w:tab w:leader="none" w:pos="1968" w:val="left"/>
        </w:tabs>
        <w:numPr>
          <w:ilvl w:val="0"/>
          <w:numId w:val="1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enter into and sign for and on behalf of the Lenders as Secured Parties the Collateral Documents for the benefit of the Lenders and the other Secured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582930</wp:posOffset>
            </wp:positionV>
            <wp:extent cx="7157720" cy="4254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58" w:name="page259"/>
    <w:bookmarkEnd w:id="258"/>
    <w:p>
      <w:pPr>
        <w:spacing w:after="0" w:line="200" w:lineRule="exact"/>
        <w:rPr>
          <w:sz w:val="20"/>
          <w:szCs w:val="20"/>
          <w:color w:val="auto"/>
        </w:rPr>
      </w:pPr>
    </w:p>
    <w:p>
      <w:pPr>
        <w:spacing w:after="0" w:line="210"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71</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4905-3710-6484 v.17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600710</wp:posOffset>
            </wp:positionV>
            <wp:extent cx="7157720" cy="4254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259" w:name="page260"/>
    <w:bookmarkEnd w:id="259"/>
    <w:p>
      <w:pPr>
        <w:jc w:val="both"/>
        <w:ind w:firstLine="1500"/>
        <w:spacing w:after="0" w:line="244" w:lineRule="auto"/>
        <w:tabs>
          <w:tab w:leader="none" w:pos="1962" w:val="left"/>
        </w:tabs>
        <w:numPr>
          <w:ilvl w:val="0"/>
          <w:numId w:val="1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to automatically release any Lien on any property granted to or held by the Agent under any Loan Document (i) upon termination of the Commitments and payment in full of all Obligations, in cash in immediately available funds, (ii) at the time the property subject to such Lien is disposed or to be disposed as part of or in connection with any disposition or sale permitted (other than a lease and other than to a Person that is a Credit Party) hereunder or under any other Loan Document, (iii) subject to </w:t>
      </w:r>
      <w:r>
        <w:rPr>
          <w:rFonts w:ascii="Times New Roman" w:cs="Times New Roman" w:eastAsia="Times New Roman" w:hAnsi="Times New Roman"/>
          <w:sz w:val="20"/>
          <w:szCs w:val="20"/>
          <w:u w:val="single" w:color="auto"/>
          <w:color w:val="auto"/>
        </w:rPr>
        <w:t>Section 11.5</w:t>
      </w:r>
      <w:r>
        <w:rPr>
          <w:rFonts w:ascii="Times New Roman" w:cs="Times New Roman" w:eastAsia="Times New Roman" w:hAnsi="Times New Roman"/>
          <w:sz w:val="20"/>
          <w:szCs w:val="20"/>
          <w:color w:val="auto"/>
        </w:rPr>
        <w:t xml:space="preserve">, if the release of such Lien is approved, authorized or ratified in writing by the applicable Lenders required pursuant to </w:t>
      </w:r>
      <w:r>
        <w:rPr>
          <w:rFonts w:ascii="Times New Roman" w:cs="Times New Roman" w:eastAsia="Times New Roman" w:hAnsi="Times New Roman"/>
          <w:sz w:val="20"/>
          <w:szCs w:val="20"/>
          <w:u w:val="single" w:color="auto"/>
          <w:color w:val="auto"/>
        </w:rPr>
        <w:t>Section 11.5</w:t>
      </w:r>
      <w:r>
        <w:rPr>
          <w:rFonts w:ascii="Times New Roman" w:cs="Times New Roman" w:eastAsia="Times New Roman" w:hAnsi="Times New Roman"/>
          <w:sz w:val="20"/>
          <w:szCs w:val="20"/>
          <w:color w:val="auto"/>
        </w:rPr>
        <w:t>, or (iv) if the property subject to such Lien is owned by a Guarantor, upon release of such Guarantor from its obligations under the Security Agreement, to the extent permitted hereunder; and</w:t>
      </w:r>
    </w:p>
    <w:p>
      <w:pPr>
        <w:spacing w:after="0" w:line="172" w:lineRule="exact"/>
        <w:rPr>
          <w:rFonts w:ascii="Times New Roman" w:cs="Times New Roman" w:eastAsia="Times New Roman" w:hAnsi="Times New Roman"/>
          <w:sz w:val="20"/>
          <w:szCs w:val="20"/>
          <w:color w:val="auto"/>
        </w:rPr>
      </w:pPr>
    </w:p>
    <w:p>
      <w:pPr>
        <w:jc w:val="both"/>
        <w:ind w:firstLine="1500"/>
        <w:spacing w:after="0" w:line="258" w:lineRule="auto"/>
        <w:tabs>
          <w:tab w:leader="none" w:pos="1962" w:val="left"/>
        </w:tabs>
        <w:numPr>
          <w:ilvl w:val="0"/>
          <w:numId w:val="1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to release or subordinate any Lien on any property granted to or held by the Agent under any Loan Document to the holder of any Lien on such property that is securing Indebtedness of the type contemplated by </w:t>
      </w:r>
      <w:r>
        <w:rPr>
          <w:rFonts w:ascii="Times New Roman" w:cs="Times New Roman" w:eastAsia="Times New Roman" w:hAnsi="Times New Roman"/>
          <w:sz w:val="20"/>
          <w:szCs w:val="20"/>
          <w:u w:val="single" w:color="auto"/>
          <w:color w:val="auto"/>
        </w:rPr>
        <w:t>clause (d)</w:t>
      </w:r>
      <w:r>
        <w:rPr>
          <w:rFonts w:ascii="Times New Roman" w:cs="Times New Roman" w:eastAsia="Times New Roman" w:hAnsi="Times New Roman"/>
          <w:sz w:val="20"/>
          <w:szCs w:val="20"/>
          <w:color w:val="auto"/>
        </w:rPr>
        <w:t xml:space="preserve"> of the definition of “Permitted Indebtedness” to the extent required by the holder of, or pursuant to the terms of any agreement governing, the obligations secured by such Liens.</w:t>
      </w:r>
    </w:p>
    <w:p>
      <w:pPr>
        <w:spacing w:after="0" w:line="176" w:lineRule="exact"/>
        <w:rPr>
          <w:sz w:val="20"/>
          <w:szCs w:val="20"/>
          <w:color w:val="auto"/>
        </w:rPr>
      </w:pPr>
    </w:p>
    <w:p>
      <w:pPr>
        <w:jc w:val="both"/>
        <w:ind w:firstLine="1423"/>
        <w:spacing w:after="0" w:line="245" w:lineRule="auto"/>
        <w:rPr>
          <w:sz w:val="20"/>
          <w:szCs w:val="20"/>
          <w:color w:val="auto"/>
        </w:rPr>
      </w:pPr>
      <w:r>
        <w:rPr>
          <w:rFonts w:ascii="Times New Roman" w:cs="Times New Roman" w:eastAsia="Times New Roman" w:hAnsi="Times New Roman"/>
          <w:sz w:val="20"/>
          <w:szCs w:val="20"/>
          <w:color w:val="auto"/>
        </w:rPr>
        <w:t xml:space="preserve">Upon request by the Agent at any time, the Required Lenders shall confirm in writing the Agent’s authority to release or subordinate its interest in particular types or items of property, or to release any Guarantor from its obligations under the Security Agreement pursuant to this </w:t>
      </w:r>
      <w:r>
        <w:rPr>
          <w:rFonts w:ascii="Times New Roman" w:cs="Times New Roman" w:eastAsia="Times New Roman" w:hAnsi="Times New Roman"/>
          <w:sz w:val="20"/>
          <w:szCs w:val="20"/>
          <w:u w:val="single" w:color="auto"/>
          <w:color w:val="auto"/>
        </w:rPr>
        <w:t>Section 12.10</w:t>
      </w:r>
      <w:r>
        <w:rPr>
          <w:rFonts w:ascii="Times New Roman" w:cs="Times New Roman" w:eastAsia="Times New Roman" w:hAnsi="Times New Roman"/>
          <w:sz w:val="20"/>
          <w:szCs w:val="20"/>
          <w:color w:val="auto"/>
        </w:rPr>
        <w:t xml:space="preserve">. In each case as specified in this </w:t>
      </w:r>
      <w:r>
        <w:rPr>
          <w:rFonts w:ascii="Times New Roman" w:cs="Times New Roman" w:eastAsia="Times New Roman" w:hAnsi="Times New Roman"/>
          <w:sz w:val="20"/>
          <w:szCs w:val="20"/>
          <w:u w:val="single" w:color="auto"/>
          <w:color w:val="auto"/>
        </w:rPr>
        <w:t>Section 12.10</w:t>
      </w:r>
      <w:r>
        <w:rPr>
          <w:rFonts w:ascii="Times New Roman" w:cs="Times New Roman" w:eastAsia="Times New Roman" w:hAnsi="Times New Roman"/>
          <w:sz w:val="20"/>
          <w:szCs w:val="20"/>
          <w:color w:val="auto"/>
        </w:rPr>
        <w:t xml:space="preserve">, the Agent shall (and each Lender irrevocably authorizes the Agent to), at Borrower’s expense, execute and deliver to the applicable Credit Party such documents as such Credit Party may reasonably request to evidence the release of such item of Collateral from the assignment and security interest granted under the Collateral Documents or to subordinate its interest in such item, or to evidence the release of such Guarantor from its obligations under the Security Agreement, in each case in accordance with the terms of the Loan Documents and this </w:t>
      </w:r>
      <w:r>
        <w:rPr>
          <w:rFonts w:ascii="Times New Roman" w:cs="Times New Roman" w:eastAsia="Times New Roman" w:hAnsi="Times New Roman"/>
          <w:sz w:val="20"/>
          <w:szCs w:val="20"/>
          <w:u w:val="single" w:color="auto"/>
          <w:color w:val="auto"/>
        </w:rPr>
        <w:t>Section 12.10</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requested by the Agent, Borrower shall deliver to the Agent a certificate executed by a Responsible Officer of the Borrower certifying that the transaction giving rise to such release or subordination, as applicable, is permitted by the Loan Documents (and the Agent may, at the direction of the Blackstone Representative, rely on such certificate in performing its obligations under this sentence).</w:t>
      </w:r>
    </w:p>
    <w:p>
      <w:pPr>
        <w:spacing w:after="0" w:line="187" w:lineRule="exact"/>
        <w:rPr>
          <w:sz w:val="20"/>
          <w:szCs w:val="20"/>
          <w:color w:val="auto"/>
        </w:rPr>
      </w:pPr>
    </w:p>
    <w:p>
      <w:pPr>
        <w:jc w:val="both"/>
        <w:ind w:firstLine="1423"/>
        <w:spacing w:after="0" w:line="261" w:lineRule="auto"/>
        <w:rPr>
          <w:sz w:val="20"/>
          <w:szCs w:val="20"/>
          <w:color w:val="auto"/>
        </w:rPr>
      </w:pPr>
      <w:r>
        <w:rPr>
          <w:rFonts w:ascii="Times New Roman" w:cs="Times New Roman" w:eastAsia="Times New Roman" w:hAnsi="Times New Roman"/>
          <w:sz w:val="19"/>
          <w:szCs w:val="19"/>
          <w:color w:val="auto"/>
        </w:rPr>
        <w:t>Agent shall have no obligation whatsoever to any of the Lenders or other Secured Parties (i) to verify or assure that the Collateral exists or is owned by a Credit Party or any of its Subsidiaries or is cared for, protected, or insured or has been encumbered, (ii) to verify or assure that Agent’s Liens have been properly or sufficiently or lawfully created, perfected, protected, or enforced or are entitled to any particular priority, (iii) to verify or assure that any particular items of Collateral meet the eligibility criteria applicable in respect thereof,</w:t>
      </w:r>
    </w:p>
    <w:p>
      <w:pPr>
        <w:spacing w:after="0" w:line="3" w:lineRule="exact"/>
        <w:rPr>
          <w:sz w:val="20"/>
          <w:szCs w:val="20"/>
          <w:color w:val="auto"/>
        </w:rPr>
      </w:pPr>
    </w:p>
    <w:p>
      <w:pPr>
        <w:jc w:val="both"/>
        <w:ind w:firstLine="3"/>
        <w:spacing w:after="0" w:line="241" w:lineRule="auto"/>
        <w:tabs>
          <w:tab w:leader="none" w:pos="345" w:val="left"/>
        </w:tabs>
        <w:numPr>
          <w:ilvl w:val="0"/>
          <w:numId w:val="1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impose, maintain, increase, reduce, implement, or eliminate any particular reserve hereunder or to determine whether the amount of any reserve is appropriate or not, or (v) to exercise at all or in any particular manner or under any duty of care, disclosure or fidelity, or to continue exercising, any of the rights, authorities and powers granted or available to Agent pursuant to any of the Loan Documents, it being understood and agreed that in respect of the Collateral, or any act, omission, or event related thereto, subject to the terms and conditions contained herein, Agent may act in any manner.</w:t>
      </w:r>
    </w:p>
    <w:p>
      <w:pPr>
        <w:spacing w:after="0" w:line="187" w:lineRule="exact"/>
        <w:rPr>
          <w:sz w:val="20"/>
          <w:szCs w:val="20"/>
          <w:color w:val="auto"/>
        </w:rPr>
      </w:pPr>
    </w:p>
    <w:p>
      <w:pPr>
        <w:jc w:val="both"/>
        <w:ind w:firstLine="674"/>
        <w:spacing w:after="0" w:line="243" w:lineRule="auto"/>
        <w:rPr>
          <w:sz w:val="20"/>
          <w:szCs w:val="20"/>
          <w:color w:val="auto"/>
        </w:rPr>
      </w:pPr>
      <w:r>
        <w:rPr>
          <w:rFonts w:ascii="Times New Roman" w:cs="Times New Roman" w:eastAsia="Times New Roman" w:hAnsi="Times New Roman"/>
          <w:sz w:val="20"/>
          <w:szCs w:val="20"/>
          <w:color w:val="auto"/>
        </w:rPr>
        <w:t>The Credit Parties and the Lenders hereby irrevocably authorize Agent, based upon the instruction of the Required Lenders, to (a) consent to the sale of, credit bid, or purchase (either directly or indirectly through one or more entities) all or any portion of the Collateral at any sale thereof conducted under the provisions of the Bankruptcy Code, including Section 363 of the Bankruptcy Code, (b) credit bid or purchase (either directly or indirectly through one or more entities) all or any portion of the Collateral at any sale or other disposition thereof conducted under the provisions of the UCC, including pursuant to Sections 9-610 or 9-620 of the UCC, or (c) credit bid or purchase (either directly or indirectly through one or more entities) all or any portion of the Collateral at any other sale or foreclosure conducted or consented to by Agent (at the direction of the Required Lenders) in accordance with applicable law in any judicial action or proceeding or by the exercise of any legal or equitable remedy. In connection with any such credit bid or purchase, (i) the Obligations owed to the Lenders and the other Secured Parties shall be entitled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600075</wp:posOffset>
            </wp:positionV>
            <wp:extent cx="7157720" cy="4254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400" w:top="1426" w:right="339" w:bottom="1440" w:gutter="0" w:footer="0" w:header="0"/>
        </w:sectPr>
      </w:pPr>
    </w:p>
    <w:bookmarkStart w:id="260" w:name="page261"/>
    <w:bookmarkEnd w:id="260"/>
    <w:p>
      <w:pPr>
        <w:spacing w:after="0" w:line="126" w:lineRule="exact"/>
        <w:rPr>
          <w:sz w:val="20"/>
          <w:szCs w:val="20"/>
          <w:color w:val="auto"/>
        </w:rPr>
      </w:pPr>
    </w:p>
    <w:p>
      <w:pPr>
        <w:jc w:val="right"/>
        <w:ind w:right="4379"/>
        <w:spacing w:after="0"/>
        <w:rPr>
          <w:sz w:val="20"/>
          <w:szCs w:val="20"/>
          <w:color w:val="auto"/>
        </w:rPr>
      </w:pPr>
      <w:r>
        <w:rPr>
          <w:rFonts w:ascii="Times New Roman" w:cs="Times New Roman" w:eastAsia="Times New Roman" w:hAnsi="Times New Roman"/>
          <w:sz w:val="18"/>
          <w:szCs w:val="18"/>
          <w:color w:val="auto"/>
        </w:rPr>
        <w:t>72</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4905-3710-6484 v.17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600710</wp:posOffset>
            </wp:positionV>
            <wp:extent cx="7157720" cy="4254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59"/>
          </w:cols>
          <w:pgMar w:left="400" w:top="1440" w:right="1440" w:bottom="1440" w:gutter="0" w:footer="0" w:header="0"/>
        </w:sectPr>
      </w:pPr>
    </w:p>
    <w:bookmarkStart w:id="261" w:name="page262"/>
    <w:bookmarkEnd w:id="261"/>
    <w:p>
      <w:pPr>
        <w:jc w:val="both"/>
        <w:spacing w:after="0" w:line="242" w:lineRule="auto"/>
        <w:rPr>
          <w:sz w:val="20"/>
          <w:szCs w:val="20"/>
          <w:color w:val="auto"/>
        </w:rPr>
      </w:pPr>
      <w:r>
        <w:rPr>
          <w:rFonts w:ascii="Times New Roman" w:cs="Times New Roman" w:eastAsia="Times New Roman" w:hAnsi="Times New Roman"/>
          <w:sz w:val="20"/>
          <w:szCs w:val="20"/>
          <w:color w:val="auto"/>
        </w:rPr>
        <w:t>be, and shall be, credit bid on a ratable basis (with Obligations with respect to contingent or unliquidated claims being estimated for such purpose if the fixing or liquidation thereof would not impair or unduly delay the ability of Agent to credit bid or purchase at such sale or other disposition of the Collateral and, if such contingent or unliquidated claims cannot be estimated without impairing or unduly delaying the ability of Agent to credit bid at such sale or other disposition, then such claims shall be disregarded, not credit bid, and not entitled to any interest in the Collateral that is the subject of such credit bid or purchase) and the Lenders and the other Secured Parties whose Obligations are credit bid shall be entitled to receive interests (ratably based upon the proportion of their Obligations credit bid in relation to the aggregate amount of Obligations so credit bid) in the Collateral that is the subject of such credit bid or purchase (or in the Equity Interests of any of the entities that are used to consummate such credit bid or purchase), and (ii) Agent, based upon the instruction of the Required Lenders, may accept non-cash consideration, including debt and equity securities issued by any entities used to consummate such credit bid or purchase, and in connection therewith Agent may reduce the Obligations owed to the Lenders and the other Secured Parties (ratably based upon the proportion of their Obligations credit bid in relation to the aggregate amount of Obligations so credit bid) based upon the value of such non-cash consideration.</w:t>
      </w:r>
    </w:p>
    <w:p>
      <w:pPr>
        <w:spacing w:after="0" w:line="183"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0"/>
          <w:szCs w:val="20"/>
          <w:b w:val="1"/>
          <w:bCs w:val="1"/>
          <w:color w:val="auto"/>
        </w:rPr>
        <w:t>12.11. Indemnification by Lenders</w:t>
      </w:r>
      <w:r>
        <w:rPr>
          <w:rFonts w:ascii="Times New Roman" w:cs="Times New Roman" w:eastAsia="Times New Roman" w:hAnsi="Times New Roman"/>
          <w:sz w:val="20"/>
          <w:szCs w:val="20"/>
          <w:color w:val="auto"/>
        </w:rPr>
        <w:t>. To the extent required by any applicable Laws, the Agent may withhold from any payment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any Lender an amount equivalent to any applicable withholding Tax. Without limiting or expanding the provisions of </w:t>
      </w:r>
      <w:r>
        <w:rPr>
          <w:rFonts w:ascii="Times New Roman" w:cs="Times New Roman" w:eastAsia="Times New Roman" w:hAnsi="Times New Roman"/>
          <w:sz w:val="20"/>
          <w:szCs w:val="20"/>
          <w:u w:val="single" w:color="auto"/>
          <w:color w:val="auto"/>
        </w:rPr>
        <w:t>Section 2.6</w:t>
      </w:r>
      <w:r>
        <w:rPr>
          <w:rFonts w:ascii="Times New Roman" w:cs="Times New Roman" w:eastAsia="Times New Roman" w:hAnsi="Times New Roman"/>
          <w:sz w:val="20"/>
          <w:szCs w:val="20"/>
          <w:color w:val="auto"/>
        </w:rPr>
        <w:t xml:space="preserve">, to the extent not otherwise indemnified by the Credit Parties pursuant to the terms of this Agreement, each Lender shall severally indemnify and hold harmless the Agent against, and shall make payable in respect thereof within ten (10) days after demand therefor, (i) any and all Taxes and any and all related losses, claims, liabilities and expenses (including fees, charges and disbursements of any counsel for the Agent) incurred by or asserted against the Agent by the IRS or any other Governmental Authority as a result of the failure of the Agent to properly withhold Tax from amounts paid to or for the account of such Lender for any reason (including because the appropriate form was not delivered or not properly executed, or because such Lender failed to notify the Agent of a change in circumstance that rendered the exemption from, or reduction of withholding Tax ineffective), (ii) any Indemnified Taxes attributable to such Lender (but only to the extent that Borrower has not already indemnified Agent for such Indemnified Taxes and without limiting the obligation of Borrower to do so), (iii) any Taxes attributable to such Lender’s failure to comply with the provision of </w:t>
      </w:r>
      <w:r>
        <w:rPr>
          <w:rFonts w:ascii="Times New Roman" w:cs="Times New Roman" w:eastAsia="Times New Roman" w:hAnsi="Times New Roman"/>
          <w:sz w:val="20"/>
          <w:szCs w:val="20"/>
          <w:u w:val="single" w:color="auto"/>
          <w:color w:val="auto"/>
        </w:rPr>
        <w:t>Section 11.1</w:t>
      </w:r>
      <w:r>
        <w:rPr>
          <w:rFonts w:ascii="Times New Roman" w:cs="Times New Roman" w:eastAsia="Times New Roman" w:hAnsi="Times New Roman"/>
          <w:sz w:val="20"/>
          <w:szCs w:val="20"/>
          <w:color w:val="auto"/>
        </w:rPr>
        <w:t xml:space="preserve"> relating to the maintenance of a Participant Register and (iv) any Excluded Taxes attributable to such Lender, in each case, that are payable or paid by the Agent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Agent shall be conclusive absent manifest error. Each Lender hereby authorizes the Agent to set off and apply any and all amounts at any time owing to such Lender under this Agreement or any other Loan Document or otherwise payable by the Agent to such Lender from any other source against any amount due the Agent under this </w:t>
      </w:r>
      <w:r>
        <w:rPr>
          <w:rFonts w:ascii="Times New Roman" w:cs="Times New Roman" w:eastAsia="Times New Roman" w:hAnsi="Times New Roman"/>
          <w:sz w:val="20"/>
          <w:szCs w:val="20"/>
          <w:u w:val="single" w:color="auto"/>
          <w:color w:val="auto"/>
        </w:rPr>
        <w:t>Section 12.11</w:t>
      </w:r>
      <w:r>
        <w:rPr>
          <w:rFonts w:ascii="Times New Roman" w:cs="Times New Roman" w:eastAsia="Times New Roman" w:hAnsi="Times New Roman"/>
          <w:sz w:val="20"/>
          <w:szCs w:val="20"/>
          <w:color w:val="auto"/>
        </w:rPr>
        <w:t>.</w:t>
      </w:r>
    </w:p>
    <w:p>
      <w:pPr>
        <w:spacing w:after="0" w:line="192"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b w:val="1"/>
          <w:bCs w:val="1"/>
          <w:color w:val="auto"/>
        </w:rPr>
        <w:t>12.12. Patriot Act</w:t>
      </w:r>
      <w:r>
        <w:rPr>
          <w:rFonts w:ascii="Times New Roman" w:cs="Times New Roman" w:eastAsia="Times New Roman" w:hAnsi="Times New Roman"/>
          <w:sz w:val="20"/>
          <w:szCs w:val="20"/>
          <w:color w:val="auto"/>
        </w:rPr>
        <w:t>. Each Lender or assignee or participant of a Lender that is not organized under the laws of the United States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 state thereof (and is not excepted from the certification requirement contained in Section 313 of the Patriot Act and the applicable regulations because it is both (a) an affiliate of a depository institution or foreign bank that maintains a physical presence in the United States or foreign country, and (b) subject to supervision by a banking authority regulating such affiliated depository institution or foreign bank) shall deliver to the Agent the certification, or, if applicable, recertification, certifying that such Lender is not a “shell” and certifying to other matters as required by Section 313 of the Patriot Act and the applicable regulations: (i) within ten (10) days after the Closing Date; and (ii) at such other times as are required under the Patriot Act.</w:t>
      </w:r>
    </w:p>
    <w:p>
      <w:pPr>
        <w:spacing w:after="0" w:line="179"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0"/>
          <w:szCs w:val="20"/>
          <w:b w:val="1"/>
          <w:bCs w:val="1"/>
          <w:color w:val="auto"/>
        </w:rPr>
        <w:t>12.13. Costs and Expenses; Indemnification</w:t>
      </w:r>
      <w:r>
        <w:rPr>
          <w:rFonts w:ascii="Times New Roman" w:cs="Times New Roman" w:eastAsia="Times New Roman" w:hAnsi="Times New Roman"/>
          <w:sz w:val="20"/>
          <w:szCs w:val="20"/>
          <w:color w:val="auto"/>
        </w:rPr>
        <w:t>. Agent may incur and pay Lender and Agent Expenses in connection with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performance and fulfillment of Agent’s functions, powers, and obligations pursuant to the Loan Documents, including court costs, attorneys’ fees and expenses and, to the extent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591185</wp:posOffset>
            </wp:positionV>
            <wp:extent cx="7157720" cy="4254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26" w:right="419" w:bottom="1440" w:gutter="0" w:footer="0" w:header="0"/>
        </w:sectPr>
      </w:pPr>
    </w:p>
    <w:bookmarkStart w:id="262" w:name="page263"/>
    <w:bookmarkEnd w:id="262"/>
    <w:p>
      <w:pPr>
        <w:spacing w:after="0" w:line="113" w:lineRule="exact"/>
        <w:rPr>
          <w:sz w:val="20"/>
          <w:szCs w:val="20"/>
          <w:color w:val="auto"/>
        </w:rPr>
      </w:pPr>
    </w:p>
    <w:p>
      <w:pPr>
        <w:jc w:val="right"/>
        <w:ind w:right="4459"/>
        <w:spacing w:after="0"/>
        <w:rPr>
          <w:sz w:val="20"/>
          <w:szCs w:val="20"/>
          <w:color w:val="auto"/>
        </w:rPr>
      </w:pPr>
      <w:r>
        <w:rPr>
          <w:rFonts w:ascii="Times New Roman" w:cs="Times New Roman" w:eastAsia="Times New Roman" w:hAnsi="Times New Roman"/>
          <w:sz w:val="18"/>
          <w:szCs w:val="18"/>
          <w:color w:val="auto"/>
        </w:rPr>
        <w:t>73</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4905-3710-6484 v.17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600710</wp:posOffset>
            </wp:positionV>
            <wp:extent cx="7157720" cy="4254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263" w:name="page264"/>
    <w:bookmarkEnd w:id="263"/>
    <w:p>
      <w:pPr>
        <w:jc w:val="both"/>
        <w:spacing w:after="0"/>
        <w:rPr>
          <w:sz w:val="20"/>
          <w:szCs w:val="20"/>
          <w:color w:val="auto"/>
        </w:rPr>
      </w:pPr>
      <w:r>
        <w:rPr>
          <w:rFonts w:ascii="Times New Roman" w:cs="Times New Roman" w:eastAsia="Times New Roman" w:hAnsi="Times New Roman"/>
          <w:sz w:val="20"/>
          <w:szCs w:val="20"/>
          <w:color w:val="auto"/>
        </w:rPr>
        <w:t xml:space="preserve">Agent, in consultation with the Blackstone Representative, reasonably deems necessary or appropriate for the performance and fulfillment of Agent’s functions, powers, and obligations pursuant to the Loan Documents, fees and expenses of financial accountants, advisors, consultants, and appraisers, costs of collection by outside collection agencies, auctioneer fees and expenses, and costs of security guards or insurance premiums paid to maintain the Collateral, whether or not Borrower is obligated to reimburse Agent or Lenders for such expenses pursuant to this Agreement or otherwise. Agent is authorized and directed to deduct and retain sufficient amounts from payments or proceeds of the Collateral received by Agent to reimburse Agent for such out-of-pocket costs and expenses prior to the distribution of any amounts to Lenders. In the event Agent is not reimbursed for such costs and expenses by the Credit Parties and their Subsidiaries, each Lender hereby agrees that it is and shall be obligated to pay to Agent such Lender’s pro rata share (determined as of the time that the applicable payment is sought (or if such payment is sought after the date on which the Loans have been paid in full and the Commitments have been terminated, determined as of the day immediately prior to the date on which the Loans were paid in full and the Commitments were terminated)) thereof. Each of the Lenders, in accordance with their respective pro rata shares (determined as of the time that the applicable payment is sought (or if such indemnity payment is sought after the date on which the Loans have been paid in full and the Commitments have been terminated, determined as of the day immediately prior to the date on which the Loans were paid in full and the Commitments were terminated)), shall indemnify and defend the Agent-Related Persons (to the extent not reimbursed by or on behalf of Borrower and without limiting the obligation of Borrower to do so) from and against any and all Indemnified Liabilities;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 Lender shall be liable for the payment to any Agent-Related Person of any portion of such Indemnified Liabilities resulting solely from such Person’s gross negligence or willful misconduct as determined by a final, non-appealable judgment of a court of competent jurisdiction;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xml:space="preserve"> that no action taken in accordance with the directions of the Blackstone Representative or the Required Lenders, Lenders, Required Initial Term Loan Lenders, Required Tranche A Delayed Draw Term Loan Lenders, Required Tranche B Delayed Draw Term Loan Lenders or the Required Revolving Credit Lenders (or such other number or percentage of the Lenders as shall be expressly provided for herein or in the other Loan Documents) shall be deemed to constitute gross negligence or willful misconduct for purposes of this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12.13</w:t>
      </w:r>
      <w:r>
        <w:rPr>
          <w:rFonts w:ascii="Times New Roman" w:cs="Times New Roman" w:eastAsia="Times New Roman" w:hAnsi="Times New Roman"/>
          <w:sz w:val="20"/>
          <w:szCs w:val="20"/>
          <w:color w:val="auto"/>
        </w:rPr>
        <w:t>). Without limitation of the foregoing, each Lender shall reimburse Agent upon demand for such Lender’s pro rata share (determined as of the time that the applicable payment is sought (or if such payment is sought after the date on which the Loans have been paid in full and the Commitments have been terminated, determined as of the day immediately prior to the date on which the Loans were paid in full and the Commitments were terminated)) of any costs or out of pocket expenses (including attorneys, accountants, advisors, and consultants’ fees and expenses) incurred by Agent in connection with the preparation, execution, delivery, administration, modification, amendment, or enforcement (whether through negotiations, legal proceedings or otherwise) of, or legal advice in respect of rights or responsibilities under, this Agreement or any other Loan Document to the extent that Agent is not reimbursed for such expenses by or on behalf of Borrower. For purposes hereof, “pro rata share” shall mean with respect to any Lender at any time, the percentage obtained by dividing (x) the sum of the aggregate outstanding principal amount of the Loans of such Lender at such time and its unused Commitments at such time by (y) the sum of the aggregate outstanding principal amount of the Loans of all Lenders at such time and the aggregate unused Commitments of all Lenders at such time. The undertaking in this Section shall survive the payment of all Obligations hereunder and the resignation or replacement of Agent.</w:t>
      </w:r>
    </w:p>
    <w:p>
      <w:pPr>
        <w:spacing w:after="0" w:line="210" w:lineRule="exact"/>
        <w:rPr>
          <w:sz w:val="20"/>
          <w:szCs w:val="20"/>
          <w:color w:val="auto"/>
        </w:rPr>
      </w:pPr>
    </w:p>
    <w:p>
      <w:pPr>
        <w:jc w:val="both"/>
        <w:ind w:firstLine="749"/>
        <w:spacing w:after="0" w:line="273" w:lineRule="auto"/>
        <w:rPr>
          <w:sz w:val="20"/>
          <w:szCs w:val="20"/>
          <w:color w:val="auto"/>
        </w:rPr>
      </w:pPr>
      <w:r>
        <w:rPr>
          <w:rFonts w:ascii="Times New Roman" w:cs="Times New Roman" w:eastAsia="Times New Roman" w:hAnsi="Times New Roman"/>
          <w:sz w:val="20"/>
          <w:szCs w:val="20"/>
          <w:b w:val="1"/>
          <w:bCs w:val="1"/>
          <w:color w:val="auto"/>
        </w:rPr>
        <w:t>12.14. Survival</w:t>
      </w:r>
      <w:r>
        <w:rPr>
          <w:rFonts w:ascii="Times New Roman" w:cs="Times New Roman" w:eastAsia="Times New Roman" w:hAnsi="Times New Roman"/>
          <w:sz w:val="20"/>
          <w:szCs w:val="20"/>
          <w:color w:val="auto"/>
        </w:rPr>
        <w:t>. This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Section 12</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shall survive the termination of this Agreement, the repayment, satisfaction or discharge of all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Obligations, and the resignation or replacement of the Agent.</w:t>
      </w:r>
    </w:p>
    <w:p>
      <w:pPr>
        <w:spacing w:after="0" w:line="15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12.15. Erroneous Payments.</w:t>
      </w:r>
    </w:p>
    <w:p>
      <w:pPr>
        <w:spacing w:after="0" w:line="220" w:lineRule="exact"/>
        <w:rPr>
          <w:sz w:val="20"/>
          <w:szCs w:val="20"/>
          <w:color w:val="auto"/>
        </w:rPr>
      </w:pPr>
    </w:p>
    <w:p>
      <w:pPr>
        <w:ind w:left="1500"/>
        <w:spacing w:after="0"/>
        <w:tabs>
          <w:tab w:leader="none" w:pos="1880" w:val="left"/>
        </w:tabs>
        <w:rPr>
          <w:sz w:val="20"/>
          <w:szCs w:val="20"/>
          <w:color w:val="auto"/>
        </w:rPr>
      </w:pPr>
      <w:r>
        <w:rPr>
          <w:rFonts w:ascii="Times New Roman" w:cs="Times New Roman" w:eastAsia="Times New Roman" w:hAnsi="Times New Roman"/>
          <w:sz w:val="20"/>
          <w:szCs w:val="20"/>
          <w:color w:val="auto"/>
        </w:rPr>
        <w:t>(a)</w:t>
      </w:r>
      <w:r>
        <w:rPr>
          <w:sz w:val="20"/>
          <w:szCs w:val="20"/>
          <w:color w:val="auto"/>
        </w:rPr>
        <w:tab/>
      </w:r>
      <w:r>
        <w:rPr>
          <w:rFonts w:ascii="Times New Roman" w:cs="Times New Roman" w:eastAsia="Times New Roman" w:hAnsi="Times New Roman"/>
          <w:sz w:val="19"/>
          <w:szCs w:val="19"/>
          <w:color w:val="auto"/>
        </w:rPr>
        <w:t>If the Agent (x) notifies a Lender or any Person who has received funds on behalf</w:t>
      </w:r>
    </w:p>
    <w:p>
      <w:pPr>
        <w:spacing w:after="0" w:line="2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of a Lender (any such Lender or other recipient (and each of their respective successors and assigns), a “</w:t>
      </w:r>
      <w:r>
        <w:rPr>
          <w:rFonts w:ascii="Times New Roman" w:cs="Times New Roman" w:eastAsia="Times New Roman" w:hAnsi="Times New Roman"/>
          <w:sz w:val="20"/>
          <w:szCs w:val="20"/>
          <w:b w:val="1"/>
          <w:bCs w:val="1"/>
          <w:color w:val="auto"/>
        </w:rPr>
        <w:t>Payment Recipient</w:t>
      </w:r>
      <w:r>
        <w:rPr>
          <w:rFonts w:ascii="Times New Roman" w:cs="Times New Roman" w:eastAsia="Times New Roman" w:hAnsi="Times New Roman"/>
          <w:sz w:val="20"/>
          <w:szCs w:val="20"/>
          <w:color w:val="auto"/>
        </w:rPr>
        <w:t>”) that the Agent has determined in its reasonable discretion (whether or not after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596900</wp:posOffset>
            </wp:positionV>
            <wp:extent cx="7157720" cy="4254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13" w:right="419" w:bottom="1440" w:gutter="0" w:footer="0" w:header="0"/>
        </w:sectPr>
      </w:pPr>
    </w:p>
    <w:bookmarkStart w:id="264" w:name="page265"/>
    <w:bookmarkEnd w:id="264"/>
    <w:p>
      <w:pPr>
        <w:spacing w:after="0" w:line="113"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74</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4905-3710-6484 v.17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600710</wp:posOffset>
            </wp:positionV>
            <wp:extent cx="7157720" cy="4254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265" w:name="page266"/>
    <w:bookmarkEnd w:id="265"/>
    <w:p>
      <w:pPr>
        <w:jc w:val="both"/>
        <w:spacing w:after="0" w:line="241" w:lineRule="auto"/>
        <w:rPr>
          <w:sz w:val="20"/>
          <w:szCs w:val="20"/>
          <w:color w:val="auto"/>
        </w:rPr>
      </w:pPr>
      <w:r>
        <w:rPr>
          <w:rFonts w:ascii="Times New Roman" w:cs="Times New Roman" w:eastAsia="Times New Roman" w:hAnsi="Times New Roman"/>
          <w:sz w:val="20"/>
          <w:szCs w:val="20"/>
          <w:color w:val="auto"/>
        </w:rPr>
        <w:t>receipt of any notice under immediately succeeding clause (b)) that any funds (as set forth in such notice from the Agent) received by such Payment Recipient from the Agent or any of its Affiliates were erroneously or mistakenly transmitted to, or otherwise erroneously or mistakenly received by, such Payment Recipient (whether or not known to such Lender, or other Payment Recipient on its behalf) (any such funds, whether transmitted or received as a payment, prepayment or repayment of principal, interest, fees, distribution or otherwise, individually and collectively, an “</w:t>
      </w:r>
      <w:r>
        <w:rPr>
          <w:rFonts w:ascii="Times New Roman" w:cs="Times New Roman" w:eastAsia="Times New Roman" w:hAnsi="Times New Roman"/>
          <w:sz w:val="20"/>
          <w:szCs w:val="20"/>
          <w:b w:val="1"/>
          <w:bCs w:val="1"/>
          <w:color w:val="auto"/>
        </w:rPr>
        <w:t>Erroneous Payment</w:t>
      </w:r>
      <w:r>
        <w:rPr>
          <w:rFonts w:ascii="Times New Roman" w:cs="Times New Roman" w:eastAsia="Times New Roman" w:hAnsi="Times New Roman"/>
          <w:sz w:val="20"/>
          <w:szCs w:val="20"/>
          <w:color w:val="auto"/>
        </w:rPr>
        <w:t xml:space="preserve">”) and (y) demands in writing the return of such Erroneous Payment (or a portion thereof) (provided, that, without limiting any other rights or remedies (whether at law or in equity), the Agent may not make any such demand under this clause (a) with respect to an Erroneous Payment unless such demand is made within twenty (20) Business Days of the date of receipt of such Erroneous Payment by the applicable Payment Recipient), such Erroneous Payment shall at all times remain the property of the Agent pending its return or repayment as contemplated below in this </w:t>
      </w:r>
      <w:r>
        <w:rPr>
          <w:rFonts w:ascii="Times New Roman" w:cs="Times New Roman" w:eastAsia="Times New Roman" w:hAnsi="Times New Roman"/>
          <w:sz w:val="20"/>
          <w:szCs w:val="20"/>
          <w:u w:val="single" w:color="auto"/>
          <w:color w:val="auto"/>
        </w:rPr>
        <w:t>Section 12.15</w:t>
      </w:r>
      <w:r>
        <w:rPr>
          <w:rFonts w:ascii="Times New Roman" w:cs="Times New Roman" w:eastAsia="Times New Roman" w:hAnsi="Times New Roman"/>
          <w:sz w:val="20"/>
          <w:szCs w:val="20"/>
          <w:color w:val="auto"/>
        </w:rPr>
        <w:t xml:space="preserve"> and shall be segregated by the Payment Recipient and held in trust for the benefit of the Agent, and such Lender shall (or, with respect to any Payment Recipient who received such funds on its behalf, shall cause such Payment Recipient to) promptly, but in no event later than five (5) Business Days thereafter (or such later date as the Agent may, in its reasonable discretion, specify in writing), return to the Agent the amount of any such Erroneous Payment (or portion thereof) as to which such a demand was made, in same day funds (in the currency so received), together with interest thereon (except to the extent waived in writing by the Agent, in its sole discretion) in respect of each day from and including the date such Erroneous Payment (or portion thereof) was received by such Payment Recipient to the date such amount is repaid to the Agent in same day funds at the greater of the Federal Funds Rate and a rate determined by the Agent in accordance with banking industry rules on interbank compensation from time to time in effect. A notice of the Agent to any Payment Recipient under this clause (a) shall be conclusive, absent manifest error.</w:t>
      </w:r>
    </w:p>
    <w:p>
      <w:pPr>
        <w:spacing w:after="0" w:line="190" w:lineRule="exact"/>
        <w:rPr>
          <w:sz w:val="20"/>
          <w:szCs w:val="20"/>
          <w:color w:val="auto"/>
        </w:rPr>
      </w:pPr>
    </w:p>
    <w:p>
      <w:pPr>
        <w:jc w:val="both"/>
        <w:ind w:firstLine="1505"/>
        <w:spacing w:after="0" w:line="243" w:lineRule="auto"/>
        <w:tabs>
          <w:tab w:leader="none" w:pos="1893" w:val="left"/>
        </w:tabs>
        <w:numPr>
          <w:ilvl w:val="0"/>
          <w:numId w:val="1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Without limiting the immediately preceding clause (a), each Lender or any Person who has received funds on behalf of a Lender (and each of their respective successors and assigns), hereby further agrees that if it (or a Payment Recipient on its behalf) receives a payment, prepayment or repayment (whether received as a payment, prepayment or repayment of principal, interest, fees, distribution or otherwise) from the Agent (or any of its Affiliates) (x) that is in a different amount than, or on a different date from, that specified in this Agreement or in a notice of payment, prepayment or repayment sent by the Agent (or any of its Affiliates) with respect to such payment, prepayment or repayment, (y) that was not preceded or accompanied by a notice of payment, prepayment or repayment sent by the Agent (or any of its Affiliates), or (z) that such Lender, or other such recipient, otherwise becomes aware was transmitted, or received, in error or by mistake (in whole or in part), then in each such case:</w:t>
      </w:r>
    </w:p>
    <w:p>
      <w:pPr>
        <w:spacing w:after="0" w:line="189" w:lineRule="exact"/>
        <w:rPr>
          <w:rFonts w:ascii="Times New Roman" w:cs="Times New Roman" w:eastAsia="Times New Roman" w:hAnsi="Times New Roman"/>
          <w:sz w:val="20"/>
          <w:szCs w:val="20"/>
          <w:color w:val="auto"/>
        </w:rPr>
      </w:pPr>
    </w:p>
    <w:p>
      <w:pPr>
        <w:jc w:val="both"/>
        <w:ind w:left="840" w:firstLine="1489"/>
        <w:spacing w:after="0" w:line="249" w:lineRule="auto"/>
        <w:tabs>
          <w:tab w:leader="none" w:pos="2561" w:val="left"/>
        </w:tabs>
        <w:numPr>
          <w:ilvl w:val="1"/>
          <w:numId w:val="1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Lender acknowledges and agrees that (A) in the case of the immediately preceding clauses (x) or (y), an error and mistake shall be presumed to have been made (absent written confirmation from the Agent to the contrary) or (B) an error and mistake has been made (in the case of the immediately preceding clause (z)), in each case, with respect to such payment, prepayment or repayment; and</w:t>
      </w:r>
    </w:p>
    <w:p>
      <w:pPr>
        <w:spacing w:after="0" w:line="193" w:lineRule="exact"/>
        <w:rPr>
          <w:sz w:val="20"/>
          <w:szCs w:val="20"/>
          <w:color w:val="auto"/>
        </w:rPr>
      </w:pPr>
    </w:p>
    <w:p>
      <w:pPr>
        <w:jc w:val="both"/>
        <w:ind w:left="840" w:firstLine="1498"/>
        <w:spacing w:after="0" w:line="245" w:lineRule="auto"/>
        <w:rPr>
          <w:sz w:val="20"/>
          <w:szCs w:val="20"/>
          <w:color w:val="auto"/>
        </w:rPr>
      </w:pPr>
      <w:r>
        <w:rPr>
          <w:rFonts w:ascii="Times New Roman" w:cs="Times New Roman" w:eastAsia="Times New Roman" w:hAnsi="Times New Roman"/>
          <w:sz w:val="20"/>
          <w:szCs w:val="20"/>
          <w:color w:val="auto"/>
        </w:rPr>
        <w:t xml:space="preserve">(ii)such Lender shall (and shall cause any other recipient that receives funds on its respective behalf to) promptly (and, in all events, within one (1) Business Day of the date of its knowledge of the occurrence of such error) notify the Agent of its receipt of such payment, prepayment or repayment, the details thereof (in reasonable detail) and that it is so notifying the Agent pursuant to this </w:t>
      </w:r>
      <w:r>
        <w:rPr>
          <w:rFonts w:ascii="Times New Roman" w:cs="Times New Roman" w:eastAsia="Times New Roman" w:hAnsi="Times New Roman"/>
          <w:sz w:val="20"/>
          <w:szCs w:val="20"/>
          <w:u w:val="single" w:color="auto"/>
          <w:color w:val="auto"/>
        </w:rPr>
        <w:t>Section 12.15(b)</w:t>
      </w:r>
      <w:r>
        <w:rPr>
          <w:rFonts w:ascii="Times New Roman" w:cs="Times New Roman" w:eastAsia="Times New Roman" w:hAnsi="Times New Roman"/>
          <w:sz w:val="20"/>
          <w:szCs w:val="20"/>
          <w:color w:val="auto"/>
        </w:rPr>
        <w:t xml:space="preserve">. The failure to deliver a notice to the Agent pursuant to this </w:t>
      </w:r>
      <w:r>
        <w:rPr>
          <w:rFonts w:ascii="Times New Roman" w:cs="Times New Roman" w:eastAsia="Times New Roman" w:hAnsi="Times New Roman"/>
          <w:sz w:val="20"/>
          <w:szCs w:val="20"/>
          <w:u w:val="single" w:color="auto"/>
          <w:color w:val="auto"/>
        </w:rPr>
        <w:t>Section 12.15(b)</w:t>
      </w:r>
      <w:r>
        <w:rPr>
          <w:rFonts w:ascii="Times New Roman" w:cs="Times New Roman" w:eastAsia="Times New Roman" w:hAnsi="Times New Roman"/>
          <w:sz w:val="20"/>
          <w:szCs w:val="20"/>
          <w:color w:val="auto"/>
        </w:rPr>
        <w:t xml:space="preserve"> shall not have any effect on a Payment Recipient’s obligations pursuant to </w:t>
      </w:r>
      <w:r>
        <w:rPr>
          <w:rFonts w:ascii="Times New Roman" w:cs="Times New Roman" w:eastAsia="Times New Roman" w:hAnsi="Times New Roman"/>
          <w:sz w:val="20"/>
          <w:szCs w:val="20"/>
          <w:u w:val="single" w:color="auto"/>
          <w:color w:val="auto"/>
        </w:rPr>
        <w:t>Section 10.15(a)</w:t>
      </w:r>
      <w:r>
        <w:rPr>
          <w:rFonts w:ascii="Times New Roman" w:cs="Times New Roman" w:eastAsia="Times New Roman" w:hAnsi="Times New Roman"/>
          <w:sz w:val="20"/>
          <w:szCs w:val="20"/>
          <w:color w:val="auto"/>
        </w:rPr>
        <w:t xml:space="preserve"> or on whether or not an Erroneous Payment has been made.</w:t>
      </w:r>
    </w:p>
    <w:p>
      <w:pPr>
        <w:spacing w:after="0" w:line="171" w:lineRule="exact"/>
        <w:rPr>
          <w:sz w:val="20"/>
          <w:szCs w:val="20"/>
          <w:color w:val="auto"/>
        </w:rPr>
      </w:pPr>
    </w:p>
    <w:p>
      <w:pPr>
        <w:ind w:right="20" w:firstLine="1505"/>
        <w:spacing w:after="0" w:line="269" w:lineRule="auto"/>
        <w:tabs>
          <w:tab w:leader="none" w:pos="1893" w:val="left"/>
        </w:tabs>
        <w:numPr>
          <w:ilvl w:val="0"/>
          <w:numId w:val="1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Lender hereby authorizes the Agent to set off, net and apply any and all amounts at any time owing to such Lender under any Loan Document, or otherwise payable or distributable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582930</wp:posOffset>
            </wp:positionV>
            <wp:extent cx="7157720" cy="4254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13" w:right="419" w:bottom="1440" w:gutter="0" w:footer="0" w:header="0"/>
        </w:sectPr>
      </w:pPr>
    </w:p>
    <w:bookmarkStart w:id="266" w:name="page267"/>
    <w:bookmarkEnd w:id="266"/>
    <w:p>
      <w:pPr>
        <w:spacing w:after="0" w:line="356" w:lineRule="exact"/>
        <w:rPr>
          <w:sz w:val="20"/>
          <w:szCs w:val="20"/>
          <w:color w:val="auto"/>
        </w:rPr>
      </w:pPr>
    </w:p>
    <w:p>
      <w:pPr>
        <w:jc w:val="right"/>
        <w:ind w:right="4459"/>
        <w:spacing w:after="0"/>
        <w:rPr>
          <w:sz w:val="20"/>
          <w:szCs w:val="20"/>
          <w:color w:val="auto"/>
        </w:rPr>
      </w:pPr>
      <w:r>
        <w:rPr>
          <w:rFonts w:ascii="Times New Roman" w:cs="Times New Roman" w:eastAsia="Times New Roman" w:hAnsi="Times New Roman"/>
          <w:sz w:val="18"/>
          <w:szCs w:val="18"/>
          <w:color w:val="auto"/>
        </w:rPr>
        <w:t>75</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4905-3710-6484 v.17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600710</wp:posOffset>
            </wp:positionV>
            <wp:extent cx="7157720" cy="4254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267" w:name="page268"/>
    <w:bookmarkEnd w:id="267"/>
    <w:p>
      <w:pPr>
        <w:spacing w:after="0" w:line="269" w:lineRule="auto"/>
        <w:rPr>
          <w:sz w:val="20"/>
          <w:szCs w:val="20"/>
          <w:color w:val="auto"/>
        </w:rPr>
      </w:pPr>
      <w:r>
        <w:rPr>
          <w:rFonts w:ascii="Times New Roman" w:cs="Times New Roman" w:eastAsia="Times New Roman" w:hAnsi="Times New Roman"/>
          <w:sz w:val="20"/>
          <w:szCs w:val="20"/>
          <w:color w:val="auto"/>
        </w:rPr>
        <w:t>by the Agent to such Lender, or Secured Party from any source, against any amount due to the Agent under the immediately preceding clause (a) or under the indemnification provisions of this Agreement.</w:t>
      </w:r>
    </w:p>
    <w:p>
      <w:pPr>
        <w:spacing w:after="0" w:line="159" w:lineRule="exact"/>
        <w:rPr>
          <w:sz w:val="20"/>
          <w:szCs w:val="20"/>
          <w:color w:val="auto"/>
        </w:rPr>
      </w:pPr>
    </w:p>
    <w:p>
      <w:pPr>
        <w:jc w:val="both"/>
        <w:ind w:left="80" w:firstLine="1490"/>
        <w:spacing w:after="0" w:line="242" w:lineRule="auto"/>
        <w:tabs>
          <w:tab w:leader="none" w:pos="2029" w:val="left"/>
        </w:tabs>
        <w:numPr>
          <w:ilvl w:val="0"/>
          <w:numId w:val="1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that an Erroneous Payment (or portion thereof) is not recovered by the Agent for any reason, after demand therefor by the Agent in accordance with the immediately preceding clause (a), from any Lender that has received such Erroneous Payment (or portion thereof) (and/or from any Payment Recipient who received such Erroneous Payment (or portion thereof) on its respective behalf) (such unrecovered amount, an “</w:t>
      </w:r>
      <w:r>
        <w:rPr>
          <w:rFonts w:ascii="Times New Roman" w:cs="Times New Roman" w:eastAsia="Times New Roman" w:hAnsi="Times New Roman"/>
          <w:sz w:val="20"/>
          <w:szCs w:val="20"/>
          <w:b w:val="1"/>
          <w:bCs w:val="1"/>
          <w:color w:val="auto"/>
        </w:rPr>
        <w:t>Erroneous Payment Return Deficiency</w:t>
      </w:r>
      <w:r>
        <w:rPr>
          <w:rFonts w:ascii="Times New Roman" w:cs="Times New Roman" w:eastAsia="Times New Roman" w:hAnsi="Times New Roman"/>
          <w:sz w:val="20"/>
          <w:szCs w:val="20"/>
          <w:color w:val="auto"/>
        </w:rPr>
        <w:t>”), irrespective of whether the Agent may be equitably subrogated, the Agent shall be contractually subrogated to all of the rights and interests of such Payment Recipient (and, in the case of any Payment Recipient who has received funds on behalf of a Lender, to the rights and interests of such Lender as the case may be) under the Loan Documents with respect to such Erroneous Payment Return Deficiency (the “</w:t>
      </w:r>
      <w:r>
        <w:rPr>
          <w:rFonts w:ascii="Times New Roman" w:cs="Times New Roman" w:eastAsia="Times New Roman" w:hAnsi="Times New Roman"/>
          <w:sz w:val="20"/>
          <w:szCs w:val="20"/>
          <w:b w:val="1"/>
          <w:bCs w:val="1"/>
          <w:color w:val="auto"/>
        </w:rPr>
        <w:t>Erroneous Payment Subrogation Rights</w:t>
      </w:r>
      <w:r>
        <w:rPr>
          <w:rFonts w:ascii="Times New Roman" w:cs="Times New Roman" w:eastAsia="Times New Roman" w:hAnsi="Times New Roman"/>
          <w:sz w:val="20"/>
          <w:szCs w:val="20"/>
          <w:color w:val="auto"/>
        </w:rPr>
        <w:t>”). Notwithstanding anything to the contrary contained herein, and in no event shall the occurrence of an Erroneous Payment (or any Erroneous Payment Subrogation Rights or other rights of the Agent in respect of an Erroneous Payment) result in the Agent becoming, or being deemed to be, a Lender hereunder or the holder of any Loans hereunder.</w:t>
      </w:r>
    </w:p>
    <w:p>
      <w:pPr>
        <w:spacing w:after="0" w:line="178" w:lineRule="exact"/>
        <w:rPr>
          <w:rFonts w:ascii="Times New Roman" w:cs="Times New Roman" w:eastAsia="Times New Roman" w:hAnsi="Times New Roman"/>
          <w:sz w:val="20"/>
          <w:szCs w:val="20"/>
          <w:color w:val="auto"/>
        </w:rPr>
      </w:pPr>
    </w:p>
    <w:p>
      <w:pPr>
        <w:jc w:val="both"/>
        <w:ind w:left="80" w:firstLine="1490"/>
        <w:spacing w:after="0" w:line="249" w:lineRule="auto"/>
        <w:tabs>
          <w:tab w:leader="none" w:pos="2029" w:val="left"/>
        </w:tabs>
        <w:numPr>
          <w:ilvl w:val="0"/>
          <w:numId w:val="1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parties hereto agree that an Erroneous Payment shall not pay, prepay, repay, discharge or otherwise satisfy any Obligations owed by the Borrower or any other Credit Party, except, in each case, to the extent any such Erroneous Payment is, and solely with respect to the amount of such Erroneous Payment that is, comprised of funds received by the Agent from the Borrower or any other Credit Party for the purpose of making such Erroneous Payment.</w:t>
      </w:r>
    </w:p>
    <w:p>
      <w:pPr>
        <w:spacing w:after="0" w:line="193" w:lineRule="exact"/>
        <w:rPr>
          <w:rFonts w:ascii="Times New Roman" w:cs="Times New Roman" w:eastAsia="Times New Roman" w:hAnsi="Times New Roman"/>
          <w:sz w:val="20"/>
          <w:szCs w:val="20"/>
          <w:color w:val="auto"/>
        </w:rPr>
      </w:pPr>
    </w:p>
    <w:p>
      <w:pPr>
        <w:jc w:val="both"/>
        <w:ind w:left="80" w:firstLine="1490"/>
        <w:spacing w:after="0" w:line="249" w:lineRule="auto"/>
        <w:tabs>
          <w:tab w:leader="none" w:pos="2029" w:val="left"/>
        </w:tabs>
        <w:numPr>
          <w:ilvl w:val="0"/>
          <w:numId w:val="1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permitted by applicable law, no Payment Recipient shall assert any right or claim to an Erroneous Payment, and hereby waives, and is deemed to waive, any claim, counterclaim, defense or right of set-off or recoupment with respect to any demand, claim or counterclaim by the Agent for the return of any Erroneous Payment received, including, without limitation, waiver of any defense based on “discharge for value” or any similar doctrine.</w:t>
      </w:r>
    </w:p>
    <w:p>
      <w:pPr>
        <w:spacing w:after="0" w:line="179" w:lineRule="exact"/>
        <w:rPr>
          <w:rFonts w:ascii="Times New Roman" w:cs="Times New Roman" w:eastAsia="Times New Roman" w:hAnsi="Times New Roman"/>
          <w:sz w:val="20"/>
          <w:szCs w:val="20"/>
          <w:color w:val="auto"/>
        </w:rPr>
      </w:pPr>
    </w:p>
    <w:p>
      <w:pPr>
        <w:jc w:val="both"/>
        <w:ind w:left="80" w:firstLine="1490"/>
        <w:spacing w:after="0" w:line="254" w:lineRule="auto"/>
        <w:tabs>
          <w:tab w:leader="none" w:pos="2029" w:val="left"/>
        </w:tabs>
        <w:numPr>
          <w:ilvl w:val="0"/>
          <w:numId w:val="1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party’s obligations, agreements and waivers under this </w:t>
      </w:r>
      <w:r>
        <w:rPr>
          <w:rFonts w:ascii="Times New Roman" w:cs="Times New Roman" w:eastAsia="Times New Roman" w:hAnsi="Times New Roman"/>
          <w:sz w:val="20"/>
          <w:szCs w:val="20"/>
          <w:u w:val="single" w:color="auto"/>
          <w:color w:val="auto"/>
        </w:rPr>
        <w:t>Section 12.15</w:t>
      </w:r>
      <w:r>
        <w:rPr>
          <w:rFonts w:ascii="Times New Roman" w:cs="Times New Roman" w:eastAsia="Times New Roman" w:hAnsi="Times New Roman"/>
          <w:sz w:val="20"/>
          <w:szCs w:val="20"/>
          <w:color w:val="auto"/>
        </w:rPr>
        <w:t xml:space="preserve"> shall survive the resignation or replacement of the Agent, any transfer of rights or obligations by, or the replacement of, a Lender and the repayment, satisfaction or discharge of all Obligations (or any portion thereof) under any Loan Document.</w:t>
      </w:r>
    </w:p>
    <w:p>
      <w:pPr>
        <w:spacing w:after="0" w:line="170"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0"/>
          <w:szCs w:val="20"/>
          <w:b w:val="1"/>
          <w:bCs w:val="1"/>
          <w:color w:val="auto"/>
        </w:rPr>
        <w:t>12.16. Enforcement</w:t>
      </w:r>
      <w:r>
        <w:rPr>
          <w:rFonts w:ascii="Times New Roman" w:cs="Times New Roman" w:eastAsia="Times New Roman" w:hAnsi="Times New Roman"/>
          <w:sz w:val="20"/>
          <w:szCs w:val="20"/>
          <w:color w:val="auto"/>
        </w:rPr>
        <w:t>. Notwithstanding anything to the contrary contained herein or in any other Loan Document, the authority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enforce rights and remedies hereunder and under the other Loan Documents against the Credit Parties shall be vested exclusively in, and all actions and proceedings at law in connection with such enforcement shall be instituted and maintained exclusively by, the Agent in accordance with </w:t>
      </w:r>
      <w:r>
        <w:rPr>
          <w:rFonts w:ascii="Times New Roman" w:cs="Times New Roman" w:eastAsia="Times New Roman" w:hAnsi="Times New Roman"/>
          <w:sz w:val="20"/>
          <w:szCs w:val="20"/>
          <w:u w:val="single" w:color="auto"/>
          <w:color w:val="auto"/>
        </w:rPr>
        <w:t>Section 8.01</w:t>
      </w:r>
      <w:r>
        <w:rPr>
          <w:rFonts w:ascii="Times New Roman" w:cs="Times New Roman" w:eastAsia="Times New Roman" w:hAnsi="Times New Roman"/>
          <w:sz w:val="20"/>
          <w:szCs w:val="20"/>
          <w:color w:val="auto"/>
        </w:rPr>
        <w:t xml:space="preserve"> for the benefit of all the Lenders;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foregoing shall not prohibit (i) the Agent from exercising on its own behalf the rights and remedies that inure to its benefit (solely in its capacity as Agent) hereunder and under the other Loan Documents, (ii) [reserved], (iii) any Lender from exercising setoff rights in accordance with </w:t>
      </w:r>
      <w:r>
        <w:rPr>
          <w:rFonts w:ascii="Times New Roman" w:cs="Times New Roman" w:eastAsia="Times New Roman" w:hAnsi="Times New Roman"/>
          <w:sz w:val="20"/>
          <w:szCs w:val="20"/>
          <w:u w:val="single" w:color="auto"/>
          <w:color w:val="auto"/>
        </w:rPr>
        <w:t>Section 11.10</w:t>
      </w:r>
      <w:r>
        <w:rPr>
          <w:rFonts w:ascii="Times New Roman" w:cs="Times New Roman" w:eastAsia="Times New Roman" w:hAnsi="Times New Roman"/>
          <w:sz w:val="20"/>
          <w:szCs w:val="20"/>
          <w:color w:val="auto"/>
        </w:rPr>
        <w:t xml:space="preserve"> or (iv) any Lender from filing proofs of claim or appearing and filing pleadings on its own behalf during the pendency of a proceeding relative to the Credit Parties under any debtor relief law;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xml:space="preserve">, that if at any time there is no Person acting as Agent hereunder and under the other Loan Documents, then (x) the Required Lenders shall have the rights otherwise provided to the Agent pursuant to </w:t>
      </w:r>
      <w:r>
        <w:rPr>
          <w:rFonts w:ascii="Times New Roman" w:cs="Times New Roman" w:eastAsia="Times New Roman" w:hAnsi="Times New Roman"/>
          <w:sz w:val="20"/>
          <w:szCs w:val="20"/>
          <w:u w:val="single" w:color="auto"/>
          <w:color w:val="auto"/>
        </w:rPr>
        <w:t>Section 8.01</w:t>
      </w:r>
      <w:r>
        <w:rPr>
          <w:rFonts w:ascii="Times New Roman" w:cs="Times New Roman" w:eastAsia="Times New Roman" w:hAnsi="Times New Roman"/>
          <w:sz w:val="20"/>
          <w:szCs w:val="20"/>
          <w:color w:val="auto"/>
        </w:rPr>
        <w:t xml:space="preserve"> and (y) in addition to the matters set forth in clauses (ii), (iii) and (iv) of the preceding proviso, any Lender may, with the consent of the Required Lenders, enforce any rights or remedies available to it and as authorized by the Required Lenders. In the case of any Malta Credit Party, the foregoing is subject to the relevant guarantee and enforcement limitations as set out in this Agreement or in the respective joinder of any Malta Credit Party and/or the Malta Security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601980</wp:posOffset>
            </wp:positionV>
            <wp:extent cx="7157720" cy="4254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26" w:right="419" w:bottom="1440" w:gutter="0" w:footer="0" w:header="0"/>
        </w:sectPr>
      </w:pPr>
    </w:p>
    <w:bookmarkStart w:id="268" w:name="page269"/>
    <w:bookmarkEnd w:id="268"/>
    <w:p>
      <w:pPr>
        <w:spacing w:after="0" w:line="369" w:lineRule="exact"/>
        <w:rPr>
          <w:sz w:val="20"/>
          <w:szCs w:val="20"/>
          <w:color w:val="auto"/>
        </w:rPr>
      </w:pPr>
    </w:p>
    <w:p>
      <w:pPr>
        <w:jc w:val="right"/>
        <w:ind w:right="4459"/>
        <w:spacing w:after="0"/>
        <w:rPr>
          <w:sz w:val="20"/>
          <w:szCs w:val="20"/>
          <w:color w:val="auto"/>
        </w:rPr>
      </w:pPr>
      <w:r>
        <w:rPr>
          <w:rFonts w:ascii="Times New Roman" w:cs="Times New Roman" w:eastAsia="Times New Roman" w:hAnsi="Times New Roman"/>
          <w:sz w:val="18"/>
          <w:szCs w:val="18"/>
          <w:color w:val="auto"/>
        </w:rPr>
        <w:t>76</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4905-3710-6484 v.17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600710</wp:posOffset>
            </wp:positionV>
            <wp:extent cx="7157720" cy="4254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269" w:name="page270"/>
    <w:bookmarkEnd w:id="269"/>
    <w:p>
      <w:pPr>
        <w:ind w:left="1060" w:hanging="303"/>
        <w:spacing w:after="0"/>
        <w:tabs>
          <w:tab w:leader="none" w:pos="1060" w:val="left"/>
        </w:tabs>
        <w:numPr>
          <w:ilvl w:val="0"/>
          <w:numId w:val="16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GUARANTY</w:t>
      </w:r>
    </w:p>
    <w:p>
      <w:pPr>
        <w:spacing w:after="0" w:line="216"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b w:val="1"/>
          <w:bCs w:val="1"/>
          <w:color w:val="auto"/>
        </w:rPr>
        <w:t>13.1. Guaranty</w:t>
      </w:r>
      <w:r>
        <w:rPr>
          <w:rFonts w:ascii="Times New Roman" w:cs="Times New Roman" w:eastAsia="Times New Roman" w:hAnsi="Times New Roman"/>
          <w:sz w:val="20"/>
          <w:szCs w:val="20"/>
          <w:color w:val="auto"/>
        </w:rPr>
        <w:t>. To induce the Lenders to make one or more Loans to Borrower from time to time, each Guarantor, jointly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severally with each other Guarantor, absolutely, unconditionally and irrevocably guarantees, as primary obligor and not merely as surety, the full and punctual payment when due, whether at stated maturity or earlier, by reason of acceleration, mandatory prepayment or otherwise in accordance with any Loan Document, of all the Obligations of Borrower existing on the date hereof or hereinafter incurred or created (the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9"/>
          <w:szCs w:val="19"/>
          <w:b w:val="1"/>
          <w:bCs w:val="1"/>
          <w:color w:val="auto"/>
        </w:rPr>
        <w:t>Guaranteed Obligations</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9"/>
          <w:szCs w:val="19"/>
          <w:color w:val="auto"/>
        </w:rPr>
        <w:t>). This Guaranty by each Guarantor hereunder constitutes a guaranty of payment and not of collection. Each</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9"/>
          <w:szCs w:val="19"/>
          <w:color w:val="auto"/>
        </w:rPr>
        <w:t>Guarantor hereby acknowledges and agrees that the Guaranteed Obligations, at any time and from time to time, may exceed the Maximum Guaranteed Amount of such Guarantor and may exceed the aggregate of the Maximum Guaranteed Amounts of all Guarantors, in each case without discharging, limiting or otherwise affecting the obligations of any Guarantor hereunder or the rights, powers and remedies of any Secured Party hereunder or under any other Loan Document. In the case of any Malta Credit Party, the foregoing is subject to the relevant guarantee and enforcement limitations as set out in this Agreement or in the respective joinder of any Malta Credit Party and/or in the respective Malta Security Documents.</w:t>
      </w:r>
    </w:p>
    <w:p>
      <w:pPr>
        <w:spacing w:after="0" w:line="191"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0"/>
          <w:szCs w:val="20"/>
          <w:b w:val="1"/>
          <w:bCs w:val="1"/>
          <w:color w:val="auto"/>
        </w:rPr>
        <w:t>13.2. Limitation of Guaranty</w:t>
      </w:r>
      <w:r>
        <w:rPr>
          <w:rFonts w:ascii="Times New Roman" w:cs="Times New Roman" w:eastAsia="Times New Roman" w:hAnsi="Times New Roman"/>
          <w:sz w:val="20"/>
          <w:szCs w:val="20"/>
          <w:color w:val="auto"/>
        </w:rPr>
        <w:t>. Any term or provision of this Guaranty or any other Loan Document to the contrary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notwithstanding, the maximum aggregate amount for which any Guarantor shall be liable hereunder (the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20"/>
          <w:szCs w:val="20"/>
          <w:b w:val="1"/>
          <w:bCs w:val="1"/>
          <w:color w:val="auto"/>
        </w:rPr>
        <w:t>Maximum Guaranteed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Amount</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20"/>
          <w:szCs w:val="20"/>
          <w:color w:val="auto"/>
        </w:rPr>
        <w:t>) shall not exceed the maximum amount for which such Guarantor can be liable without rendering this Guaranty or any other Loan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Document, as it relates to such Guarantor, subject to avoidance under applicable Requirements of Law relating to fraudulent conveyance or fraudulent transfer (including the Uniform Fraudulent Conveyance Act, the Uniform Fraudulent Transfer Act and Section 548 of title 11 of the United States Code or any applicable provisions of comparable Requirements of Law) (collectively,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20"/>
          <w:szCs w:val="20"/>
          <w:b w:val="1"/>
          <w:bCs w:val="1"/>
          <w:color w:val="auto"/>
        </w:rPr>
        <w:t>Fraudulent Transfer Laws</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20"/>
          <w:szCs w:val="20"/>
          <w:color w:val="auto"/>
        </w:rPr>
        <w:t xml:space="preserve">). Any analysis of the provisions of this Guaranty for purposes of Fraudulent Transfer Laws shall take into account the right of contribution established in </w:t>
      </w:r>
      <w:r>
        <w:rPr>
          <w:rFonts w:ascii="Times New Roman" w:cs="Times New Roman" w:eastAsia="Times New Roman" w:hAnsi="Times New Roman"/>
          <w:sz w:val="20"/>
          <w:szCs w:val="20"/>
          <w:u w:val="single" w:color="auto"/>
          <w:color w:val="auto"/>
        </w:rPr>
        <w:t>Section 13.7</w:t>
      </w:r>
      <w:r>
        <w:rPr>
          <w:rFonts w:ascii="Times New Roman" w:cs="Times New Roman" w:eastAsia="Times New Roman" w:hAnsi="Times New Roman"/>
          <w:sz w:val="20"/>
          <w:szCs w:val="20"/>
          <w:color w:val="auto"/>
        </w:rPr>
        <w:t xml:space="preserve"> and, for purposes of such analysis, give effect to any discharge of intercompany debt as a result of any payment made under the Guaranty. Any Guaranty provided by any Malta Credit Party shall not apply to any liability to the extent that it would render such Guaranty illegal, in breach of any Requirements of Law or to the extent that it would constitute unlawful financial assistance within the meaning of Article 110 of the Maltese Companies Act that has not been duly authorised pursuant to sub-article 4 of Article 110 of the Maltese Companies Act.</w:t>
      </w:r>
    </w:p>
    <w:p>
      <w:pPr>
        <w:spacing w:after="0" w:line="187"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b w:val="1"/>
          <w:bCs w:val="1"/>
          <w:color w:val="auto"/>
        </w:rPr>
        <w:t>13.3. Authorization; Other Agreements</w:t>
      </w:r>
      <w:r>
        <w:rPr>
          <w:rFonts w:ascii="Times New Roman" w:cs="Times New Roman" w:eastAsia="Times New Roman" w:hAnsi="Times New Roman"/>
          <w:sz w:val="20"/>
          <w:szCs w:val="20"/>
          <w:color w:val="auto"/>
        </w:rPr>
        <w:t>. Agent on behalf of itself and the other Secured Parties is hereby authorized, without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notice, to or demand upon any Guarantor and without discharging or otherwise affecting the obligations of any Guarantor hereunder and without incurring any liability hereunder, from time to time, to do each of the following but subject in all cases to the terms and conditions of the other Loan Documents:</w:t>
      </w:r>
    </w:p>
    <w:p>
      <w:pPr>
        <w:spacing w:after="0" w:line="180" w:lineRule="exact"/>
        <w:rPr>
          <w:sz w:val="20"/>
          <w:szCs w:val="20"/>
          <w:color w:val="auto"/>
        </w:rPr>
      </w:pPr>
    </w:p>
    <w:p>
      <w:pPr>
        <w:jc w:val="both"/>
        <w:ind w:firstLine="1580"/>
        <w:spacing w:after="0" w:line="254" w:lineRule="auto"/>
        <w:tabs>
          <w:tab w:leader="none" w:pos="2033" w:val="left"/>
        </w:tabs>
        <w:numPr>
          <w:ilvl w:val="0"/>
          <w:numId w:val="1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subject to compliance with </w:t>
      </w:r>
      <w:r>
        <w:rPr>
          <w:rFonts w:ascii="Times New Roman" w:cs="Times New Roman" w:eastAsia="Times New Roman" w:hAnsi="Times New Roman"/>
          <w:sz w:val="20"/>
          <w:szCs w:val="20"/>
          <w:u w:val="single" w:color="auto"/>
          <w:color w:val="auto"/>
        </w:rPr>
        <w:t>Section 11.5</w:t>
      </w:r>
      <w:r>
        <w:rPr>
          <w:rFonts w:ascii="Times New Roman" w:cs="Times New Roman" w:eastAsia="Times New Roman" w:hAnsi="Times New Roman"/>
          <w:sz w:val="20"/>
          <w:szCs w:val="20"/>
          <w:color w:val="auto"/>
        </w:rPr>
        <w:t>, (i) modify, amend, supplement or otherwise change, (ii) accelerate or otherwise change the time of payment or (iii) waive or otherwise consent to noncompliance with, any Guaranteed Obligation or any Loan Document;</w:t>
      </w:r>
    </w:p>
    <w:p>
      <w:pPr>
        <w:spacing w:after="0" w:line="174" w:lineRule="exact"/>
        <w:rPr>
          <w:rFonts w:ascii="Times New Roman" w:cs="Times New Roman" w:eastAsia="Times New Roman" w:hAnsi="Times New Roman"/>
          <w:sz w:val="20"/>
          <w:szCs w:val="20"/>
          <w:color w:val="auto"/>
        </w:rPr>
      </w:pPr>
    </w:p>
    <w:p>
      <w:pPr>
        <w:ind w:firstLine="1580"/>
        <w:spacing w:after="0" w:line="269" w:lineRule="auto"/>
        <w:tabs>
          <w:tab w:leader="none" w:pos="2033" w:val="left"/>
        </w:tabs>
        <w:numPr>
          <w:ilvl w:val="0"/>
          <w:numId w:val="1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apply to the Guaranteed Obligations any sums by whomever paid or however realized to any Guaranteed Obligation in such order as provided in the Loan Documents;</w:t>
      </w:r>
    </w:p>
    <w:p>
      <w:pPr>
        <w:spacing w:after="0" w:line="145" w:lineRule="exact"/>
        <w:rPr>
          <w:rFonts w:ascii="Times New Roman" w:cs="Times New Roman" w:eastAsia="Times New Roman" w:hAnsi="Times New Roman"/>
          <w:sz w:val="20"/>
          <w:szCs w:val="20"/>
          <w:color w:val="auto"/>
        </w:rPr>
      </w:pPr>
    </w:p>
    <w:p>
      <w:pPr>
        <w:ind w:left="2040" w:hanging="460"/>
        <w:spacing w:after="0"/>
        <w:tabs>
          <w:tab w:leader="none" w:pos="2040" w:val="left"/>
        </w:tabs>
        <w:numPr>
          <w:ilvl w:val="0"/>
          <w:numId w:val="1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refund at any time any payment received by any Secured Party in respect of any Guaranteed Obligation;</w:t>
      </w:r>
    </w:p>
    <w:p>
      <w:pPr>
        <w:spacing w:after="0" w:line="229" w:lineRule="exact"/>
        <w:rPr>
          <w:rFonts w:ascii="Times New Roman" w:cs="Times New Roman" w:eastAsia="Times New Roman" w:hAnsi="Times New Roman"/>
          <w:sz w:val="20"/>
          <w:szCs w:val="20"/>
          <w:color w:val="auto"/>
        </w:rPr>
      </w:pPr>
    </w:p>
    <w:p>
      <w:pPr>
        <w:jc w:val="both"/>
        <w:ind w:firstLine="1580"/>
        <w:spacing w:after="0" w:line="254" w:lineRule="auto"/>
        <w:tabs>
          <w:tab w:leader="none" w:pos="2033" w:val="left"/>
        </w:tabs>
        <w:numPr>
          <w:ilvl w:val="0"/>
          <w:numId w:val="1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sell, exchange, enforce, waive, substitute, liquidate, terminate, release, abandon, fail to perfect, subordinate, accept, substitute, surrender, exchange, affect, impair or otherwise alter or release any Collateral for any Guaranteed Obligation or any other guaranty therefor in any manner,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592455</wp:posOffset>
            </wp:positionV>
            <wp:extent cx="7157720" cy="4254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22" w:right="419" w:bottom="1440" w:gutter="0" w:footer="0" w:header="0"/>
        </w:sectPr>
      </w:pPr>
    </w:p>
    <w:bookmarkStart w:id="270" w:name="page271"/>
    <w:bookmarkEnd w:id="270"/>
    <w:p>
      <w:pPr>
        <w:spacing w:after="0" w:line="153" w:lineRule="exact"/>
        <w:rPr>
          <w:sz w:val="20"/>
          <w:szCs w:val="20"/>
          <w:color w:val="auto"/>
        </w:rPr>
      </w:pPr>
    </w:p>
    <w:p>
      <w:pPr>
        <w:jc w:val="right"/>
        <w:ind w:right="4459"/>
        <w:spacing w:after="0"/>
        <w:rPr>
          <w:sz w:val="20"/>
          <w:szCs w:val="20"/>
          <w:color w:val="auto"/>
        </w:rPr>
      </w:pPr>
      <w:r>
        <w:rPr>
          <w:rFonts w:ascii="Times New Roman" w:cs="Times New Roman" w:eastAsia="Times New Roman" w:hAnsi="Times New Roman"/>
          <w:sz w:val="18"/>
          <w:szCs w:val="18"/>
          <w:color w:val="auto"/>
        </w:rPr>
        <w:t>77</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4905-3710-6484 v.17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600710</wp:posOffset>
            </wp:positionV>
            <wp:extent cx="7157720" cy="4254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271" w:name="page272"/>
    <w:bookmarkEnd w:id="271"/>
    <w:p>
      <w:pPr>
        <w:jc w:val="both"/>
        <w:ind w:firstLine="8"/>
        <w:spacing w:after="0" w:line="254" w:lineRule="auto"/>
        <w:tabs>
          <w:tab w:leader="none" w:pos="306" w:val="left"/>
        </w:tabs>
        <w:numPr>
          <w:ilvl w:val="0"/>
          <w:numId w:val="1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receive, take and hold additional Collateral to secure any Guaranteed Obligation, (iii) add, release or substitute any one or more other Guarantors, makers or endorsers of any Guaranteed Obligation or any part thereof and (iv) otherwise deal in any manner with Borrower or any other Guarantor, maker or endorser of any Guaranteed Obligation or any part thereof; and</w:t>
      </w:r>
    </w:p>
    <w:p>
      <w:pPr>
        <w:spacing w:after="0" w:line="174" w:lineRule="exact"/>
        <w:rPr>
          <w:rFonts w:ascii="Times New Roman" w:cs="Times New Roman" w:eastAsia="Times New Roman" w:hAnsi="Times New Roman"/>
          <w:sz w:val="20"/>
          <w:szCs w:val="20"/>
          <w:color w:val="auto"/>
        </w:rPr>
      </w:pPr>
    </w:p>
    <w:p>
      <w:pPr>
        <w:ind w:left="1980" w:hanging="400"/>
        <w:spacing w:after="0"/>
        <w:tabs>
          <w:tab w:leader="none" w:pos="1980" w:val="left"/>
        </w:tabs>
        <w:numPr>
          <w:ilvl w:val="1"/>
          <w:numId w:val="1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settle, release, compromise, collect or otherwise liquidate the Guaranteed Obligations.</w:t>
      </w:r>
    </w:p>
    <w:p>
      <w:pPr>
        <w:spacing w:after="0" w:line="212"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b w:val="1"/>
          <w:bCs w:val="1"/>
          <w:color w:val="auto"/>
        </w:rPr>
        <w:t>13.4. Guaranty Absolute and Unconditional</w:t>
      </w:r>
      <w:r>
        <w:rPr>
          <w:rFonts w:ascii="Times New Roman" w:cs="Times New Roman" w:eastAsia="Times New Roman" w:hAnsi="Times New Roman"/>
          <w:sz w:val="20"/>
          <w:szCs w:val="20"/>
          <w:color w:val="auto"/>
        </w:rPr>
        <w:t>. Each Guarantor hereby waives and agrees not to assert any defense (other than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indefeasible payment in full, in cash in immediately available funds, of the Guaranteed Obligations as specified in clause (f) below), whether arising in connection with or in respect of any of the following clauses (a) through (f) or otherwise, and hereby agrees that its obligations under this Guaranty are irrevocable, absolute and unconditional and shall not be discharged as a result of or otherwise affected by any of the following clauses (a) through (f) (which may not be pleaded and evidence of which may not be introduced in any proceeding with respect to this Guaranty, in each case except as otherwise agreed in writing by the Blackstone Representative):</w:t>
      </w:r>
    </w:p>
    <w:p>
      <w:pPr>
        <w:spacing w:after="0" w:line="169" w:lineRule="exact"/>
        <w:rPr>
          <w:sz w:val="20"/>
          <w:szCs w:val="20"/>
          <w:color w:val="auto"/>
        </w:rPr>
      </w:pPr>
    </w:p>
    <w:p>
      <w:pPr>
        <w:jc w:val="both"/>
        <w:ind w:left="80" w:firstLine="1490"/>
        <w:spacing w:after="0" w:line="249" w:lineRule="auto"/>
        <w:tabs>
          <w:tab w:leader="none" w:pos="2029" w:val="left"/>
        </w:tabs>
        <w:numPr>
          <w:ilvl w:val="0"/>
          <w:numId w:val="1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invalidity or unenforceability of any obligation of Borrower or any other Guarantor under any Loan Document or any other agreement or instrument relating thereto (including any amendment, consent or waiver thereto), or any security for, or other guaranty of, any Guaranteed Obligation or any part thereof, or the lack of perfection or continuing perfection or failure of priority of any security for the Guaranteed Obligations or any part thereof;</w:t>
      </w:r>
    </w:p>
    <w:p>
      <w:pPr>
        <w:spacing w:after="0" w:line="179" w:lineRule="exact"/>
        <w:rPr>
          <w:rFonts w:ascii="Times New Roman" w:cs="Times New Roman" w:eastAsia="Times New Roman" w:hAnsi="Times New Roman"/>
          <w:sz w:val="20"/>
          <w:szCs w:val="20"/>
          <w:color w:val="auto"/>
        </w:rPr>
      </w:pPr>
    </w:p>
    <w:p>
      <w:pPr>
        <w:ind w:left="80" w:firstLine="1490"/>
        <w:spacing w:after="0" w:line="269" w:lineRule="auto"/>
        <w:tabs>
          <w:tab w:leader="none" w:pos="2029" w:val="left"/>
        </w:tabs>
        <w:numPr>
          <w:ilvl w:val="0"/>
          <w:numId w:val="1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absence of (i) any attempt to collect any Guaranteed Obligation or any part thereof from Borrower or any other Guarantor or other action to enforce the same or (ii) any action to enforce any Loan Document or any Lien thereunder;</w:t>
      </w:r>
    </w:p>
    <w:p>
      <w:pPr>
        <w:spacing w:after="0" w:line="159" w:lineRule="exact"/>
        <w:rPr>
          <w:rFonts w:ascii="Times New Roman" w:cs="Times New Roman" w:eastAsia="Times New Roman" w:hAnsi="Times New Roman"/>
          <w:sz w:val="20"/>
          <w:szCs w:val="20"/>
          <w:color w:val="auto"/>
        </w:rPr>
      </w:pPr>
    </w:p>
    <w:p>
      <w:pPr>
        <w:ind w:left="80" w:firstLine="1490"/>
        <w:spacing w:after="0" w:line="269" w:lineRule="auto"/>
        <w:tabs>
          <w:tab w:leader="none" w:pos="2029" w:val="left"/>
        </w:tabs>
        <w:numPr>
          <w:ilvl w:val="0"/>
          <w:numId w:val="1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failure by any Person to take any steps to perfect and maintain any Lien on, or to preserve any rights with respect to, any Collateral;</w:t>
      </w:r>
    </w:p>
    <w:p>
      <w:pPr>
        <w:spacing w:after="0" w:line="159" w:lineRule="exact"/>
        <w:rPr>
          <w:rFonts w:ascii="Times New Roman" w:cs="Times New Roman" w:eastAsia="Times New Roman" w:hAnsi="Times New Roman"/>
          <w:sz w:val="20"/>
          <w:szCs w:val="20"/>
          <w:color w:val="auto"/>
        </w:rPr>
      </w:pPr>
    </w:p>
    <w:p>
      <w:pPr>
        <w:jc w:val="both"/>
        <w:ind w:left="80" w:firstLine="1490"/>
        <w:spacing w:after="0" w:line="254" w:lineRule="auto"/>
        <w:tabs>
          <w:tab w:leader="none" w:pos="2029" w:val="left"/>
        </w:tabs>
        <w:numPr>
          <w:ilvl w:val="0"/>
          <w:numId w:val="1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workout, insolvency, bankruptcy proceeding, reorganization, arrangement, liquidation or dissolution by or against Borrower, any other Guarantor or any of Borrower’s other Subsidiaries or any procedure, agreement, order, stipulation, election, action or omission thereunder, including any discharge or disallowance of, or bar or stay against collecting, any Guaranteed Obligation (or any interest thereon) in or as a result of any such proceeding;</w:t>
      </w:r>
    </w:p>
    <w:p>
      <w:pPr>
        <w:spacing w:after="0" w:line="160" w:lineRule="exact"/>
        <w:rPr>
          <w:rFonts w:ascii="Times New Roman" w:cs="Times New Roman" w:eastAsia="Times New Roman" w:hAnsi="Times New Roman"/>
          <w:sz w:val="20"/>
          <w:szCs w:val="20"/>
          <w:color w:val="auto"/>
        </w:rPr>
      </w:pPr>
    </w:p>
    <w:p>
      <w:pPr>
        <w:jc w:val="both"/>
        <w:ind w:left="80" w:firstLine="1490"/>
        <w:spacing w:after="0" w:line="254" w:lineRule="auto"/>
        <w:tabs>
          <w:tab w:leader="none" w:pos="2029" w:val="left"/>
        </w:tabs>
        <w:numPr>
          <w:ilvl w:val="0"/>
          <w:numId w:val="1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foreclosure, whether or not through judicial sale, and any other sale or other disposition of any Collateral or any election following the occurrence of an Event of Default and during the continuance thereof by Agent on behalf of itself and any other Secured Party to proceed separately against any Collateral in accordance with Agent’s and any other Secured Party’s rights under any applicable Requirements of Law; or</w:t>
      </w:r>
    </w:p>
    <w:p>
      <w:pPr>
        <w:spacing w:after="0" w:line="173" w:lineRule="exact"/>
        <w:rPr>
          <w:rFonts w:ascii="Times New Roman" w:cs="Times New Roman" w:eastAsia="Times New Roman" w:hAnsi="Times New Roman"/>
          <w:sz w:val="20"/>
          <w:szCs w:val="20"/>
          <w:color w:val="auto"/>
        </w:rPr>
      </w:pPr>
    </w:p>
    <w:p>
      <w:pPr>
        <w:jc w:val="both"/>
        <w:ind w:left="80" w:firstLine="1490"/>
        <w:spacing w:after="0" w:line="254" w:lineRule="auto"/>
        <w:tabs>
          <w:tab w:leader="none" w:pos="2029" w:val="left"/>
        </w:tabs>
        <w:numPr>
          <w:ilvl w:val="0"/>
          <w:numId w:val="1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other defense, setoff, counterclaim or any other circumstance that might otherwise constitute a legal or equitable discharge of Borrower, any Guarantor or any other Subsidiary of Borrower, in each case other than the indefeasible payment in full in cash in immediately available funds of the Guaranteed Obligations (other than inchoate indemnity obligations).</w:t>
      </w:r>
    </w:p>
    <w:p>
      <w:pPr>
        <w:spacing w:after="0" w:line="157"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b w:val="1"/>
          <w:bCs w:val="1"/>
          <w:color w:val="auto"/>
        </w:rPr>
        <w:t>13.5. Waivers</w:t>
      </w:r>
      <w:r>
        <w:rPr>
          <w:rFonts w:ascii="Times New Roman" w:cs="Times New Roman" w:eastAsia="Times New Roman" w:hAnsi="Times New Roman"/>
          <w:sz w:val="20"/>
          <w:szCs w:val="20"/>
          <w:color w:val="auto"/>
        </w:rPr>
        <w:t>. To the fullest extent permitted by Requirements of Law, each Guarantor hereby unconditionally and irrevocably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waives and agrees not to assert any claim, defense, setoff or counterclaim based on diligence, promptness, presentment, requirements for any demand or notice hereunder, including any of the following: (a) any demand for payment or performance and protest and notice of protest; (b) any notice of acceptance; (c) any presentment, demand, protest or further notice or other requirements of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596265</wp:posOffset>
            </wp:positionV>
            <wp:extent cx="7157720" cy="4254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13" w:right="419" w:bottom="1440" w:gutter="0" w:footer="0" w:header="0"/>
        </w:sectPr>
      </w:pPr>
    </w:p>
    <w:bookmarkStart w:id="272" w:name="page273"/>
    <w:bookmarkEnd w:id="272"/>
    <w:p>
      <w:pPr>
        <w:spacing w:after="0" w:line="194" w:lineRule="exact"/>
        <w:rPr>
          <w:sz w:val="20"/>
          <w:szCs w:val="20"/>
          <w:color w:val="auto"/>
        </w:rPr>
      </w:pPr>
    </w:p>
    <w:p>
      <w:pPr>
        <w:jc w:val="right"/>
        <w:ind w:right="4459"/>
        <w:spacing w:after="0"/>
        <w:rPr>
          <w:sz w:val="20"/>
          <w:szCs w:val="20"/>
          <w:color w:val="auto"/>
        </w:rPr>
      </w:pPr>
      <w:r>
        <w:rPr>
          <w:rFonts w:ascii="Times New Roman" w:cs="Times New Roman" w:eastAsia="Times New Roman" w:hAnsi="Times New Roman"/>
          <w:sz w:val="18"/>
          <w:szCs w:val="18"/>
          <w:color w:val="auto"/>
        </w:rPr>
        <w:t>78</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4905-3710-6484 v.17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600710</wp:posOffset>
            </wp:positionV>
            <wp:extent cx="7157720" cy="4254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273" w:name="page274"/>
    <w:bookmarkEnd w:id="273"/>
    <w:p>
      <w:pPr>
        <w:jc w:val="both"/>
        <w:spacing w:after="0" w:line="258" w:lineRule="auto"/>
        <w:rPr>
          <w:sz w:val="20"/>
          <w:szCs w:val="20"/>
          <w:color w:val="auto"/>
        </w:rPr>
      </w:pPr>
      <w:r>
        <w:rPr>
          <w:rFonts w:ascii="Times New Roman" w:cs="Times New Roman" w:eastAsia="Times New Roman" w:hAnsi="Times New Roman"/>
          <w:sz w:val="19"/>
          <w:szCs w:val="19"/>
          <w:color w:val="auto"/>
        </w:rPr>
        <w:t>kind with respect to any Guaranteed Obligation (including any accrued but unpaid interest thereon) becoming immediately due and payable; and (d) any other notice in respect of any Guaranteed Obligation or any part thereof, and any defense arising by reason of any disability or other defense of Borrower or any Guarantor. Until the indefeasible payment in full, in cash in immediately available funds, of the Guaranteed Obligations (other than inchoate indemnity obligations), each Guarantor further unconditionally and irrevocably agrees not to</w:t>
      </w:r>
    </w:p>
    <w:p>
      <w:pPr>
        <w:spacing w:after="0" w:line="1" w:lineRule="exact"/>
        <w:rPr>
          <w:sz w:val="20"/>
          <w:szCs w:val="20"/>
          <w:color w:val="auto"/>
        </w:rPr>
      </w:pPr>
    </w:p>
    <w:p>
      <w:pPr>
        <w:jc w:val="both"/>
        <w:ind w:firstLine="8"/>
        <w:spacing w:after="0"/>
        <w:tabs>
          <w:tab w:leader="none" w:pos="283" w:val="left"/>
        </w:tabs>
        <w:numPr>
          <w:ilvl w:val="0"/>
          <w:numId w:val="1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enforce or otherwise exercise any right of subrogation or any right of reimbursement or contribution or similar right against Borrower or any Guarantor by reason of any Loan Document or any payment made thereunder, or (y) assert any claim, defense, setoff or counterclaim it may have against any other Credit Party or set off any of its obligations to such other Credit Party against obligations of such Credit Party to such Guarantor;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such claims, rights and remedies shall remain waived and released at any time the Agent or any of the other Secured Parties (with or through their designees) have acquired all or any portion of the Collateral by credit bid, strict foreclosure or through any other exercise of remedies available to the Agent or the other Secured Parties pursuant to this Agreement or the other Loan Documents. No obligation of any Guarantor hereunder shall be discharged other than by complete performance. Each Guarantor further waives any right such Guarantor may have under any applicable Requirements of Law to require any Secured Party to seek recourse first against Borrower or any other Person, or to realize upon any Collateral for any of the Obligations, as a condition precedent to enforcing such Guarantor’s liability and obligations under this Guaranty.</w:t>
      </w:r>
    </w:p>
    <w:p>
      <w:pPr>
        <w:spacing w:after="0" w:line="172"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19"/>
          <w:szCs w:val="19"/>
          <w:b w:val="1"/>
          <w:bCs w:val="1"/>
          <w:color w:val="auto"/>
        </w:rPr>
        <w:t>13.6. Reliance</w:t>
      </w:r>
      <w:r>
        <w:rPr>
          <w:rFonts w:ascii="Times New Roman" w:cs="Times New Roman" w:eastAsia="Times New Roman" w:hAnsi="Times New Roman"/>
          <w:sz w:val="19"/>
          <w:szCs w:val="19"/>
          <w:color w:val="auto"/>
        </w:rPr>
        <w:t>. Each Guarantor hereby assumes responsibility for keeping itself informed of the financial condition of Borrower,</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each Guarantor and any other guarantor, maker or endorser of any Guaranteed Obligation or any part thereof, and of all other circumstances bearing upon the risk of nonpayment of any Guaranteed Obligation or any part thereof that reasonable and diligent inquiry would reveal, and each Guarantor hereby agrees that neither Agent nor any other Secured Party shall have any duty to advise any Guarantor of information known to it regarding such condition or any such circumstances. In the event Agent, or any other Secured Party, in its sole discretion, undertakes at any time or from time to time to provide any such information to any Guarantor, such Person shall be under no obligation to</w:t>
      </w:r>
    </w:p>
    <w:p>
      <w:pPr>
        <w:spacing w:after="0" w:line="5" w:lineRule="exact"/>
        <w:rPr>
          <w:sz w:val="20"/>
          <w:szCs w:val="20"/>
          <w:color w:val="auto"/>
        </w:rPr>
      </w:pPr>
    </w:p>
    <w:p>
      <w:pPr>
        <w:jc w:val="both"/>
        <w:ind w:firstLine="8"/>
        <w:spacing w:after="0" w:line="242" w:lineRule="auto"/>
        <w:tabs>
          <w:tab w:leader="none" w:pos="273" w:val="left"/>
        </w:tabs>
        <w:numPr>
          <w:ilvl w:val="0"/>
          <w:numId w:val="1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undertake any investigation not a part of its regular business routine, (b) disclose any information that Agent or any other Secured Party, pursuant to accepted or reasonable commercial finance or banking practices, wishes to maintain confidential or (c) make any future disclosures of such information or any other information to any Guarantor.</w:t>
      </w:r>
    </w:p>
    <w:p>
      <w:pPr>
        <w:spacing w:after="0" w:line="196"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9"/>
          <w:szCs w:val="19"/>
          <w:b w:val="1"/>
          <w:bCs w:val="1"/>
          <w:color w:val="auto"/>
        </w:rPr>
        <w:t>13.7. Contribution</w:t>
      </w:r>
      <w:r>
        <w:rPr>
          <w:rFonts w:ascii="Times New Roman" w:cs="Times New Roman" w:eastAsia="Times New Roman" w:hAnsi="Times New Roman"/>
          <w:sz w:val="19"/>
          <w:szCs w:val="19"/>
          <w:color w:val="auto"/>
        </w:rPr>
        <w:t>. To the extent that any Guarantor shall be required hereunder to pay any portion of any Guaranteed Obligation</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exceeding the greater of (a) the amount of the value actually received by such Guarantor and its Subsidiaries from the Obligations and (b) the amount such Guarantor would otherwise have paid if such Guarantor had paid the aggregate amount of the Guaranteed Obligations (excluding the amount thereof repaid by Borrower) in the same proportion as such Guarantor’s net worth on the date enforcement is sought hereunder bears to the aggregate net worth of all Guarantors on such date, then such Guarantor shall be reimbursed by such other Guarantors for the amount of such excess, pro rata, based on the respective net worth of such other Guarantors on such date.</w:t>
      </w:r>
    </w:p>
    <w:p>
      <w:pPr>
        <w:spacing w:after="0" w:line="167" w:lineRule="exact"/>
        <w:rPr>
          <w:sz w:val="20"/>
          <w:szCs w:val="20"/>
          <w:color w:val="auto"/>
        </w:rPr>
      </w:pPr>
    </w:p>
    <w:p>
      <w:pPr>
        <w:ind w:left="1160" w:hanging="403"/>
        <w:spacing w:after="0"/>
        <w:tabs>
          <w:tab w:leader="none" w:pos="1160" w:val="left"/>
        </w:tabs>
        <w:numPr>
          <w:ilvl w:val="0"/>
          <w:numId w:val="17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DEFINITIONS</w:t>
      </w:r>
    </w:p>
    <w:p>
      <w:pPr>
        <w:spacing w:after="0" w:line="216"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b w:val="1"/>
          <w:bCs w:val="1"/>
          <w:color w:val="auto"/>
        </w:rPr>
        <w:t>14.1. Definitions</w:t>
      </w:r>
      <w:r>
        <w:rPr>
          <w:rFonts w:ascii="Times New Roman" w:cs="Times New Roman" w:eastAsia="Times New Roman" w:hAnsi="Times New Roman"/>
          <w:sz w:val="20"/>
          <w:szCs w:val="20"/>
          <w:color w:val="auto"/>
        </w:rPr>
        <w:t>. For the purposes of and as used in the Loan Documents: (a) references to any Person include its successors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assigns and, in the case of any Governmental Authority, any Person succeeding to its functions and capacities; (b) except as the context otherwise requires (including to the extent otherwise expressly provided in any Loan Document), (i) references to any law, statute, treaty, order, policy, rule or regulation include any amendments, supplements and successors thereto and (ii) references to any contract, agreement, instrument or other document include any amendments, restatements, supplements or modifications thereto or thereof from time to time to the extent permitted by the provisions thereof; (c) the word “shall” is mandatory; (d) the word “may” is permissive; (e) the word “or” has the inclusive meaning represented by the phrase “and/or”; (f) the words “include”, “includes” and “including”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598170</wp:posOffset>
            </wp:positionV>
            <wp:extent cx="7157720" cy="4254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26" w:right="419" w:bottom="1440" w:gutter="0" w:footer="0" w:header="0"/>
        </w:sectPr>
      </w:pPr>
    </w:p>
    <w:bookmarkStart w:id="274" w:name="page275"/>
    <w:bookmarkEnd w:id="274"/>
    <w:p>
      <w:pPr>
        <w:spacing w:after="0" w:line="126" w:lineRule="exact"/>
        <w:rPr>
          <w:sz w:val="20"/>
          <w:szCs w:val="20"/>
          <w:color w:val="auto"/>
        </w:rPr>
      </w:pPr>
    </w:p>
    <w:p>
      <w:pPr>
        <w:jc w:val="right"/>
        <w:ind w:right="4459"/>
        <w:spacing w:after="0"/>
        <w:rPr>
          <w:sz w:val="20"/>
          <w:szCs w:val="20"/>
          <w:color w:val="auto"/>
        </w:rPr>
      </w:pPr>
      <w:r>
        <w:rPr>
          <w:rFonts w:ascii="Times New Roman" w:cs="Times New Roman" w:eastAsia="Times New Roman" w:hAnsi="Times New Roman"/>
          <w:sz w:val="18"/>
          <w:szCs w:val="18"/>
          <w:color w:val="auto"/>
        </w:rPr>
        <w:t>79</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4905-3710-6484 v.17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600710</wp:posOffset>
            </wp:positionV>
            <wp:extent cx="7157720" cy="4254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275" w:name="page276"/>
    <w:bookmarkEnd w:id="275"/>
    <w:p>
      <w:pPr>
        <w:jc w:val="both"/>
        <w:spacing w:after="0" w:line="243" w:lineRule="auto"/>
        <w:rPr>
          <w:sz w:val="20"/>
          <w:szCs w:val="20"/>
          <w:color w:val="auto"/>
        </w:rPr>
      </w:pPr>
      <w:r>
        <w:rPr>
          <w:rFonts w:ascii="Times New Roman" w:cs="Times New Roman" w:eastAsia="Times New Roman" w:hAnsi="Times New Roman"/>
          <w:sz w:val="20"/>
          <w:szCs w:val="20"/>
          <w:color w:val="auto"/>
        </w:rPr>
        <w:t>are not limiting; (g) the singular includes the plural and the plural includes the singular; (h) numbers denoting amounts that are set off in parentheses are negative unless the context dictates otherwise; (i) each authorization herein shall be deemed irrevocable and coupled with an interest; (j) all accounting terms shall be interpreted, and all determinations relating thereto shall be made, in accordance with GAAP; (k) references to any time of day shall be to Eastern Standard time; (l) the words “herein”, “hereof”, “hereby”, “hereto” and “hereunder” refer to this Agreement as a whole; (m) where any provision in this Agreement or any other Loan Document refers to an action to be taken by any Person, or an action which such Person is prohibited from taking, such provision shall be applicable whether such action is taken directly or, to the knowledge of such Person, indirectly; and (n) unless otherwise expressly provided, references to specific sections, articles, clauses, sub-clauses, annexes and exhibits are to this Agreement and references to specific schedules are to the Disclosure Letter. As used in this Agreement, the following capitalized terms have the following meanings:</w:t>
      </w:r>
    </w:p>
    <w:p>
      <w:pPr>
        <w:spacing w:after="0" w:line="168" w:lineRule="exact"/>
        <w:rPr>
          <w:sz w:val="20"/>
          <w:szCs w:val="20"/>
          <w:color w:val="auto"/>
        </w:rPr>
      </w:pPr>
    </w:p>
    <w:p>
      <w:pPr>
        <w:jc w:val="both"/>
        <w:ind w:right="20" w:firstLine="749"/>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Account</w:t>
      </w:r>
      <w:r>
        <w:rPr>
          <w:rFonts w:ascii="Times New Roman" w:cs="Times New Roman" w:eastAsia="Times New Roman" w:hAnsi="Times New Roman"/>
          <w:sz w:val="20"/>
          <w:szCs w:val="20"/>
          <w:color w:val="auto"/>
        </w:rPr>
        <w:t>” means any “Account” as defined in the Code in effect on the date hereof with such additions to such term as may hereafter be made.</w:t>
      </w:r>
    </w:p>
    <w:p>
      <w:pPr>
        <w:spacing w:after="0" w:line="1" w:lineRule="exact"/>
        <w:rPr>
          <w:sz w:val="20"/>
          <w:szCs w:val="20"/>
          <w:color w:val="auto"/>
        </w:rPr>
      </w:pPr>
    </w:p>
    <w:p>
      <w:pPr>
        <w:ind w:left="760" w:right="1200"/>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Acquisition</w:t>
      </w:r>
      <w:r>
        <w:rPr>
          <w:rFonts w:ascii="Times New Roman" w:cs="Times New Roman" w:eastAsia="Times New Roman" w:hAnsi="Times New Roman"/>
          <w:sz w:val="20"/>
          <w:szCs w:val="20"/>
          <w:color w:val="auto"/>
        </w:rPr>
        <w:t>” means (a) any Stock Acquisition, or (b) any Asset Acquisition. “</w:t>
      </w:r>
      <w:r>
        <w:rPr>
          <w:rFonts w:ascii="Times New Roman" w:cs="Times New Roman" w:eastAsia="Times New Roman" w:hAnsi="Times New Roman"/>
          <w:sz w:val="20"/>
          <w:szCs w:val="20"/>
          <w:b w:val="1"/>
          <w:bCs w:val="1"/>
          <w:color w:val="auto"/>
        </w:rPr>
        <w:t>Acquisition Consideration</w:t>
      </w:r>
      <w:r>
        <w:rPr>
          <w:rFonts w:ascii="Times New Roman" w:cs="Times New Roman" w:eastAsia="Times New Roman" w:hAnsi="Times New Roman"/>
          <w:sz w:val="20"/>
          <w:szCs w:val="20"/>
          <w:color w:val="auto"/>
        </w:rPr>
        <w:t>” is defined in the definition of “Permitted Acquisition”.</w:t>
      </w:r>
    </w:p>
    <w:p>
      <w:pPr>
        <w:spacing w:after="0" w:line="171"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Acquisition Deferred Payments</w:t>
      </w:r>
      <w:r>
        <w:rPr>
          <w:rFonts w:ascii="Times New Roman" w:cs="Times New Roman" w:eastAsia="Times New Roman" w:hAnsi="Times New Roman"/>
          <w:sz w:val="20"/>
          <w:szCs w:val="20"/>
          <w:color w:val="auto"/>
        </w:rPr>
        <w:t>” means, with respect to an Acquisition, any “earnouts,” holdbacks, performance based-milestones, royalties, purchase price adjustments, profit sharing arrangements, deferred purchase money amounts, indemnifications, non-competition agreements, incentive payments, and other similar payment obligations, and other contingent obligations and agreements consisting of the adjustment of purchase price or similar adjustments.</w:t>
      </w:r>
    </w:p>
    <w:p>
      <w:pPr>
        <w:spacing w:after="0" w:line="18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Additional PIK Rate</w:t>
      </w:r>
      <w:r>
        <w:rPr>
          <w:rFonts w:ascii="Times New Roman" w:cs="Times New Roman" w:eastAsia="Times New Roman" w:hAnsi="Times New Roman"/>
          <w:sz w:val="20"/>
          <w:szCs w:val="20"/>
          <w:color w:val="auto"/>
        </w:rPr>
        <w:t>” is defined in the definition of “Applicable Margin”.</w:t>
      </w:r>
    </w:p>
    <w:p>
      <w:pPr>
        <w:spacing w:after="0" w:line="202"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Adjusted Term SOFR</w:t>
      </w:r>
      <w:r>
        <w:rPr>
          <w:rFonts w:ascii="Times New Roman" w:cs="Times New Roman" w:eastAsia="Times New Roman" w:hAnsi="Times New Roman"/>
          <w:sz w:val="20"/>
          <w:szCs w:val="20"/>
          <w:color w:val="auto"/>
        </w:rPr>
        <w:t xml:space="preserve">” means, for purposes of any calculation, the rate per annum equal to Term SOFR for such calculation;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if (i) Adjusted Term SOFR as so determined shall ever be less than the Floor, then Adjusted Term SOFR shall be deemed to be the Floor and (ii) Adjusted Term SOFR as so determined shall ever be more than the Ceiling, then Adjusted Term SOFR shall be deemed to be the Ceiling.</w:t>
      </w:r>
    </w:p>
    <w:p>
      <w:pPr>
        <w:spacing w:after="0" w:line="176"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Adverse Proceeding</w:t>
      </w:r>
      <w:r>
        <w:rPr>
          <w:rFonts w:ascii="Times New Roman" w:cs="Times New Roman" w:eastAsia="Times New Roman" w:hAnsi="Times New Roman"/>
          <w:sz w:val="20"/>
          <w:szCs w:val="20"/>
          <w:color w:val="auto"/>
        </w:rPr>
        <w:t>” means any action, suit, proceeding, hearing (whether administrative, judicial or otherwise), governmental investigation or arbitration (whether or not purportedly on behalf of any Credit Party or any of its Subsidiaries) at law or in equity, or before or by any Governmental Authority, domestic or foreign (including any Environmental Claims), whether pending or, to the Knowledge of the Credit Parties, threatened against or adversely affecting any Credit Party or any of its Subsidiaries or any property of any Credit Party or any of its Subsidiaries.</w:t>
      </w:r>
    </w:p>
    <w:p>
      <w:pPr>
        <w:spacing w:after="0" w:line="180"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Affiliate</w:t>
      </w:r>
      <w:r>
        <w:rPr>
          <w:rFonts w:ascii="Times New Roman" w:cs="Times New Roman" w:eastAsia="Times New Roman" w:hAnsi="Times New Roman"/>
          <w:sz w:val="20"/>
          <w:szCs w:val="20"/>
          <w:color w:val="auto"/>
        </w:rPr>
        <w:t>” means, with respect to any Person, each other Person that owns or controls directly or indirectly the Person, any Person that controls or is controlled by or is under common control with the Person, and each of that Person’s senior executive officers, directors, partners and, for any Person that is a limited liability company or limited liability partnership, that Person’s managers and members. As used in this definition, “control” means (a) direct or indirect beneficial ownership of at least ten percent (10%) (or such lesser percentage which is the maximum allowed to be owned by a foreign corporation in a particular jurisdiction) of the voting share capital or other Equity Interest in a Person or (b) the power to direct or cause the direction of the management of such Person by contract or otherwise. In no event shall any Blackstone Entity be deemed to be an Affiliate of Borrower or any of its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598170</wp:posOffset>
            </wp:positionV>
            <wp:extent cx="7157720" cy="4254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5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6" w:right="339" w:bottom="1440" w:gutter="0" w:footer="0" w:header="0"/>
        </w:sectPr>
      </w:pPr>
    </w:p>
    <w:bookmarkStart w:id="276" w:name="page277"/>
    <w:bookmarkEnd w:id="276"/>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80</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4905-3710-6484 v.17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600710</wp:posOffset>
            </wp:positionV>
            <wp:extent cx="7157720" cy="4254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277" w:name="page278"/>
    <w:bookmarkEnd w:id="277"/>
    <w:p>
      <w:pPr>
        <w:jc w:val="both"/>
        <w:ind w:firstLine="749"/>
        <w:spacing w:after="0" w:line="30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Agent</w:t>
      </w:r>
      <w:r>
        <w:rPr>
          <w:rFonts w:ascii="Times New Roman" w:cs="Times New Roman" w:eastAsia="Times New Roman" w:hAnsi="Times New Roman"/>
          <w:sz w:val="19"/>
          <w:szCs w:val="19"/>
          <w:color w:val="auto"/>
        </w:rPr>
        <w:t>” means Wilmington Trust, National Association, solely in its capacity as administrative agent, collateral agent and security trustee under this Agreement and any other Loan Document, or any successor administrative agent, collateral agent and security trustee.</w:t>
      </w:r>
    </w:p>
    <w:p>
      <w:pPr>
        <w:spacing w:after="0" w:line="14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Agent Fee Letter</w:t>
      </w:r>
      <w:r>
        <w:rPr>
          <w:rFonts w:ascii="Times New Roman" w:cs="Times New Roman" w:eastAsia="Times New Roman" w:hAnsi="Times New Roman"/>
          <w:sz w:val="20"/>
          <w:szCs w:val="20"/>
          <w:color w:val="auto"/>
        </w:rPr>
        <w:t>” means that certain fee letter, dated the date hereof, by and among Borrower and the Agent.</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Agent Parties</w:t>
      </w:r>
      <w:r>
        <w:rPr>
          <w:rFonts w:ascii="Times New Roman" w:cs="Times New Roman" w:eastAsia="Times New Roman" w:hAnsi="Times New Roman"/>
          <w:sz w:val="20"/>
          <w:szCs w:val="20"/>
          <w:color w:val="auto"/>
        </w:rPr>
        <w:t xml:space="preserve">” is defined in </w:t>
      </w:r>
      <w:r>
        <w:rPr>
          <w:rFonts w:ascii="Times New Roman" w:cs="Times New Roman" w:eastAsia="Times New Roman" w:hAnsi="Times New Roman"/>
          <w:sz w:val="20"/>
          <w:szCs w:val="20"/>
          <w:u w:val="single" w:color="auto"/>
          <w:color w:val="auto"/>
        </w:rPr>
        <w:t>Section 9</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749"/>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Agent-Related Person</w:t>
      </w:r>
      <w:r>
        <w:rPr>
          <w:rFonts w:ascii="Times New Roman" w:cs="Times New Roman" w:eastAsia="Times New Roman" w:hAnsi="Times New Roman"/>
          <w:sz w:val="20"/>
          <w:szCs w:val="20"/>
          <w:color w:val="auto"/>
        </w:rPr>
        <w:t>” means the Agent, together with each of its respective Affiliates, officers, directors, employees, partners, agents, advisors and other representatives.</w:t>
      </w:r>
    </w:p>
    <w:p>
      <w:pPr>
        <w:spacing w:after="0" w:line="15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Agreement</w:t>
      </w:r>
      <w:r>
        <w:rPr>
          <w:rFonts w:ascii="Times New Roman" w:cs="Times New Roman" w:eastAsia="Times New Roman" w:hAnsi="Times New Roman"/>
          <w:sz w:val="20"/>
          <w:szCs w:val="20"/>
          <w:color w:val="auto"/>
        </w:rPr>
        <w:t>” is defined in the preamble hereof.</w:t>
      </w:r>
    </w:p>
    <w:p>
      <w:pPr>
        <w:spacing w:after="0" w:line="216"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Antecip Direct Agreement</w:t>
      </w:r>
      <w:r>
        <w:rPr>
          <w:rFonts w:ascii="Times New Roman" w:cs="Times New Roman" w:eastAsia="Times New Roman" w:hAnsi="Times New Roman"/>
          <w:sz w:val="20"/>
          <w:szCs w:val="20"/>
          <w:color w:val="auto"/>
        </w:rPr>
        <w:t>” means that certain Direct Agreement, dated as of the date hereof, by and among Borrower, Antecip Bioventures II LLC and the Agent (as amended, supplemented or otherwise modified from time to time in accordance with the terms hereof).</w:t>
      </w:r>
    </w:p>
    <w:p>
      <w:pPr>
        <w:spacing w:after="0" w:line="155"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Antecip License Agreement</w:t>
      </w:r>
      <w:r>
        <w:rPr>
          <w:rFonts w:ascii="Times New Roman" w:cs="Times New Roman" w:eastAsia="Times New Roman" w:hAnsi="Times New Roman"/>
          <w:sz w:val="20"/>
          <w:szCs w:val="20"/>
          <w:color w:val="auto"/>
        </w:rPr>
        <w:t>” means, collectively, (i) that certain License Agreement, dated as of January 12, 2012, by and between Borrower and Antecip Bioventures II LLC, as amended by the First Amendment to License Agreement, dated as of August 21, 2015, (ii) that certain License Agreement, dated as of April 17, 2012, by and between Borrower and Antecip Bioventures II LLC, as amended by the First Amendment to License Agreement, dated as of August 21, 2015, and (iii) that certain License Agreement, dated as of June 6, 2012, by and between Borrower and Antecip Bioventures II LLC, as amended by the First Amendment to License Agreement, dated as of August 21, 2015, each of (i)-(iii) as amended by the Antecip Direct Agreement and as may be further amended from time to time pursuant to the terms of the Antecip Direct Agreement.</w:t>
      </w:r>
    </w:p>
    <w:p>
      <w:pPr>
        <w:spacing w:after="0" w:line="19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Anti-Money Laundering Laws</w:t>
      </w:r>
      <w:r>
        <w:rPr>
          <w:rFonts w:ascii="Times New Roman" w:cs="Times New Roman" w:eastAsia="Times New Roman" w:hAnsi="Times New Roman"/>
          <w:sz w:val="20"/>
          <w:szCs w:val="20"/>
          <w:color w:val="auto"/>
        </w:rPr>
        <w:t xml:space="preserve">” is defined in </w:t>
      </w:r>
      <w:r>
        <w:rPr>
          <w:rFonts w:ascii="Times New Roman" w:cs="Times New Roman" w:eastAsia="Times New Roman" w:hAnsi="Times New Roman"/>
          <w:sz w:val="20"/>
          <w:szCs w:val="20"/>
          <w:u w:val="single" w:color="auto"/>
          <w:color w:val="auto"/>
        </w:rPr>
        <w:t>Section 4.18(b)</w:t>
      </w:r>
      <w:r>
        <w:rPr>
          <w:rFonts w:ascii="Times New Roman" w:cs="Times New Roman" w:eastAsia="Times New Roman" w:hAnsi="Times New Roman"/>
          <w:sz w:val="20"/>
          <w:szCs w:val="20"/>
          <w:color w:val="auto"/>
        </w:rPr>
        <w:t>.</w:t>
      </w:r>
    </w:p>
    <w:p>
      <w:pPr>
        <w:spacing w:after="0" w:line="202"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Anti-Terrorism Laws</w:t>
      </w:r>
      <w:r>
        <w:rPr>
          <w:rFonts w:ascii="Times New Roman" w:cs="Times New Roman" w:eastAsia="Times New Roman" w:hAnsi="Times New Roman"/>
          <w:sz w:val="20"/>
          <w:szCs w:val="20"/>
          <w:color w:val="auto"/>
        </w:rPr>
        <w:t>” means any Anti-Money Laundering Laws or other laws relating to terrorism or money laundering, including (a) the Money Laundering Control Act of 1986 (e.g., 18 U.S.C. §§ 1956 and 1957), (b) the Bank Secrecy Act of 1970 (e.g., 31 U.S.C. §§ 5311 – 5330), as amended by the Patriot Act, (c) the Requirements of Law, regulations and Executive Orders administered by the United States Department of the Treasury’s Office of Foreign Assets Control (“</w:t>
      </w:r>
      <w:r>
        <w:rPr>
          <w:rFonts w:ascii="Times New Roman" w:cs="Times New Roman" w:eastAsia="Times New Roman" w:hAnsi="Times New Roman"/>
          <w:sz w:val="20"/>
          <w:szCs w:val="20"/>
          <w:b w:val="1"/>
          <w:bCs w:val="1"/>
          <w:color w:val="auto"/>
        </w:rPr>
        <w:t>OFAC</w:t>
      </w:r>
      <w:r>
        <w:rPr>
          <w:rFonts w:ascii="Times New Roman" w:cs="Times New Roman" w:eastAsia="Times New Roman" w:hAnsi="Times New Roman"/>
          <w:sz w:val="20"/>
          <w:szCs w:val="20"/>
          <w:color w:val="auto"/>
        </w:rPr>
        <w:t>”), (d) the Comprehensive Iran Sanctions, Accountability, and Divestment Act of 2010 and implementing regulations by the United States Department of the Treasury, (e) the Requirements of Law, regulations and orders administered by the UK Office of Financial Sanctions Implementation, (f) any Requirements of Law prohibiting or directed against terrorist activities or the financing of terrorist activities (e.g., 18 U.S.C. §§ 2339A and 2339B), or (g) any similar Requirements of Law enacted in the United States, Ireland, Malta, Australia, Canada, the United Kingdom, the European Union, or any other jurisdictions in which the parties to this agreement operate, and all other present and future legal requirements of any Governmental Authority governing, addressing, relating to, or attempting to eliminate, terrorist acts and acts of war.</w:t>
      </w:r>
    </w:p>
    <w:p>
      <w:pPr>
        <w:spacing w:after="0" w:line="19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Applicable Mandatory Prepayment</w:t>
      </w:r>
      <w:r>
        <w:rPr>
          <w:rFonts w:ascii="Times New Roman" w:cs="Times New Roman" w:eastAsia="Times New Roman" w:hAnsi="Times New Roman"/>
          <w:sz w:val="20"/>
          <w:szCs w:val="20"/>
          <w:color w:val="auto"/>
        </w:rPr>
        <w:t xml:space="preserve">” is defined in </w:t>
      </w:r>
      <w:r>
        <w:rPr>
          <w:rFonts w:ascii="Times New Roman" w:cs="Times New Roman" w:eastAsia="Times New Roman" w:hAnsi="Times New Roman"/>
          <w:sz w:val="20"/>
          <w:szCs w:val="20"/>
          <w:u w:val="single" w:color="auto"/>
          <w:color w:val="auto"/>
        </w:rPr>
        <w:t>Section 2.2(e)</w:t>
      </w:r>
      <w:r>
        <w:rPr>
          <w:rFonts w:ascii="Times New Roman" w:cs="Times New Roman" w:eastAsia="Times New Roman" w:hAnsi="Times New Roman"/>
          <w:sz w:val="20"/>
          <w:szCs w:val="20"/>
          <w:color w:val="auto"/>
        </w:rPr>
        <w:t>.</w:t>
      </w:r>
    </w:p>
    <w:p>
      <w:pPr>
        <w:spacing w:after="0" w:line="202"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Applicable Margin</w:t>
      </w:r>
      <w:r>
        <w:rPr>
          <w:rFonts w:ascii="Times New Roman" w:cs="Times New Roman" w:eastAsia="Times New Roman" w:hAnsi="Times New Roman"/>
          <w:sz w:val="20"/>
          <w:szCs w:val="20"/>
          <w:color w:val="auto"/>
        </w:rPr>
        <w:t xml:space="preserve">” means a percentage per annum equal to (a) for the Term Loans consisting of SOFR Loans, four and three-quarter percent (4.75%);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in the event the Borrower makes a PIK Election with respect to any portion of the Term Loans in respect of any Interest Period, then the Applicable Margin for such Term Loans for such Interest Period shall be increased by 0.50% per annum (such 0.50% increase, the “</w:t>
      </w:r>
      <w:r>
        <w:rPr>
          <w:rFonts w:ascii="Times New Roman" w:cs="Times New Roman" w:eastAsia="Times New Roman" w:hAnsi="Times New Roman"/>
          <w:sz w:val="20"/>
          <w:szCs w:val="20"/>
          <w:b w:val="1"/>
          <w:bCs w:val="1"/>
          <w:color w:val="auto"/>
        </w:rPr>
        <w:t>Additional PIK Rate</w:t>
      </w:r>
      <w:r>
        <w:rPr>
          <w:rFonts w:ascii="Times New Roman" w:cs="Times New Roman" w:eastAsia="Times New Roman" w:hAnsi="Times New Roman"/>
          <w:sz w:val="20"/>
          <w:szCs w:val="20"/>
          <w:color w:val="auto"/>
        </w:rPr>
        <w:t>”) and (b) for Revolving Credit Loans consisting of SOFR Loans, four percent (4.00%).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598805</wp:posOffset>
            </wp:positionV>
            <wp:extent cx="7157720" cy="4254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09" w:right="419" w:bottom="1440" w:gutter="0" w:footer="0" w:header="0"/>
        </w:sectPr>
      </w:pPr>
    </w:p>
    <w:bookmarkStart w:id="278" w:name="page279"/>
    <w:bookmarkEnd w:id="278"/>
    <w:p>
      <w:pPr>
        <w:spacing w:after="0" w:line="194" w:lineRule="exact"/>
        <w:rPr>
          <w:sz w:val="20"/>
          <w:szCs w:val="20"/>
          <w:color w:val="auto"/>
        </w:rPr>
      </w:pPr>
    </w:p>
    <w:p>
      <w:pPr>
        <w:jc w:val="right"/>
        <w:ind w:right="4459"/>
        <w:spacing w:after="0"/>
        <w:rPr>
          <w:sz w:val="20"/>
          <w:szCs w:val="20"/>
          <w:color w:val="auto"/>
        </w:rPr>
      </w:pPr>
      <w:r>
        <w:rPr>
          <w:rFonts w:ascii="Times New Roman" w:cs="Times New Roman" w:eastAsia="Times New Roman" w:hAnsi="Times New Roman"/>
          <w:sz w:val="18"/>
          <w:szCs w:val="18"/>
          <w:color w:val="auto"/>
        </w:rPr>
        <w:t>81</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4905-3710-6484 v.17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600710</wp:posOffset>
            </wp:positionV>
            <wp:extent cx="7157720" cy="4254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279" w:name="page280"/>
    <w:bookmarkEnd w:id="279"/>
    <w:p>
      <w:pPr>
        <w:jc w:val="both"/>
        <w:ind w:firstLine="749"/>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Approved Fund</w:t>
      </w:r>
      <w:r>
        <w:rPr>
          <w:rFonts w:ascii="Times New Roman" w:cs="Times New Roman" w:eastAsia="Times New Roman" w:hAnsi="Times New Roman"/>
          <w:sz w:val="20"/>
          <w:szCs w:val="20"/>
          <w:color w:val="auto"/>
        </w:rPr>
        <w:t>” means (x) any Blackstone Entity and (y) any other Person (other than a natural person) that is engaged in making, purchasing, holding or otherwise investing in commercial loans and similar extensions of credit in the ordinary course that is administered, advised or managed by (a) a Lender, (b) an Affiliate of a Lender or (c) an entity or an Affiliate of an entity that administers, advises or manages a Lender.</w:t>
      </w:r>
    </w:p>
    <w:p>
      <w:pPr>
        <w:spacing w:after="0" w:line="176" w:lineRule="exact"/>
        <w:rPr>
          <w:sz w:val="20"/>
          <w:szCs w:val="20"/>
          <w:color w:val="auto"/>
        </w:rPr>
      </w:pPr>
    </w:p>
    <w:p>
      <w:pPr>
        <w:jc w:val="both"/>
        <w:ind w:firstLine="749"/>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Article 55 BRRD</w:t>
      </w:r>
      <w:r>
        <w:rPr>
          <w:rFonts w:ascii="Times New Roman" w:cs="Times New Roman" w:eastAsia="Times New Roman" w:hAnsi="Times New Roman"/>
          <w:sz w:val="20"/>
          <w:szCs w:val="20"/>
          <w:color w:val="auto"/>
        </w:rPr>
        <w:t>” means Article 55 of Directive 2014/59/EU establishing a framework for the recovery and resolution of credit institutions and investment firms.</w:t>
      </w:r>
    </w:p>
    <w:p>
      <w:pPr>
        <w:spacing w:after="0" w:line="152"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Asset Acquisition</w:t>
      </w:r>
      <w:r>
        <w:rPr>
          <w:rFonts w:ascii="Times New Roman" w:cs="Times New Roman" w:eastAsia="Times New Roman" w:hAnsi="Times New Roman"/>
          <w:sz w:val="19"/>
          <w:szCs w:val="19"/>
          <w:color w:val="auto"/>
        </w:rPr>
        <w:t>” means, with respect to Borrower or any of its Subsidiaries, any transaction or series of related transactions by which the Borrower or any of its Subsidiaries directly or indirectly purchases, in-licenses or otherwise acquires any properties or assets of any other Person (including any purchase, in-license or other acquisition of any business unit, line of business or division of such Person or any acquisition of the right to use, make, have made, import, export, develop, sell or offer for sale (in each case, including through licensing), any product, product line or Intellectual Property of or from any other Person). “Asset Acquisition” shall include any co-promotion or co-marketing arrangement pursuant to which Borrower or any Subsidiary acquires rights to promote or market the products of another Person.</w:t>
      </w:r>
    </w:p>
    <w:p>
      <w:pPr>
        <w:spacing w:after="0" w:line="15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Asset Sale</w:t>
      </w:r>
      <w:r>
        <w:rPr>
          <w:rFonts w:ascii="Times New Roman" w:cs="Times New Roman" w:eastAsia="Times New Roman" w:hAnsi="Times New Roman"/>
          <w:sz w:val="20"/>
          <w:szCs w:val="20"/>
          <w:color w:val="auto"/>
        </w:rPr>
        <w:t>” means any Transfer, other than Transfers expressly permitted under clauses (a), (b), (d), (e), (f), (g), (h), (i), (j)(i), (j)</w:t>
      </w:r>
    </w:p>
    <w:p>
      <w:pPr>
        <w:spacing w:after="0" w:line="26" w:lineRule="exact"/>
        <w:rPr>
          <w:sz w:val="20"/>
          <w:szCs w:val="20"/>
          <w:color w:val="auto"/>
        </w:rPr>
      </w:pPr>
    </w:p>
    <w:p>
      <w:pPr>
        <w:ind w:right="20" w:firstLine="8"/>
        <w:spacing w:after="0" w:line="246" w:lineRule="auto"/>
        <w:tabs>
          <w:tab w:leader="none" w:pos="321" w:val="left"/>
        </w:tabs>
        <w:numPr>
          <w:ilvl w:val="0"/>
          <w:numId w:val="1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(solely to the extent the terms of the exclusive license permitted by such clause (j)(ii) are consistent with a commercial transaction negotiated at arm’s-length), (j)(iii), (j)(iv) or (k) of the definition “Permitted Transfer”.</w:t>
      </w:r>
    </w:p>
    <w:p>
      <w:pPr>
        <w:spacing w:after="0" w:line="178" w:lineRule="exact"/>
        <w:rPr>
          <w:sz w:val="20"/>
          <w:szCs w:val="20"/>
          <w:color w:val="auto"/>
        </w:rPr>
      </w:pPr>
    </w:p>
    <w:p>
      <w:pPr>
        <w:jc w:val="both"/>
        <w:ind w:firstLine="749"/>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Assignment and Assumption</w:t>
      </w:r>
      <w:r>
        <w:rPr>
          <w:rFonts w:ascii="Times New Roman" w:cs="Times New Roman" w:eastAsia="Times New Roman" w:hAnsi="Times New Roman"/>
          <w:sz w:val="20"/>
          <w:szCs w:val="20"/>
          <w:color w:val="auto"/>
        </w:rPr>
        <w:t xml:space="preserve">” means an Assignment and Assumption substantially in the form of </w:t>
      </w:r>
      <w:r>
        <w:rPr>
          <w:rFonts w:ascii="Times New Roman" w:cs="Times New Roman" w:eastAsia="Times New Roman" w:hAnsi="Times New Roman"/>
          <w:sz w:val="20"/>
          <w:szCs w:val="20"/>
          <w:u w:val="single" w:color="auto"/>
          <w:color w:val="auto"/>
        </w:rPr>
        <w:t>Exhibit G</w:t>
      </w:r>
      <w:r>
        <w:rPr>
          <w:rFonts w:ascii="Times New Roman" w:cs="Times New Roman" w:eastAsia="Times New Roman" w:hAnsi="Times New Roman"/>
          <w:sz w:val="20"/>
          <w:szCs w:val="20"/>
          <w:color w:val="auto"/>
        </w:rPr>
        <w:t xml:space="preserve"> hereto or any other form approved by the Agent.</w:t>
      </w:r>
    </w:p>
    <w:p>
      <w:pPr>
        <w:spacing w:after="0" w:line="152"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Auvelity</w:t>
      </w:r>
      <w:r>
        <w:rPr>
          <w:rFonts w:ascii="Times New Roman" w:cs="Times New Roman" w:eastAsia="Times New Roman" w:hAnsi="Times New Roman"/>
          <w:sz w:val="20"/>
          <w:szCs w:val="20"/>
          <w:color w:val="auto"/>
        </w:rPr>
        <w:t>” means (dextromethorphan-bupropion), a novel, oral combination of dextromethorphan, an N-methyl-D-aspartate (NMDA) receptor antagonist and sigma-1 receptor agonist, and bupropion, an aminoketone and CYP2D6 inhibitor indicated for the treatment of MDD in adults, together with any improvements or modifications thereto, including any current or future pharmaceutical or biological product (including any product in development or that may be developed) that is derivative of or includes the combination of any of dextromethorphan and bupropion (regardless of what trade name is utilized), including any formulation, dose, or dosage form thereof, regardless of the indication.</w:t>
      </w: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Bail-In Action</w:t>
      </w:r>
      <w:r>
        <w:rPr>
          <w:rFonts w:ascii="Times New Roman" w:cs="Times New Roman" w:eastAsia="Times New Roman" w:hAnsi="Times New Roman"/>
          <w:sz w:val="20"/>
          <w:szCs w:val="20"/>
          <w:color w:val="auto"/>
        </w:rPr>
        <w:t>” means the exercise of any Write-Down and Conversion Powers. “</w:t>
      </w:r>
      <w:r>
        <w:rPr>
          <w:rFonts w:ascii="Times New Roman" w:cs="Times New Roman" w:eastAsia="Times New Roman" w:hAnsi="Times New Roman"/>
          <w:sz w:val="20"/>
          <w:szCs w:val="20"/>
          <w:b w:val="1"/>
          <w:bCs w:val="1"/>
          <w:color w:val="auto"/>
        </w:rPr>
        <w:t>Bail-In Legislation</w:t>
      </w:r>
      <w:r>
        <w:rPr>
          <w:rFonts w:ascii="Times New Roman" w:cs="Times New Roman" w:eastAsia="Times New Roman" w:hAnsi="Times New Roman"/>
          <w:sz w:val="20"/>
          <w:szCs w:val="20"/>
          <w:color w:val="auto"/>
        </w:rPr>
        <w:t>” means:</w:t>
      </w:r>
    </w:p>
    <w:p>
      <w:pPr>
        <w:spacing w:after="0" w:line="194" w:lineRule="exact"/>
        <w:rPr>
          <w:sz w:val="20"/>
          <w:szCs w:val="20"/>
          <w:color w:val="auto"/>
        </w:rPr>
      </w:pPr>
    </w:p>
    <w:p>
      <w:pPr>
        <w:ind w:firstLine="1580"/>
        <w:spacing w:after="0" w:line="269" w:lineRule="auto"/>
        <w:tabs>
          <w:tab w:leader="none" w:pos="2036" w:val="left"/>
        </w:tabs>
        <w:numPr>
          <w:ilvl w:val="0"/>
          <w:numId w:val="1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relation to an EEA Member Country which has implemented, or which at any time implements, Article 55 BRRD, the relevant implementing law or regulation as described in the EU Bail-In Legislation Schedule from time to time;</w:t>
      </w:r>
    </w:p>
    <w:p>
      <w:pPr>
        <w:spacing w:after="0" w:line="159" w:lineRule="exact"/>
        <w:rPr>
          <w:rFonts w:ascii="Times New Roman" w:cs="Times New Roman" w:eastAsia="Times New Roman" w:hAnsi="Times New Roman"/>
          <w:sz w:val="20"/>
          <w:szCs w:val="20"/>
          <w:color w:val="auto"/>
        </w:rPr>
      </w:pPr>
    </w:p>
    <w:p>
      <w:pPr>
        <w:ind w:left="2040" w:hanging="460"/>
        <w:spacing w:after="0"/>
        <w:tabs>
          <w:tab w:leader="none" w:pos="2040" w:val="left"/>
        </w:tabs>
        <w:numPr>
          <w:ilvl w:val="0"/>
          <w:numId w:val="1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relation to the United Kingdom, the U.K. Bail-In Legislation; and</w:t>
      </w:r>
    </w:p>
    <w:p>
      <w:pPr>
        <w:spacing w:after="0" w:line="202" w:lineRule="exact"/>
        <w:rPr>
          <w:rFonts w:ascii="Times New Roman" w:cs="Times New Roman" w:eastAsia="Times New Roman" w:hAnsi="Times New Roman"/>
          <w:sz w:val="20"/>
          <w:szCs w:val="20"/>
          <w:color w:val="auto"/>
        </w:rPr>
      </w:pPr>
    </w:p>
    <w:p>
      <w:pPr>
        <w:jc w:val="both"/>
        <w:ind w:firstLine="1580"/>
        <w:spacing w:after="0" w:line="254" w:lineRule="auto"/>
        <w:tabs>
          <w:tab w:leader="none" w:pos="2036" w:val="left"/>
        </w:tabs>
        <w:numPr>
          <w:ilvl w:val="0"/>
          <w:numId w:val="1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relation to any state other than such an EEA Member Country and the United Kingdom, any analogous law or regulation from time to time which requires contractual recognition of any Write-Down and Conversion Powers contained in that law or regulation.</w:t>
      </w:r>
    </w:p>
    <w:p>
      <w:pPr>
        <w:spacing w:after="0" w:line="170" w:lineRule="exact"/>
        <w:rPr>
          <w:sz w:val="20"/>
          <w:szCs w:val="20"/>
          <w:color w:val="auto"/>
        </w:rPr>
      </w:pPr>
    </w:p>
    <w:p>
      <w:pPr>
        <w:ind w:firstLine="749"/>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Bankruptcy Code</w:t>
      </w:r>
      <w:r>
        <w:rPr>
          <w:rFonts w:ascii="Times New Roman" w:cs="Times New Roman" w:eastAsia="Times New Roman" w:hAnsi="Times New Roman"/>
          <w:sz w:val="20"/>
          <w:szCs w:val="20"/>
          <w:color w:val="auto"/>
        </w:rPr>
        <w:t>” means Title 11 of the United States Code entitled “Bankruptcy,” as now and hereafter in effect, or any successor statute.</w:t>
      </w:r>
    </w:p>
    <w:p>
      <w:pPr>
        <w:spacing w:after="0" w:line="152" w:lineRule="exact"/>
        <w:rPr>
          <w:sz w:val="20"/>
          <w:szCs w:val="20"/>
          <w:color w:val="auto"/>
        </w:rPr>
      </w:pPr>
    </w:p>
    <w:p>
      <w:pPr>
        <w:ind w:firstLine="749"/>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Benchmark</w:t>
      </w:r>
      <w:r>
        <w:rPr>
          <w:rFonts w:ascii="Times New Roman" w:cs="Times New Roman" w:eastAsia="Times New Roman" w:hAnsi="Times New Roman"/>
          <w:sz w:val="20"/>
          <w:szCs w:val="20"/>
          <w:color w:val="auto"/>
        </w:rPr>
        <w:t xml:space="preserve">” means, initially, the Term SOFR Reference Rate;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a Benchmark Transition Event has occurred with respect to the Term SOFR Reference Rate or the then-current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581025</wp:posOffset>
            </wp:positionV>
            <wp:extent cx="7157720" cy="4254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280" w:name="page281"/>
    <w:bookmarkEnd w:id="280"/>
    <w:p>
      <w:pPr>
        <w:jc w:val="right"/>
        <w:ind w:right="4419"/>
        <w:spacing w:after="0"/>
        <w:rPr>
          <w:sz w:val="20"/>
          <w:szCs w:val="20"/>
          <w:color w:val="auto"/>
        </w:rPr>
      </w:pPr>
      <w:r>
        <w:rPr>
          <w:rFonts w:ascii="Times New Roman" w:cs="Times New Roman" w:eastAsia="Times New Roman" w:hAnsi="Times New Roman"/>
          <w:sz w:val="18"/>
          <w:szCs w:val="18"/>
          <w:color w:val="auto"/>
        </w:rPr>
        <w:t>82</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4905-3710-6484 v.17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600710</wp:posOffset>
            </wp:positionV>
            <wp:extent cx="7157720" cy="4254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31" w:right="1440" w:bottom="1440" w:gutter="0" w:footer="0" w:header="0"/>
        </w:sectPr>
      </w:pPr>
    </w:p>
    <w:bookmarkStart w:id="281" w:name="page282"/>
    <w:bookmarkEnd w:id="281"/>
    <w:p>
      <w:pPr>
        <w:jc w:val="both"/>
        <w:spacing w:after="0" w:line="269" w:lineRule="auto"/>
        <w:rPr>
          <w:sz w:val="20"/>
          <w:szCs w:val="20"/>
          <w:color w:val="auto"/>
        </w:rPr>
      </w:pPr>
      <w:r>
        <w:rPr>
          <w:rFonts w:ascii="Times New Roman" w:cs="Times New Roman" w:eastAsia="Times New Roman" w:hAnsi="Times New Roman"/>
          <w:sz w:val="20"/>
          <w:szCs w:val="20"/>
          <w:color w:val="auto"/>
        </w:rPr>
        <w:t xml:space="preserve">Benchmark, then “Benchmark” means the applicable Benchmark Replacement to the extent that such Benchmark Replacement has replaced such prior benchmark rate pursuant to </w:t>
      </w:r>
      <w:r>
        <w:rPr>
          <w:rFonts w:ascii="Times New Roman" w:cs="Times New Roman" w:eastAsia="Times New Roman" w:hAnsi="Times New Roman"/>
          <w:sz w:val="20"/>
          <w:szCs w:val="20"/>
          <w:u w:val="single" w:color="auto"/>
          <w:color w:val="auto"/>
        </w:rPr>
        <w:t>Section 2.9</w:t>
      </w:r>
      <w:r>
        <w:rPr>
          <w:rFonts w:ascii="Times New Roman" w:cs="Times New Roman" w:eastAsia="Times New Roman" w:hAnsi="Times New Roman"/>
          <w:sz w:val="20"/>
          <w:szCs w:val="20"/>
          <w:color w:val="auto"/>
        </w:rPr>
        <w:t>.</w:t>
      </w:r>
    </w:p>
    <w:p>
      <w:pPr>
        <w:spacing w:after="0" w:line="142"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Benchmark Replacement</w:t>
      </w:r>
      <w:r>
        <w:rPr>
          <w:rFonts w:ascii="Times New Roman" w:cs="Times New Roman" w:eastAsia="Times New Roman" w:hAnsi="Times New Roman"/>
          <w:sz w:val="20"/>
          <w:szCs w:val="20"/>
          <w:color w:val="auto"/>
        </w:rPr>
        <w:t xml:space="preserve">” means with respect to any Benchmark Transition Event, the sum of: (a) the alternate benchmark rate that has been selected by the Agent, the Blackstone Representative and Borrower giving due consideration to (i) any selection or recommendation of a replacement benchmark rate or the mechanism for determining such a rate by the Relevant Governmental Body or (ii) any evolving or then-prevailing market convention for determining a benchmark rate as a replacement to the then-current Benchmark for Dollar-denominated syndicated credit facilities and (b) the related Benchmark Replacement Adjustment;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such Benchmark Replacement as so determined would be less than the Floor, such Benchmark Replacement shall be deemed to be the Floor for the purposes of this Agreement and the other Loan Documents;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xml:space="preserve"> that, if such Benchmark Replacement as so determined would be greater than the Ceiling, such Benchmark Replacement shall be deemed to be the Ceiling for the purposes of this Agreement and the other Loan Documents.</w:t>
      </w:r>
    </w:p>
    <w:p>
      <w:pPr>
        <w:spacing w:after="0" w:line="186"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Benchmark Replacement Adjustment</w:t>
      </w:r>
      <w:r>
        <w:rPr>
          <w:rFonts w:ascii="Times New Roman" w:cs="Times New Roman" w:eastAsia="Times New Roman" w:hAnsi="Times New Roman"/>
          <w:sz w:val="20"/>
          <w:szCs w:val="20"/>
          <w:color w:val="auto"/>
        </w:rPr>
        <w:t>” means, with respect to any replacement of the then-current Benchmark with an Unadjusted Benchmark Replacement, the spread adjustment, or method for calculating or determining such spread adjustment (which may be a positive or negative value or zero) that has been selected by the Agent, the Blackstone Representative and Borrower giving due consideration to (a) any selection or recommendation of a spread adjustment, or method for calculating or determining such spread adjustment, for the replacement of such Benchmark with the applicable Unadjusted Benchmark Replacement by the Relevant Governmental Body or (b) any evolving or then-prevailing market convention for determining a spread adjustment, or method for calculating or determining such spread adjustment, for the replacement of such Benchmark with the applicable Unadjusted Benchmark Replacement for Dollar-denominated syndicated credit facilities.</w:t>
      </w:r>
    </w:p>
    <w:p>
      <w:pPr>
        <w:spacing w:after="0" w:line="19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Benchmark Replacement Date</w:t>
      </w:r>
      <w:r>
        <w:rPr>
          <w:rFonts w:ascii="Times New Roman" w:cs="Times New Roman" w:eastAsia="Times New Roman" w:hAnsi="Times New Roman"/>
          <w:sz w:val="19"/>
          <w:szCs w:val="19"/>
          <w:color w:val="auto"/>
        </w:rPr>
        <w:t>” means the earliest to occur of the following events with respect to the then-current Benchmark:</w:t>
      </w:r>
    </w:p>
    <w:p>
      <w:pPr>
        <w:spacing w:after="0" w:line="218" w:lineRule="exact"/>
        <w:rPr>
          <w:sz w:val="20"/>
          <w:szCs w:val="20"/>
          <w:color w:val="auto"/>
        </w:rPr>
      </w:pPr>
    </w:p>
    <w:p>
      <w:pPr>
        <w:jc w:val="both"/>
        <w:ind w:left="1580" w:hanging="823"/>
        <w:spacing w:after="0" w:line="249" w:lineRule="auto"/>
        <w:tabs>
          <w:tab w:leader="none" w:pos="1580" w:val="left"/>
        </w:tabs>
        <w:numPr>
          <w:ilvl w:val="0"/>
          <w:numId w:val="1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clause (a) or (b) of the definition of “Benchmark Transition Event”, the later of (i) the date of the public statement or publication of information referenced therein and (ii) the date on which the administrator of such Benchmark (or the published component used in the calculation thereof) permanently or indefinitely ceases to provide such Benchmark (or such component thereof); or</w:t>
      </w:r>
    </w:p>
    <w:p>
      <w:pPr>
        <w:spacing w:after="0" w:line="85" w:lineRule="exact"/>
        <w:rPr>
          <w:rFonts w:ascii="Times New Roman" w:cs="Times New Roman" w:eastAsia="Times New Roman" w:hAnsi="Times New Roman"/>
          <w:sz w:val="20"/>
          <w:szCs w:val="20"/>
          <w:color w:val="auto"/>
        </w:rPr>
      </w:pPr>
    </w:p>
    <w:p>
      <w:pPr>
        <w:jc w:val="both"/>
        <w:ind w:left="1580" w:hanging="823"/>
        <w:spacing w:after="0" w:line="244" w:lineRule="auto"/>
        <w:tabs>
          <w:tab w:leader="none" w:pos="1580" w:val="left"/>
        </w:tabs>
        <w:numPr>
          <w:ilvl w:val="0"/>
          <w:numId w:val="1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the case of clause (c) of the definition of “Benchmark Transition Event”, the first date on which such Benchmark (or the published component used in the calculation thereof) has been determined and announced by or on behalf of the administrator of such Benchmark (or such component thereof) or the regulatory supervisor for the administrator of such Benchmark (or such component thereof) to be non-representative or non-compliant with or non-aligned with the International Organization of Securities Commissions (IOSCO) Principles for Financial Benchmarks;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non-representativeness, non-compliance or non-alignment shall be determined by reference to the most recent statement or publication referenced in such clause (c).</w:t>
      </w:r>
    </w:p>
    <w:p>
      <w:pPr>
        <w:spacing w:after="0" w:line="16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Benchmark Transition Event</w:t>
      </w:r>
      <w:r>
        <w:rPr>
          <w:rFonts w:ascii="Times New Roman" w:cs="Times New Roman" w:eastAsia="Times New Roman" w:hAnsi="Times New Roman"/>
          <w:sz w:val="20"/>
          <w:szCs w:val="20"/>
          <w:color w:val="auto"/>
        </w:rPr>
        <w:t>” means the occurrence of one or more of the following events with respect to the then-current</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Benchmark:</w:t>
      </w:r>
    </w:p>
    <w:p>
      <w:pPr>
        <w:spacing w:after="0" w:line="207" w:lineRule="exact"/>
        <w:rPr>
          <w:sz w:val="20"/>
          <w:szCs w:val="20"/>
          <w:color w:val="auto"/>
        </w:rPr>
      </w:pPr>
    </w:p>
    <w:p>
      <w:pPr>
        <w:ind w:left="1580" w:hanging="823"/>
        <w:spacing w:after="0" w:line="254" w:lineRule="auto"/>
        <w:tabs>
          <w:tab w:leader="none" w:pos="1152" w:val="left"/>
        </w:tabs>
        <w:numPr>
          <w:ilvl w:val="0"/>
          <w:numId w:val="1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 public statement or publication of information by or on behalf of the administrator of such Benchmark (or the published component used in the calculation thereof) announcing that such administrator has ceased or shall cease to provide such Benchmark (or such component thereof) permanently or indefinitely;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at the time of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592455</wp:posOffset>
            </wp:positionV>
            <wp:extent cx="7157720" cy="4254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26" w:right="419" w:bottom="1440" w:gutter="0" w:footer="0" w:header="0"/>
        </w:sectPr>
      </w:pPr>
    </w:p>
    <w:bookmarkStart w:id="282" w:name="page283"/>
    <w:bookmarkEnd w:id="282"/>
    <w:p>
      <w:pPr>
        <w:spacing w:after="0" w:line="275" w:lineRule="exact"/>
        <w:rPr>
          <w:sz w:val="20"/>
          <w:szCs w:val="20"/>
          <w:color w:val="auto"/>
        </w:rPr>
      </w:pPr>
    </w:p>
    <w:p>
      <w:pPr>
        <w:jc w:val="right"/>
        <w:ind w:right="4459"/>
        <w:spacing w:after="0"/>
        <w:rPr>
          <w:sz w:val="20"/>
          <w:szCs w:val="20"/>
          <w:color w:val="auto"/>
        </w:rPr>
      </w:pPr>
      <w:r>
        <w:rPr>
          <w:rFonts w:ascii="Times New Roman" w:cs="Times New Roman" w:eastAsia="Times New Roman" w:hAnsi="Times New Roman"/>
          <w:sz w:val="18"/>
          <w:szCs w:val="18"/>
          <w:color w:val="auto"/>
        </w:rPr>
        <w:t>83</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4905-3710-6484 v.17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600710</wp:posOffset>
            </wp:positionV>
            <wp:extent cx="7157720" cy="4254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283" w:name="page284"/>
    <w:bookmarkEnd w:id="283"/>
    <w:p>
      <w:pPr>
        <w:ind w:left="1580"/>
        <w:spacing w:after="0" w:line="269" w:lineRule="auto"/>
        <w:rPr>
          <w:sz w:val="20"/>
          <w:szCs w:val="20"/>
          <w:color w:val="auto"/>
        </w:rPr>
      </w:pPr>
      <w:r>
        <w:rPr>
          <w:rFonts w:ascii="Times New Roman" w:cs="Times New Roman" w:eastAsia="Times New Roman" w:hAnsi="Times New Roman"/>
          <w:sz w:val="20"/>
          <w:szCs w:val="20"/>
          <w:color w:val="auto"/>
        </w:rPr>
        <w:t>statement or publication, there is no successor administrator that shall continue to provide such Benchmark (or such component thereof);</w:t>
      </w:r>
    </w:p>
    <w:p>
      <w:pPr>
        <w:spacing w:after="0" w:line="146" w:lineRule="exact"/>
        <w:rPr>
          <w:sz w:val="20"/>
          <w:szCs w:val="20"/>
          <w:color w:val="auto"/>
        </w:rPr>
      </w:pPr>
    </w:p>
    <w:p>
      <w:pPr>
        <w:jc w:val="both"/>
        <w:ind w:left="1580" w:hanging="823"/>
        <w:spacing w:after="0" w:line="243" w:lineRule="auto"/>
        <w:tabs>
          <w:tab w:leader="none" w:pos="1580" w:val="left"/>
        </w:tabs>
        <w:numPr>
          <w:ilvl w:val="0"/>
          <w:numId w:val="1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 public statement or publication of information by the regulatory supervisor for the administrator of such Benchmark (or the published component used in the calculation thereof), the Federal Reserve Board, the Federal Reserve Bank of New York,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which states that the administrator of such Benchmark (or such component) has ceased or shall cease to provide such Benchmark (or such component thereof) permanently or indefinitely;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at the time of such statement or publication, there is no successor administrator that shall continue to provide such Benchmark (or such component thereof); or</w:t>
      </w:r>
    </w:p>
    <w:p>
      <w:pPr>
        <w:spacing w:after="0" w:line="77" w:lineRule="exact"/>
        <w:rPr>
          <w:rFonts w:ascii="Times New Roman" w:cs="Times New Roman" w:eastAsia="Times New Roman" w:hAnsi="Times New Roman"/>
          <w:sz w:val="20"/>
          <w:szCs w:val="20"/>
          <w:color w:val="auto"/>
        </w:rPr>
      </w:pPr>
    </w:p>
    <w:p>
      <w:pPr>
        <w:jc w:val="both"/>
        <w:ind w:left="1580" w:hanging="823"/>
        <w:spacing w:after="0" w:line="246" w:lineRule="auto"/>
        <w:tabs>
          <w:tab w:leader="none" w:pos="1580" w:val="left"/>
        </w:tabs>
        <w:numPr>
          <w:ilvl w:val="0"/>
          <w:numId w:val="1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public statement or publication of information by or on behalf of the administrator of such Benchmark (or the published component used in the calculation thereof) or the regulatory supervisor for the administrator of such Benchmark (or such component thereof) announcing that such Benchmark (or such component thereof) is not, or as of a specified future date shall not be, representative or in compliance with or aligned with the International Organization of Securities Commissions (IOSCO) Principles for Financial Benchmarks.</w:t>
      </w:r>
    </w:p>
    <w:p>
      <w:pPr>
        <w:spacing w:after="0" w:line="194"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Benchmark Transition Start Date</w:t>
      </w:r>
      <w:r>
        <w:rPr>
          <w:rFonts w:ascii="Times New Roman" w:cs="Times New Roman" w:eastAsia="Times New Roman" w:hAnsi="Times New Roman"/>
          <w:sz w:val="20"/>
          <w:szCs w:val="20"/>
          <w:color w:val="auto"/>
        </w:rPr>
        <w:t>” means, in the case of a Benchmark Transition Event, the earlier of (a) the applicable Benchmark Replacement Date and (b) if such Benchmark Transition Event is a public statement or publication of information of a prospective event, the 90th day prior to the expected date of such event as of such public statement or publication of information (or if the expected date of such prospective event is fewer than 90 days after such statement or publication, the date of such statement or publication).</w:t>
      </w:r>
    </w:p>
    <w:p>
      <w:pPr>
        <w:spacing w:after="0" w:line="176"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Benchmark Unavailability Period</w:t>
      </w:r>
      <w:r>
        <w:rPr>
          <w:rFonts w:ascii="Times New Roman" w:cs="Times New Roman" w:eastAsia="Times New Roman" w:hAnsi="Times New Roman"/>
          <w:sz w:val="20"/>
          <w:szCs w:val="20"/>
          <w:color w:val="auto"/>
        </w:rPr>
        <w:t xml:space="preserve">” means, the period (if any) (a) beginning at the time that a Benchmark Replacement Date has occurred if, at such time, no Benchmark Replacement has replaced the then-current Benchmark for all purposes hereunder and under any Loan Document in accordance with </w:t>
      </w:r>
      <w:r>
        <w:rPr>
          <w:rFonts w:ascii="Times New Roman" w:cs="Times New Roman" w:eastAsia="Times New Roman" w:hAnsi="Times New Roman"/>
          <w:sz w:val="20"/>
          <w:szCs w:val="20"/>
          <w:u w:val="single" w:color="auto"/>
          <w:color w:val="auto"/>
        </w:rPr>
        <w:t>Section 2.9</w:t>
      </w:r>
      <w:r>
        <w:rPr>
          <w:rFonts w:ascii="Times New Roman" w:cs="Times New Roman" w:eastAsia="Times New Roman" w:hAnsi="Times New Roman"/>
          <w:sz w:val="20"/>
          <w:szCs w:val="20"/>
          <w:color w:val="auto"/>
        </w:rPr>
        <w:t xml:space="preserve"> and (b) ending at the time that a Benchmark Replacement has replaced the then-current Benchmark for all purposes hereunder and under any Loan Document in accordance with </w:t>
      </w:r>
      <w:r>
        <w:rPr>
          <w:rFonts w:ascii="Times New Roman" w:cs="Times New Roman" w:eastAsia="Times New Roman" w:hAnsi="Times New Roman"/>
          <w:sz w:val="20"/>
          <w:szCs w:val="20"/>
          <w:u w:val="single" w:color="auto"/>
          <w:color w:val="auto"/>
        </w:rPr>
        <w:t>Section 2.9</w:t>
      </w:r>
      <w:r>
        <w:rPr>
          <w:rFonts w:ascii="Times New Roman" w:cs="Times New Roman" w:eastAsia="Times New Roman" w:hAnsi="Times New Roman"/>
          <w:sz w:val="20"/>
          <w:szCs w:val="20"/>
          <w:color w:val="auto"/>
        </w:rPr>
        <w:t>.</w:t>
      </w:r>
    </w:p>
    <w:p>
      <w:pPr>
        <w:spacing w:after="0" w:line="176" w:lineRule="exact"/>
        <w:rPr>
          <w:sz w:val="20"/>
          <w:szCs w:val="20"/>
          <w:color w:val="auto"/>
        </w:rPr>
      </w:pPr>
    </w:p>
    <w:p>
      <w:pPr>
        <w:jc w:val="both"/>
        <w:ind w:firstLine="749"/>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Beneficial Ownership Certification</w:t>
      </w:r>
      <w:r>
        <w:rPr>
          <w:rFonts w:ascii="Times New Roman" w:cs="Times New Roman" w:eastAsia="Times New Roman" w:hAnsi="Times New Roman"/>
          <w:sz w:val="20"/>
          <w:szCs w:val="20"/>
          <w:color w:val="auto"/>
        </w:rPr>
        <w:t>” means a certification regarding beneficial ownership as required by the Beneficial Ownership Regulation.</w:t>
      </w:r>
    </w:p>
    <w:p>
      <w:pPr>
        <w:spacing w:after="0" w:line="16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Beneficial Ownership Regulation</w:t>
      </w:r>
      <w:r>
        <w:rPr>
          <w:rFonts w:ascii="Times New Roman" w:cs="Times New Roman" w:eastAsia="Times New Roman" w:hAnsi="Times New Roman"/>
          <w:sz w:val="20"/>
          <w:szCs w:val="20"/>
          <w:color w:val="auto"/>
        </w:rPr>
        <w:t>” means 31 C.F.R. §1010.230, as amended.</w:t>
      </w:r>
    </w:p>
    <w:p>
      <w:pPr>
        <w:spacing w:after="0" w:line="216" w:lineRule="exact"/>
        <w:rPr>
          <w:sz w:val="20"/>
          <w:szCs w:val="20"/>
          <w:color w:val="auto"/>
        </w:rPr>
      </w:pPr>
    </w:p>
    <w:p>
      <w:pPr>
        <w:jc w:val="both"/>
        <w:ind w:firstLine="749"/>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Blackstone Credit</w:t>
      </w:r>
      <w:r>
        <w:rPr>
          <w:rFonts w:ascii="Times New Roman" w:cs="Times New Roman" w:eastAsia="Times New Roman" w:hAnsi="Times New Roman"/>
          <w:sz w:val="20"/>
          <w:szCs w:val="20"/>
          <w:color w:val="auto"/>
        </w:rPr>
        <w:t>” means Blackstone Alternative Credit Advisors LP (on behalf of funds, accounts and clients managed, advised or sub-advised by it or its affiliates).</w:t>
      </w:r>
    </w:p>
    <w:p>
      <w:pPr>
        <w:spacing w:after="0" w:line="138"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Blackstone Entity</w:t>
      </w:r>
      <w:r>
        <w:rPr>
          <w:rFonts w:ascii="Times New Roman" w:cs="Times New Roman" w:eastAsia="Times New Roman" w:hAnsi="Times New Roman"/>
          <w:sz w:val="20"/>
          <w:szCs w:val="20"/>
          <w:color w:val="auto"/>
        </w:rPr>
        <w:t>” means each of (a) Blackstone Credit, (b) Blackstone Life Sciences, (c) Blackstone Finance, (d) any Affiliate of any of the foregoing and (e) any fund or account managed, advised or sub-advised by any of the foregoing.</w:t>
      </w:r>
    </w:p>
    <w:p>
      <w:pPr>
        <w:ind w:left="760" w:right="1980"/>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Blackstone Finance</w:t>
      </w:r>
      <w:r>
        <w:rPr>
          <w:rFonts w:ascii="Times New Roman" w:cs="Times New Roman" w:eastAsia="Times New Roman" w:hAnsi="Times New Roman"/>
          <w:sz w:val="20"/>
          <w:szCs w:val="20"/>
          <w:color w:val="auto"/>
        </w:rPr>
        <w:t>” means Blackstone Holdings Finance Co. L.L.C. “</w:t>
      </w:r>
      <w:r>
        <w:rPr>
          <w:rFonts w:ascii="Times New Roman" w:cs="Times New Roman" w:eastAsia="Times New Roman" w:hAnsi="Times New Roman"/>
          <w:sz w:val="20"/>
          <w:szCs w:val="20"/>
          <w:b w:val="1"/>
          <w:bCs w:val="1"/>
          <w:color w:val="auto"/>
        </w:rPr>
        <w:t>Blackstone Life Sciences</w:t>
      </w:r>
      <w:r>
        <w:rPr>
          <w:rFonts w:ascii="Times New Roman" w:cs="Times New Roman" w:eastAsia="Times New Roman" w:hAnsi="Times New Roman"/>
          <w:sz w:val="20"/>
          <w:szCs w:val="20"/>
          <w:color w:val="auto"/>
        </w:rPr>
        <w:t>” means Blackstone Life Sciences Advisors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596900</wp:posOffset>
            </wp:positionV>
            <wp:extent cx="7157720" cy="4254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6" w:right="339" w:bottom="1440" w:gutter="0" w:footer="0" w:header="0"/>
        </w:sectPr>
      </w:pPr>
    </w:p>
    <w:bookmarkStart w:id="284" w:name="page285"/>
    <w:bookmarkEnd w:id="284"/>
    <w:p>
      <w:pPr>
        <w:spacing w:after="0" w:line="200" w:lineRule="exact"/>
        <w:rPr>
          <w:sz w:val="20"/>
          <w:szCs w:val="20"/>
          <w:color w:val="auto"/>
        </w:rPr>
      </w:pPr>
    </w:p>
    <w:p>
      <w:pPr>
        <w:spacing w:after="0" w:line="331"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84</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4905-3710-6484 v.17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600710</wp:posOffset>
            </wp:positionV>
            <wp:extent cx="7157720" cy="4254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285" w:name="page286"/>
    <w:bookmarkEnd w:id="285"/>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Blackstone Representative</w:t>
      </w:r>
      <w:r>
        <w:rPr>
          <w:rFonts w:ascii="Times New Roman" w:cs="Times New Roman" w:eastAsia="Times New Roman" w:hAnsi="Times New Roman"/>
          <w:sz w:val="20"/>
          <w:szCs w:val="20"/>
          <w:color w:val="auto"/>
        </w:rPr>
        <w:t xml:space="preserve">” means, collectively Blackstone Alternative Credit Advisors LP and Blackstone Life Sciences Advisors L.L.C. and, after the Closing Date, any successor or assign that is a Blackstone Entity appointed by the previous Blackstone Entity(ies) that fulfilled the role as Blackstone Representative hereunder, effective upon written notice of such appointment to Borrower and the Agent;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if no Lender under this Agreement is a Blackstone Entity, then “Blackstone Representative” shall mean a Lender appointed by the Required Lenders and notified to the Agent and Borrower to fulfill the role as the Blackstone Representative or, in the absence of any such appointment, shall mean the Required Lenders.</w:t>
      </w:r>
    </w:p>
    <w:p>
      <w:pPr>
        <w:spacing w:after="0" w:line="179"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Blocked Person</w:t>
      </w:r>
      <w:r>
        <w:rPr>
          <w:rFonts w:ascii="Times New Roman" w:cs="Times New Roman" w:eastAsia="Times New Roman" w:hAnsi="Times New Roman"/>
          <w:sz w:val="20"/>
          <w:szCs w:val="20"/>
          <w:color w:val="auto"/>
        </w:rPr>
        <w:t>” means (a) any Person listed in any Sanctions-related list of designated Persons maintained by the United States Government (including OFAC), the United Nations Security Council, the European Union or its Member States, His Majesty’s Treasury, the Government of Ireland, the Government of Malta, the Australian Government or the Government of Canada (including any province or territory thereof and Global Affairs Canada), or other relevant sanctions authority, (b) any Person organized or resident in a Designated Jurisdiction or (c) any Person fifty percent (50%) or more owned or is controlled by any such Person or Persons described in the foregoing clauses (a) or (b).</w:t>
      </w:r>
    </w:p>
    <w:p>
      <w:pPr>
        <w:spacing w:after="0" w:line="16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Board of Directors</w:t>
      </w:r>
      <w:r>
        <w:rPr>
          <w:rFonts w:ascii="Times New Roman" w:cs="Times New Roman" w:eastAsia="Times New Roman" w:hAnsi="Times New Roman"/>
          <w:sz w:val="20"/>
          <w:szCs w:val="20"/>
          <w:color w:val="auto"/>
        </w:rPr>
        <w:t>” means, with respect to any Person, (i) in the case of any corporation, the board of directors of such Person,</w:t>
      </w:r>
    </w:p>
    <w:p>
      <w:pPr>
        <w:spacing w:after="0" w:line="26" w:lineRule="exact"/>
        <w:rPr>
          <w:sz w:val="20"/>
          <w:szCs w:val="20"/>
          <w:color w:val="auto"/>
        </w:rPr>
      </w:pPr>
    </w:p>
    <w:p>
      <w:pPr>
        <w:jc w:val="both"/>
        <w:ind w:firstLine="8"/>
        <w:spacing w:after="0" w:line="242" w:lineRule="auto"/>
        <w:tabs>
          <w:tab w:leader="none" w:pos="309" w:val="left"/>
        </w:tabs>
        <w:numPr>
          <w:ilvl w:val="0"/>
          <w:numId w:val="1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any limited liability company, the board of managers of such Person, or if there is none, the Board of Directors of the managing member of such Person, (iii) in the case of any partnership, the Board of Directors of the general partner of such Person and (iv) in any other case, the functional equivalent of the foregoing.</w:t>
      </w:r>
    </w:p>
    <w:p>
      <w:pPr>
        <w:spacing w:after="0" w:line="18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Board of Governors</w:t>
      </w:r>
      <w:r>
        <w:rPr>
          <w:rFonts w:ascii="Times New Roman" w:cs="Times New Roman" w:eastAsia="Times New Roman" w:hAnsi="Times New Roman"/>
          <w:sz w:val="20"/>
          <w:szCs w:val="20"/>
          <w:color w:val="auto"/>
        </w:rPr>
        <w:t>” means the Board of Governors of the United States Federal Reserve System, or any successor thereto.</w:t>
      </w:r>
    </w:p>
    <w:p>
      <w:pPr>
        <w:spacing w:after="0" w:line="216" w:lineRule="exact"/>
        <w:rPr>
          <w:sz w:val="20"/>
          <w:szCs w:val="20"/>
          <w:color w:val="auto"/>
        </w:rPr>
      </w:pPr>
    </w:p>
    <w:p>
      <w:pPr>
        <w:jc w:val="both"/>
        <w:ind w:firstLine="749"/>
        <w:spacing w:after="0" w:line="24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Books</w:t>
      </w:r>
      <w:r>
        <w:rPr>
          <w:rFonts w:ascii="Times New Roman" w:cs="Times New Roman" w:eastAsia="Times New Roman" w:hAnsi="Times New Roman"/>
          <w:sz w:val="20"/>
          <w:szCs w:val="20"/>
          <w:color w:val="auto"/>
        </w:rPr>
        <w:t>” means all books and records including ledgers, records regarding a Credit Party’s and its Subsidiaries’ assets or liabilities, the Collateral, business operations or financial condition, and all computer programs or storage or any equipment containing such information.</w:t>
      </w:r>
    </w:p>
    <w:p>
      <w:pPr>
        <w:spacing w:after="0" w:line="2" w:lineRule="exact"/>
        <w:rPr>
          <w:sz w:val="20"/>
          <w:szCs w:val="20"/>
          <w:color w:val="auto"/>
        </w:rPr>
      </w:pPr>
    </w:p>
    <w:p>
      <w:pPr>
        <w:ind w:left="760" w:right="4640"/>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Borrower</w:t>
      </w:r>
      <w:r>
        <w:rPr>
          <w:rFonts w:ascii="Times New Roman" w:cs="Times New Roman" w:eastAsia="Times New Roman" w:hAnsi="Times New Roman"/>
          <w:sz w:val="20"/>
          <w:szCs w:val="20"/>
          <w:color w:val="auto"/>
        </w:rPr>
        <w:t>” is defined in the preamble hereof. “</w:t>
      </w:r>
      <w:r>
        <w:rPr>
          <w:rFonts w:ascii="Times New Roman" w:cs="Times New Roman" w:eastAsia="Times New Roman" w:hAnsi="Times New Roman"/>
          <w:sz w:val="20"/>
          <w:szCs w:val="20"/>
          <w:b w:val="1"/>
          <w:bCs w:val="1"/>
          <w:color w:val="auto"/>
        </w:rPr>
        <w:t>Borrower Materials</w:t>
      </w:r>
      <w:r>
        <w:rPr>
          <w:rFonts w:ascii="Times New Roman" w:cs="Times New Roman" w:eastAsia="Times New Roman" w:hAnsi="Times New Roman"/>
          <w:sz w:val="20"/>
          <w:szCs w:val="20"/>
          <w:color w:val="auto"/>
        </w:rPr>
        <w:t xml:space="preserve">” is defined in </w:t>
      </w:r>
      <w:r>
        <w:rPr>
          <w:rFonts w:ascii="Times New Roman" w:cs="Times New Roman" w:eastAsia="Times New Roman" w:hAnsi="Times New Roman"/>
          <w:sz w:val="20"/>
          <w:szCs w:val="20"/>
          <w:u w:val="single" w:color="auto"/>
          <w:color w:val="auto"/>
        </w:rPr>
        <w:t>Section 9</w:t>
      </w:r>
      <w:r>
        <w:rPr>
          <w:rFonts w:ascii="Times New Roman" w:cs="Times New Roman" w:eastAsia="Times New Roman" w:hAnsi="Times New Roman"/>
          <w:sz w:val="20"/>
          <w:szCs w:val="20"/>
          <w:color w:val="auto"/>
        </w:rPr>
        <w:t>.</w:t>
      </w:r>
    </w:p>
    <w:p>
      <w:pPr>
        <w:spacing w:after="0" w:line="178" w:lineRule="exact"/>
        <w:rPr>
          <w:sz w:val="20"/>
          <w:szCs w:val="20"/>
          <w:color w:val="auto"/>
        </w:rPr>
      </w:pPr>
    </w:p>
    <w:p>
      <w:pPr>
        <w:jc w:val="both"/>
        <w:ind w:firstLine="749"/>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Borrowing</w:t>
      </w:r>
      <w:r>
        <w:rPr>
          <w:rFonts w:ascii="Times New Roman" w:cs="Times New Roman" w:eastAsia="Times New Roman" w:hAnsi="Times New Roman"/>
          <w:sz w:val="20"/>
          <w:szCs w:val="20"/>
          <w:color w:val="auto"/>
        </w:rPr>
        <w:t>” means a borrowing consisting of simultaneous Loans of the same type and, in the case of SOFR Loans, having the same Interest Period made by the applicable Lenders.</w:t>
      </w:r>
    </w:p>
    <w:p>
      <w:pPr>
        <w:spacing w:after="0" w:line="15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Borrowing Notice</w:t>
      </w:r>
      <w:r>
        <w:rPr>
          <w:rFonts w:ascii="Times New Roman" w:cs="Times New Roman" w:eastAsia="Times New Roman" w:hAnsi="Times New Roman"/>
          <w:sz w:val="20"/>
          <w:szCs w:val="20"/>
          <w:color w:val="auto"/>
        </w:rPr>
        <w:t xml:space="preserve">” is defined in </w:t>
      </w:r>
      <w:r>
        <w:rPr>
          <w:rFonts w:ascii="Times New Roman" w:cs="Times New Roman" w:eastAsia="Times New Roman" w:hAnsi="Times New Roman"/>
          <w:sz w:val="20"/>
          <w:szCs w:val="20"/>
          <w:u w:val="single" w:color="auto"/>
          <w:color w:val="auto"/>
        </w:rPr>
        <w:t>Section 2.2(a)(v)</w:t>
      </w:r>
      <w:r>
        <w:rPr>
          <w:rFonts w:ascii="Times New Roman" w:cs="Times New Roman" w:eastAsia="Times New Roman" w:hAnsi="Times New Roman"/>
          <w:sz w:val="20"/>
          <w:szCs w:val="20"/>
          <w:color w:val="auto"/>
        </w:rPr>
        <w:t>.</w:t>
      </w:r>
    </w:p>
    <w:p>
      <w:pPr>
        <w:spacing w:after="0" w:line="202"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Borrowing Resolutions</w:t>
      </w:r>
      <w:r>
        <w:rPr>
          <w:rFonts w:ascii="Times New Roman" w:cs="Times New Roman" w:eastAsia="Times New Roman" w:hAnsi="Times New Roman"/>
          <w:sz w:val="19"/>
          <w:szCs w:val="19"/>
          <w:color w:val="auto"/>
        </w:rPr>
        <w:t xml:space="preserve">” means, with respect to any Person, those resolutions adopted by such Person’s Board of Directors and delivered by such Person to the Agent and the Lenders pursuant to </w:t>
      </w:r>
      <w:r>
        <w:rPr>
          <w:rFonts w:ascii="Times New Roman" w:cs="Times New Roman" w:eastAsia="Times New Roman" w:hAnsi="Times New Roman"/>
          <w:sz w:val="19"/>
          <w:szCs w:val="19"/>
          <w:u w:val="single" w:color="auto"/>
          <w:color w:val="auto"/>
        </w:rPr>
        <w:t>Section 3.1</w:t>
      </w:r>
      <w:r>
        <w:rPr>
          <w:rFonts w:ascii="Times New Roman" w:cs="Times New Roman" w:eastAsia="Times New Roman" w:hAnsi="Times New Roman"/>
          <w:sz w:val="19"/>
          <w:szCs w:val="19"/>
          <w:color w:val="auto"/>
        </w:rPr>
        <w:t xml:space="preserve"> approving the Loan Documents to which such Person is a party and the transactions contemplated thereby, together with a certificate executed by its Secretary on behalf of such Person certifying that</w:t>
      </w:r>
    </w:p>
    <w:p>
      <w:pPr>
        <w:spacing w:after="0" w:line="2" w:lineRule="exact"/>
        <w:rPr>
          <w:sz w:val="20"/>
          <w:szCs w:val="20"/>
          <w:color w:val="auto"/>
        </w:rPr>
      </w:pPr>
    </w:p>
    <w:p>
      <w:pPr>
        <w:jc w:val="both"/>
        <w:ind w:firstLine="8"/>
        <w:spacing w:after="0"/>
        <w:tabs>
          <w:tab w:leader="none" w:pos="269" w:val="left"/>
        </w:tabs>
        <w:numPr>
          <w:ilvl w:val="0"/>
          <w:numId w:val="1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such Person has the authority to execute, deliver, and perform its obligations under each of the Loan Documents to which it is a party, (b) that attached as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xml:space="preserve"> to such certificate is a true, correct, and complete copy of the resolutions then in full force and effect authorizing and ratifying the execution, delivery, and performance by such Person of the Loan Documents to which it is a party, (c) the name(s) and title(s) of the officers of such Person authorized to execute the Loan Documents to which such Person is a party on behalf of such Person, together with a sample of the true signature(s) of such Person(s), and (d) that the Agent and the Lenders may conclusively rely on such certificate with respect to the authority of such officers unless and until such Person shall have delivered to the Agent and the Lenders a further certificate canceling or amending such prior certificate.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602615</wp:posOffset>
            </wp:positionV>
            <wp:extent cx="7157720" cy="4254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09" w:right="419" w:bottom="1440" w:gutter="0" w:footer="0" w:header="0"/>
        </w:sectPr>
      </w:pPr>
    </w:p>
    <w:bookmarkStart w:id="286" w:name="page287"/>
    <w:bookmarkEnd w:id="286"/>
    <w:p>
      <w:pPr>
        <w:spacing w:after="0" w:line="194" w:lineRule="exact"/>
        <w:rPr>
          <w:sz w:val="20"/>
          <w:szCs w:val="20"/>
          <w:color w:val="auto"/>
        </w:rPr>
      </w:pPr>
    </w:p>
    <w:p>
      <w:pPr>
        <w:jc w:val="right"/>
        <w:ind w:right="4459"/>
        <w:spacing w:after="0"/>
        <w:rPr>
          <w:sz w:val="20"/>
          <w:szCs w:val="20"/>
          <w:color w:val="auto"/>
        </w:rPr>
      </w:pPr>
      <w:r>
        <w:rPr>
          <w:rFonts w:ascii="Times New Roman" w:cs="Times New Roman" w:eastAsia="Times New Roman" w:hAnsi="Times New Roman"/>
          <w:sz w:val="18"/>
          <w:szCs w:val="18"/>
          <w:color w:val="auto"/>
        </w:rPr>
        <w:t>85</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4905-3710-6484 v.17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600710</wp:posOffset>
            </wp:positionV>
            <wp:extent cx="7157720" cy="4254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287" w:name="page288"/>
    <w:bookmarkEnd w:id="287"/>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Budget</w:t>
      </w:r>
      <w:r>
        <w:rPr>
          <w:rFonts w:ascii="Times New Roman" w:cs="Times New Roman" w:eastAsia="Times New Roman" w:hAnsi="Times New Roman"/>
          <w:sz w:val="20"/>
          <w:szCs w:val="20"/>
          <w:color w:val="auto"/>
        </w:rPr>
        <w:t xml:space="preserve">” is defined in </w:t>
      </w:r>
      <w:r>
        <w:rPr>
          <w:rFonts w:ascii="Times New Roman" w:cs="Times New Roman" w:eastAsia="Times New Roman" w:hAnsi="Times New Roman"/>
          <w:sz w:val="20"/>
          <w:szCs w:val="20"/>
          <w:u w:val="single" w:color="auto"/>
          <w:color w:val="auto"/>
        </w:rPr>
        <w:t>Section 5.2(b)</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669"/>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Business Day</w:t>
      </w:r>
      <w:r>
        <w:rPr>
          <w:rFonts w:ascii="Times New Roman" w:cs="Times New Roman" w:eastAsia="Times New Roman" w:hAnsi="Times New Roman"/>
          <w:sz w:val="20"/>
          <w:szCs w:val="20"/>
          <w:color w:val="auto"/>
        </w:rPr>
        <w:t>” means any day that is not a Saturday or a Sunday or a day on which banks are authorized or required to be closed in New York, New York.</w:t>
      </w: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Business IT Assets</w:t>
      </w:r>
      <w:r>
        <w:rPr>
          <w:rFonts w:ascii="Times New Roman" w:cs="Times New Roman" w:eastAsia="Times New Roman" w:hAnsi="Times New Roman"/>
          <w:sz w:val="20"/>
          <w:szCs w:val="20"/>
          <w:color w:val="auto"/>
        </w:rPr>
        <w:t xml:space="preserve">” is defined in </w:t>
      </w:r>
      <w:r>
        <w:rPr>
          <w:rFonts w:ascii="Times New Roman" w:cs="Times New Roman" w:eastAsia="Times New Roman" w:hAnsi="Times New Roman"/>
          <w:sz w:val="20"/>
          <w:szCs w:val="20"/>
          <w:u w:val="single" w:color="auto"/>
          <w:color w:val="auto"/>
        </w:rPr>
        <w:t>Section 4.22(a)</w:t>
      </w: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3062605</wp:posOffset>
            </wp:positionH>
            <wp:positionV relativeFrom="paragraph">
              <wp:posOffset>-24765</wp:posOffset>
            </wp:positionV>
            <wp:extent cx="31115" cy="825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2">
                      <a:extLst>
                        <a:ext uri="{28A0092B-C50C-407E-A947-70E740481C1C}"/>
                      </a:extLst>
                    </a:blip>
                    <a:srcRect/>
                    <a:stretch>
                      <a:fillRect/>
                    </a:stretch>
                  </pic:blipFill>
                  <pic:spPr bwMode="auto">
                    <a:xfrm>
                      <a:off x="0" y="0"/>
                      <a:ext cx="31115" cy="8255"/>
                    </a:xfrm>
                    <a:prstGeom prst="rect">
                      <a:avLst/>
                    </a:prstGeom>
                    <a:noFill/>
                  </pic:spPr>
                </pic:pic>
              </a:graphicData>
            </a:graphic>
          </wp:anchor>
        </w:drawing>
      </w: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Cash Equivalents</w:t>
      </w:r>
      <w:r>
        <w:rPr>
          <w:rFonts w:ascii="Times New Roman" w:cs="Times New Roman" w:eastAsia="Times New Roman" w:hAnsi="Times New Roman"/>
          <w:sz w:val="20"/>
          <w:szCs w:val="20"/>
          <w:color w:val="auto"/>
        </w:rPr>
        <w:t>” means</w:t>
      </w:r>
    </w:p>
    <w:p>
      <w:pPr>
        <w:spacing w:after="0" w:line="180" w:lineRule="exact"/>
        <w:rPr>
          <w:sz w:val="20"/>
          <w:szCs w:val="20"/>
          <w:color w:val="auto"/>
        </w:rPr>
      </w:pPr>
    </w:p>
    <w:p>
      <w:pPr>
        <w:jc w:val="both"/>
        <w:ind w:firstLine="744"/>
        <w:spacing w:after="0" w:line="246" w:lineRule="auto"/>
        <w:rPr>
          <w:sz w:val="20"/>
          <w:szCs w:val="20"/>
          <w:color w:val="auto"/>
        </w:rPr>
      </w:pPr>
      <w:r>
        <w:rPr>
          <w:rFonts w:ascii="Times New Roman" w:cs="Times New Roman" w:eastAsia="Times New Roman" w:hAnsi="Times New Roman"/>
          <w:sz w:val="20"/>
          <w:szCs w:val="20"/>
          <w:color w:val="auto"/>
        </w:rPr>
        <w:t>(a)securities issued or directly and fully guaranteed or insured by the United States government or any agency or instrumentality of the United States government or, in the case of any Subsidiary not organized in the United States, by the government of any other member country of O.E.C.D. (provided that the full faith and credit of the United States or such other member country of O.E.C.D., as applicable, is pledged in support of those securities), in each case, having maturities of not more than two (2) years from the date of acquisition;</w:t>
      </w:r>
    </w:p>
    <w:p>
      <w:pPr>
        <w:spacing w:after="0" w:line="185" w:lineRule="exact"/>
        <w:rPr>
          <w:sz w:val="20"/>
          <w:szCs w:val="20"/>
          <w:color w:val="auto"/>
        </w:rPr>
      </w:pPr>
    </w:p>
    <w:p>
      <w:pPr>
        <w:jc w:val="both"/>
        <w:ind w:firstLine="744"/>
        <w:spacing w:after="0" w:line="249" w:lineRule="auto"/>
        <w:rPr>
          <w:sz w:val="20"/>
          <w:szCs w:val="20"/>
          <w:color w:val="auto"/>
        </w:rPr>
      </w:pPr>
      <w:r>
        <w:rPr>
          <w:rFonts w:ascii="Times New Roman" w:cs="Times New Roman" w:eastAsia="Times New Roman" w:hAnsi="Times New Roman"/>
          <w:sz w:val="20"/>
          <w:szCs w:val="20"/>
          <w:color w:val="auto"/>
        </w:rPr>
        <w:t>(b)certificates of deposit, time deposits with maturities of one year or less from the date of acquisition, bankers’ acceptances with maturities not exceeding one year and overnight bank deposits and demand deposits, in each case, with any commercial bank having (i) capital and surplus in excess of $500,000,000 in the case of U.S. banks or (ii) capital and surplus in excess of $100,000,000 (or the U.S. dollar equivalent as of the date of determination) in the case of non-U.S. banks;</w:t>
      </w:r>
    </w:p>
    <w:p>
      <w:pPr>
        <w:spacing w:after="0" w:line="180" w:lineRule="exact"/>
        <w:rPr>
          <w:sz w:val="20"/>
          <w:szCs w:val="20"/>
          <w:color w:val="auto"/>
        </w:rPr>
      </w:pPr>
    </w:p>
    <w:p>
      <w:pPr>
        <w:jc w:val="both"/>
        <w:ind w:firstLine="744"/>
        <w:spacing w:after="0" w:line="254" w:lineRule="auto"/>
        <w:rPr>
          <w:sz w:val="20"/>
          <w:szCs w:val="20"/>
          <w:color w:val="auto"/>
        </w:rPr>
      </w:pPr>
      <w:r>
        <w:rPr>
          <w:rFonts w:ascii="Times New Roman" w:cs="Times New Roman" w:eastAsia="Times New Roman" w:hAnsi="Times New Roman"/>
          <w:sz w:val="20"/>
          <w:szCs w:val="20"/>
          <w:color w:val="auto"/>
        </w:rPr>
        <w:t>(c)commercial paper or marketable short-term money market or readily marketable direct obligations and similar securities having one of the two highest ratings obtainable from Moody’s or S&amp;P and, in each case, maturing within two (2) years after the date of acquisition;</w:t>
      </w:r>
    </w:p>
    <w:p>
      <w:pPr>
        <w:spacing w:after="0" w:line="17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color w:val="auto"/>
        </w:rPr>
        <w:t xml:space="preserve">(d)repurchase obligations with a term of not more than seven (7) days for underlying securities of the types described in </w:t>
      </w:r>
      <w:r>
        <w:rPr>
          <w:rFonts w:ascii="Times New Roman" w:cs="Times New Roman" w:eastAsia="Times New Roman" w:hAnsi="Times New Roman"/>
          <w:sz w:val="20"/>
          <w:szCs w:val="20"/>
          <w:u w:val="single" w:color="auto"/>
          <w:color w:val="auto"/>
        </w:rPr>
        <w:t>clauses</w:t>
      </w:r>
    </w:p>
    <w:p>
      <w:pPr>
        <w:spacing w:after="0" w:line="22" w:lineRule="exact"/>
        <w:rPr>
          <w:sz w:val="20"/>
          <w:szCs w:val="20"/>
          <w:color w:val="auto"/>
        </w:rPr>
      </w:pPr>
    </w:p>
    <w:p>
      <w:pPr>
        <w:ind w:left="280" w:hanging="277"/>
        <w:spacing w:after="0"/>
        <w:tabs>
          <w:tab w:leader="none" w:pos="280" w:val="left"/>
        </w:tabs>
        <w:numPr>
          <w:ilvl w:val="0"/>
          <w:numId w:val="182"/>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 xml:space="preserve">and </w:t>
      </w:r>
      <w:r>
        <w:rPr>
          <w:rFonts w:ascii="Times New Roman" w:cs="Times New Roman" w:eastAsia="Times New Roman" w:hAnsi="Times New Roman"/>
          <w:sz w:val="20"/>
          <w:szCs w:val="20"/>
          <w:u w:val="single" w:color="auto"/>
          <w:color w:val="auto"/>
        </w:rPr>
        <w:t>(c)</w:t>
      </w:r>
      <w:r>
        <w:rPr>
          <w:rFonts w:ascii="Times New Roman" w:cs="Times New Roman" w:eastAsia="Times New Roman" w:hAnsi="Times New Roman"/>
          <w:sz w:val="20"/>
          <w:szCs w:val="20"/>
          <w:color w:val="auto"/>
        </w:rPr>
        <w:t xml:space="preserve"> above entered into with any financial institution meeting the qualifications specified in </w:t>
      </w:r>
      <w:r>
        <w:rPr>
          <w:rFonts w:ascii="Times New Roman" w:cs="Times New Roman" w:eastAsia="Times New Roman" w:hAnsi="Times New Roman"/>
          <w:sz w:val="20"/>
          <w:szCs w:val="20"/>
          <w:u w:val="single" w:color="auto"/>
          <w:color w:val="auto"/>
        </w:rPr>
        <w:t>clause (b)</w:t>
      </w:r>
      <w:r>
        <w:rPr>
          <w:rFonts w:ascii="Times New Roman" w:cs="Times New Roman" w:eastAsia="Times New Roman" w:hAnsi="Times New Roman"/>
          <w:sz w:val="20"/>
          <w:szCs w:val="20"/>
          <w:color w:val="auto"/>
        </w:rPr>
        <w:t xml:space="preserve"> above;</w:t>
      </w:r>
    </w:p>
    <w:p>
      <w:pPr>
        <w:spacing w:after="0" w:line="180"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9"/>
          <w:szCs w:val="19"/>
          <w:color w:val="auto"/>
        </w:rPr>
        <w:t xml:space="preserve">(e)investment funds investing ninety-five percent (95.0%) of their assets in securities of the types described in </w:t>
      </w:r>
      <w:r>
        <w:rPr>
          <w:rFonts w:ascii="Times New Roman" w:cs="Times New Roman" w:eastAsia="Times New Roman" w:hAnsi="Times New Roman"/>
          <w:sz w:val="19"/>
          <w:szCs w:val="19"/>
          <w:u w:val="single" w:color="auto"/>
          <w:color w:val="auto"/>
        </w:rPr>
        <w:t>clauses (a)</w:t>
      </w:r>
      <w:r>
        <w:rPr>
          <w:rFonts w:ascii="Times New Roman" w:cs="Times New Roman" w:eastAsia="Times New Roman" w:hAnsi="Times New Roman"/>
          <w:sz w:val="19"/>
          <w:szCs w:val="19"/>
          <w:color w:val="auto"/>
        </w:rPr>
        <w:t xml:space="preserve"> through</w:t>
      </w:r>
    </w:p>
    <w:p>
      <w:pPr>
        <w:spacing w:after="0" w:line="33" w:lineRule="exact"/>
        <w:rPr>
          <w:sz w:val="20"/>
          <w:szCs w:val="20"/>
          <w:color w:val="auto"/>
        </w:rPr>
      </w:pPr>
    </w:p>
    <w:p>
      <w:pPr>
        <w:ind w:left="280" w:hanging="277"/>
        <w:spacing w:after="0"/>
        <w:tabs>
          <w:tab w:leader="none" w:pos="280" w:val="left"/>
        </w:tabs>
        <w:numPr>
          <w:ilvl w:val="0"/>
          <w:numId w:val="183"/>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 xml:space="preserve">above and </w:t>
      </w:r>
      <w:r>
        <w:rPr>
          <w:rFonts w:ascii="Times New Roman" w:cs="Times New Roman" w:eastAsia="Times New Roman" w:hAnsi="Times New Roman"/>
          <w:sz w:val="20"/>
          <w:szCs w:val="20"/>
          <w:u w:val="single" w:color="auto"/>
          <w:color w:val="auto"/>
        </w:rPr>
        <w:t>clause (f)</w:t>
      </w:r>
      <w:r>
        <w:rPr>
          <w:rFonts w:ascii="Times New Roman" w:cs="Times New Roman" w:eastAsia="Times New Roman" w:hAnsi="Times New Roman"/>
          <w:sz w:val="20"/>
          <w:szCs w:val="20"/>
          <w:color w:val="auto"/>
        </w:rPr>
        <w:t xml:space="preserve"> below; and</w:t>
      </w:r>
    </w:p>
    <w:p>
      <w:pPr>
        <w:spacing w:after="0" w:line="194" w:lineRule="exact"/>
        <w:rPr>
          <w:sz w:val="20"/>
          <w:szCs w:val="20"/>
          <w:color w:val="auto"/>
        </w:rPr>
      </w:pPr>
    </w:p>
    <w:p>
      <w:pPr>
        <w:jc w:val="both"/>
        <w:ind w:firstLine="744"/>
        <w:spacing w:after="0" w:line="254" w:lineRule="auto"/>
        <w:rPr>
          <w:sz w:val="20"/>
          <w:szCs w:val="20"/>
          <w:color w:val="auto"/>
        </w:rPr>
      </w:pPr>
      <w:r>
        <w:rPr>
          <w:rFonts w:ascii="Times New Roman" w:cs="Times New Roman" w:eastAsia="Times New Roman" w:hAnsi="Times New Roman"/>
          <w:sz w:val="20"/>
          <w:szCs w:val="20"/>
          <w:color w:val="auto"/>
        </w:rPr>
        <w:t>(f)investments in money market funds rated “AAA” (or the equivalent thereof) or better by S&amp;P or “Aaa” (or the equivalent thereof) or better by Moody’s (or, if at any time neither Moody’s nor S&amp;P shall be rating such obligations, an equivalent rating from another rating agency) and that have portfolio assets of at least $1,000,000,000.</w:t>
      </w:r>
    </w:p>
    <w:p>
      <w:pPr>
        <w:spacing w:after="0" w:line="17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Ceiling</w:t>
      </w:r>
      <w:r>
        <w:rPr>
          <w:rFonts w:ascii="Times New Roman" w:cs="Times New Roman" w:eastAsia="Times New Roman" w:hAnsi="Times New Roman"/>
          <w:sz w:val="20"/>
          <w:szCs w:val="20"/>
          <w:color w:val="auto"/>
        </w:rPr>
        <w:t>” means a rate per annum equal to 4.75%.</w:t>
      </w:r>
    </w:p>
    <w:p>
      <w:pPr>
        <w:spacing w:after="0" w:line="202" w:lineRule="exact"/>
        <w:rPr>
          <w:sz w:val="20"/>
          <w:szCs w:val="20"/>
          <w:color w:val="auto"/>
        </w:rPr>
      </w:pPr>
    </w:p>
    <w:p>
      <w:pPr>
        <w:jc w:val="both"/>
        <w:ind w:firstLine="669"/>
        <w:spacing w:after="0" w:line="24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Change in Control</w:t>
      </w:r>
      <w:r>
        <w:rPr>
          <w:rFonts w:ascii="Times New Roman" w:cs="Times New Roman" w:eastAsia="Times New Roman" w:hAnsi="Times New Roman"/>
          <w:sz w:val="20"/>
          <w:szCs w:val="20"/>
          <w:color w:val="auto"/>
        </w:rPr>
        <w:t>” means: (a) a transaction or series of transactions (including any merger or consolidation with Borrower) in which any “person” or “group” (within the meaning of Section 13(d) and 14(d)(2) of the Securities Exchange Act of 1934, but excluding any employee benefit plan of such Person or its Subsidiaries, and any Person acting in its capacity as trustee, agent or other fiduciary or administrator of any such plan) other than a Qualified Buyer is or becomes the “beneficial owner” (as defined in Rule 13d-3 under the Securities Exchange Act of 1934), directly or indirectly, of greater than thirty-five percent (35%) of the shares of the then-outstanding capital stock of Borrower ordinarily entitled to vote in the election of directors (and taking into account all such Equity Interests that such person or group has the right to acquire pursuant to any option right); (b) a sale of all or substantially all of the consolidated assets of Borrower and its Subsidiaries in one transaction or a series of transactions (whether by way of merger, stock purchase, asset purchase or otherwise); (c) a merger or consolidation involving Borrower in which Borrower is not the surviving Person; or (d) any “change of control”, “fundamental change”, “make-whole fundamental change” or any comparable term under and as defined in any indenture governing any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604520</wp:posOffset>
            </wp:positionV>
            <wp:extent cx="7157720" cy="4254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400" w:top="1422" w:right="419" w:bottom="1440" w:gutter="0" w:footer="0" w:header="0"/>
        </w:sectPr>
      </w:pPr>
    </w:p>
    <w:bookmarkStart w:id="288" w:name="page289"/>
    <w:bookmarkEnd w:id="288"/>
    <w:p>
      <w:pPr>
        <w:jc w:val="right"/>
        <w:ind w:right="5239"/>
        <w:spacing w:after="0"/>
        <w:rPr>
          <w:sz w:val="20"/>
          <w:szCs w:val="20"/>
          <w:color w:val="auto"/>
        </w:rPr>
      </w:pPr>
      <w:r>
        <w:rPr>
          <w:rFonts w:ascii="Times New Roman" w:cs="Times New Roman" w:eastAsia="Times New Roman" w:hAnsi="Times New Roman"/>
          <w:sz w:val="18"/>
          <w:szCs w:val="18"/>
          <w:color w:val="auto"/>
        </w:rPr>
        <w:t>86</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4905-3710-6484 v.17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600710</wp:posOffset>
            </wp:positionV>
            <wp:extent cx="7157720" cy="4254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59"/>
          </w:cols>
          <w:pgMar w:left="400" w:top="1323" w:right="1440" w:bottom="1440" w:gutter="0" w:footer="0" w:header="0"/>
        </w:sectPr>
      </w:pPr>
    </w:p>
    <w:bookmarkStart w:id="289" w:name="page290"/>
    <w:bookmarkEnd w:id="289"/>
    <w:p>
      <w:pPr>
        <w:jc w:val="both"/>
        <w:spacing w:after="0" w:line="269" w:lineRule="auto"/>
        <w:rPr>
          <w:sz w:val="20"/>
          <w:szCs w:val="20"/>
          <w:color w:val="auto"/>
        </w:rPr>
      </w:pPr>
      <w:r>
        <w:rPr>
          <w:rFonts w:ascii="Times New Roman" w:cs="Times New Roman" w:eastAsia="Times New Roman" w:hAnsi="Times New Roman"/>
          <w:sz w:val="20"/>
          <w:szCs w:val="20"/>
          <w:color w:val="auto"/>
        </w:rPr>
        <w:t>Indebtedness or Permitted Convertible Bond Indebtedness in each case in an aggregate principal amount equal to or greater than $5,000,000 has occurred.</w:t>
      </w:r>
    </w:p>
    <w:p>
      <w:pPr>
        <w:spacing w:after="0" w:line="142"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Change in Law</w:t>
      </w:r>
      <w:r>
        <w:rPr>
          <w:rFonts w:ascii="Times New Roman" w:cs="Times New Roman" w:eastAsia="Times New Roman" w:hAnsi="Times New Roman"/>
          <w:sz w:val="20"/>
          <w:szCs w:val="20"/>
          <w:color w:val="auto"/>
        </w:rPr>
        <w:t xml:space="preserve">” means the occurrence, after the date of this Agreement, of any of the following: (a) the adoption or taking into effect of any law, treaty, order, policy, rule or regulation, (b) any change in any law, treaty, order, policy, rule or regulation or in the administration, interpretation or application thereof by any Governmental Authority or (c) the making or issuance of any request, guideline or directive (whether or not having the force of law) by any Governmental Authority;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notwithstanding anything herein to the contrary, (x) the Dodd-Frank Wall Street Reform and Consumer Protection Act and all requests, rules, guidelines or directives thereunder or issued in connection therewith and (y) all requests, rules, guidelines or directives promulgated by the Bank for International Settlements, the Basel Committee on Banking Supervision (or any successor or similar authority) or the United States or foreign regulatory authorities, in each case pursuant to Basel III, shall be deemed to be a “Change in Law”, regardless of the date enacted, adopted or issued.</w:t>
      </w:r>
    </w:p>
    <w:p>
      <w:pPr>
        <w:spacing w:after="0" w:line="195"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Class</w:t>
      </w:r>
      <w:r>
        <w:rPr>
          <w:rFonts w:ascii="Times New Roman" w:cs="Times New Roman" w:eastAsia="Times New Roman" w:hAnsi="Times New Roman"/>
          <w:sz w:val="20"/>
          <w:szCs w:val="20"/>
          <w:color w:val="auto"/>
        </w:rPr>
        <w:t>” (i) when used in reference to any Loan or Borrowing, shall refer to whether such Loan, or the Loans comprising such Borrowing, are Revolving Credit Loans or Term Loans (or, if the context requires, if such Term Loans are Initial Term Loans, Tranche A Delayed Draw Term Loans or Tranche B Delayed Draw Term Loans) and (ii) when used in reference to any Commitment, refers to whether such Commitment is a Revolving Credit Commitment, an Initial Term Loan Commitment, a Tranche A Delayed Draw Commitment or a Tranche B Delayed Draw Commitment.</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Closing Date</w:t>
      </w:r>
      <w:r>
        <w:rPr>
          <w:rFonts w:ascii="Times New Roman" w:cs="Times New Roman" w:eastAsia="Times New Roman" w:hAnsi="Times New Roman"/>
          <w:sz w:val="20"/>
          <w:szCs w:val="20"/>
          <w:color w:val="auto"/>
        </w:rPr>
        <w:t>” is defined in the preamble hereto.</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CMS</w:t>
      </w:r>
      <w:r>
        <w:rPr>
          <w:rFonts w:ascii="Times New Roman" w:cs="Times New Roman" w:eastAsia="Times New Roman" w:hAnsi="Times New Roman"/>
          <w:sz w:val="20"/>
          <w:szCs w:val="20"/>
          <w:color w:val="auto"/>
        </w:rPr>
        <w:t>” means the Centers for Medicare &amp; Medicaid Services.</w:t>
      </w:r>
    </w:p>
    <w:p>
      <w:pPr>
        <w:spacing w:after="0" w:line="216"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Code</w:t>
      </w:r>
      <w:r>
        <w:rPr>
          <w:rFonts w:ascii="Times New Roman" w:cs="Times New Roman" w:eastAsia="Times New Roman" w:hAnsi="Times New Roman"/>
          <w:sz w:val="20"/>
          <w:szCs w:val="20"/>
          <w:color w:val="auto"/>
        </w:rPr>
        <w:t xml:space="preserve">” means the Uniform Commercial Code, as the same may, from time to time, be enacted and in effect in the State of New York;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to the extent that the Code is used to define any term herein or in any Loan Document and such term is defined differently in different Articles of the Code, the definition of such term contained in Article 9 of the Code shall govern;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that in the event that, by reason of mandatory provisions of law, any or all of the attachment, perfection, or priority of, or remedies with respect to, the Agent’s Lien in favor and for the benefit of the Agent and the other Secured Parties on any Collateral is governed by the Uniform Commercial Code in effect in a jurisdiction other than the State of New York, the term “Code” shall mean the Uniform Commercial Code as enacted and in effect in such other jurisdiction solely for purposes of the provisions thereof relating to such attachment, perfection, priority, or remedies and for purposes of definitions relating to such provisions.</w:t>
      </w:r>
    </w:p>
    <w:p>
      <w:pPr>
        <w:spacing w:after="0" w:line="182" w:lineRule="exact"/>
        <w:rPr>
          <w:sz w:val="20"/>
          <w:szCs w:val="20"/>
          <w:color w:val="auto"/>
        </w:rPr>
      </w:pPr>
    </w:p>
    <w:p>
      <w:pPr>
        <w:jc w:val="both"/>
        <w:ind w:firstLine="749"/>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Collateral</w:t>
      </w:r>
      <w:r>
        <w:rPr>
          <w:rFonts w:ascii="Times New Roman" w:cs="Times New Roman" w:eastAsia="Times New Roman" w:hAnsi="Times New Roman"/>
          <w:sz w:val="20"/>
          <w:szCs w:val="20"/>
          <w:color w:val="auto"/>
        </w:rPr>
        <w:t>” means all property of the Credit Parties, now owned or hereafter acquired, upon which a Lien is created, granted or purported to be created or granted by the Collateral Documents, but in any event excluding all Excluded Assets.</w:t>
      </w:r>
    </w:p>
    <w:p>
      <w:pPr>
        <w:spacing w:after="0" w:line="152" w:lineRule="exact"/>
        <w:rPr>
          <w:sz w:val="20"/>
          <w:szCs w:val="20"/>
          <w:color w:val="auto"/>
        </w:rPr>
      </w:pPr>
    </w:p>
    <w:p>
      <w:pPr>
        <w:jc w:val="both"/>
        <w:ind w:firstLine="749"/>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Collateral Account</w:t>
      </w:r>
      <w:r>
        <w:rPr>
          <w:rFonts w:ascii="Times New Roman" w:cs="Times New Roman" w:eastAsia="Times New Roman" w:hAnsi="Times New Roman"/>
          <w:sz w:val="20"/>
          <w:szCs w:val="20"/>
          <w:color w:val="auto"/>
        </w:rPr>
        <w:t>” means any Deposit Account of a Credit Party, any Securities Account of a Credit Party, or any Commodity Account of a Credit Party, in each case, other than an Excluded Account.</w:t>
      </w:r>
    </w:p>
    <w:p>
      <w:pPr>
        <w:spacing w:after="0" w:line="152"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Collateral Documents</w:t>
      </w:r>
      <w:r>
        <w:rPr>
          <w:rFonts w:ascii="Times New Roman" w:cs="Times New Roman" w:eastAsia="Times New Roman" w:hAnsi="Times New Roman"/>
          <w:sz w:val="20"/>
          <w:szCs w:val="20"/>
          <w:color w:val="auto"/>
        </w:rPr>
        <w:t>” means the Security Agreement, each Non-U.S. Security Agreement, the Control Agreements, the IP Agreements, any Mortgages, and all other instruments, documents and agreements delivered by any Credit Party pursuant to this Agreement or any of the other Loan Documents, in each case, in order to grant to the Agent in favor and for the benefit of the Agent and the other Secured Parties or perfect a Lien on any Collateral as security for the Obligations, and all amendments, restatements, modifications or supplements thereof or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598805</wp:posOffset>
            </wp:positionV>
            <wp:extent cx="7157720" cy="4254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26" w:right="419" w:bottom="1440" w:gutter="0" w:footer="0" w:header="0"/>
        </w:sectPr>
      </w:pPr>
    </w:p>
    <w:bookmarkStart w:id="290" w:name="page291"/>
    <w:bookmarkEnd w:id="290"/>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right"/>
        <w:ind w:right="4459"/>
        <w:spacing w:after="0"/>
        <w:rPr>
          <w:sz w:val="20"/>
          <w:szCs w:val="20"/>
          <w:color w:val="auto"/>
        </w:rPr>
      </w:pPr>
      <w:r>
        <w:rPr>
          <w:rFonts w:ascii="Times New Roman" w:cs="Times New Roman" w:eastAsia="Times New Roman" w:hAnsi="Times New Roman"/>
          <w:sz w:val="18"/>
          <w:szCs w:val="18"/>
          <w:color w:val="auto"/>
        </w:rPr>
        <w:t>87</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4905-3710-6484 v.17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600710</wp:posOffset>
            </wp:positionV>
            <wp:extent cx="7157720" cy="4254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291" w:name="page292"/>
    <w:bookmarkEnd w:id="291"/>
    <w:p>
      <w:pPr>
        <w:jc w:val="both"/>
        <w:ind w:firstLine="749"/>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Commitments</w:t>
      </w:r>
      <w:r>
        <w:rPr>
          <w:rFonts w:ascii="Times New Roman" w:cs="Times New Roman" w:eastAsia="Times New Roman" w:hAnsi="Times New Roman"/>
          <w:sz w:val="20"/>
          <w:szCs w:val="20"/>
          <w:color w:val="auto"/>
        </w:rPr>
        <w:t>” shall mean, with respect to each Lender (to the extent applicable), such Lender’s Initial Term Loan Commitment, Tranche A Delayed Draw Commitment, Tranche B Delayed Draw Commitment or Revolving Credit Commitment.</w:t>
      </w:r>
    </w:p>
    <w:p>
      <w:pPr>
        <w:spacing w:after="0" w:line="16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Commodity Account</w:t>
      </w:r>
      <w:r>
        <w:rPr>
          <w:rFonts w:ascii="Times New Roman" w:cs="Times New Roman" w:eastAsia="Times New Roman" w:hAnsi="Times New Roman"/>
          <w:sz w:val="19"/>
          <w:szCs w:val="19"/>
          <w:color w:val="auto"/>
        </w:rPr>
        <w:t>” means any “commodity account” as defined in the Code with such additions to such term as may hereafter</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be made.</w:t>
      </w:r>
    </w:p>
    <w:p>
      <w:pPr>
        <w:spacing w:after="0" w:line="190"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Competito</w:t>
      </w:r>
      <w:r>
        <w:rPr>
          <w:rFonts w:ascii="Times New Roman" w:cs="Times New Roman" w:eastAsia="Times New Roman" w:hAnsi="Times New Roman"/>
          <w:sz w:val="20"/>
          <w:szCs w:val="20"/>
          <w:color w:val="auto"/>
        </w:rPr>
        <w:t>r” means, at any time of determination, (i) any direct competitor of the Borrower or any of its Subsidiaries primarily operating in the same line of business as the Borrower or any of its Subsidiaries identified to the Agent and Blackstone Representative in writing prior to the Closing Date or from time to time after the Closing Date and (ii) any of such competitor’s Affiliates that are either clearly identifiable as an Affiliate of any such competitor on the basis of such Person’s name or identified by name in writing by the Borrower to the Agent from time to time. Notwithstanding anything to the contrary contained in this Agreement, (a) the Agent shall not be responsible or have any liability for, or have any duty to ascertain, inquire into, monitor or enforce, compliance with the provisions hereof relating to Competitor, (b) the Credit Parties acknowledge and agree that the Agent shall have no responsibility or obligation to determine whether any Lender or potential Lender is a Competitor and that the Agent shall have no liability with respect to any assignment or participation made to a Competitor and (c) no Affiliate of Blackstone Inc. that operates as a fund or account (or manager or adviser to a fund or account) within the credit division of Blackstone Inc. shall be considered a “Competitor” under this Agreement.</w:t>
      </w:r>
    </w:p>
    <w:p>
      <w:pPr>
        <w:spacing w:after="0" w:line="18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Compliance Certificate</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5.2(c)(i)</w:t>
      </w:r>
      <w:r>
        <w:rPr>
          <w:rFonts w:ascii="Times New Roman" w:cs="Times New Roman" w:eastAsia="Times New Roman" w:hAnsi="Times New Roman"/>
          <w:sz w:val="20"/>
          <w:szCs w:val="20"/>
          <w:color w:val="auto"/>
        </w:rPr>
        <w:t>.</w:t>
      </w:r>
    </w:p>
    <w:p>
      <w:pPr>
        <w:spacing w:after="0" w:line="202"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Conforming Changes</w:t>
      </w:r>
      <w:r>
        <w:rPr>
          <w:rFonts w:ascii="Times New Roman" w:cs="Times New Roman" w:eastAsia="Times New Roman" w:hAnsi="Times New Roman"/>
          <w:sz w:val="19"/>
          <w:szCs w:val="19"/>
          <w:color w:val="auto"/>
        </w:rPr>
        <w:t xml:space="preserve">” means, with respect to either the use or administration of Term SOFR or the use, administration, adoption or implementation of any Benchmark Replacement, any technical, administrative or operational changes (including changes to the definition of “Business Day,” the definition of “U.S. Government Securities Business Day,” the definition of “Interest Period” or any similar or analogous definition (or the addition of a concept of “interest period”), timing and frequency of determining rates and making payments of interest, timing of borrowing requests or prepayment, conversion or continuation notices, the applicability and length of lookback periods, the applicability of </w:t>
      </w:r>
      <w:r>
        <w:rPr>
          <w:rFonts w:ascii="Times New Roman" w:cs="Times New Roman" w:eastAsia="Times New Roman" w:hAnsi="Times New Roman"/>
          <w:sz w:val="19"/>
          <w:szCs w:val="19"/>
          <w:u w:val="single" w:color="auto"/>
          <w:color w:val="auto"/>
        </w:rPr>
        <w:t>Section 2.5</w:t>
      </w:r>
      <w:r>
        <w:rPr>
          <w:rFonts w:ascii="Times New Roman" w:cs="Times New Roman" w:eastAsia="Times New Roman" w:hAnsi="Times New Roman"/>
          <w:sz w:val="19"/>
          <w:szCs w:val="19"/>
          <w:color w:val="auto"/>
        </w:rPr>
        <w:t xml:space="preserve"> and other technical, administrative or operational matters) that the Agent (acting at the direction of the Blackstone Representative and in consultation with Borrower) decide may be appropriate to reflect the adoption and implementation of any such rate or to permit the use and administration thereof by the Agent in a manner substantially consistent with market practice (or, if the Agent decides that adoption of any portion of such market practice is not administratively feasible or if the Agent (acting at the direction of the Blackstone Representative and in consultation with Borrower ) determines that no market practice for the administration of any such rate exists, in such other manner of administration as the Agent and the Blackstone Representative (in consultation with Borrower) decide is reasonably necessary in connection with the administration of this Agreement and the other Loan Documents).</w:t>
      </w:r>
    </w:p>
    <w:p>
      <w:pPr>
        <w:spacing w:after="0" w:line="174" w:lineRule="exact"/>
        <w:rPr>
          <w:sz w:val="20"/>
          <w:szCs w:val="20"/>
          <w:color w:val="auto"/>
        </w:rPr>
      </w:pPr>
    </w:p>
    <w:p>
      <w:pPr>
        <w:jc w:val="both"/>
        <w:ind w:firstLine="749"/>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Connection Income Taxes</w:t>
      </w:r>
      <w:r>
        <w:rPr>
          <w:rFonts w:ascii="Times New Roman" w:cs="Times New Roman" w:eastAsia="Times New Roman" w:hAnsi="Times New Roman"/>
          <w:sz w:val="20"/>
          <w:szCs w:val="20"/>
          <w:color w:val="auto"/>
        </w:rPr>
        <w:t>” means Other Connection Taxes that are imposed on or measured by net income (however denominated) or that are franchise Taxes or branch profits Taxes.</w:t>
      </w:r>
    </w:p>
    <w:p>
      <w:pPr>
        <w:spacing w:after="0" w:line="165"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Contingent Obligation</w:t>
      </w:r>
      <w:r>
        <w:rPr>
          <w:rFonts w:ascii="Times New Roman" w:cs="Times New Roman" w:eastAsia="Times New Roman" w:hAnsi="Times New Roman"/>
          <w:sz w:val="20"/>
          <w:szCs w:val="20"/>
          <w:color w:val="auto"/>
        </w:rPr>
        <w:t>” means, for any Person, any direct or indirect liability, contingent or not, of that Person for (a) any indebtedness, lease, dividend, letter of credit or other obligation of another Person directly or indirectly guaranteed, endorsed, co-made, discounted or sold with recourse by that Person, or for which that Person is directly or indirectly liable; (b) any obligation for undrawn letters of credit for the account of that Person; or (c) any obligation of that Person to pay an earn-out, milestone payment, royalties, purchase price adjustment, profit sharing arrangement or similar contingent or deferred consideration to a counterparty incurred or created in connection with an Acquisition, Transfer, Investment or other sale or disposition, including, with respect to any purchase price holdback in respect of a portion of the purchase price of an asset sold to that Person to satisfy unperformed obligations of the seller of such asset,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598170</wp:posOffset>
            </wp:positionV>
            <wp:extent cx="7157720" cy="4254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292" w:name="page293"/>
    <w:bookmarkEnd w:id="292"/>
    <w:p>
      <w:pPr>
        <w:spacing w:after="0" w:line="153"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88</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4905-3710-6484 v.17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600710</wp:posOffset>
            </wp:positionV>
            <wp:extent cx="7157720" cy="4254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293" w:name="page294"/>
    <w:bookmarkEnd w:id="293"/>
    <w:p>
      <w:pPr>
        <w:jc w:val="both"/>
        <w:ind w:right="20"/>
        <w:spacing w:after="0" w:line="249" w:lineRule="auto"/>
        <w:rPr>
          <w:sz w:val="20"/>
          <w:szCs w:val="20"/>
          <w:color w:val="auto"/>
        </w:rPr>
      </w:pPr>
      <w:r>
        <w:rPr>
          <w:rFonts w:ascii="Times New Roman" w:cs="Times New Roman" w:eastAsia="Times New Roman" w:hAnsi="Times New Roman"/>
          <w:sz w:val="20"/>
          <w:szCs w:val="20"/>
          <w:color w:val="auto"/>
        </w:rPr>
        <w:t>obligation to pay such seller the excess of such holdback over such obligations. The amount of a Contingent Obligation is the stated or determined amount of the primary obligation for which the Contingent Obligation is made or, if not determinable, the maximum reasonably anticipated liability for it reasonably determined by such Person in good faith; but the amount may not exceed the maximum of the obligations under any guarantee or other support arrangement.</w:t>
      </w:r>
    </w:p>
    <w:p>
      <w:pPr>
        <w:spacing w:after="0" w:line="176"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Control Agreement</w:t>
      </w:r>
      <w:r>
        <w:rPr>
          <w:rFonts w:ascii="Times New Roman" w:cs="Times New Roman" w:eastAsia="Times New Roman" w:hAnsi="Times New Roman"/>
          <w:sz w:val="20"/>
          <w:szCs w:val="20"/>
          <w:color w:val="auto"/>
        </w:rPr>
        <w:t>” means, with respect to any Credit Party, any control agreement entered into among such Credit Party, the Agent and, in the case of a Deposit Account, the bank or other depository or financial institution at which such Credit Party maintains such Deposit Account, or, in the case of a Securities Account or a Commodity Account, the securities intermediary or commodity intermediary at which such Credit Party maintain such Securities Account or Commodities Account, in either case, pursuant to which the Agent obtains control (within the meaning of the Code) over such Collateral Account.</w:t>
      </w:r>
    </w:p>
    <w:p>
      <w:pPr>
        <w:spacing w:after="0" w:line="167"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Copyrights</w:t>
      </w:r>
      <w:r>
        <w:rPr>
          <w:rFonts w:ascii="Times New Roman" w:cs="Times New Roman" w:eastAsia="Times New Roman" w:hAnsi="Times New Roman"/>
          <w:sz w:val="20"/>
          <w:szCs w:val="20"/>
          <w:color w:val="auto"/>
        </w:rPr>
        <w:t>” means any and all copyright rights, copyright applications, copyright registrations and like protections in each work of authorship and derivative work thereof, whether published or unpublished and whether or not copyrightable or the same also constitutes a trade secret (and all extensions or renewals thereof and related common law rights, moral rights, rights of attribution or paternity and IP Ancillary Rights thereto or therein).</w:t>
      </w:r>
    </w:p>
    <w:p>
      <w:pPr>
        <w:spacing w:after="0" w:line="189" w:lineRule="exact"/>
        <w:rPr>
          <w:sz w:val="20"/>
          <w:szCs w:val="20"/>
          <w:color w:val="auto"/>
        </w:rPr>
      </w:pPr>
    </w:p>
    <w:p>
      <w:pPr>
        <w:jc w:val="both"/>
        <w:ind w:firstLine="749"/>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Credit Extension</w:t>
      </w:r>
      <w:r>
        <w:rPr>
          <w:rFonts w:ascii="Times New Roman" w:cs="Times New Roman" w:eastAsia="Times New Roman" w:hAnsi="Times New Roman"/>
          <w:sz w:val="20"/>
          <w:szCs w:val="20"/>
          <w:color w:val="auto"/>
        </w:rPr>
        <w:t>” means the Initial Term Loans, the Revolving Credit Loans, the Tranche A Delayed Draw Term Loans, the Tranche B Delayed Draw Term Loans or any other extension of credit by Lender for Borrower’s benefit pursuant to this Agreement.</w:t>
      </w:r>
    </w:p>
    <w:p>
      <w:pPr>
        <w:spacing w:after="0" w:line="13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Credit Party</w:t>
      </w:r>
      <w:r>
        <w:rPr>
          <w:rFonts w:ascii="Times New Roman" w:cs="Times New Roman" w:eastAsia="Times New Roman" w:hAnsi="Times New Roman"/>
          <w:sz w:val="20"/>
          <w:szCs w:val="20"/>
          <w:color w:val="auto"/>
        </w:rPr>
        <w:t>” means Borrower and each Guarantor.</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Credit Party Minimum Coverage Requirement</w:t>
      </w:r>
      <w:r>
        <w:rPr>
          <w:rFonts w:ascii="Times New Roman" w:cs="Times New Roman" w:eastAsia="Times New Roman" w:hAnsi="Times New Roman"/>
          <w:sz w:val="20"/>
          <w:szCs w:val="20"/>
          <w:color w:val="auto"/>
        </w:rPr>
        <w:t xml:space="preserve">” shall have the meaning set forth in </w:t>
      </w:r>
      <w:r>
        <w:rPr>
          <w:rFonts w:ascii="Times New Roman" w:cs="Times New Roman" w:eastAsia="Times New Roman" w:hAnsi="Times New Roman"/>
          <w:sz w:val="20"/>
          <w:szCs w:val="20"/>
          <w:u w:val="single" w:color="auto"/>
          <w:color w:val="auto"/>
        </w:rPr>
        <w:t>Section 5.16</w:t>
      </w:r>
      <w:r>
        <w:rPr>
          <w:rFonts w:ascii="Times New Roman" w:cs="Times New Roman" w:eastAsia="Times New Roman" w:hAnsi="Times New Roman"/>
          <w:sz w:val="20"/>
          <w:szCs w:val="20"/>
          <w:color w:val="auto"/>
        </w:rPr>
        <w:t>.</w:t>
      </w:r>
    </w:p>
    <w:p>
      <w:pPr>
        <w:spacing w:after="0" w:line="202"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Default</w:t>
      </w:r>
      <w:r>
        <w:rPr>
          <w:rFonts w:ascii="Times New Roman" w:cs="Times New Roman" w:eastAsia="Times New Roman" w:hAnsi="Times New Roman"/>
          <w:sz w:val="20"/>
          <w:szCs w:val="20"/>
          <w:color w:val="auto"/>
        </w:rPr>
        <w:t>” means any breach of or default under any term, provision, condition, covenant or agreement contained in this Agreement or any other Loan Document or any other event, in each case that, with the giving of notice or the lapse of time or both, would constitute an Event of Default.</w:t>
      </w:r>
    </w:p>
    <w:p>
      <w:pPr>
        <w:spacing w:after="0" w:line="169" w:lineRule="exact"/>
        <w:rPr>
          <w:sz w:val="20"/>
          <w:szCs w:val="20"/>
          <w:color w:val="auto"/>
        </w:rPr>
      </w:pPr>
    </w:p>
    <w:p>
      <w:pPr>
        <w:jc w:val="both"/>
        <w:ind w:firstLine="749"/>
        <w:spacing w:after="0" w:line="25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Defaulting Lender</w:t>
      </w:r>
      <w:r>
        <w:rPr>
          <w:rFonts w:ascii="Times New Roman" w:cs="Times New Roman" w:eastAsia="Times New Roman" w:hAnsi="Times New Roman"/>
          <w:sz w:val="19"/>
          <w:szCs w:val="19"/>
          <w:color w:val="auto"/>
        </w:rPr>
        <w:t>” means any Lender that, as reasonably determined by the Blackstone Representative (a) has refused (which refusal may be given verbally or in writing and has not been retracted) or failed to perform any of its funding obligations hereunder, including in respect of its Loans, which refusal or failure is not cured within one Business Day after the date of such refusal or failure, (b) has notified Borrower or the Agent that it does not intend to comply with its funding obligations or has made a public statement to that effect with respect to its funding obligations hereunder or under other agreements in which it commits to extend credit, (c) has failed, within three</w:t>
      </w:r>
    </w:p>
    <w:p>
      <w:pPr>
        <w:spacing w:after="0" w:line="4" w:lineRule="exact"/>
        <w:rPr>
          <w:sz w:val="20"/>
          <w:szCs w:val="20"/>
          <w:color w:val="auto"/>
        </w:rPr>
      </w:pPr>
    </w:p>
    <w:p>
      <w:pPr>
        <w:jc w:val="both"/>
        <w:ind w:firstLine="8"/>
        <w:spacing w:after="0"/>
        <w:tabs>
          <w:tab w:leader="none" w:pos="322" w:val="left"/>
        </w:tabs>
        <w:numPr>
          <w:ilvl w:val="0"/>
          <w:numId w:val="1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Business Days after request by the Agent (at the direction of the Blackstone Representative), to confirm in a manner reasonably satisfactory to the Blackstone Representative that it shall comply with its funding obligations (provided that such Lender shall cease to be a Defaulting Lender pursuant to this clause (c) upon receipt of such written confirmation by the Agent and Borrower), or (d) has, or has a direct or indirect parent company that has, after the date of this Agreement, (i) become the subject of a proceeding under any liquidation, conservatorship, bankruptcy, assignment for the benefit of creditors, moratorium, rearrangement, receivership, insolvency, reorganization or similar debtor relief Laws of the United States or other applicable jurisdictions from time to time in effect and affecting the rights of creditors generally, (ii) had a receiver, conservator, trustee, administrator, assignee for the benefit of creditors or similar Person charged with reorganization or liquidation of its business or a custodian appointed for it, (iii) taken any action in furtherance of, or indicated its consent to, approval of or acquiescence in any such proceeding or appointment or (iv) become the subject of a Bail-In Action;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 Lender shall not be a Defaulting Lender solely by virtue of the ownership or acquisition of any Equity Interest in that Lender or any direct or indirect parent company</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4905-3710-6484 v.17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600710</wp:posOffset>
            </wp:positionV>
            <wp:extent cx="7157720" cy="4254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6" w:right="339" w:bottom="1440" w:gutter="0" w:footer="0" w:header="0"/>
        </w:sectPr>
      </w:pPr>
    </w:p>
    <w:bookmarkStart w:id="294" w:name="page295"/>
    <w:bookmarkEnd w:id="294"/>
    <w:p>
      <w:pPr>
        <w:jc w:val="both"/>
        <w:spacing w:after="0" w:line="245" w:lineRule="auto"/>
        <w:rPr>
          <w:sz w:val="20"/>
          <w:szCs w:val="20"/>
          <w:color w:val="auto"/>
        </w:rPr>
      </w:pPr>
      <w:r>
        <w:rPr>
          <w:rFonts w:ascii="Times New Roman" w:cs="Times New Roman" w:eastAsia="Times New Roman" w:hAnsi="Times New Roman"/>
          <w:sz w:val="20"/>
          <w:szCs w:val="20"/>
          <w:color w:val="auto"/>
        </w:rPr>
        <w:t>thereof by a Governmental Authority so long as such ownership interest does not result in or provide such Lender with immunity from the jurisdiction of courts within the United States or from the enforcement of judgments or writs of attachment on its assets or permit such Lender (or such Governmental Authority) to reject, repudiate, disavow or disaffirm any contracts or agreements made with such Lender. Any determination by the Blackstone Representative that a Lender is a Defaulting Lender under any one or more of clauses (a) through (d) above shall be conclusive and binding absent manifest error, and such Lender shall be deemed to be a Defaulting Lender upon delivery of written notice of such determination to Borrower, the Agent and each Lender.</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Deposit Account</w:t>
      </w:r>
      <w:r>
        <w:rPr>
          <w:rFonts w:ascii="Times New Roman" w:cs="Times New Roman" w:eastAsia="Times New Roman" w:hAnsi="Times New Roman"/>
          <w:sz w:val="19"/>
          <w:szCs w:val="19"/>
          <w:color w:val="auto"/>
        </w:rPr>
        <w:t>” means any “deposit account” as defined in the Code with such additions to such term as may hereafter be made.</w:t>
      </w:r>
    </w:p>
    <w:p>
      <w:pPr>
        <w:spacing w:after="0" w:line="227" w:lineRule="exact"/>
        <w:rPr>
          <w:sz w:val="20"/>
          <w:szCs w:val="20"/>
          <w:color w:val="auto"/>
        </w:rPr>
      </w:pPr>
    </w:p>
    <w:p>
      <w:pPr>
        <w:jc w:val="both"/>
        <w:ind w:firstLine="749"/>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Designated Jurisdiction</w:t>
      </w:r>
      <w:r>
        <w:rPr>
          <w:rFonts w:ascii="Times New Roman" w:cs="Times New Roman" w:eastAsia="Times New Roman" w:hAnsi="Times New Roman"/>
          <w:sz w:val="20"/>
          <w:szCs w:val="20"/>
          <w:color w:val="auto"/>
        </w:rPr>
        <w:t>” means any country or territory to the extent that such country or territory is the subject of country- or territory-wide Sanctions.</w:t>
      </w:r>
    </w:p>
    <w:p>
      <w:pPr>
        <w:spacing w:after="0" w:line="15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Disclosure Letter</w:t>
      </w:r>
      <w:r>
        <w:rPr>
          <w:rFonts w:ascii="Times New Roman" w:cs="Times New Roman" w:eastAsia="Times New Roman" w:hAnsi="Times New Roman"/>
          <w:sz w:val="20"/>
          <w:szCs w:val="20"/>
          <w:color w:val="auto"/>
        </w:rPr>
        <w:t>” means the disclosure letter, dated as of the Closing Date, delivered by the Credit Parties to the Agent.</w:t>
      </w:r>
    </w:p>
    <w:p>
      <w:pPr>
        <w:spacing w:after="0" w:line="202"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Disqualified Equity Interest</w:t>
      </w:r>
      <w:r>
        <w:rPr>
          <w:rFonts w:ascii="Times New Roman" w:cs="Times New Roman" w:eastAsia="Times New Roman" w:hAnsi="Times New Roman"/>
          <w:sz w:val="20"/>
          <w:szCs w:val="20"/>
          <w:color w:val="auto"/>
        </w:rPr>
        <w:t>” means any Equity Interest that, by its terms (or by the terms of any security or other Equity Interest into which it is convertible or for which it is exchangeable), or upon the happening of any event or condition (a) matures or is mandatorily redeemable (other than solely for Qualified Equity Interests and cash in lieu of fractional shares), pursuant to a sinking fund obligation or otherwise (except as a result of a change of control, asset sale or similar event so long as any rights of the holders thereof upon the occurrence of a change of control, asset sale or similar event shall be subject to the prior repayment in full in cash of the Loans and all other Obligations that are accrued and payable and the termination of the Commitments), (b) is redeemable at the option of the holder thereof (other than (i) solely for Qualified Equity Interests or (ii) as a result of a change of control, asset sale or similar event so long as any rights of the holders thereof upon the occurrence of a change of control, asset sale or similar event shall be subject to the prior repayment in full of the Loans and all other Obligations that are accrued and payable and the termination of the Commitments), in whole or in part, (c) provides for scheduled payments of cash dividends or other distributions in cash or other assets other than Qualified Equity Interests or (d) is or becomes convertible into or exchangeable for Indebtedness or any other Equity Interests that would constitute Disqualified Equity Interests, in each case, prior to the date that is 181 days after the Maturity Date at the time of issuance of such Equity Interests.</w:t>
      </w:r>
    </w:p>
    <w:p>
      <w:pPr>
        <w:spacing w:after="0" w:line="187"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Disqualified Institution</w:t>
      </w:r>
      <w:r>
        <w:rPr>
          <w:rFonts w:ascii="Times New Roman" w:cs="Times New Roman" w:eastAsia="Times New Roman" w:hAnsi="Times New Roman"/>
          <w:sz w:val="20"/>
          <w:szCs w:val="20"/>
          <w:color w:val="auto"/>
        </w:rPr>
        <w:t xml:space="preserve">” means, on any date, (a) certain banks, financial institutions, other institutional lenders and investors and other entities that were designated in writing to the Agent and the Lenders by the Borrower as a Disqualified Institution on or prior to the Closing Date, (b) certain banks, financial institutions, other institutional lenders and investors and other entities that are from time to time after the Closing Date designated in writing to the Agent and the Lenders by the Borrower as a Disqualified Institution (with such updates to occur (i) so long as no Default or Event of Default shall have occurred and be continuing, (ii) no more frequently than twice per year and (iii) subject to the consent of the Blackstone Representative, not to be unreasonably withheld, conditioned or delayed) and (c) as to any Disqualified Institution referenced in clause </w:t>
      </w:r>
      <w:r>
        <w:rPr>
          <w:rFonts w:ascii="Times New Roman" w:cs="Times New Roman" w:eastAsia="Times New Roman" w:hAnsi="Times New Roman"/>
          <w:sz w:val="20"/>
          <w:szCs w:val="20"/>
          <w:u w:val="single" w:color="auto"/>
          <w:color w:val="auto"/>
        </w:rPr>
        <w:t>(a)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above, such Disqualified Institution’s Affiliates that are either clearly identifiable as an Affiliate of any such Disqualified Institution on the basis of such Person’s name or identified by name in writing by the Borrower to the Agent from time to time. The Agent shall not (x) be obligated to ascertain, monitor or inquire as to whether any Lender or participant or prospective Lender or participant is a Disqualified Institution or (y) have any liability with respect to or arising out of any assignment or participation of Loans, or disclosure of Confidential Information, to any Disqualified Institution. For the avoidance of doubt, (1) any designation of a Person as a Disqualified Institution after the Closing Date will not apply retroactively to disqualify the transfer of an interest in the Commitments or Loans, as applicable, that was effective prior to the effective date of such designation, and (2) “Disqualified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601980</wp:posOffset>
            </wp:positionV>
            <wp:extent cx="7157720" cy="4254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6" w:right="339" w:bottom="1440" w:gutter="0" w:footer="0" w:header="0"/>
        </w:sectPr>
      </w:pPr>
    </w:p>
    <w:bookmarkStart w:id="295" w:name="page296"/>
    <w:bookmarkEnd w:id="295"/>
    <w:p>
      <w:pPr>
        <w:spacing w:after="0" w:line="140"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90</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4905-3710-6484 v.17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600710</wp:posOffset>
            </wp:positionV>
            <wp:extent cx="7157720" cy="4254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296" w:name="page297"/>
    <w:bookmarkEnd w:id="296"/>
    <w:p>
      <w:pPr>
        <w:jc w:val="both"/>
        <w:spacing w:after="0" w:line="269" w:lineRule="auto"/>
        <w:rPr>
          <w:sz w:val="20"/>
          <w:szCs w:val="20"/>
          <w:color w:val="auto"/>
        </w:rPr>
      </w:pPr>
      <w:r>
        <w:rPr>
          <w:rFonts w:ascii="Times New Roman" w:cs="Times New Roman" w:eastAsia="Times New Roman" w:hAnsi="Times New Roman"/>
          <w:sz w:val="20"/>
          <w:szCs w:val="20"/>
          <w:color w:val="auto"/>
        </w:rPr>
        <w:t>Institutions” shall exclude any person that the Borrower has designated as no longer being a “Disqualified Institution” by written notice delivered to the Agent.</w:t>
      </w:r>
    </w:p>
    <w:p>
      <w:pPr>
        <w:spacing w:after="0" w:line="142" w:lineRule="exact"/>
        <w:rPr>
          <w:sz w:val="20"/>
          <w:szCs w:val="20"/>
          <w:color w:val="auto"/>
        </w:rPr>
      </w:pPr>
    </w:p>
    <w:p>
      <w:pPr>
        <w:jc w:val="both"/>
        <w:ind w:firstLine="749"/>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Dollars</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b w:val="1"/>
          <w:bCs w:val="1"/>
          <w:color w:val="auto"/>
        </w:rPr>
        <w:t>dollars</w:t>
      </w:r>
      <w:r>
        <w:rPr>
          <w:rFonts w:ascii="Times New Roman" w:cs="Times New Roman" w:eastAsia="Times New Roman" w:hAnsi="Times New Roman"/>
          <w:sz w:val="20"/>
          <w:szCs w:val="20"/>
          <w:color w:val="auto"/>
        </w:rPr>
        <w:t>” or use of the sign “</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means only lawful money of the United States and not any other currency, regardless of whether that currency uses the “$” sign to denote its currency or may be readily converted into lawful money of the United States.</w:t>
      </w:r>
    </w:p>
    <w:p>
      <w:pPr>
        <w:spacing w:after="0" w:line="15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EEA Member Country</w:t>
      </w:r>
      <w:r>
        <w:rPr>
          <w:rFonts w:ascii="Times New Roman" w:cs="Times New Roman" w:eastAsia="Times New Roman" w:hAnsi="Times New Roman"/>
          <w:sz w:val="20"/>
          <w:szCs w:val="20"/>
          <w:color w:val="auto"/>
        </w:rPr>
        <w:t>” means any member state of the European Union, Iceland, Liechtenstein, and Norway.</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EMA</w:t>
      </w:r>
      <w:r>
        <w:rPr>
          <w:rFonts w:ascii="Times New Roman" w:cs="Times New Roman" w:eastAsia="Times New Roman" w:hAnsi="Times New Roman"/>
          <w:sz w:val="20"/>
          <w:szCs w:val="20"/>
          <w:color w:val="auto"/>
        </w:rPr>
        <w:t>” means the European Medicines Agency.</w:t>
      </w:r>
    </w:p>
    <w:p>
      <w:pPr>
        <w:spacing w:after="0" w:line="216"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Employee Benefit Plan</w:t>
      </w:r>
      <w:r>
        <w:rPr>
          <w:rFonts w:ascii="Times New Roman" w:cs="Times New Roman" w:eastAsia="Times New Roman" w:hAnsi="Times New Roman"/>
          <w:sz w:val="20"/>
          <w:szCs w:val="20"/>
          <w:color w:val="auto"/>
        </w:rPr>
        <w:t>” means any employee benefit plan, as defined in Section 3(3) of ERISA, maintained for employees of Borrower or any of its Subsidiaries, or any such plan to which Borrower or any of its Subsidiaries contributes or is required to contribute, or with respect to which Borrower or any of its Subsidiaries has any liability.</w:t>
      </w:r>
    </w:p>
    <w:p>
      <w:pPr>
        <w:spacing w:after="0" w:line="155"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Environmental Claim</w:t>
      </w:r>
      <w:r>
        <w:rPr>
          <w:rFonts w:ascii="Times New Roman" w:cs="Times New Roman" w:eastAsia="Times New Roman" w:hAnsi="Times New Roman"/>
          <w:sz w:val="20"/>
          <w:szCs w:val="20"/>
          <w:color w:val="auto"/>
        </w:rPr>
        <w:t>” means any investigation, notice, notice of violation, claim, action, suit, proceeding, demand, abatement order or other order or directive (conditional or otherwise), by any Governmental Authority or any other Person, arising (i) pursuant to or in connection with any actual or alleged violation of any Environmental Law; (ii) in connection with any Hazardous Material or any actual or alleged Hazardous Materials Activity; or (iii) in connection with any actual or alleged damage, injury, threat or harm to health, safety, natural resources or the environment.</w:t>
      </w:r>
    </w:p>
    <w:p>
      <w:pPr>
        <w:spacing w:after="0" w:line="180"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Environmental Laws</w:t>
      </w:r>
      <w:r>
        <w:rPr>
          <w:rFonts w:ascii="Times New Roman" w:cs="Times New Roman" w:eastAsia="Times New Roman" w:hAnsi="Times New Roman"/>
          <w:sz w:val="20"/>
          <w:szCs w:val="20"/>
          <w:color w:val="auto"/>
        </w:rPr>
        <w:t>” means any and all current or future, foreign or domestic, statutes, ordinances, orders, rules, regulations, judgments, Governmental Approvals, or any other requirements of Governmental Authorities relating to (i) pollution or protection of the environmental matters, including matters relating to any Hazardous Materials Activity; (ii) the generation, use, storage, treatment, transportation or disposal of Hazardous Materials; or (iii) occupational safety and health, industrial hygiene, land use or the protection of human, plant or animal health or welfare, in each case, in any manner applicable to any Credit Party or any of its Subsidiaries or any Facility.</w:t>
      </w:r>
    </w:p>
    <w:p>
      <w:pPr>
        <w:spacing w:after="0" w:line="179"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Equity Interests</w:t>
      </w:r>
      <w:r>
        <w:rPr>
          <w:rFonts w:ascii="Times New Roman" w:cs="Times New Roman" w:eastAsia="Times New Roman" w:hAnsi="Times New Roman"/>
          <w:sz w:val="20"/>
          <w:szCs w:val="20"/>
          <w:color w:val="auto"/>
        </w:rPr>
        <w:t xml:space="preserve">” means, with respect to any Person, any and all shares, interests, participations or other equivalents (however designated) of capital stock of a corporation, any and all equivalent ownership interests in such Person (other than a corporation), including partnership interests and membership interests, and any and all warrants, rights or options to purchase or other arrangements or rights to acquire (by purchase, conversion, dividend, distribution or otherwise) any of the foregoing (and all other rights, powers, privileges, interests, claims and other property in any manner arising therefrom or relating thereto);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Equity Interests shall not include any Permitted Convertible Bond Indebtedness.</w:t>
      </w:r>
    </w:p>
    <w:p>
      <w:pPr>
        <w:spacing w:after="0" w:line="16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ERISA</w:t>
      </w:r>
      <w:r>
        <w:rPr>
          <w:rFonts w:ascii="Times New Roman" w:cs="Times New Roman" w:eastAsia="Times New Roman" w:hAnsi="Times New Roman"/>
          <w:sz w:val="20"/>
          <w:szCs w:val="20"/>
          <w:color w:val="auto"/>
        </w:rPr>
        <w:t>” means the Employee Retirement Income Security Act of 1974, as amended and regulations issued thereunder.</w:t>
      </w:r>
    </w:p>
    <w:p>
      <w:pPr>
        <w:spacing w:after="0" w:line="216" w:lineRule="exact"/>
        <w:rPr>
          <w:sz w:val="20"/>
          <w:szCs w:val="20"/>
          <w:color w:val="auto"/>
        </w:rPr>
      </w:pPr>
    </w:p>
    <w:p>
      <w:pPr>
        <w:jc w:val="both"/>
        <w:ind w:firstLine="749"/>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ERISA Affiliate</w:t>
      </w:r>
      <w:r>
        <w:rPr>
          <w:rFonts w:ascii="Times New Roman" w:cs="Times New Roman" w:eastAsia="Times New Roman" w:hAnsi="Times New Roman"/>
          <w:sz w:val="20"/>
          <w:szCs w:val="20"/>
          <w:color w:val="auto"/>
        </w:rPr>
        <w:t>” means, with respect to any Person, any trade or business (whether or not incorporated) that, together with such Person, is, or within the last six (6) years was, treated as a single employer under Section 414 of the IRC or Section 4001 of ERISA.</w:t>
      </w:r>
    </w:p>
    <w:p>
      <w:pPr>
        <w:spacing w:after="0" w:line="152"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ERISA Event</w:t>
      </w:r>
      <w:r>
        <w:rPr>
          <w:rFonts w:ascii="Times New Roman" w:cs="Times New Roman" w:eastAsia="Times New Roman" w:hAnsi="Times New Roman"/>
          <w:sz w:val="20"/>
          <w:szCs w:val="20"/>
          <w:color w:val="auto"/>
        </w:rPr>
        <w:t>” means (a) any “reportable event,” as defined in Section 4043 of ERISA or the regulations issued thereunder, with respect to a Plan (other than an event for which the 30-day notice period is waived by regulation); (b) a Plan is in “at risk” status (as defined in Section 430 of the IRC or Section 303 of ERISA); (c) with respect to a Plan, the failure to satisfy the minimum funding standard of Section 412 of the IRC and Section 302 of ERISA, whether or not waived; (d) the failure to make by its due date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596265</wp:posOffset>
            </wp:positionV>
            <wp:extent cx="7157720" cy="4254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26" w:right="419" w:bottom="1440" w:gutter="0" w:footer="0" w:header="0"/>
        </w:sectPr>
      </w:pPr>
    </w:p>
    <w:bookmarkStart w:id="297" w:name="page298"/>
    <w:bookmarkEnd w:id="297"/>
    <w:p>
      <w:pPr>
        <w:spacing w:after="0" w:line="194" w:lineRule="exact"/>
        <w:rPr>
          <w:sz w:val="20"/>
          <w:szCs w:val="20"/>
          <w:color w:val="auto"/>
        </w:rPr>
      </w:pPr>
    </w:p>
    <w:p>
      <w:pPr>
        <w:jc w:val="right"/>
        <w:ind w:right="4459"/>
        <w:spacing w:after="0"/>
        <w:rPr>
          <w:sz w:val="20"/>
          <w:szCs w:val="20"/>
          <w:color w:val="auto"/>
        </w:rPr>
      </w:pPr>
      <w:r>
        <w:rPr>
          <w:rFonts w:ascii="Times New Roman" w:cs="Times New Roman" w:eastAsia="Times New Roman" w:hAnsi="Times New Roman"/>
          <w:sz w:val="18"/>
          <w:szCs w:val="18"/>
          <w:color w:val="auto"/>
        </w:rPr>
        <w:t>91</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4905-3710-6484 v.17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600710</wp:posOffset>
            </wp:positionV>
            <wp:extent cx="7157720" cy="4254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298" w:name="page299"/>
    <w:bookmarkEnd w:id="298"/>
    <w:p>
      <w:pPr>
        <w:jc w:val="both"/>
        <w:spacing w:after="0" w:line="254" w:lineRule="auto"/>
        <w:rPr>
          <w:sz w:val="20"/>
          <w:szCs w:val="20"/>
          <w:color w:val="auto"/>
        </w:rPr>
      </w:pPr>
      <w:r>
        <w:rPr>
          <w:rFonts w:ascii="Times New Roman" w:cs="Times New Roman" w:eastAsia="Times New Roman" w:hAnsi="Times New Roman"/>
          <w:sz w:val="19"/>
          <w:szCs w:val="19"/>
          <w:color w:val="auto"/>
        </w:rPr>
        <w:t>required installment under Section 430(j) of the IRC with respect to any Plan or the failure to make any required contribution to a Multiemployer Plan; (e) the filing pursuant to Section 412(c) of the IRC or Section 302(c) of ERISA of an application for a waiver of the minimum funding standard with respect to any Plan; (f) the incurrence by Borrower or its Subsidiaries or any of their respective ERISA Affiliates of any liability under Title IV of ERISA with respect to the termination of any Plan; (g) the receipt by Borrower or its Subsidiaries or any of their respective ERISA Affiliates from the Pension Benefit Guaranty Corporation (referred to and defined in ERISA) or a plan administrator of any notice relating to the intention to terminate any Plan or Plans or to appoint a trustee to administer any Plan, or the occurrence of any event or condition which would reasonably be expected to constitute grounds under ERISA for the termination of, or the appointment of a trustee to administer, any Plan; (h) the incurrence, or the reasonable likelihood of incurrence, by Borrower or its Subsidiaries or any of their respective ERISA Affiliates of any liability with respect to the withdrawal from any Plan or Multiemployer Plan;</w:t>
      </w:r>
    </w:p>
    <w:p>
      <w:pPr>
        <w:spacing w:after="0" w:line="7" w:lineRule="exact"/>
        <w:rPr>
          <w:sz w:val="20"/>
          <w:szCs w:val="20"/>
          <w:color w:val="auto"/>
        </w:rPr>
      </w:pPr>
    </w:p>
    <w:p>
      <w:pPr>
        <w:jc w:val="both"/>
        <w:ind w:firstLine="8"/>
        <w:spacing w:after="0"/>
        <w:tabs>
          <w:tab w:leader="none" w:pos="268" w:val="left"/>
        </w:tabs>
        <w:numPr>
          <w:ilvl w:val="0"/>
          <w:numId w:val="1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receipt by Borrower or its Subsidiaries or any of their respective ERISA Affiliates of any notice, concerning the imposition of Withdrawal Liability or a determination that a Multiemployer Plan is, or is expected to be, insolvent, or in endangered, critical or critical and declining status, in each case, within the meaning of Title IV of ERISA; (j) the “substantial cessation of operations” within the meaning of Section 4062(e) of ERISA with respect to a Plan; (k) the imposition on account of any Plan of a lien under the IRC or ERISA on the assets of Borrower or its Subsidiaries or any of their respective ERISA Affiliates, or notification to Borrower or its Subsidiaries or any of their respective ERISA Affiliates that such a lien shall be imposed, or the posting of a bond or other security in lieu thereof; (l) the occurrence of an event, circumstance, transaction or failure which results in, or which would reasonably be expected to result in, material liability to a Credit Party or Subsidiary under Title I of ERISA or a material tax under any of Sections 4971 through 5000 of the IRC.</w:t>
      </w:r>
    </w:p>
    <w:p>
      <w:pPr>
        <w:spacing w:after="0" w:line="18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Erroneous Payment</w:t>
      </w:r>
      <w:r>
        <w:rPr>
          <w:rFonts w:ascii="Times New Roman" w:cs="Times New Roman" w:eastAsia="Times New Roman" w:hAnsi="Times New Roman"/>
          <w:sz w:val="20"/>
          <w:szCs w:val="20"/>
          <w:color w:val="auto"/>
        </w:rPr>
        <w:t xml:space="preserve">” is defined in </w:t>
      </w:r>
      <w:r>
        <w:rPr>
          <w:rFonts w:ascii="Times New Roman" w:cs="Times New Roman" w:eastAsia="Times New Roman" w:hAnsi="Times New Roman"/>
          <w:sz w:val="20"/>
          <w:szCs w:val="20"/>
          <w:u w:val="single" w:color="auto"/>
          <w:color w:val="auto"/>
        </w:rPr>
        <w:t>Section 12.15(a)</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Erroneous Payment Return Deficiency</w:t>
      </w:r>
      <w:r>
        <w:rPr>
          <w:rFonts w:ascii="Times New Roman" w:cs="Times New Roman" w:eastAsia="Times New Roman" w:hAnsi="Times New Roman"/>
          <w:sz w:val="20"/>
          <w:szCs w:val="20"/>
          <w:color w:val="auto"/>
        </w:rPr>
        <w:t xml:space="preserve">” is defined in </w:t>
      </w:r>
      <w:r>
        <w:rPr>
          <w:rFonts w:ascii="Times New Roman" w:cs="Times New Roman" w:eastAsia="Times New Roman" w:hAnsi="Times New Roman"/>
          <w:sz w:val="20"/>
          <w:szCs w:val="20"/>
          <w:u w:val="single" w:color="auto"/>
          <w:color w:val="auto"/>
        </w:rPr>
        <w:t>Section 12.15(d)</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Erroneous Payment Subrogation Rights</w:t>
      </w:r>
      <w:r>
        <w:rPr>
          <w:rFonts w:ascii="Times New Roman" w:cs="Times New Roman" w:eastAsia="Times New Roman" w:hAnsi="Times New Roman"/>
          <w:sz w:val="20"/>
          <w:szCs w:val="20"/>
          <w:color w:val="auto"/>
        </w:rPr>
        <w:t xml:space="preserve">” is defined in </w:t>
      </w:r>
      <w:r>
        <w:rPr>
          <w:rFonts w:ascii="Times New Roman" w:cs="Times New Roman" w:eastAsia="Times New Roman" w:hAnsi="Times New Roman"/>
          <w:sz w:val="20"/>
          <w:szCs w:val="20"/>
          <w:u w:val="single" w:color="auto"/>
          <w:color w:val="auto"/>
        </w:rPr>
        <w:t>Section 12.15(d)</w:t>
      </w:r>
      <w:r>
        <w:rPr>
          <w:rFonts w:ascii="Times New Roman" w:cs="Times New Roman" w:eastAsia="Times New Roman" w:hAnsi="Times New Roman"/>
          <w:sz w:val="20"/>
          <w:szCs w:val="20"/>
          <w:color w:val="auto"/>
        </w:rPr>
        <w:t>.</w:t>
      </w:r>
    </w:p>
    <w:p>
      <w:pPr>
        <w:spacing w:after="0" w:line="202" w:lineRule="exact"/>
        <w:rPr>
          <w:sz w:val="20"/>
          <w:szCs w:val="20"/>
          <w:color w:val="auto"/>
        </w:rPr>
      </w:pPr>
    </w:p>
    <w:p>
      <w:pPr>
        <w:jc w:val="both"/>
        <w:ind w:firstLine="749"/>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EU Bail-In Legislation Schedule</w:t>
      </w:r>
      <w:r>
        <w:rPr>
          <w:rFonts w:ascii="Times New Roman" w:cs="Times New Roman" w:eastAsia="Times New Roman" w:hAnsi="Times New Roman"/>
          <w:sz w:val="20"/>
          <w:szCs w:val="20"/>
          <w:color w:val="auto"/>
        </w:rPr>
        <w:t>” means the document described as such and published by the Loan Market Association (or any successor person) from time to time.</w:t>
      </w:r>
    </w:p>
    <w:p>
      <w:pPr>
        <w:spacing w:after="0" w:line="16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Event of Default</w:t>
      </w:r>
      <w:r>
        <w:rPr>
          <w:rFonts w:ascii="Times New Roman" w:cs="Times New Roman" w:eastAsia="Times New Roman" w:hAnsi="Times New Roman"/>
          <w:sz w:val="20"/>
          <w:szCs w:val="20"/>
          <w:color w:val="auto"/>
        </w:rPr>
        <w:t xml:space="preserve">” is defined in </w:t>
      </w:r>
      <w:r>
        <w:rPr>
          <w:rFonts w:ascii="Times New Roman" w:cs="Times New Roman" w:eastAsia="Times New Roman" w:hAnsi="Times New Roman"/>
          <w:sz w:val="20"/>
          <w:szCs w:val="20"/>
          <w:u w:val="single" w:color="auto"/>
          <w:color w:val="auto"/>
        </w:rPr>
        <w:t>Section 7</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749"/>
        <w:spacing w:after="0" w:line="24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Event of Loss</w:t>
      </w:r>
      <w:r>
        <w:rPr>
          <w:rFonts w:ascii="Times New Roman" w:cs="Times New Roman" w:eastAsia="Times New Roman" w:hAnsi="Times New Roman"/>
          <w:sz w:val="20"/>
          <w:szCs w:val="20"/>
          <w:color w:val="auto"/>
        </w:rPr>
        <w:t>” means, with respect to any property or asset, any of the following: (a) any loss, destruction or damage of such property or asset; or (b) any condemnation, seizure or taking, by exercise of the power of eminent domain or otherwise, of such property or asset, or confiscation of such property or asset or the requisition of the use of such property or asset.</w:t>
      </w:r>
    </w:p>
    <w:p>
      <w:pPr>
        <w:spacing w:after="0" w:line="2" w:lineRule="exact"/>
        <w:rPr>
          <w:sz w:val="20"/>
          <w:szCs w:val="20"/>
          <w:color w:val="auto"/>
        </w:rPr>
      </w:pPr>
    </w:p>
    <w:p>
      <w:pPr>
        <w:ind w:left="760" w:right="3300"/>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Exchange Act</w:t>
      </w:r>
      <w:r>
        <w:rPr>
          <w:rFonts w:ascii="Times New Roman" w:cs="Times New Roman" w:eastAsia="Times New Roman" w:hAnsi="Times New Roman"/>
          <w:sz w:val="20"/>
          <w:szCs w:val="20"/>
          <w:color w:val="auto"/>
        </w:rPr>
        <w:t>” means the Securities Exchange Act of 1934. “</w:t>
      </w:r>
      <w:r>
        <w:rPr>
          <w:rFonts w:ascii="Times New Roman" w:cs="Times New Roman" w:eastAsia="Times New Roman" w:hAnsi="Times New Roman"/>
          <w:sz w:val="20"/>
          <w:szCs w:val="20"/>
          <w:b w:val="1"/>
          <w:bCs w:val="1"/>
          <w:color w:val="auto"/>
        </w:rPr>
        <w:t>Exchange Act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Documents</w:t>
      </w:r>
      <w:r>
        <w:rPr>
          <w:rFonts w:ascii="Times New Roman" w:cs="Times New Roman" w:eastAsia="Times New Roman" w:hAnsi="Times New Roman"/>
          <w:sz w:val="20"/>
          <w:szCs w:val="20"/>
          <w:color w:val="auto"/>
        </w:rPr>
        <w:t>” is defined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Section 4.8(a)</w:t>
      </w:r>
      <w:r>
        <w:rPr>
          <w:rFonts w:ascii="Times New Roman" w:cs="Times New Roman" w:eastAsia="Times New Roman" w:hAnsi="Times New Roman"/>
          <w:sz w:val="20"/>
          <w:szCs w:val="20"/>
          <w:color w:val="auto"/>
        </w:rPr>
        <w:t>.</w:t>
      </w:r>
    </w:p>
    <w:p>
      <w:pPr>
        <w:spacing w:after="0" w:line="164" w:lineRule="exact"/>
        <w:rPr>
          <w:sz w:val="20"/>
          <w:szCs w:val="20"/>
          <w:color w:val="auto"/>
        </w:rPr>
      </w:pPr>
    </w:p>
    <w:p>
      <w:pPr>
        <w:jc w:val="both"/>
        <w:ind w:firstLine="749"/>
        <w:spacing w:after="0" w:line="26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Excluded Accounts</w:t>
      </w:r>
      <w:r>
        <w:rPr>
          <w:rFonts w:ascii="Times New Roman" w:cs="Times New Roman" w:eastAsia="Times New Roman" w:hAnsi="Times New Roman"/>
          <w:sz w:val="19"/>
          <w:szCs w:val="19"/>
          <w:color w:val="auto"/>
        </w:rPr>
        <w:t xml:space="preserve">” means (i) Deposit Accounts exclusively used for payroll, payroll Taxes and other employee wage and benefit payments to or for the benefit of any Credit Party’s employees;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that with respect to payroll accounts, the amounts in such accounts shall not exceed the amount necessary for the applicable Credit Party to fully fund its next two complete payroll cycles in the ordinary course and such minimum amount as may be required by any applicable Law or as customary by the applicable financial institution with respect to such account, (ii) zero balance accounts swept no less frequently than weekly to Collateral Accounts of the Credit Parties which are subject to a Control Agreement, (iii) accounts (including trust accounts) used exclusively for escrow, customs, insurance or fiduciary purposes, (iv) accounts used exclusively for compliance with any Requirements of Law to the extent such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589915</wp:posOffset>
            </wp:positionV>
            <wp:extent cx="7157720" cy="4254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26" w:right="419" w:bottom="1440" w:gutter="0" w:footer="0" w:header="0"/>
        </w:sectPr>
      </w:pPr>
    </w:p>
    <w:bookmarkStart w:id="299" w:name="page300"/>
    <w:bookmarkEnd w:id="299"/>
    <w:p>
      <w:pPr>
        <w:spacing w:after="0" w:line="194"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92</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4905-3710-6484 v.17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600710</wp:posOffset>
            </wp:positionV>
            <wp:extent cx="7157720" cy="4254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300" w:name="page301"/>
    <w:bookmarkEnd w:id="300"/>
    <w:p>
      <w:pPr>
        <w:jc w:val="both"/>
        <w:spacing w:after="0" w:line="254" w:lineRule="auto"/>
        <w:rPr>
          <w:sz w:val="20"/>
          <w:szCs w:val="20"/>
          <w:color w:val="auto"/>
        </w:rPr>
      </w:pPr>
      <w:r>
        <w:rPr>
          <w:rFonts w:ascii="Times New Roman" w:cs="Times New Roman" w:eastAsia="Times New Roman" w:hAnsi="Times New Roman"/>
          <w:sz w:val="20"/>
          <w:szCs w:val="20"/>
          <w:color w:val="auto"/>
        </w:rPr>
        <w:t>of Law prohibit the granting of a Lien thereon, (v) accounts which constitute cash collateral in respect of a Permitted Lien, and (vi) any account, the cash balance of which does not exceed $500,000 individually or $1,000,000 in the aggregate with respect to all such accounts under this clause (vi) at any time.</w:t>
      </w:r>
    </w:p>
    <w:p>
      <w:pPr>
        <w:spacing w:after="0" w:line="170" w:lineRule="exact"/>
        <w:rPr>
          <w:sz w:val="20"/>
          <w:szCs w:val="20"/>
          <w:color w:val="auto"/>
        </w:rPr>
      </w:pPr>
    </w:p>
    <w:p>
      <w:pPr>
        <w:jc w:val="both"/>
        <w:ind w:firstLine="749"/>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Excluded Assets</w:t>
      </w:r>
      <w:r>
        <w:rPr>
          <w:rFonts w:ascii="Times New Roman" w:cs="Times New Roman" w:eastAsia="Times New Roman" w:hAnsi="Times New Roman"/>
          <w:sz w:val="20"/>
          <w:szCs w:val="20"/>
          <w:color w:val="auto"/>
        </w:rPr>
        <w:t>” means, collectively: (i) leasehold interests in real property, (ii) fee interests in real property with a fair market value less than $5,000,000, and (iii) with respect to any U.S. Credit Party, Excluded Property (as defined in the Security Agreement).</w:t>
      </w:r>
    </w:p>
    <w:p>
      <w:pPr>
        <w:spacing w:after="0" w:line="165"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Excluded Equity Interests</w:t>
      </w:r>
      <w:r>
        <w:rPr>
          <w:rFonts w:ascii="Times New Roman" w:cs="Times New Roman" w:eastAsia="Times New Roman" w:hAnsi="Times New Roman"/>
          <w:sz w:val="19"/>
          <w:szCs w:val="19"/>
          <w:color w:val="auto"/>
        </w:rPr>
        <w:t>” means, collectively: (i) any Equity Interests of any Subsidiary with respect to which the grant to the Agent in favor and for the benefit of the Agent and the other Secured Parties of a security interest in and Lien upon, and the pledge to the Agent in favor and for the benefit of the Agent and the other Secured Parties of, such Equity Interests, to secure the Obligations (and any guaranty thereof) are validly prohibited by Requirements of Law; (ii) any Equity Interests of any Subsidiary with respect to which the grant to the Agent in favor and for the benefit of the Agent and the other Secured Parties of a security interest in and Lien upon, and the pledge to the Agent in favor and for the benefit of the Agent and the other Secured Parties of, such Equity Interests, to secure the Obligations (and any guaranty thereof) require the consent, approval or waiver of any Governmental Authority and such consent, approval or waiver has not been obtained by Borrower following Borrower’s commercially reasonable efforts to obtain the same; (iii) that is a non-Wholly-Owned Subsidiary that the grant to the Agent in favor and for the benefit of the Agent and the other Secured Parties of a security interest in and Lien upon, and the pledge to the Agent in favor and for the benefit of the Agent and the other Secured Parties of, such Equity Interests, to secure the Obligations (and any guaranty thereof) are validly prohibited by, or would give any third party (other than Borrower or an Affiliate of Borrower) the right to terminate its obligations under, the Operating Documents or the joint venture agreement or shareholder agreement with respect to, or any other contract with such third party relating to such non-Wholly-Owned Subsidiary, including any contract evidencing Indebtedness of such non-Wholly-Owned Subsidiary (other than customary non-assignment provisions which are ineffective under Article 9 of the Code or other Requirements of Law), but only (x) to the extent, and for so long as such Operating Document, joint venture agreement, shareholder agreement or other contract is in effect and (y) to the extent such prohibition shall have been in place at the Closing Date or at the time such Subsidiary is acquired and is not created in contemplation of or in connection with such Person becoming a non-Wholly-Owned Subsidiary or to evade the requirements in the Loan Documents; and (iv) any Equity Interests of any other Subsidiary with respect to which, Borrower and the Blackstone Representative reasonably determine by mutual agreement that the cost of granting the Agent in favor and for the benefit of the Agent and the other Secured Parties a security interest, in and Lien upon, and pledging to the Agent in favor and for the benefit of the Agent and the other Secured Parties, such Equity Interests, to secure the Obligations (and any guaranty thereof) are excessive, relative to the value to be afforded to the Secured Parties thereby.</w:t>
      </w:r>
    </w:p>
    <w:p>
      <w:pPr>
        <w:spacing w:after="0" w:line="396"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Excluded Subsidiaries</w:t>
      </w:r>
      <w:r>
        <w:rPr>
          <w:rFonts w:ascii="Times New Roman" w:cs="Times New Roman" w:eastAsia="Times New Roman" w:hAnsi="Times New Roman"/>
          <w:sz w:val="20"/>
          <w:szCs w:val="20"/>
          <w:color w:val="auto"/>
        </w:rPr>
        <w:t xml:space="preserve">” means, collectively, (i) any Subsidiary with respect to which the grant to the Agent in favor and for the benefit of the Agent and the other Secured Parties of a security interest in and Lien upon, and the pledge to the Agent in favor and for the benefit of the Agent and the other Secured Parties of, such Subsidiary’s properties and assets subject or purported to be subject from time to time to a Lien under any Collateral Document to secure the Obligations (and any guaranty thereof) are validly prohibited by Requirements of Law; (ii) subject to </w:t>
      </w:r>
      <w:r>
        <w:rPr>
          <w:rFonts w:ascii="Times New Roman" w:cs="Times New Roman" w:eastAsia="Times New Roman" w:hAnsi="Times New Roman"/>
          <w:sz w:val="20"/>
          <w:szCs w:val="20"/>
          <w:u w:val="single" w:color="auto"/>
          <w:color w:val="auto"/>
        </w:rPr>
        <w:t>Section 5.16</w:t>
      </w:r>
      <w:r>
        <w:rPr>
          <w:rFonts w:ascii="Times New Roman" w:cs="Times New Roman" w:eastAsia="Times New Roman" w:hAnsi="Times New Roman"/>
          <w:sz w:val="20"/>
          <w:szCs w:val="20"/>
          <w:color w:val="auto"/>
        </w:rPr>
        <w:t>, any Immaterial Subsidiary; and (iii) any other Subsidiary with respect to which, Borrower and the Blackstone Representative reasonably determine by mutual agreement that the cost of granting the Agent in favor and for the benefit of the Agent and the other Secured Parties a security interest in and Lien upon, and pledging to the Agent in favor and for the benefit of the Agent and the other Secured Parties, such Subsidiary’s properties and assets subject or purported to be subject from time to time to a Lien under any Collateral Document and the Equity Interests of such Subsidiary to secure the Obligations (and any guaranty thereof) are excessive relative to the value to be afforded to the Secured Parties thereby.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600075</wp:posOffset>
            </wp:positionV>
            <wp:extent cx="7157720" cy="4254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13" w:right="419" w:bottom="1440" w:gutter="0" w:footer="0" w:header="0"/>
        </w:sectPr>
      </w:pPr>
    </w:p>
    <w:bookmarkStart w:id="301" w:name="page302"/>
    <w:bookmarkEnd w:id="301"/>
    <w:p>
      <w:pPr>
        <w:spacing w:after="0" w:line="342" w:lineRule="exact"/>
        <w:rPr>
          <w:sz w:val="20"/>
          <w:szCs w:val="20"/>
          <w:color w:val="auto"/>
        </w:rPr>
      </w:pPr>
    </w:p>
    <w:p>
      <w:pPr>
        <w:jc w:val="right"/>
        <w:ind w:right="4459"/>
        <w:spacing w:after="0"/>
        <w:rPr>
          <w:sz w:val="20"/>
          <w:szCs w:val="20"/>
          <w:color w:val="auto"/>
        </w:rPr>
      </w:pPr>
      <w:r>
        <w:rPr>
          <w:rFonts w:ascii="Times New Roman" w:cs="Times New Roman" w:eastAsia="Times New Roman" w:hAnsi="Times New Roman"/>
          <w:sz w:val="18"/>
          <w:szCs w:val="18"/>
          <w:color w:val="auto"/>
        </w:rPr>
        <w:t>93</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4905-3710-6484 v.17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600710</wp:posOffset>
            </wp:positionV>
            <wp:extent cx="7157720" cy="4254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302" w:name="page303"/>
    <w:bookmarkEnd w:id="302"/>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Excluded Subsidiary Conversion</w:t>
      </w:r>
      <w:r>
        <w:rPr>
          <w:rFonts w:ascii="Times New Roman" w:cs="Times New Roman" w:eastAsia="Times New Roman" w:hAnsi="Times New Roman"/>
          <w:sz w:val="20"/>
          <w:szCs w:val="20"/>
          <w:color w:val="auto"/>
        </w:rPr>
        <w:t xml:space="preserve">” is defined in </w:t>
      </w:r>
      <w:r>
        <w:rPr>
          <w:rFonts w:ascii="Times New Roman" w:cs="Times New Roman" w:eastAsia="Times New Roman" w:hAnsi="Times New Roman"/>
          <w:sz w:val="20"/>
          <w:szCs w:val="20"/>
          <w:u w:val="single" w:color="auto"/>
          <w:color w:val="auto"/>
        </w:rPr>
        <w:t>Section 5.16</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Excluded Taxes</w:t>
      </w:r>
      <w:r>
        <w:rPr>
          <w:rFonts w:ascii="Times New Roman" w:cs="Times New Roman" w:eastAsia="Times New Roman" w:hAnsi="Times New Roman"/>
          <w:sz w:val="20"/>
          <w:szCs w:val="20"/>
          <w:color w:val="auto"/>
        </w:rPr>
        <w:t xml:space="preserve">” means any of the following Taxes imposed on or with respect to the Agent or a Lender or required to be withheld or deducted from a payment to the Agent or a Lender, (a) Taxes imposed on or measured by net income (however denominated), franchise Taxes, and branch profits Taxes, in each case, (i) imposed as a result of the Agent or such Lender being organized under the laws of, or having its principal office or, in the case of any Lender, its applicable lending office located in the jurisdiction imposing such Tax (or any political subdivision thereof) or (ii) that are Other Connection Taxes, (b) in the case of a Lender, U.S. federal withholding Taxes imposed on amounts payable to or for the account of such Lender with respect to any Obligation pursuant to a law in effect on the date on which (i) such Lender acquires an interest in such Obligation or (ii) such Lender changes its lending office, except in each case to the extent that, pursuant to </w:t>
      </w:r>
      <w:r>
        <w:rPr>
          <w:rFonts w:ascii="Times New Roman" w:cs="Times New Roman" w:eastAsia="Times New Roman" w:hAnsi="Times New Roman"/>
          <w:sz w:val="20"/>
          <w:szCs w:val="20"/>
          <w:u w:val="single" w:color="auto"/>
          <w:color w:val="auto"/>
        </w:rPr>
        <w:t>Section 2.6</w:t>
      </w:r>
      <w:r>
        <w:rPr>
          <w:rFonts w:ascii="Times New Roman" w:cs="Times New Roman" w:eastAsia="Times New Roman" w:hAnsi="Times New Roman"/>
          <w:sz w:val="20"/>
          <w:szCs w:val="20"/>
          <w:color w:val="auto"/>
        </w:rPr>
        <w:t xml:space="preserve">, amounts with respect to such Taxes were payable either to such Lender’s assignor immediately before such Lender became a party hereto or to such Lender immediately before it changed its lending office, (c) Taxes attributable to Lender’s failure to comply with </w:t>
      </w:r>
      <w:r>
        <w:rPr>
          <w:rFonts w:ascii="Times New Roman" w:cs="Times New Roman" w:eastAsia="Times New Roman" w:hAnsi="Times New Roman"/>
          <w:sz w:val="20"/>
          <w:szCs w:val="20"/>
          <w:u w:val="single" w:color="auto"/>
          <w:color w:val="auto"/>
        </w:rPr>
        <w:t>Section 2.6(e)</w:t>
      </w:r>
      <w:r>
        <w:rPr>
          <w:rFonts w:ascii="Times New Roman" w:cs="Times New Roman" w:eastAsia="Times New Roman" w:hAnsi="Times New Roman"/>
          <w:sz w:val="20"/>
          <w:szCs w:val="20"/>
          <w:color w:val="auto"/>
        </w:rPr>
        <w:t>, and (d) any withholding Taxes imposed under FATCA.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1533525</wp:posOffset>
            </wp:positionH>
            <wp:positionV relativeFrom="paragraph">
              <wp:posOffset>-29210</wp:posOffset>
            </wp:positionV>
            <wp:extent cx="31115" cy="825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8">
                      <a:extLst>
                        <a:ext uri="{28A0092B-C50C-407E-A947-70E740481C1C}"/>
                      </a:extLst>
                    </a:blip>
                    <a:srcRect/>
                    <a:stretch>
                      <a:fillRect/>
                    </a:stretch>
                  </pic:blipFill>
                  <pic:spPr bwMode="auto">
                    <a:xfrm>
                      <a:off x="0" y="0"/>
                      <a:ext cx="31115" cy="8255"/>
                    </a:xfrm>
                    <a:prstGeom prst="rect">
                      <a:avLst/>
                    </a:prstGeom>
                    <a:noFill/>
                  </pic:spPr>
                </pic:pic>
              </a:graphicData>
            </a:graphic>
          </wp:anchor>
        </w:drawing>
      </w:r>
    </w:p>
    <w:p>
      <w:pPr>
        <w:spacing w:after="0" w:line="16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Existing Credit Agreement</w:t>
      </w:r>
      <w:r>
        <w:rPr>
          <w:rFonts w:ascii="Times New Roman" w:cs="Times New Roman" w:eastAsia="Times New Roman" w:hAnsi="Times New Roman"/>
          <w:sz w:val="20"/>
          <w:szCs w:val="20"/>
          <w:color w:val="auto"/>
        </w:rPr>
        <w:t>” means that certain Loan and Security Agreement, dated as of September 25, 2020, as amended by</w:t>
      </w:r>
    </w:p>
    <w:p>
      <w:pPr>
        <w:spacing w:after="0" w:line="26" w:lineRule="exact"/>
        <w:rPr>
          <w:sz w:val="20"/>
          <w:szCs w:val="20"/>
          <w:color w:val="auto"/>
        </w:rPr>
      </w:pPr>
    </w:p>
    <w:p>
      <w:pPr>
        <w:jc w:val="both"/>
        <w:ind w:firstLine="8"/>
        <w:spacing w:after="0"/>
        <w:tabs>
          <w:tab w:leader="none" w:pos="257" w:val="left"/>
        </w:tabs>
        <w:numPr>
          <w:ilvl w:val="0"/>
          <w:numId w:val="1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that certain First Amendment to Loan and Security Agreement, dated as of October 14, 2021, (ii) that certain Second Amendment to Loan and Security Agreement, dated March 27, 2022, (iii) that certain Third Amendment to Loan and Security Agreement, dated as of January 9, 2023, (iv) that certain Fourth Amendment to Loan and Security Agreement, dated as of May 8, 2023, and (v) that certain Fifth Amendment to Loan and Security Agreement, dated as of September 30, 2024, by and among Borrower, the several banks and other financial institutions or entities party hereto as Lender and Hercules Capital, Inc., a Maryland corporation, in its capacity as administrative agent and collateral agent.</w:t>
      </w:r>
    </w:p>
    <w:p>
      <w:pPr>
        <w:spacing w:after="0" w:line="187" w:lineRule="exact"/>
        <w:rPr>
          <w:sz w:val="20"/>
          <w:szCs w:val="20"/>
          <w:color w:val="auto"/>
        </w:rPr>
      </w:pPr>
    </w:p>
    <w:p>
      <w:pPr>
        <w:jc w:val="both"/>
        <w:ind w:firstLine="749"/>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Existing Indebtedness</w:t>
      </w:r>
      <w:r>
        <w:rPr>
          <w:rFonts w:ascii="Times New Roman" w:cs="Times New Roman" w:eastAsia="Times New Roman" w:hAnsi="Times New Roman"/>
          <w:sz w:val="20"/>
          <w:szCs w:val="20"/>
          <w:color w:val="auto"/>
        </w:rPr>
        <w:t>” means Indebtedness incurred by Borrower and the Credit Parties pursuant to the Existing Credit Agreement.</w:t>
      </w:r>
    </w:p>
    <w:p>
      <w:pPr>
        <w:spacing w:after="0" w:line="152"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Facility</w:t>
      </w:r>
      <w:r>
        <w:rPr>
          <w:rFonts w:ascii="Times New Roman" w:cs="Times New Roman" w:eastAsia="Times New Roman" w:hAnsi="Times New Roman"/>
          <w:sz w:val="20"/>
          <w:szCs w:val="20"/>
          <w:color w:val="auto"/>
        </w:rPr>
        <w:t>” means, with respect to any Credit Party, any real property (including all buildings, fixtures or other improvements located thereon) now, hereafter or heretofore owned, leased, operated or used by such Credit Party or any of its Subsidiaries or any of their respective predecessors or Affiliates.</w:t>
      </w:r>
    </w:p>
    <w:p>
      <w:pPr>
        <w:spacing w:after="0" w:line="169"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FATCA</w:t>
      </w:r>
      <w:r>
        <w:rPr>
          <w:rFonts w:ascii="Times New Roman" w:cs="Times New Roman" w:eastAsia="Times New Roman" w:hAnsi="Times New Roman"/>
          <w:sz w:val="20"/>
          <w:szCs w:val="20"/>
          <w:color w:val="auto"/>
        </w:rPr>
        <w:t>” means Sections 1471 through 1474 of the IRC, as of the date of this Agreement (or any amended or successor version that is substantively comparable and not materially more onerous to comply with), any current or future regulations promulgated thereunder or official interpretations thereof, any agreements entered into pursuant to Section 1471(b)(1) of the IRC, and any fiscal or regulatory legislation, regulations, rules or practices adopted pursuant to any intergovernmental agreement, treaty, or convention among Governmental Authorities and implementing such Sections of the IRC.</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FCPA</w:t>
      </w:r>
      <w:r>
        <w:rPr>
          <w:rFonts w:ascii="Times New Roman" w:cs="Times New Roman" w:eastAsia="Times New Roman" w:hAnsi="Times New Roman"/>
          <w:sz w:val="20"/>
          <w:szCs w:val="20"/>
          <w:color w:val="auto"/>
        </w:rPr>
        <w:t xml:space="preserve">” is defined in </w:t>
      </w:r>
      <w:r>
        <w:rPr>
          <w:rFonts w:ascii="Times New Roman" w:cs="Times New Roman" w:eastAsia="Times New Roman" w:hAnsi="Times New Roman"/>
          <w:sz w:val="20"/>
          <w:szCs w:val="20"/>
          <w:u w:val="single" w:color="auto"/>
          <w:color w:val="auto"/>
        </w:rPr>
        <w:t>Section 4.18(a)</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749"/>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FDA</w:t>
      </w:r>
      <w:r>
        <w:rPr>
          <w:rFonts w:ascii="Times New Roman" w:cs="Times New Roman" w:eastAsia="Times New Roman" w:hAnsi="Times New Roman"/>
          <w:sz w:val="20"/>
          <w:szCs w:val="20"/>
          <w:color w:val="auto"/>
        </w:rPr>
        <w:t>” means the United States Food and Drug Administration (and any foreign equivalent, including the European Agency for the Evaluation of Medicinal Products).</w:t>
      </w:r>
    </w:p>
    <w:p>
      <w:pPr>
        <w:spacing w:after="0" w:line="152" w:lineRule="exact"/>
        <w:rPr>
          <w:sz w:val="20"/>
          <w:szCs w:val="20"/>
          <w:color w:val="auto"/>
        </w:rPr>
      </w:pPr>
    </w:p>
    <w:p>
      <w:pPr>
        <w:jc w:val="both"/>
        <w:ind w:firstLine="749"/>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FDA Good Manufacturing Practices</w:t>
      </w:r>
      <w:r>
        <w:rPr>
          <w:rFonts w:ascii="Times New Roman" w:cs="Times New Roman" w:eastAsia="Times New Roman" w:hAnsi="Times New Roman"/>
          <w:sz w:val="20"/>
          <w:szCs w:val="20"/>
          <w:color w:val="auto"/>
        </w:rPr>
        <w:t>” means the standards set forth in 21 C.F.R. Parts 210, 211, and 600 through 680 (and any foreign equivalents).</w:t>
      </w:r>
    </w:p>
    <w:p>
      <w:pPr>
        <w:spacing w:after="0" w:line="152" w:lineRule="exact"/>
        <w:rPr>
          <w:sz w:val="20"/>
          <w:szCs w:val="20"/>
          <w:color w:val="auto"/>
        </w:rPr>
      </w:pPr>
    </w:p>
    <w:p>
      <w:pPr>
        <w:jc w:val="both"/>
        <w:ind w:firstLine="749"/>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FDA Laws</w:t>
      </w:r>
      <w:r>
        <w:rPr>
          <w:rFonts w:ascii="Times New Roman" w:cs="Times New Roman" w:eastAsia="Times New Roman" w:hAnsi="Times New Roman"/>
          <w:sz w:val="20"/>
          <w:szCs w:val="20"/>
          <w:color w:val="auto"/>
        </w:rPr>
        <w:t>” means all applicable statutes, rules, regulations and orders administered or issued by FDA (and any foreign equivalent).</w:t>
      </w:r>
    </w:p>
    <w:p>
      <w:pPr>
        <w:spacing w:after="0" w:line="15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FDCA</w:t>
      </w:r>
      <w:r>
        <w:rPr>
          <w:rFonts w:ascii="Times New Roman" w:cs="Times New Roman" w:eastAsia="Times New Roman" w:hAnsi="Times New Roman"/>
          <w:sz w:val="20"/>
          <w:szCs w:val="20"/>
          <w:color w:val="auto"/>
        </w:rPr>
        <w:t xml:space="preserve">” is defined in </w:t>
      </w:r>
      <w:r>
        <w:rPr>
          <w:rFonts w:ascii="Times New Roman" w:cs="Times New Roman" w:eastAsia="Times New Roman" w:hAnsi="Times New Roman"/>
          <w:sz w:val="20"/>
          <w:szCs w:val="20"/>
          <w:u w:val="single" w:color="auto"/>
          <w:color w:val="auto"/>
        </w:rPr>
        <w:t>Section 4.19(a)(i)</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4905-3710-6484 v.17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600710</wp:posOffset>
            </wp:positionV>
            <wp:extent cx="7157720" cy="4254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22" w:right="419" w:bottom="1440" w:gutter="0" w:footer="0" w:header="0"/>
        </w:sectPr>
      </w:pPr>
    </w:p>
    <w:bookmarkStart w:id="303" w:name="page304"/>
    <w:bookmarkEnd w:id="303"/>
    <w:p>
      <w:pPr>
        <w:jc w:val="both"/>
        <w:ind w:firstLine="749"/>
        <w:spacing w:after="0" w:line="24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Federal Funds Rate</w:t>
      </w:r>
      <w:r>
        <w:rPr>
          <w:rFonts w:ascii="Times New Roman" w:cs="Times New Roman" w:eastAsia="Times New Roman" w:hAnsi="Times New Roman"/>
          <w:sz w:val="20"/>
          <w:szCs w:val="20"/>
          <w:color w:val="auto"/>
        </w:rPr>
        <w:t>” means for any day, the rate per annum equal to the weighted average of the rates on overnight Federal funds transactions with members of the Federal Reserve System, as published on the next succeeding Business Day by the Federal Reserve Bank of New York, or, if such rate is not so published for any day which is a Business Day, the average of the quotations for such day on such transactions received by Agent from three Federal funds brokers of recognized standing selected by it (and, if any such rate is below zero, then the rate determined pursuant to this definition shall be deemed to be zero).</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Federal Reserve Board</w:t>
      </w:r>
      <w:r>
        <w:rPr>
          <w:rFonts w:ascii="Times New Roman" w:cs="Times New Roman" w:eastAsia="Times New Roman" w:hAnsi="Times New Roman"/>
          <w:sz w:val="20"/>
          <w:szCs w:val="20"/>
          <w:color w:val="auto"/>
        </w:rPr>
        <w:t>” means the Board of Governors of the Federal Reserve System.</w:t>
      </w:r>
    </w:p>
    <w:p>
      <w:pPr>
        <w:spacing w:after="0" w:line="216" w:lineRule="exact"/>
        <w:rPr>
          <w:sz w:val="20"/>
          <w:szCs w:val="20"/>
          <w:color w:val="auto"/>
        </w:rPr>
      </w:pPr>
    </w:p>
    <w:p>
      <w:pPr>
        <w:jc w:val="both"/>
        <w:ind w:firstLine="749"/>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Finance Lease</w:t>
      </w:r>
      <w:r>
        <w:rPr>
          <w:rFonts w:ascii="Times New Roman" w:cs="Times New Roman" w:eastAsia="Times New Roman" w:hAnsi="Times New Roman"/>
          <w:sz w:val="20"/>
          <w:szCs w:val="20"/>
          <w:color w:val="auto"/>
        </w:rPr>
        <w:t>” means, as applied to any Person, any lease of any property by that Person as lessee which, in accordance with GAAP, is required to be accounted for as a finance lease on the balance sheet of that Person.</w:t>
      </w:r>
    </w:p>
    <w:p>
      <w:pPr>
        <w:spacing w:after="0" w:line="15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Floor</w:t>
      </w:r>
      <w:r>
        <w:rPr>
          <w:rFonts w:ascii="Times New Roman" w:cs="Times New Roman" w:eastAsia="Times New Roman" w:hAnsi="Times New Roman"/>
          <w:sz w:val="20"/>
          <w:szCs w:val="20"/>
          <w:color w:val="auto"/>
        </w:rPr>
        <w:t>” means a rate per annum equal to 0.75%.</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Foreign Lender</w:t>
      </w:r>
      <w:r>
        <w:rPr>
          <w:rFonts w:ascii="Times New Roman" w:cs="Times New Roman" w:eastAsia="Times New Roman" w:hAnsi="Times New Roman"/>
          <w:sz w:val="20"/>
          <w:szCs w:val="20"/>
          <w:color w:val="auto"/>
        </w:rPr>
        <w:t>” means a Lender that is not a U.S. Person.</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Fraudulent Transfer Laws</w:t>
      </w:r>
      <w:r>
        <w:rPr>
          <w:rFonts w:ascii="Times New Roman" w:cs="Times New Roman" w:eastAsia="Times New Roman" w:hAnsi="Times New Roman"/>
          <w:sz w:val="20"/>
          <w:szCs w:val="20"/>
          <w:color w:val="auto"/>
        </w:rPr>
        <w:t xml:space="preserve">” is defined in </w:t>
      </w:r>
      <w:r>
        <w:rPr>
          <w:rFonts w:ascii="Times New Roman" w:cs="Times New Roman" w:eastAsia="Times New Roman" w:hAnsi="Times New Roman"/>
          <w:sz w:val="20"/>
          <w:szCs w:val="20"/>
          <w:u w:val="single" w:color="auto"/>
          <w:color w:val="auto"/>
        </w:rPr>
        <w:t>Section 13.2</w:t>
      </w:r>
      <w:r>
        <w:rPr>
          <w:rFonts w:ascii="Times New Roman" w:cs="Times New Roman" w:eastAsia="Times New Roman" w:hAnsi="Times New Roman"/>
          <w:sz w:val="20"/>
          <w:szCs w:val="20"/>
          <w:color w:val="auto"/>
        </w:rPr>
        <w:t>.</w:t>
      </w:r>
    </w:p>
    <w:p>
      <w:pPr>
        <w:spacing w:after="0" w:line="202"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Funding Date</w:t>
      </w:r>
      <w:r>
        <w:rPr>
          <w:rFonts w:ascii="Times New Roman" w:cs="Times New Roman" w:eastAsia="Times New Roman" w:hAnsi="Times New Roman"/>
          <w:sz w:val="20"/>
          <w:szCs w:val="20"/>
          <w:color w:val="auto"/>
        </w:rPr>
        <w:t xml:space="preserve">” means, with respect to any Commitment, the date on which the applicable conditions precedent set forth in </w:t>
      </w:r>
      <w:r>
        <w:rPr>
          <w:rFonts w:ascii="Times New Roman" w:cs="Times New Roman" w:eastAsia="Times New Roman" w:hAnsi="Times New Roman"/>
          <w:sz w:val="20"/>
          <w:szCs w:val="20"/>
          <w:u w:val="single" w:color="auto"/>
          <w:color w:val="auto"/>
        </w:rPr>
        <w:t>Section 3</w:t>
      </w:r>
      <w:r>
        <w:rPr>
          <w:rFonts w:ascii="Times New Roman" w:cs="Times New Roman" w:eastAsia="Times New Roman" w:hAnsi="Times New Roman"/>
          <w:sz w:val="20"/>
          <w:szCs w:val="20"/>
          <w:color w:val="auto"/>
        </w:rPr>
        <w:t xml:space="preserve"> have been satisfied or waived in accordance with the terms of this Agreement (or such later date as agreed to by the Blackstone Representative) and a Borrowing is made in respect of such Commitment.</w:t>
      </w:r>
    </w:p>
    <w:p>
      <w:pPr>
        <w:spacing w:after="0" w:line="182"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GAAP</w:t>
      </w:r>
      <w:r>
        <w:rPr>
          <w:rFonts w:ascii="Times New Roman" w:cs="Times New Roman" w:eastAsia="Times New Roman" w:hAnsi="Times New Roman"/>
          <w:sz w:val="20"/>
          <w:szCs w:val="20"/>
          <w:color w:val="auto"/>
        </w:rPr>
        <w:t xml:space="preserve">” means generally accepted accounting principles in (i) the United States of America, as in effect from time to time, set forth in the opinions and pronouncements of the Accounting Principles Board and the American Institute of Certified Public Accountants, in the statements and pronouncements of the Financial Accounting Standards Board and in such other statements by such other entity as may be in general use by significant segments of the accounting profession that are applicable to the circumstances as of the date of determination and (ii) in relation to a Credit Party incorporated in a jurisdiction other than the United States of America, generally accepted accounting principles consistently applied in the jurisdiction in which such Credit Party is incorporated and/or carries on business. All references to “GAAP” shall be to GAAP applied consistently with the principles used in the preparation of the financial statements delivered pursuant to </w:t>
      </w:r>
      <w:r>
        <w:rPr>
          <w:rFonts w:ascii="Times New Roman" w:cs="Times New Roman" w:eastAsia="Times New Roman" w:hAnsi="Times New Roman"/>
          <w:sz w:val="20"/>
          <w:szCs w:val="20"/>
          <w:u w:val="single" w:color="auto"/>
          <w:color w:val="auto"/>
        </w:rPr>
        <w:t>Section 5.2</w:t>
      </w:r>
      <w:r>
        <w:rPr>
          <w:rFonts w:ascii="Times New Roman" w:cs="Times New Roman" w:eastAsia="Times New Roman" w:hAnsi="Times New Roman"/>
          <w:sz w:val="20"/>
          <w:szCs w:val="20"/>
          <w:color w:val="auto"/>
        </w:rPr>
        <w:t>.</w:t>
      </w:r>
    </w:p>
    <w:p>
      <w:pPr>
        <w:spacing w:after="0" w:line="168"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Generic</w:t>
      </w:r>
      <w:r>
        <w:rPr>
          <w:rFonts w:ascii="Times New Roman" w:cs="Times New Roman" w:eastAsia="Times New Roman" w:hAnsi="Times New Roman"/>
          <w:sz w:val="20"/>
          <w:szCs w:val="20"/>
          <w:color w:val="auto"/>
        </w:rPr>
        <w:t>” means a generic product (i) approved pursuant to Section 505(j) or 505(b)(2) of the FD&amp;C Act (in relation to the United States), (ii) within the meaning of Art. 10 III of Directive EU 2001/83 (in relation to the EU), (iii) in relation to any other countries in world, any applicable equivalent law and (iv) shall also include an authorized generic product licensed in connection with the settlement of any claim of actual or alleged infringement, misappropriation or other violation of any Patents by any third party.</w:t>
      </w:r>
    </w:p>
    <w:p>
      <w:pPr>
        <w:spacing w:after="0" w:line="189" w:lineRule="exact"/>
        <w:rPr>
          <w:sz w:val="20"/>
          <w:szCs w:val="20"/>
          <w:color w:val="auto"/>
        </w:rPr>
      </w:pPr>
    </w:p>
    <w:p>
      <w:pPr>
        <w:jc w:val="both"/>
        <w:ind w:firstLine="749"/>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Governmental Approval</w:t>
      </w:r>
      <w:r>
        <w:rPr>
          <w:rFonts w:ascii="Times New Roman" w:cs="Times New Roman" w:eastAsia="Times New Roman" w:hAnsi="Times New Roman"/>
          <w:sz w:val="20"/>
          <w:szCs w:val="20"/>
          <w:color w:val="auto"/>
        </w:rPr>
        <w:t>” means any consent, authorization, approval, order, license, franchise, permit, certificate, accreditation, registration, filing or notice, of, issued by, from or to, or other act by or in respect of, any Governmental Authority.</w:t>
      </w:r>
    </w:p>
    <w:p>
      <w:pPr>
        <w:spacing w:after="0" w:line="138"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Governmental Authority</w:t>
      </w:r>
      <w:r>
        <w:rPr>
          <w:rFonts w:ascii="Times New Roman" w:cs="Times New Roman" w:eastAsia="Times New Roman" w:hAnsi="Times New Roman"/>
          <w:sz w:val="20"/>
          <w:szCs w:val="20"/>
          <w:color w:val="auto"/>
        </w:rPr>
        <w:t>” means any nation or government, any state or other political subdivision thereof, any agency, government department, authority, instrumentality, regulatory body, court, central bank or other entity exercising executive, legislative, judicial, taxing, regulatory or administrative functions of or pertaining to government, any securities exchange and any self-regulatory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596265</wp:posOffset>
            </wp:positionV>
            <wp:extent cx="7157720" cy="4254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09" w:right="419" w:bottom="1440" w:gutter="0" w:footer="0" w:header="0"/>
        </w:sectPr>
      </w:pPr>
    </w:p>
    <w:bookmarkStart w:id="304" w:name="page305"/>
    <w:bookmarkEnd w:id="304"/>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right"/>
        <w:ind w:right="4459"/>
        <w:spacing w:after="0"/>
        <w:rPr>
          <w:sz w:val="20"/>
          <w:szCs w:val="20"/>
          <w:color w:val="auto"/>
        </w:rPr>
      </w:pPr>
      <w:r>
        <w:rPr>
          <w:rFonts w:ascii="Times New Roman" w:cs="Times New Roman" w:eastAsia="Times New Roman" w:hAnsi="Times New Roman"/>
          <w:sz w:val="18"/>
          <w:szCs w:val="18"/>
          <w:color w:val="auto"/>
        </w:rPr>
        <w:t>95</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4905-3710-6484 v.17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600710</wp:posOffset>
            </wp:positionV>
            <wp:extent cx="7157720" cy="4254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305" w:name="page306"/>
    <w:bookmarkEnd w:id="305"/>
    <w:p>
      <w:pPr>
        <w:jc w:val="both"/>
        <w:ind w:firstLine="749"/>
        <w:spacing w:after="0" w:line="300" w:lineRule="auto"/>
        <w:rPr>
          <w:sz w:val="20"/>
          <w:szCs w:val="20"/>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9"/>
          <w:szCs w:val="19"/>
          <w:b w:val="1"/>
          <w:bCs w:val="1"/>
          <w:color w:val="auto"/>
        </w:rPr>
        <w:t>Governmental Payor Programs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9"/>
          <w:szCs w:val="19"/>
          <w:color w:val="auto"/>
        </w:rPr>
        <w:t>means all governmental third party payor programs in which any Credit Party or its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9"/>
          <w:szCs w:val="19"/>
          <w:color w:val="auto"/>
        </w:rPr>
        <w:t>Subsidiaries participates, including Medicare, Medicaid, TRICARE or any other federal, state or foreign health care programs.</w:t>
      </w:r>
    </w:p>
    <w:p>
      <w:pPr>
        <w:spacing w:after="0" w:line="14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9"/>
          <w:szCs w:val="19"/>
          <w:b w:val="1"/>
          <w:bCs w:val="1"/>
          <w:color w:val="auto"/>
        </w:rPr>
        <w:t>Guaranteed Obligations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9"/>
          <w:szCs w:val="19"/>
          <w:color w:val="auto"/>
        </w:rPr>
        <w:t>is defined in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9"/>
          <w:szCs w:val="19"/>
          <w:u w:val="single" w:color="auto"/>
          <w:color w:val="auto"/>
        </w:rPr>
        <w:t>Section 13.1</w:t>
      </w:r>
      <w:r>
        <w:rPr>
          <w:rFonts w:ascii="Times New Roman" w:cs="Times New Roman" w:eastAsia="Times New Roman" w:hAnsi="Times New Roman"/>
          <w:sz w:val="19"/>
          <w:szCs w:val="19"/>
          <w:color w:val="auto"/>
        </w:rPr>
        <w:t>.</w:t>
      </w:r>
    </w:p>
    <w:p>
      <w:pPr>
        <w:spacing w:after="0" w:line="227"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9"/>
          <w:szCs w:val="19"/>
          <w:b w:val="1"/>
          <w:bCs w:val="1"/>
          <w:color w:val="auto"/>
        </w:rPr>
        <w:t>Guarantor</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9"/>
          <w:szCs w:val="19"/>
          <w:color w:val="auto"/>
        </w:rPr>
        <w:t>means each Subsidiary of Borrower, other than any Excluded Subsidiary.</w:t>
      </w:r>
    </w:p>
    <w:p>
      <w:pPr>
        <w:spacing w:after="0" w:line="21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9"/>
          <w:szCs w:val="19"/>
          <w:b w:val="1"/>
          <w:bCs w:val="1"/>
          <w:color w:val="auto"/>
        </w:rPr>
        <w:t>Guaranty</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9"/>
          <w:szCs w:val="19"/>
          <w:color w:val="auto"/>
        </w:rPr>
        <w:t>means the guaranty of the Guaranteed Obligations made by Guarantors as set forth in this Agreement.</w:t>
      </w:r>
    </w:p>
    <w:p>
      <w:pPr>
        <w:spacing w:after="0" w:line="227" w:lineRule="exact"/>
        <w:rPr>
          <w:sz w:val="20"/>
          <w:szCs w:val="20"/>
          <w:color w:val="auto"/>
        </w:rPr>
      </w:pPr>
    </w:p>
    <w:p>
      <w:pPr>
        <w:jc w:val="both"/>
        <w:ind w:firstLine="749"/>
        <w:spacing w:after="0" w:line="276" w:lineRule="auto"/>
        <w:rPr>
          <w:sz w:val="20"/>
          <w:szCs w:val="20"/>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9"/>
          <w:szCs w:val="19"/>
          <w:b w:val="1"/>
          <w:bCs w:val="1"/>
          <w:color w:val="auto"/>
        </w:rPr>
        <w:t>Hazardous Materials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9"/>
          <w:szCs w:val="19"/>
          <w:color w:val="auto"/>
        </w:rPr>
        <w:t>means any chemical, material or substance, exposure to which is prohibited, limited or regulated by any</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9"/>
          <w:szCs w:val="19"/>
          <w:color w:val="auto"/>
        </w:rPr>
        <w:t>Governmental Authority or which may or could pose a hazard to the health and safety of the owners, occupants or any Persons in the vicinity of any Facility or to the indoor or outdoor environment.</w:t>
      </w:r>
    </w:p>
    <w:p>
      <w:pPr>
        <w:spacing w:after="0" w:line="151" w:lineRule="exact"/>
        <w:rPr>
          <w:sz w:val="20"/>
          <w:szCs w:val="20"/>
          <w:color w:val="auto"/>
        </w:rPr>
      </w:pPr>
    </w:p>
    <w:p>
      <w:pPr>
        <w:jc w:val="both"/>
        <w:ind w:firstLine="749"/>
        <w:spacing w:after="0" w:line="264" w:lineRule="auto"/>
        <w:rPr>
          <w:sz w:val="20"/>
          <w:szCs w:val="20"/>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9"/>
          <w:szCs w:val="19"/>
          <w:b w:val="1"/>
          <w:bCs w:val="1"/>
          <w:color w:val="auto"/>
        </w:rPr>
        <w:t>Hazardous Materials Activity</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9"/>
          <w:szCs w:val="19"/>
          <w:color w:val="auto"/>
        </w:rPr>
        <w:t>means any past, current, proposed or, to the Knowledge of the Credit Parties, threatened activity,</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9"/>
          <w:szCs w:val="19"/>
          <w:color w:val="auto"/>
        </w:rPr>
        <w:t>event or occurrence involving any Hazardous Materials, including the use, manufacture, possession, storage, holding, presence, existence, location, Release, (to the Knowledge of the Credit Parties) threatened Release, discharge, placement, generation, transportation, processing, construction, treatment, abatement, removal, remediation, disposal, disposition or handling of any Hazardous Materials, and any corrective action or response action with respect to any of the foregoing.</w:t>
      </w:r>
    </w:p>
    <w:p>
      <w:pPr>
        <w:spacing w:after="0" w:line="162"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9"/>
          <w:szCs w:val="19"/>
          <w:b w:val="1"/>
          <w:bCs w:val="1"/>
          <w:color w:val="auto"/>
        </w:rPr>
        <w:t>Health Care Laws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9"/>
          <w:szCs w:val="19"/>
          <w:color w:val="auto"/>
        </w:rPr>
        <w:t>means, collectively, all Requirements of Law, including FDA Laws and Public Health Laws, relating to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9"/>
          <w:szCs w:val="19"/>
          <w:color w:val="auto"/>
        </w:rPr>
        <w:t xml:space="preserve">health care activities applicable to any Credit Party, including: (a) the Federal Food, Drug, and Cosmetic Act (21 U.S.C. §§ 301 </w:t>
      </w:r>
      <w:r>
        <w:rPr>
          <w:rFonts w:ascii="Times New Roman" w:cs="Times New Roman" w:eastAsia="Times New Roman" w:hAnsi="Times New Roman"/>
          <w:sz w:val="19"/>
          <w:szCs w:val="19"/>
          <w:i w:val="1"/>
          <w:iCs w:val="1"/>
          <w:color w:val="auto"/>
        </w:rPr>
        <w:t>et seq.</w:t>
      </w:r>
      <w:r>
        <w:rPr>
          <w:rFonts w:ascii="Times New Roman" w:cs="Times New Roman" w:eastAsia="Times New Roman" w:hAnsi="Times New Roman"/>
          <w:sz w:val="19"/>
          <w:szCs w:val="19"/>
          <w:color w:val="auto"/>
        </w:rPr>
        <w:t xml:space="preserve">), (b) the Public Health Service Act (42 U.S.C. §§ 262 </w:t>
      </w:r>
      <w:r>
        <w:rPr>
          <w:rFonts w:ascii="Times New Roman" w:cs="Times New Roman" w:eastAsia="Times New Roman" w:hAnsi="Times New Roman"/>
          <w:sz w:val="19"/>
          <w:szCs w:val="19"/>
          <w:i w:val="1"/>
          <w:iCs w:val="1"/>
          <w:color w:val="auto"/>
        </w:rPr>
        <w:t>et. seq</w:t>
      </w:r>
      <w:r>
        <w:rPr>
          <w:rFonts w:ascii="Times New Roman" w:cs="Times New Roman" w:eastAsia="Times New Roman" w:hAnsi="Times New Roman"/>
          <w:sz w:val="19"/>
          <w:szCs w:val="19"/>
          <w:color w:val="auto"/>
        </w:rPr>
        <w:t xml:space="preserve">); (c) any and all federal, state or local laws, rules, regulations, orders, ordinances, statutes and requirements issued under or in connection with Medicare, Medicaid or any other Government Payor Program; (d) federal and state laws and regulations governing the confidentiality of patient information, including HIPAA; (e) accreditation standards and requirements of all applicable state laws or regulatory bodies; (f) any and all federal, state and local fraud and abuse laws of any Governmental Authority, including the federal Anti-Kickback Statute (42 U.S.C. § 1320a-7(b)), the civil False Claims Act (31 U.S.C. § 3729 </w:t>
      </w:r>
      <w:r>
        <w:rPr>
          <w:rFonts w:ascii="Times New Roman" w:cs="Times New Roman" w:eastAsia="Times New Roman" w:hAnsi="Times New Roman"/>
          <w:sz w:val="19"/>
          <w:szCs w:val="19"/>
          <w:i w:val="1"/>
          <w:iCs w:val="1"/>
          <w:color w:val="auto"/>
        </w:rPr>
        <w:t>et seq.</w:t>
      </w:r>
      <w:r>
        <w:rPr>
          <w:rFonts w:ascii="Times New Roman" w:cs="Times New Roman" w:eastAsia="Times New Roman" w:hAnsi="Times New Roman"/>
          <w:sz w:val="19"/>
          <w:szCs w:val="19"/>
          <w:color w:val="auto"/>
        </w:rPr>
        <w:t>), Sections 1320a-7 and 1320a-7a of Title 42 of the United States Code and the regulations promulgated pursuant to such statutes; (g) the Medicare Prescription Drug, Improvement, and Modernization Act of 2003 (Pub. L. No. 108-173) and the regulations promulgated thereunder; (h) the Physician Payment Sunshine Act (42 U.S.C. § 1320a-7h); (i) all reporting and disclosure requirements under the Medicaid Drug Rebate Program (e.g., Monthly and Quarterly Average Manufacturer Price, Baseline Average Manufacturer Price, and Rebate Per Unit, as applicable), Medicare Part B (Quarterly Average Sales Price), Section 602 of the Veteran</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9"/>
          <w:szCs w:val="19"/>
          <w:color w:val="auto"/>
        </w:rPr>
        <w:t>s Health Care Act (Public Health Service 340B Quarterly Ceiling Price), Section 603 of the Veteran</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9"/>
          <w:szCs w:val="19"/>
          <w:color w:val="auto"/>
        </w:rPr>
        <w:t>s Health Care Act (Quarterly and Annual Non-Federal Average Manufacturer Price and Federal Ceiling Price), Best Price, Federal Supply Schedule Contract Prices and Tricare Retail Pharmacy Refunds, and Medicare Part D; (j) all other applicable health care laws, rules, codes, statutes, regulations, manuals, orders, ordinances, policies, administrative guidance and requirements pertaining to Medicare or Medicaid; in each case, in any manner applicable to any Credit Party or any of its Subsidiaries; (k) any and all federal, state or local laws, rules, regulations, ordinances, statutes and requirements relating to (A) the regulation of managed care, third party payors and Persons bearing the financial risk for the provision or arrangement of health care services, (B) billings to insurance companies, health maintenance organizations and other Managed Care Plans or otherwise relating to insurance fraud, and (C) any insurance, health maintenance organization or managed care Requirements of Law; and (l) any and all foreign health care laws, rules, codes, regulations, manuals, orders, ordinances, statutes, guidelines, requirements and policies which, in each case, are analogous to any of the foregoing and applicable to any Credit Party or any of its Subsidiaries in any manner.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744220</wp:posOffset>
            </wp:positionV>
            <wp:extent cx="7157720" cy="4254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09" w:right="419" w:bottom="1440" w:gutter="0" w:footer="0" w:header="0"/>
        </w:sectPr>
      </w:pPr>
    </w:p>
    <w:bookmarkStart w:id="306" w:name="page307"/>
    <w:bookmarkEnd w:id="306"/>
    <w:p>
      <w:pPr>
        <w:spacing w:after="0" w:line="153" w:lineRule="exact"/>
        <w:rPr>
          <w:sz w:val="20"/>
          <w:szCs w:val="20"/>
          <w:color w:val="auto"/>
        </w:rPr>
      </w:pPr>
    </w:p>
    <w:p>
      <w:pPr>
        <w:jc w:val="right"/>
        <w:ind w:right="4459"/>
        <w:spacing w:after="0"/>
        <w:rPr>
          <w:sz w:val="20"/>
          <w:szCs w:val="20"/>
          <w:color w:val="auto"/>
        </w:rPr>
      </w:pPr>
      <w:r>
        <w:rPr>
          <w:rFonts w:ascii="Times New Roman" w:cs="Times New Roman" w:eastAsia="Times New Roman" w:hAnsi="Times New Roman"/>
          <w:sz w:val="18"/>
          <w:szCs w:val="18"/>
          <w:color w:val="auto"/>
        </w:rPr>
        <w:t>96</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4905-3710-6484 v.17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600710</wp:posOffset>
            </wp:positionV>
            <wp:extent cx="7157720" cy="4254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307" w:name="page308"/>
    <w:bookmarkEnd w:id="307"/>
    <w:p>
      <w:pPr>
        <w:jc w:val="both"/>
        <w:ind w:firstLine="749"/>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Hedging Agreement</w:t>
      </w:r>
      <w:r>
        <w:rPr>
          <w:rFonts w:ascii="Times New Roman" w:cs="Times New Roman" w:eastAsia="Times New Roman" w:hAnsi="Times New Roman"/>
          <w:sz w:val="20"/>
          <w:szCs w:val="20"/>
          <w:color w:val="auto"/>
        </w:rPr>
        <w:t>” means any interest rate, currency, commodity or equity swap, collar, cap, floor or forward rate agreement, or other agreement or arrangement designed to protect a Person against fluctuations in interest rates, currency exchange rates or commodity or equity prices or values (including any option with respect to any of the foregoing and any combination of the foregoing agreements or arrangements), and any confirmation execution in connection with any such agreement or arrangement.</w:t>
      </w:r>
    </w:p>
    <w:p>
      <w:pPr>
        <w:spacing w:after="0" w:line="176"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HIPAA</w:t>
      </w:r>
      <w:r>
        <w:rPr>
          <w:rFonts w:ascii="Times New Roman" w:cs="Times New Roman" w:eastAsia="Times New Roman" w:hAnsi="Times New Roman"/>
          <w:sz w:val="20"/>
          <w:szCs w:val="20"/>
          <w:color w:val="auto"/>
        </w:rPr>
        <w:t>” means the Health Insurance Portability and Accountability Act of 1996, as amended (including by the Health Information Technology for Economic and Clinical Health Act (Title XIII of the American Recovery and Reinvestment Act of 2009)), any and all rules or regulations promulgated from time to time thereunder, and any state laws with regard to the security and privacy of health information which are not preempted by the Health Insurance Portability and Accountability Act of 1996 pursuant to 45 C.F.R. Part 160, Subpart B.</w:t>
      </w:r>
    </w:p>
    <w:p>
      <w:pPr>
        <w:spacing w:after="0" w:line="167"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Immaterial Subsidiary</w:t>
      </w:r>
      <w:r>
        <w:rPr>
          <w:rFonts w:ascii="Times New Roman" w:cs="Times New Roman" w:eastAsia="Times New Roman" w:hAnsi="Times New Roman"/>
          <w:sz w:val="19"/>
          <w:szCs w:val="19"/>
          <w:color w:val="auto"/>
        </w:rPr>
        <w:t xml:space="preserve">” means, at any date of calculation, any of Borrower’s Subsidiaries (a) whose total assets for the four (4) fiscal quarter period ending on the date most recently ended for which financial statements have been delivered to Agent and the Blackstone Representative pursuant to </w:t>
      </w:r>
      <w:r>
        <w:rPr>
          <w:rFonts w:ascii="Times New Roman" w:cs="Times New Roman" w:eastAsia="Times New Roman" w:hAnsi="Times New Roman"/>
          <w:sz w:val="19"/>
          <w:szCs w:val="19"/>
          <w:u w:val="single" w:color="auto"/>
          <w:color w:val="auto"/>
        </w:rPr>
        <w:t>Section 5.2(a)(i)</w:t>
      </w:r>
      <w:r>
        <w:rPr>
          <w:rFonts w:ascii="Times New Roman" w:cs="Times New Roman" w:eastAsia="Times New Roman" w:hAnsi="Times New Roman"/>
          <w:sz w:val="19"/>
          <w:szCs w:val="19"/>
          <w:color w:val="auto"/>
        </w:rPr>
        <w:t xml:space="preserve"> or (ii) (whichever was most recently delivered to Agent and the Blackstone Representative) was less than 2.50% of the total assets of Borrower and its Subsidiaries, (b) whose contribution to the consolidated revenues of Borrower and its Subsidiaries for such period was less than 2.50% of the consolidated revenues of Borrower and its Subsidiaries for such period, in each case, determined in accordance with GAAP and (c) that does not own or hold rights to any Material IP;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if, at any time and from time to time after the Closing Date, Immaterial Subsidiaries that are not Guarantors solely because they do meet the thresholds set forth in clauses</w:t>
      </w:r>
    </w:p>
    <w:p>
      <w:pPr>
        <w:spacing w:after="0" w:line="1" w:lineRule="exact"/>
        <w:rPr>
          <w:sz w:val="20"/>
          <w:szCs w:val="20"/>
          <w:color w:val="auto"/>
        </w:rPr>
      </w:pPr>
    </w:p>
    <w:p>
      <w:pPr>
        <w:jc w:val="both"/>
        <w:ind w:firstLine="8"/>
        <w:spacing w:after="0"/>
        <w:tabs>
          <w:tab w:leader="none" w:pos="273" w:val="left"/>
        </w:tabs>
        <w:numPr>
          <w:ilvl w:val="0"/>
          <w:numId w:val="1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and (b) comprise in the aggregate more than 5.00% of total assets as of the end of the most recently ended fiscal quarter of Borrower for which financial statements have been delivered to Agent and the Blackstone Representative pursuant to </w:t>
      </w:r>
      <w:r>
        <w:rPr>
          <w:rFonts w:ascii="Times New Roman" w:cs="Times New Roman" w:eastAsia="Times New Roman" w:hAnsi="Times New Roman"/>
          <w:sz w:val="20"/>
          <w:szCs w:val="20"/>
          <w:u w:val="single" w:color="auto"/>
          <w:color w:val="auto"/>
        </w:rPr>
        <w:t>Section 5.2(a)(i)</w:t>
      </w:r>
      <w:r>
        <w:rPr>
          <w:rFonts w:ascii="Times New Roman" w:cs="Times New Roman" w:eastAsia="Times New Roman" w:hAnsi="Times New Roman"/>
          <w:sz w:val="20"/>
          <w:szCs w:val="20"/>
          <w:color w:val="auto"/>
        </w:rPr>
        <w:t xml:space="preserve"> or (ii) (whichever was most recently delivered to Agent and the Blackstone Representative) or more than 5.00% of the consolidated revenues of Borrower and its Subsidiaries for such applicable period, then Borrower shall (i) designate in writing to Agent one or more of such Immaterial Subsidiary(ies) as no longer an Immaterial Subsidiary(ies) to the extent required such that the foregoing condition ceases to be true and (ii) comply with the provisions of </w:t>
      </w:r>
      <w:r>
        <w:rPr>
          <w:rFonts w:ascii="Times New Roman" w:cs="Times New Roman" w:eastAsia="Times New Roman" w:hAnsi="Times New Roman"/>
          <w:sz w:val="20"/>
          <w:szCs w:val="20"/>
          <w:u w:val="single" w:color="auto"/>
          <w:color w:val="auto"/>
        </w:rPr>
        <w:t>Section 5.12</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Section 5.13</w:t>
      </w:r>
      <w:r>
        <w:rPr>
          <w:rFonts w:ascii="Times New Roman" w:cs="Times New Roman" w:eastAsia="Times New Roman" w:hAnsi="Times New Roman"/>
          <w:sz w:val="20"/>
          <w:szCs w:val="20"/>
          <w:color w:val="auto"/>
        </w:rPr>
        <w:t xml:space="preserve"> applicable to any such designated Subsidiary (in each case, in the time periods applicable as if such Immaterial Subsidiary(ies) had become Guarantors at such time).</w:t>
      </w:r>
    </w:p>
    <w:p>
      <w:pPr>
        <w:spacing w:after="0" w:line="20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Incremental Term Facilities</w:t>
      </w:r>
      <w:r>
        <w:rPr>
          <w:rFonts w:ascii="Times New Roman" w:cs="Times New Roman" w:eastAsia="Times New Roman" w:hAnsi="Times New Roman"/>
          <w:sz w:val="20"/>
          <w:szCs w:val="20"/>
          <w:color w:val="auto"/>
        </w:rPr>
        <w:t xml:space="preserve">” is defined in </w:t>
      </w:r>
      <w:r>
        <w:rPr>
          <w:rFonts w:ascii="Times New Roman" w:cs="Times New Roman" w:eastAsia="Times New Roman" w:hAnsi="Times New Roman"/>
          <w:sz w:val="20"/>
          <w:szCs w:val="20"/>
          <w:u w:val="single" w:color="auto"/>
          <w:color w:val="auto"/>
        </w:rPr>
        <w:t>Section 2.10(a)</w:t>
      </w:r>
      <w:r>
        <w:rPr>
          <w:rFonts w:ascii="Times New Roman" w:cs="Times New Roman" w:eastAsia="Times New Roman" w:hAnsi="Times New Roman"/>
          <w:sz w:val="20"/>
          <w:szCs w:val="20"/>
          <w:color w:val="auto"/>
        </w:rPr>
        <w:t>.</w:t>
      </w:r>
    </w:p>
    <w:p>
      <w:pPr>
        <w:spacing w:after="0" w:line="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Incremental Term Supplement</w:t>
      </w:r>
      <w:r>
        <w:rPr>
          <w:rFonts w:ascii="Times New Roman" w:cs="Times New Roman" w:eastAsia="Times New Roman" w:hAnsi="Times New Roman"/>
          <w:sz w:val="20"/>
          <w:szCs w:val="20"/>
          <w:color w:val="auto"/>
        </w:rPr>
        <w:t xml:space="preserve">” is defined in </w:t>
      </w:r>
      <w:r>
        <w:rPr>
          <w:rFonts w:ascii="Times New Roman" w:cs="Times New Roman" w:eastAsia="Times New Roman" w:hAnsi="Times New Roman"/>
          <w:sz w:val="20"/>
          <w:szCs w:val="20"/>
          <w:u w:val="single" w:color="auto"/>
          <w:color w:val="auto"/>
        </w:rPr>
        <w:t>Section 2.10(d)</w:t>
      </w: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3742690</wp:posOffset>
            </wp:positionH>
            <wp:positionV relativeFrom="paragraph">
              <wp:posOffset>-24765</wp:posOffset>
            </wp:positionV>
            <wp:extent cx="31115" cy="825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4">
                      <a:extLst>
                        <a:ext uri="{28A0092B-C50C-407E-A947-70E740481C1C}"/>
                      </a:extLst>
                    </a:blip>
                    <a:srcRect/>
                    <a:stretch>
                      <a:fillRect/>
                    </a:stretch>
                  </pic:blipFill>
                  <pic:spPr bwMode="auto">
                    <a:xfrm>
                      <a:off x="0" y="0"/>
                      <a:ext cx="31115" cy="8255"/>
                    </a:xfrm>
                    <a:prstGeom prst="rect">
                      <a:avLst/>
                    </a:prstGeom>
                    <a:noFill/>
                  </pic:spPr>
                </pic:pic>
              </a:graphicData>
            </a:graphic>
          </wp:anchor>
        </w:drawing>
      </w: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Incremental Term Loans</w:t>
      </w:r>
      <w:r>
        <w:rPr>
          <w:rFonts w:ascii="Times New Roman" w:cs="Times New Roman" w:eastAsia="Times New Roman" w:hAnsi="Times New Roman"/>
          <w:sz w:val="20"/>
          <w:szCs w:val="20"/>
          <w:color w:val="auto"/>
        </w:rPr>
        <w:t xml:space="preserve">” is defined in </w:t>
      </w:r>
      <w:r>
        <w:rPr>
          <w:rFonts w:ascii="Times New Roman" w:cs="Times New Roman" w:eastAsia="Times New Roman" w:hAnsi="Times New Roman"/>
          <w:sz w:val="20"/>
          <w:szCs w:val="20"/>
          <w:u w:val="single" w:color="auto"/>
          <w:color w:val="auto"/>
        </w:rPr>
        <w:t>Section 2.10(a)</w:t>
      </w:r>
      <w:r>
        <w:rPr>
          <w:rFonts w:ascii="Times New Roman" w:cs="Times New Roman" w:eastAsia="Times New Roman" w:hAnsi="Times New Roman"/>
          <w:sz w:val="20"/>
          <w:szCs w:val="20"/>
          <w:color w:val="auto"/>
        </w:rPr>
        <w:t>.</w:t>
      </w:r>
    </w:p>
    <w:p>
      <w:pPr>
        <w:spacing w:after="0" w:line="19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IND</w:t>
      </w:r>
      <w:r>
        <w:rPr>
          <w:rFonts w:ascii="Times New Roman" w:cs="Times New Roman" w:eastAsia="Times New Roman" w:hAnsi="Times New Roman"/>
          <w:sz w:val="20"/>
          <w:szCs w:val="20"/>
          <w:color w:val="auto"/>
        </w:rPr>
        <w:t>” means an investigational new drug application filed with FDA.</w:t>
      </w:r>
    </w:p>
    <w:p>
      <w:pPr>
        <w:spacing w:after="0" w:line="216"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Indebtedness</w:t>
      </w:r>
      <w:r>
        <w:rPr>
          <w:rFonts w:ascii="Times New Roman" w:cs="Times New Roman" w:eastAsia="Times New Roman" w:hAnsi="Times New Roman"/>
          <w:sz w:val="20"/>
          <w:szCs w:val="20"/>
          <w:color w:val="auto"/>
        </w:rPr>
        <w:t>” means, with respect to any Person, without duplication: (a) all indebtedness for advanced or borrowed money of, or credit extended to, such Person; (b) all obligations issued, undertaken or assumed by such Person as the deferred purchase price of assets, properties, services or rights (other than accrued expenses and trade payables which are not more than ninety (90) days past due or being contested in good faith) entered into in the ordinary course of business, including any obligation or liability to pay deferred or contingent purchase price or other consideration for such assets, properties, services or rights; (c) the face amount of all letters of credit or similar obligations issued for the account of such Person (whether or not drawn) and all reimbursement or payment obligations with respect to letters of credit, surety bonds, performance bonds and other similar instruments issued by such Person; (d) all obligations of such Person evidenced by notes, bonds, debentures or other debt securities or similar instruments (including debt securities convertible into Equity Interests), including obligations so evidenced incurred in connection 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602615</wp:posOffset>
            </wp:positionV>
            <wp:extent cx="7157720" cy="4254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22" w:right="419" w:bottom="1440" w:gutter="0" w:footer="0" w:header="0"/>
        </w:sectPr>
      </w:pPr>
    </w:p>
    <w:bookmarkStart w:id="308" w:name="page309"/>
    <w:bookmarkEnd w:id="308"/>
    <w:p>
      <w:pPr>
        <w:spacing w:after="0" w:line="167"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97</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4905-3710-6484 v.17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600710</wp:posOffset>
            </wp:positionV>
            <wp:extent cx="7157720" cy="4254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309" w:name="page310"/>
    <w:bookmarkEnd w:id="309"/>
    <w:p>
      <w:pPr>
        <w:jc w:val="both"/>
        <w:spacing w:after="0" w:line="241" w:lineRule="auto"/>
        <w:rPr>
          <w:sz w:val="20"/>
          <w:szCs w:val="20"/>
          <w:color w:val="auto"/>
        </w:rPr>
      </w:pPr>
      <w:r>
        <w:rPr>
          <w:rFonts w:ascii="Times New Roman" w:cs="Times New Roman" w:eastAsia="Times New Roman" w:hAnsi="Times New Roman"/>
          <w:sz w:val="20"/>
          <w:szCs w:val="20"/>
          <w:color w:val="auto"/>
        </w:rPr>
        <w:t xml:space="preserve">the acquisition of properties, assets or businesses; (e) all indebtedness of such Person created or arising under any conditional sale or other title retention agreement or incurred as financing, in either case with respect to property acquired by such Person (even though the rights and remedies of the seller or bank under such agreement in the event of default are limited to repossession or sale of such property); (f) all Finance Lease obligations of such Person; (g) the principal balance outstanding under any synthetic lease, off-balance sheet loan or similar off balance sheet financing product by such Person; (h) all obligations of such Person, whether or not contingent, to purchase, redeem, retire, defease or otherwise acquire for value any of its own Equity Interests (or any Equity Interests of a direct or indirect parent entity thereof); (i) all indebtedness referred to in </w:t>
      </w:r>
      <w:r>
        <w:rPr>
          <w:rFonts w:ascii="Times New Roman" w:cs="Times New Roman" w:eastAsia="Times New Roman" w:hAnsi="Times New Roman"/>
          <w:sz w:val="20"/>
          <w:szCs w:val="20"/>
          <w:u w:val="single" w:color="auto"/>
          <w:color w:val="auto"/>
        </w:rPr>
        <w:t>clauses (a)</w:t>
      </w:r>
      <w:r>
        <w:rPr>
          <w:rFonts w:ascii="Times New Roman" w:cs="Times New Roman" w:eastAsia="Times New Roman" w:hAnsi="Times New Roman"/>
          <w:sz w:val="20"/>
          <w:szCs w:val="20"/>
          <w:color w:val="auto"/>
        </w:rPr>
        <w:t xml:space="preserve"> through </w:t>
      </w:r>
      <w:r>
        <w:rPr>
          <w:rFonts w:ascii="Times New Roman" w:cs="Times New Roman" w:eastAsia="Times New Roman" w:hAnsi="Times New Roman"/>
          <w:sz w:val="20"/>
          <w:szCs w:val="20"/>
          <w:u w:val="single" w:color="auto"/>
          <w:color w:val="auto"/>
        </w:rPr>
        <w:t>(h)</w:t>
      </w:r>
      <w:r>
        <w:rPr>
          <w:rFonts w:ascii="Times New Roman" w:cs="Times New Roman" w:eastAsia="Times New Roman" w:hAnsi="Times New Roman"/>
          <w:sz w:val="20"/>
          <w:szCs w:val="20"/>
          <w:color w:val="auto"/>
        </w:rPr>
        <w:t xml:space="preserve"> above of other Persons secured by (or for which the holder of such indebtedness has an existing right, contingent or otherwise, to be secured by) any Lien upon or in assets or properties (including accounts and contracts rights) owned by such Person, even though such Person has not assumed or become liable for the payment of such indebtedness of such other Persons; and (j) all Contingent Obligations of such Person;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obligations in respect of earn-outs, milestone payments, royalties, purchase price adjustments, profit sharing arrangements or similar contingent or deferred consideration to a counterparty shall only be considered Indebtedness to the extent the same would be required to be shown as a liability on the balance sheet of such Person prepared in accordance with GAAP. “Indebtedness” shall include Permitted Convertible Bond Indebtedness, but shall not include Permitted Warrant Transactions.</w:t>
      </w:r>
    </w:p>
    <w:p>
      <w:pPr>
        <w:spacing w:after="0" w:line="178"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Indemnified Liabilities</w:t>
      </w:r>
      <w:r>
        <w:rPr>
          <w:rFonts w:ascii="Times New Roman" w:cs="Times New Roman" w:eastAsia="Times New Roman" w:hAnsi="Times New Roman"/>
          <w:sz w:val="20"/>
          <w:szCs w:val="20"/>
          <w:color w:val="auto"/>
        </w:rPr>
        <w:t>” means, collectively, any and all liabilities, obligations, losses, damages (including natural resource damages), penalties, claims, actions, judgments, suits, costs, reasonable and documented out-of-pocket expenses and disbursements of any kind or nature whatsoever (including the reasonable and documented fees and disbursements of one counsel for Indemnified Persons with respect to the Agent and one counsel for Indemnified Persons with respect to the Lenders, plus, if required, one local legal counsel with respect to the Agent and one local counsel with respect to the Lenders in each relevant jurisdiction and one specialty counsel with respect to the Lenders, and in the case of an actual or perceived conflict of interest, one additional counsel for such affected Indemnified Persons with respect to the Agent and one additional counsel for such affected Indemnified Persons with respect to the Lenders, in connection with any investigative, administrative or judicial proceeding or hearing commenced or threatened in writing by any Person, whether or not any such Indemnified Person shall have commenced such proceeding or hearing or be designated as a party or a potential party thereto, and any fees or expenses incurred by Indemnified Persons in enforcing the indemnity hereunder), whether direct, indirect or consequential and whether based on any federal, state or foreign laws, statutes, rules or regulations, on common law or equitable cause or on contract or otherwise, that may be imposed on, incurred by, or asserted against any such Indemnified Person, in any manner relating to or arising out of this Agreement or the other Loan Documents or the transactions contemplated hereby or thereby (including the agreement of the Lenders to make Credit Extensions or the use or intended use of the proceeds thereof, or any enforcement of any of the Loan Documents (including any sale of, collection from, or other realization upon any of the Collateral or the enforcement of any guaranty of the Obligations)).</w:t>
      </w:r>
    </w:p>
    <w:p>
      <w:pPr>
        <w:spacing w:after="0" w:line="20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Indemnified Person</w:t>
      </w:r>
      <w:r>
        <w:rPr>
          <w:rFonts w:ascii="Times New Roman" w:cs="Times New Roman" w:eastAsia="Times New Roman" w:hAnsi="Times New Roman"/>
          <w:sz w:val="20"/>
          <w:szCs w:val="20"/>
          <w:color w:val="auto"/>
        </w:rPr>
        <w:t xml:space="preserve">” is defined in </w:t>
      </w:r>
      <w:r>
        <w:rPr>
          <w:rFonts w:ascii="Times New Roman" w:cs="Times New Roman" w:eastAsia="Times New Roman" w:hAnsi="Times New Roman"/>
          <w:sz w:val="20"/>
          <w:szCs w:val="20"/>
          <w:u w:val="single" w:color="auto"/>
          <w:color w:val="auto"/>
        </w:rPr>
        <w:t>Section 11.2(a)</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Indemnified Taxes</w:t>
      </w:r>
      <w:r>
        <w:rPr>
          <w:rFonts w:ascii="Times New Roman" w:cs="Times New Roman" w:eastAsia="Times New Roman" w:hAnsi="Times New Roman"/>
          <w:sz w:val="20"/>
          <w:szCs w:val="20"/>
          <w:color w:val="auto"/>
        </w:rPr>
        <w:t xml:space="preserve">” means (a) Taxes, other than Excluded Taxes, imposed on or with respect to any payment made by or on account of any obligation of any Credit Party under any Loan Document and (b) to the extent not otherwise described in </w:t>
      </w:r>
      <w:r>
        <w:rPr>
          <w:rFonts w:ascii="Times New Roman" w:cs="Times New Roman" w:eastAsia="Times New Roman" w:hAnsi="Times New Roman"/>
          <w:sz w:val="20"/>
          <w:szCs w:val="20"/>
          <w:u w:val="single" w:color="auto"/>
          <w:color w:val="auto"/>
        </w:rPr>
        <w:t>clause (a)</w:t>
      </w:r>
      <w:r>
        <w:rPr>
          <w:rFonts w:ascii="Times New Roman" w:cs="Times New Roman" w:eastAsia="Times New Roman" w:hAnsi="Times New Roman"/>
          <w:sz w:val="20"/>
          <w:szCs w:val="20"/>
          <w:color w:val="auto"/>
        </w:rPr>
        <w:t xml:space="preserve"> above, Other Taxes.</w:t>
      </w:r>
    </w:p>
    <w:p>
      <w:pPr>
        <w:spacing w:after="0" w:line="169"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Information Privacy or Security Laws</w:t>
      </w:r>
      <w:r>
        <w:rPr>
          <w:rFonts w:ascii="Times New Roman" w:cs="Times New Roman" w:eastAsia="Times New Roman" w:hAnsi="Times New Roman"/>
          <w:sz w:val="20"/>
          <w:szCs w:val="20"/>
          <w:color w:val="auto"/>
        </w:rPr>
        <w:t>” means HIPAA and any regulations promulgated thereunder, and all other Laws concerning the privacy or security of Personal Information, including any applicable foreign Laws, state data breach notification Laws, and state health information privacy Laws.</w:t>
      </w:r>
    </w:p>
    <w:p>
      <w:pPr>
        <w:spacing w:after="0" w:line="155" w:lineRule="exact"/>
        <w:rPr>
          <w:sz w:val="20"/>
          <w:szCs w:val="20"/>
          <w:color w:val="auto"/>
        </w:rPr>
      </w:pPr>
    </w:p>
    <w:p>
      <w:pPr>
        <w:jc w:val="both"/>
        <w:ind w:firstLine="749"/>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Initial Term Lender</w:t>
      </w:r>
      <w:r>
        <w:rPr>
          <w:rFonts w:ascii="Times New Roman" w:cs="Times New Roman" w:eastAsia="Times New Roman" w:hAnsi="Times New Roman"/>
          <w:sz w:val="20"/>
          <w:szCs w:val="20"/>
          <w:color w:val="auto"/>
        </w:rPr>
        <w:t>” means the Persons holding Initial Term Loan Commitments or Initial Term Loans and any other Person that shall have become party hereto holding Initial Term Loans pursuant to an</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4905-3710-6484 v.17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600710</wp:posOffset>
            </wp:positionV>
            <wp:extent cx="7157720" cy="4254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6" w:right="339" w:bottom="1440" w:gutter="0" w:footer="0" w:header="0"/>
        </w:sectPr>
      </w:pPr>
    </w:p>
    <w:bookmarkStart w:id="310" w:name="page311"/>
    <w:bookmarkEnd w:id="310"/>
    <w:p>
      <w:pPr>
        <w:jc w:val="both"/>
        <w:spacing w:after="0" w:line="269" w:lineRule="auto"/>
        <w:rPr>
          <w:sz w:val="20"/>
          <w:szCs w:val="20"/>
          <w:color w:val="auto"/>
        </w:rPr>
      </w:pPr>
      <w:r>
        <w:rPr>
          <w:rFonts w:ascii="Times New Roman" w:cs="Times New Roman" w:eastAsia="Times New Roman" w:hAnsi="Times New Roman"/>
          <w:sz w:val="20"/>
          <w:szCs w:val="20"/>
          <w:color w:val="auto"/>
        </w:rPr>
        <w:t>Assignment and Assumption, other than any such Person that ceases to be a party hereto holding Initial Term Loans pursuant to an Assignment and Assumption.</w:t>
      </w:r>
    </w:p>
    <w:p>
      <w:pPr>
        <w:spacing w:after="0" w:line="16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Initial Term Loan</w:t>
      </w:r>
      <w:r>
        <w:rPr>
          <w:rFonts w:ascii="Times New Roman" w:cs="Times New Roman" w:eastAsia="Times New Roman" w:hAnsi="Times New Roman"/>
          <w:sz w:val="20"/>
          <w:szCs w:val="20"/>
          <w:color w:val="auto"/>
        </w:rPr>
        <w:t xml:space="preserve">” is defined in </w:t>
      </w:r>
      <w:r>
        <w:rPr>
          <w:rFonts w:ascii="Times New Roman" w:cs="Times New Roman" w:eastAsia="Times New Roman" w:hAnsi="Times New Roman"/>
          <w:sz w:val="20"/>
          <w:szCs w:val="20"/>
          <w:u w:val="single" w:color="auto"/>
          <w:color w:val="auto"/>
        </w:rPr>
        <w:t>Section 2.2(a)(i)</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669"/>
        <w:spacing w:after="0" w:line="27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Initial Term Loan Commitment</w:t>
      </w:r>
      <w:r>
        <w:rPr>
          <w:rFonts w:ascii="Times New Roman" w:cs="Times New Roman" w:eastAsia="Times New Roman" w:hAnsi="Times New Roman"/>
          <w:sz w:val="19"/>
          <w:szCs w:val="19"/>
          <w:color w:val="auto"/>
        </w:rPr>
        <w:t xml:space="preserve">” with respect to each Initial Term Lender, the commitment of each such Initial Term Lender to make Initial Term Loans hereunder in an aggregate amount not to exceed the amount set forth opposite such Initial Term Lender’s name on </w:t>
      </w:r>
      <w:r>
        <w:rPr>
          <w:rFonts w:ascii="Times New Roman" w:cs="Times New Roman" w:eastAsia="Times New Roman" w:hAnsi="Times New Roman"/>
          <w:sz w:val="19"/>
          <w:szCs w:val="19"/>
          <w:u w:val="single" w:color="auto"/>
          <w:color w:val="auto"/>
        </w:rPr>
        <w:t>Annex 1</w:t>
      </w:r>
      <w:r>
        <w:rPr>
          <w:rFonts w:ascii="Times New Roman" w:cs="Times New Roman" w:eastAsia="Times New Roman" w:hAnsi="Times New Roman"/>
          <w:sz w:val="19"/>
          <w:szCs w:val="19"/>
          <w:color w:val="auto"/>
        </w:rPr>
        <w:t>. The aggregate amount of the Initial Term Lenders’ Initial Term Loan Commitments on the Closing Date is $120,000,000.</w:t>
      </w:r>
    </w:p>
    <w:p>
      <w:pPr>
        <w:spacing w:after="0" w:line="151" w:lineRule="exact"/>
        <w:rPr>
          <w:sz w:val="20"/>
          <w:szCs w:val="20"/>
          <w:color w:val="auto"/>
        </w:rPr>
      </w:pPr>
    </w:p>
    <w:p>
      <w:pPr>
        <w:jc w:val="both"/>
        <w:ind w:firstLine="669"/>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Insolvency Proceeding</w:t>
      </w:r>
      <w:r>
        <w:rPr>
          <w:rFonts w:ascii="Times New Roman" w:cs="Times New Roman" w:eastAsia="Times New Roman" w:hAnsi="Times New Roman"/>
          <w:sz w:val="20"/>
          <w:szCs w:val="20"/>
          <w:color w:val="auto"/>
        </w:rPr>
        <w:t>” means, with respect to any Person, any proceeding by or against such Person under the United States Bankruptcy Code, or any other bankruptcy or insolvency law in the United States or other applicable jurisdiction, including assignments for the benefit of creditors, compositions, extensions generally with its creditors, or proceedings seeking reorganization, arrangement, court protection or other relief.</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Intellectual Property</w:t>
      </w:r>
      <w:r>
        <w:rPr>
          <w:rFonts w:ascii="Times New Roman" w:cs="Times New Roman" w:eastAsia="Times New Roman" w:hAnsi="Times New Roman"/>
          <w:sz w:val="20"/>
          <w:szCs w:val="20"/>
          <w:color w:val="auto"/>
        </w:rPr>
        <w:t>” means all:</w:t>
      </w:r>
    </w:p>
    <w:p>
      <w:pPr>
        <w:spacing w:after="0" w:line="22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(a)Copyrights, Trademarks, and Patents;</w:t>
      </w:r>
    </w:p>
    <w:p>
      <w:pPr>
        <w:spacing w:after="0" w:line="229" w:lineRule="exact"/>
        <w:rPr>
          <w:sz w:val="20"/>
          <w:szCs w:val="20"/>
          <w:color w:val="auto"/>
        </w:rPr>
      </w:pPr>
    </w:p>
    <w:p>
      <w:pPr>
        <w:jc w:val="both"/>
        <w:ind w:firstLine="744"/>
        <w:spacing w:after="0" w:line="266" w:lineRule="auto"/>
        <w:rPr>
          <w:sz w:val="20"/>
          <w:szCs w:val="20"/>
          <w:color w:val="auto"/>
        </w:rPr>
      </w:pPr>
      <w:r>
        <w:rPr>
          <w:rFonts w:ascii="Times New Roman" w:cs="Times New Roman" w:eastAsia="Times New Roman" w:hAnsi="Times New Roman"/>
          <w:sz w:val="19"/>
          <w:szCs w:val="19"/>
          <w:color w:val="auto"/>
        </w:rPr>
        <w:t>(b)trade secrets and trade secret rights, confidential business information, know-how, data and other information, in each case, including any rights to unpatented inventions, know-how, show-how and operating manuals, research in progress, algorithms, data, databases, data collections, designs, processes, procedures, methods, protocols, materials, formulae, drawings, schematics, blueprints, flow charts, models, strategies, prototypes, techniques, and the results of experimentation and testing, including samples (“</w:t>
      </w:r>
      <w:r>
        <w:rPr>
          <w:rFonts w:ascii="Times New Roman" w:cs="Times New Roman" w:eastAsia="Times New Roman" w:hAnsi="Times New Roman"/>
          <w:sz w:val="19"/>
          <w:szCs w:val="19"/>
          <w:b w:val="1"/>
          <w:bCs w:val="1"/>
          <w:color w:val="auto"/>
        </w:rPr>
        <w:t>Trade Secrets</w:t>
      </w:r>
      <w:r>
        <w:rPr>
          <w:rFonts w:ascii="Times New Roman" w:cs="Times New Roman" w:eastAsia="Times New Roman" w:hAnsi="Times New Roman"/>
          <w:sz w:val="19"/>
          <w:szCs w:val="19"/>
          <w:color w:val="auto"/>
        </w:rPr>
        <w:t>”);</w:t>
      </w:r>
    </w:p>
    <w:p>
      <w:pPr>
        <w:spacing w:after="0" w:line="165" w:lineRule="exact"/>
        <w:rPr>
          <w:sz w:val="20"/>
          <w:szCs w:val="20"/>
          <w:color w:val="auto"/>
        </w:rPr>
      </w:pPr>
    </w:p>
    <w:p>
      <w:pPr>
        <w:jc w:val="both"/>
        <w:ind w:firstLine="744"/>
        <w:spacing w:after="0" w:line="254" w:lineRule="auto"/>
        <w:rPr>
          <w:sz w:val="20"/>
          <w:szCs w:val="20"/>
          <w:color w:val="auto"/>
        </w:rPr>
      </w:pPr>
      <w:r>
        <w:rPr>
          <w:rFonts w:ascii="Times New Roman" w:cs="Times New Roman" w:eastAsia="Times New Roman" w:hAnsi="Times New Roman"/>
          <w:sz w:val="20"/>
          <w:szCs w:val="20"/>
          <w:color w:val="auto"/>
        </w:rPr>
        <w:t>(c)(i) all computer programs, including source code and object code versions, (ii) all data, databases and compilations of data, whether machine readable or otherwise, and (iii) all documentation, training materials and configurations related to any of the foregoing (collectively, “</w:t>
      </w:r>
      <w:r>
        <w:rPr>
          <w:rFonts w:ascii="Times New Roman" w:cs="Times New Roman" w:eastAsia="Times New Roman" w:hAnsi="Times New Roman"/>
          <w:sz w:val="20"/>
          <w:szCs w:val="20"/>
          <w:b w:val="1"/>
          <w:bCs w:val="1"/>
          <w:color w:val="auto"/>
        </w:rPr>
        <w:t>Software</w:t>
      </w:r>
      <w:r>
        <w:rPr>
          <w:rFonts w:ascii="Times New Roman" w:cs="Times New Roman" w:eastAsia="Times New Roman" w:hAnsi="Times New Roman"/>
          <w:sz w:val="20"/>
          <w:szCs w:val="20"/>
          <w:color w:val="auto"/>
        </w:rPr>
        <w:t>”);</w:t>
      </w:r>
    </w:p>
    <w:p>
      <w:pPr>
        <w:spacing w:after="0" w:line="17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color w:val="auto"/>
        </w:rPr>
        <w:t>(d)all right, title and interest arising under any contract or Requirements of Law in or relating to Internet domain names;</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(e)design rights;</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(f)IP Ancillary Rights (including all IP Ancillary Rights related to any of the foregoing);</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(g)any similar or equivalent rights to any of the foregoing anywhere in the world;</w:t>
      </w:r>
    </w:p>
    <w:p>
      <w:pPr>
        <w:spacing w:after="0" w:line="22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color w:val="auto"/>
        </w:rPr>
        <w:t>(h)copies and tangible embodiments of any of the foregoing (in whatever form or medium); and</w:t>
      </w:r>
    </w:p>
    <w:p>
      <w:pPr>
        <w:spacing w:after="0" w:line="202"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color w:val="auto"/>
        </w:rPr>
        <w:t>(i)any and all improvements, developments, refinements, additions or subtractions to any of the foregoing.</w:t>
      </w:r>
    </w:p>
    <w:p>
      <w:pPr>
        <w:spacing w:after="0" w:line="212" w:lineRule="exact"/>
        <w:rPr>
          <w:sz w:val="20"/>
          <w:szCs w:val="20"/>
          <w:color w:val="auto"/>
        </w:rPr>
      </w:pPr>
    </w:p>
    <w:p>
      <w:pPr>
        <w:jc w:val="both"/>
        <w:ind w:firstLine="669"/>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Intercompany Subordination Agreement</w:t>
      </w:r>
      <w:r>
        <w:rPr>
          <w:rFonts w:ascii="Times New Roman" w:cs="Times New Roman" w:eastAsia="Times New Roman" w:hAnsi="Times New Roman"/>
          <w:sz w:val="20"/>
          <w:szCs w:val="20"/>
          <w:color w:val="auto"/>
        </w:rPr>
        <w:t>” means an intercompany subordination agreement executed and delivered by each Credit Party, each of its applicable Subsidiaries and the Agent, in form and substance reasonably satisfactory to the Agent and the Blackstone Representative, as amended, restated, supplemented or otherwise modified and in effect from time to time.</w:t>
      </w:r>
    </w:p>
    <w:p>
      <w:pPr>
        <w:spacing w:after="0" w:line="169" w:lineRule="exact"/>
        <w:rPr>
          <w:sz w:val="20"/>
          <w:szCs w:val="20"/>
          <w:color w:val="auto"/>
        </w:rPr>
      </w:pPr>
    </w:p>
    <w:p>
      <w:pPr>
        <w:ind w:right="2480" w:firstLine="749"/>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Interest Date</w:t>
      </w:r>
      <w:r>
        <w:rPr>
          <w:rFonts w:ascii="Times New Roman" w:cs="Times New Roman" w:eastAsia="Times New Roman" w:hAnsi="Times New Roman"/>
          <w:sz w:val="20"/>
          <w:szCs w:val="20"/>
          <w:color w:val="auto"/>
        </w:rPr>
        <w:t>” means March 31, June 30, September 30 and December 31 of each year (or, if any such date is not a Business Day, the immediately preceding Business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572135</wp:posOffset>
            </wp:positionV>
            <wp:extent cx="7157720" cy="4254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400" w:top="1413" w:right="419" w:bottom="1440" w:gutter="0" w:footer="0" w:header="0"/>
        </w:sectPr>
      </w:pPr>
    </w:p>
    <w:bookmarkStart w:id="311" w:name="page312"/>
    <w:bookmarkEnd w:id="311"/>
    <w:p>
      <w:pPr>
        <w:spacing w:after="0" w:line="32" w:lineRule="exact"/>
        <w:rPr>
          <w:sz w:val="20"/>
          <w:szCs w:val="20"/>
          <w:color w:val="auto"/>
        </w:rPr>
      </w:pPr>
    </w:p>
    <w:p>
      <w:pPr>
        <w:jc w:val="right"/>
        <w:ind w:right="4379"/>
        <w:spacing w:after="0"/>
        <w:rPr>
          <w:sz w:val="20"/>
          <w:szCs w:val="20"/>
          <w:color w:val="auto"/>
        </w:rPr>
      </w:pPr>
      <w:r>
        <w:rPr>
          <w:rFonts w:ascii="Times New Roman" w:cs="Times New Roman" w:eastAsia="Times New Roman" w:hAnsi="Times New Roman"/>
          <w:sz w:val="18"/>
          <w:szCs w:val="18"/>
          <w:color w:val="auto"/>
        </w:rPr>
        <w:t>99</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4905-3710-6484 v.17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600710</wp:posOffset>
            </wp:positionV>
            <wp:extent cx="7157720" cy="4254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59"/>
          </w:cols>
          <w:pgMar w:left="400" w:top="1440" w:right="1440" w:bottom="1440" w:gutter="0" w:footer="0" w:header="0"/>
        </w:sectPr>
      </w:pPr>
    </w:p>
    <w:bookmarkStart w:id="312" w:name="page313"/>
    <w:bookmarkEnd w:id="312"/>
    <w:p>
      <w:pPr>
        <w:jc w:val="both"/>
        <w:ind w:firstLine="749"/>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Interest Period</w:t>
      </w:r>
      <w:r>
        <w:rPr>
          <w:rFonts w:ascii="Times New Roman" w:cs="Times New Roman" w:eastAsia="Times New Roman" w:hAnsi="Times New Roman"/>
          <w:sz w:val="20"/>
          <w:szCs w:val="20"/>
          <w:color w:val="auto"/>
        </w:rPr>
        <w:t>” means, with respect to any Interest Date, the period from, and including, the immediately preceding Interest Date (or, with respect to the first Interest Date, from, and including, the Closing Date), to but excluding the Interest Date in which payment for such Interest Period is made.</w:t>
      </w:r>
    </w:p>
    <w:p>
      <w:pPr>
        <w:spacing w:after="0" w:line="169"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Inventory</w:t>
      </w:r>
      <w:r>
        <w:rPr>
          <w:rFonts w:ascii="Times New Roman" w:cs="Times New Roman" w:eastAsia="Times New Roman" w:hAnsi="Times New Roman"/>
          <w:sz w:val="20"/>
          <w:szCs w:val="20"/>
          <w:color w:val="auto"/>
        </w:rPr>
        <w:t>” means all “inventory” as defined in the Code in effect on the date hereof with such additions to such term as may hereafter be made, and includes all merchandise, raw materials, parts, supplies, packing and shipping materials, work in process and finished products, including such inventory as is temporarily out of a Credit Party’s or Subsidiary’s custody or possession or in transit and including any returned goods and any documents of title representing any of the above.</w:t>
      </w:r>
    </w:p>
    <w:p>
      <w:pPr>
        <w:spacing w:after="0" w:line="176"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Investment</w:t>
      </w:r>
      <w:r>
        <w:rPr>
          <w:rFonts w:ascii="Times New Roman" w:cs="Times New Roman" w:eastAsia="Times New Roman" w:hAnsi="Times New Roman"/>
          <w:sz w:val="20"/>
          <w:szCs w:val="20"/>
          <w:color w:val="auto"/>
        </w:rPr>
        <w:t xml:space="preserve">” means (a) any beneficial equity or ownership interest in any Person, (b) the acquisition (whether for cash, property, services or securities or otherwise) of any debt or Equity Interests, bonds, notes, debentures, partnership or other ownership interests or other securities of any other Person (including any “short sale” or any sale of any securities at a time when such securities are not owned by the Person entering into such sale), (c) any Acquisition, (d) the making of any advance, loan, extension of credit or capital contribution in or to, any Person, (e) the guarantee, endorsement or otherwise becoming contingently liable in respect of the Indebtedness of any other Person, (f) any in-licensing of Intellectual Property or (g) investments that are required by GAAP to be classified on the consolidated balance sheet (excluding the footnotes) of the Borrower in the same manner as the other investments included in this definition to the extent such transactions involve the transfer of cash or other property. The amount of an Investment shall be the amount actually invested (which, in the case of any Investment constituting the contribution of an asset or property, shall be based on the fair market value of such asset or property at the time such Investment is made), less the amount of cash received or returned for such Investment, without adjustment for subsequent increases or decreases in the value of such Investment or write-ups, write-downs or write-offs with respect thereto;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in no event shall such amount be less than zero or increase any basket or amount set forth in the definition of “Permitted Investments” above the fixed amount set forth therein.</w:t>
      </w:r>
    </w:p>
    <w:p>
      <w:pPr>
        <w:spacing w:after="0" w:line="171"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IP Agreements</w:t>
      </w:r>
      <w:r>
        <w:rPr>
          <w:rFonts w:ascii="Times New Roman" w:cs="Times New Roman" w:eastAsia="Times New Roman" w:hAnsi="Times New Roman"/>
          <w:sz w:val="20"/>
          <w:szCs w:val="20"/>
          <w:color w:val="auto"/>
        </w:rPr>
        <w:t>” means, collectively, (a) those certain Intellectual Property Security Agreements entered into by and between the Credit Parties, as the case may be, and the Agent, each dated as of the Closing Date, and (b) any Intellectual Property Security Agreement entered into by and between the Credit Parties, as the case may be, and the Agent after the Closing Date in accordance with the Loan Documents.</w:t>
      </w:r>
    </w:p>
    <w:p>
      <w:pPr>
        <w:spacing w:after="0" w:line="176"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IP Ancillary Rights</w:t>
      </w:r>
      <w:r>
        <w:rPr>
          <w:rFonts w:ascii="Times New Roman" w:cs="Times New Roman" w:eastAsia="Times New Roman" w:hAnsi="Times New Roman"/>
          <w:sz w:val="20"/>
          <w:szCs w:val="20"/>
          <w:color w:val="auto"/>
        </w:rPr>
        <w:t>” means, with respect to any Copyright, Trademark, Patent, Software, trade secrets or trade secret rights, including any rights to unpatented inventions, know-how, show-how and operating manuals, all income, royalties, proceeds and liabilities at any time due or payable or asserted under or with respect to any of the foregoing or otherwise with respect thereto, including all rights to sue or recover at law or in equity for any past, present or future infringement, misappropriation, dilution, violation or other impairment thereof, and, in each case, all rights to obtain any other intellectual property right ancillary to any Copyright, Trademark, Patent, Software, trade secrets or trade secret rights.</w:t>
      </w: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IRC</w:t>
      </w:r>
      <w:r>
        <w:rPr>
          <w:rFonts w:ascii="Times New Roman" w:cs="Times New Roman" w:eastAsia="Times New Roman" w:hAnsi="Times New Roman"/>
          <w:sz w:val="20"/>
          <w:szCs w:val="20"/>
          <w:color w:val="auto"/>
        </w:rPr>
        <w:t>” means the Internal Revenue Code of 1986, as amended.</w:t>
      </w: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IRS</w:t>
      </w:r>
      <w:r>
        <w:rPr>
          <w:rFonts w:ascii="Times New Roman" w:cs="Times New Roman" w:eastAsia="Times New Roman" w:hAnsi="Times New Roman"/>
          <w:sz w:val="20"/>
          <w:szCs w:val="20"/>
          <w:color w:val="auto"/>
        </w:rPr>
        <w:t>” means the U.S. Internal Revenue Service.</w:t>
      </w:r>
    </w:p>
    <w:p>
      <w:pPr>
        <w:spacing w:after="0" w:line="190"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IT Assets</w:t>
      </w:r>
      <w:r>
        <w:rPr>
          <w:rFonts w:ascii="Times New Roman" w:cs="Times New Roman" w:eastAsia="Times New Roman" w:hAnsi="Times New Roman"/>
          <w:sz w:val="20"/>
          <w:szCs w:val="20"/>
          <w:color w:val="auto"/>
        </w:rPr>
        <w:t>” means technology devices, computers, software, servers, networks, workstations, routers, hubs, circuits, switches, data communications lines, and all other information technology equipment, and all data stored therein or processed thereby, and all associated documentation.</w:t>
      </w:r>
    </w:p>
    <w:p>
      <w:pPr>
        <w:spacing w:after="0" w:line="182" w:lineRule="exact"/>
        <w:rPr>
          <w:sz w:val="20"/>
          <w:szCs w:val="20"/>
          <w:color w:val="auto"/>
        </w:rPr>
      </w:pPr>
    </w:p>
    <w:p>
      <w:pPr>
        <w:jc w:val="both"/>
        <w:ind w:firstLine="749"/>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Knowledge</w:t>
      </w:r>
      <w:r>
        <w:rPr>
          <w:rFonts w:ascii="Times New Roman" w:cs="Times New Roman" w:eastAsia="Times New Roman" w:hAnsi="Times New Roman"/>
          <w:sz w:val="20"/>
          <w:szCs w:val="20"/>
          <w:color w:val="auto"/>
        </w:rPr>
        <w:t>” or to the “</w:t>
      </w:r>
      <w:r>
        <w:rPr>
          <w:rFonts w:ascii="Times New Roman" w:cs="Times New Roman" w:eastAsia="Times New Roman" w:hAnsi="Times New Roman"/>
          <w:sz w:val="20"/>
          <w:szCs w:val="20"/>
          <w:b w:val="1"/>
          <w:bCs w:val="1"/>
          <w:color w:val="auto"/>
        </w:rPr>
        <w:t>knowledge</w:t>
      </w:r>
      <w:r>
        <w:rPr>
          <w:rFonts w:ascii="Times New Roman" w:cs="Times New Roman" w:eastAsia="Times New Roman" w:hAnsi="Times New Roman"/>
          <w:sz w:val="20"/>
          <w:szCs w:val="20"/>
          <w:color w:val="auto"/>
        </w:rPr>
        <w:t>” and similar qualifications or phrases means the actual knowledge, after commercially reasonable investigation, of any Responsible Officer of Borrower or such other Credit Party, as the context dictates.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581025</wp:posOffset>
            </wp:positionV>
            <wp:extent cx="7157720" cy="4254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22" w:right="419" w:bottom="1440" w:gutter="0" w:footer="0" w:header="0"/>
        </w:sectPr>
      </w:pPr>
    </w:p>
    <w:bookmarkStart w:id="313" w:name="page314"/>
    <w:bookmarkEnd w:id="313"/>
    <w:p>
      <w:pPr>
        <w:spacing w:after="0" w:line="180"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100</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4905-3710-6484 v.17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600710</wp:posOffset>
            </wp:positionV>
            <wp:extent cx="7157720" cy="4254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314" w:name="page315"/>
    <w:bookmarkEnd w:id="314"/>
    <w:p>
      <w:pPr>
        <w:jc w:val="cente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Lender</w:t>
      </w:r>
      <w:r>
        <w:rPr>
          <w:rFonts w:ascii="Times New Roman" w:cs="Times New Roman" w:eastAsia="Times New Roman" w:hAnsi="Times New Roman"/>
          <w:sz w:val="20"/>
          <w:szCs w:val="20"/>
          <w:color w:val="auto"/>
        </w:rPr>
        <w:t>” means each Person signatory hereto as a “Lender” and its successors and assigns.</w:t>
      </w:r>
    </w:p>
    <w:p>
      <w:pPr>
        <w:spacing w:after="0" w:line="202"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Lender and Agent Expenses</w:t>
      </w:r>
      <w:r>
        <w:rPr>
          <w:rFonts w:ascii="Times New Roman" w:cs="Times New Roman" w:eastAsia="Times New Roman" w:hAnsi="Times New Roman"/>
          <w:sz w:val="19"/>
          <w:szCs w:val="19"/>
          <w:color w:val="auto"/>
        </w:rPr>
        <w:t xml:space="preserve">” means (i) all reasonable and documented out-of-pocket fees and expenses of the Agent, the Blackstone Representative, the Lenders and their respective Related Parties for developing, preparing, amending, modifying, negotiating, executing and delivering, and administering the Loan Documents or any other document prepared in connection therewith or the consummation and administration of any transaction contemplated therein or otherwise incurred with respect to the Credit Parties in connection with the Loan Documents, including any filing or recording fees and expenses (including reasonable and documented attorneys, accountants, consultants, financial advisors and other advisors fees and expenses, but limited to the reasonable and documented out-of-pocket fees and expenses of one legal counsel to the Agent and its Related Parties (taken as a whole), and one legal counsel to the Blackstone Representative and the Lenders and each of their Related Parties (taken as a whole) (plus, if required, (x) one local legal counsel to the Agent and its Related Parties (taken as a whole) in each relevant material jurisdiction, and one local legal counsel to the Blackstone Representative and the Lenders and their Related Parties (taken as a whole) in each relevant material jurisdiction) and (y) one specialty counsel to the Agent and its Related Parties (taken as a whole) and one specialty counsel to the Blackstone Representative and the Lenders and each of their Related Parties (taken as a whole);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such documentation shall not include legal time entries), and (ii) all reasonable and documented out-of-pocket costs and expenses incurred by the Agent, the Blackstone Representative, the Lenders and their respective Related Parties (including reasonable and documented attorneys, accountants, consultants, financial advisors and other advisors fees and expenses, but limited, in the case of legal counsel, to the reasonable and documented out-of-pocket fees and expenses of one primary counsel for the Agent and its Related Parties (taken as whole) and one primary counsel for the Blackstone Representative and the Lenders and each of their Related Parties (taken as a whole), one local legal counsel to the Agent and its Related Parties (taken as a whole) in each relevant material jurisdiction and one local legal counsel to the Blackstone Representative and the Lenders and each of their Related Parties (taken as a whole) in each relevant material jurisdiction, and one specialty counsel to the Agent and its Related Parties (taken as a whole) and one specialty counsel to the Blackstone Representative and the Lenders and each of their Related Parties (taken as a whole)) (and, in the case of an actual or perceived conflict of interest where the party affected by such conflict informs Borrower of such conflict and thereafter retains its own counsel, of one additional primary firm of counsel for all such affected parties (taken as a whole) and one additional firm of local counsel for all such affected parties (taken as a whole) in each relevant material jurisdiction);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that such documentation shall not include legal time entries), in connection with (A) any refinancing or restructuring of the credit arrangements provided hereunder in the nature of a “work-out”, (B) the enforcement or preservation of any right or remedy under any Loan Document, any Obligation, with respect to the Collateral or any other related right or remedy or (C) the commencement, defense, conduct of, intervention in, or the taking of any other action with respect to, any proceeding (including any Insolvency Proceeding) related to any Credit Party, any Subsidiary of any Credit Party, Loan Document or Obligation (or the response to and preparation for any subpoena or request for document production relating thereto), subject in the case of legal fees incurred by the Lenders and/or the Blackstone Representative (but for the avoidance of doubt, not the Agent) on or prior to the Closing Date to any caps in respect of the foregoing agreed separately in writing between Borrower, Lenders and/or the Blackstone Representative (including, for the avoidance of doubt, that certain letter agreement between Borrower and the Blackstone Representative dated April 4, 2025 with respect to the cap on expenses incurred on or prior to the Closing Date).</w:t>
      </w:r>
    </w:p>
    <w:p>
      <w:pPr>
        <w:spacing w:after="0" w:line="200" w:lineRule="exact"/>
        <w:rPr>
          <w:sz w:val="20"/>
          <w:szCs w:val="20"/>
          <w:color w:val="auto"/>
        </w:rPr>
      </w:pPr>
    </w:p>
    <w:p>
      <w:pPr>
        <w:spacing w:after="0" w:line="234" w:lineRule="exact"/>
        <w:rPr>
          <w:sz w:val="20"/>
          <w:szCs w:val="20"/>
          <w:color w:val="auto"/>
        </w:rPr>
      </w:pPr>
    </w:p>
    <w:p>
      <w:pPr>
        <w:jc w:val="both"/>
        <w:ind w:firstLine="749"/>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Lender Fee Letter</w:t>
      </w:r>
      <w:r>
        <w:rPr>
          <w:rFonts w:ascii="Times New Roman" w:cs="Times New Roman" w:eastAsia="Times New Roman" w:hAnsi="Times New Roman"/>
          <w:sz w:val="20"/>
          <w:szCs w:val="20"/>
          <w:color w:val="auto"/>
        </w:rPr>
        <w:t>” means that certain fee letter, dated the date hereof, by and among the Borrower and the Blackstone Representative.</w:t>
      </w:r>
    </w:p>
    <w:p>
      <w:pPr>
        <w:spacing w:after="0" w:line="15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Lender Transfer</w:t>
      </w:r>
      <w:r>
        <w:rPr>
          <w:rFonts w:ascii="Times New Roman" w:cs="Times New Roman" w:eastAsia="Times New Roman" w:hAnsi="Times New Roman"/>
          <w:sz w:val="20"/>
          <w:szCs w:val="20"/>
          <w:color w:val="auto"/>
        </w:rPr>
        <w:t xml:space="preserve">” is defined in </w:t>
      </w:r>
      <w:r>
        <w:rPr>
          <w:rFonts w:ascii="Times New Roman" w:cs="Times New Roman" w:eastAsia="Times New Roman" w:hAnsi="Times New Roman"/>
          <w:sz w:val="20"/>
          <w:szCs w:val="20"/>
          <w:u w:val="single" w:color="auto"/>
          <w:color w:val="auto"/>
        </w:rPr>
        <w:t>Section 11.1(b)</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749"/>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Lien</w:t>
      </w:r>
      <w:r>
        <w:rPr>
          <w:rFonts w:ascii="Times New Roman" w:cs="Times New Roman" w:eastAsia="Times New Roman" w:hAnsi="Times New Roman"/>
          <w:sz w:val="20"/>
          <w:szCs w:val="20"/>
          <w:color w:val="auto"/>
        </w:rPr>
        <w:t>” means (a) a claim, mortgage, lien, deed of trust, levy, charge, pledge, hypothecation, preference, priority, security interest or other encumbrance of any kind or assignment for security purposes,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581025</wp:posOffset>
            </wp:positionV>
            <wp:extent cx="7157720" cy="4254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2" w:right="339" w:bottom="1440" w:gutter="0" w:footer="0" w:header="0"/>
        </w:sectPr>
      </w:pPr>
    </w:p>
    <w:bookmarkStart w:id="315" w:name="page316"/>
    <w:bookmarkEnd w:id="315"/>
    <w:p>
      <w:pPr>
        <w:spacing w:after="0" w:line="113" w:lineRule="exact"/>
        <w:rPr>
          <w:sz w:val="20"/>
          <w:szCs w:val="20"/>
          <w:color w:val="auto"/>
        </w:rPr>
      </w:pPr>
    </w:p>
    <w:p>
      <w:pPr>
        <w:jc w:val="right"/>
        <w:ind w:right="4379"/>
        <w:spacing w:after="0"/>
        <w:rPr>
          <w:sz w:val="20"/>
          <w:szCs w:val="20"/>
          <w:color w:val="auto"/>
        </w:rPr>
      </w:pPr>
      <w:r>
        <w:rPr>
          <w:rFonts w:ascii="Times New Roman" w:cs="Times New Roman" w:eastAsia="Times New Roman" w:hAnsi="Times New Roman"/>
          <w:sz w:val="18"/>
          <w:szCs w:val="18"/>
          <w:color w:val="auto"/>
        </w:rPr>
        <w:t>101</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4905-3710-6484 v.17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600710</wp:posOffset>
            </wp:positionV>
            <wp:extent cx="7157720" cy="4254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316" w:name="page317"/>
    <w:bookmarkEnd w:id="316"/>
    <w:p>
      <w:pPr>
        <w:jc w:val="both"/>
        <w:spacing w:after="0" w:line="263" w:lineRule="auto"/>
        <w:rPr>
          <w:sz w:val="20"/>
          <w:szCs w:val="20"/>
          <w:color w:val="auto"/>
        </w:rPr>
      </w:pPr>
      <w:r>
        <w:rPr>
          <w:rFonts w:ascii="Times New Roman" w:cs="Times New Roman" w:eastAsia="Times New Roman" w:hAnsi="Times New Roman"/>
          <w:sz w:val="19"/>
          <w:szCs w:val="19"/>
          <w:color w:val="auto"/>
        </w:rPr>
        <w:t>whether voluntarily incurred or arising by operation of law or otherwise against any property or assets and whether or not filed, recorded or otherwise perfected under applicable law, including any conditional sale or other title retention agreement, any lease in the nature thereof, any option or other agreement to sell or give a security interest in, and any filing of, or agreement to, give any financing statement under the Code (or equivalent statutes) of any jurisdiction or any preferential arrangement that has the practical effect of creating a security interest and (b) in the case of Equity Interests, any purchase option, call or similar right of a third party with respect to such Equity Interests.</w:t>
      </w:r>
    </w:p>
    <w:p>
      <w:pPr>
        <w:spacing w:after="0" w:line="162"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Liquidity</w:t>
      </w:r>
      <w:r>
        <w:rPr>
          <w:rFonts w:ascii="Times New Roman" w:cs="Times New Roman" w:eastAsia="Times New Roman" w:hAnsi="Times New Roman"/>
          <w:sz w:val="20"/>
          <w:szCs w:val="20"/>
          <w:color w:val="auto"/>
        </w:rPr>
        <w:t>” means, as of any date of determination, the aggregate amount of unrestricted cash and Cash Equivalents held in Collateral Accounts of the Credit Parties which are subject to a Control Agreement.</w:t>
      </w:r>
    </w:p>
    <w:p>
      <w:pPr>
        <w:spacing w:after="0" w:line="1" w:lineRule="exact"/>
        <w:rPr>
          <w:sz w:val="20"/>
          <w:szCs w:val="20"/>
          <w:color w:val="auto"/>
        </w:rPr>
      </w:pPr>
    </w:p>
    <w:p>
      <w:pPr>
        <w:ind w:left="760" w:right="1620"/>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Liquidity Compliance Certificate</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5.2(c)(ii)</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b w:val="1"/>
          <w:bCs w:val="1"/>
          <w:color w:val="auto"/>
        </w:rPr>
        <w:t>Loan</w:t>
      </w:r>
      <w:r>
        <w:rPr>
          <w:rFonts w:ascii="Times New Roman" w:cs="Times New Roman" w:eastAsia="Times New Roman" w:hAnsi="Times New Roman"/>
          <w:sz w:val="20"/>
          <w:szCs w:val="20"/>
          <w:color w:val="auto"/>
        </w:rPr>
        <w:t>” means each Term Loan and Revolving Credit Loan.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4716145</wp:posOffset>
            </wp:positionH>
            <wp:positionV relativeFrom="paragraph">
              <wp:posOffset>-182245</wp:posOffset>
            </wp:positionV>
            <wp:extent cx="31115" cy="889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4">
                      <a:extLst>
                        <a:ext uri="{28A0092B-C50C-407E-A947-70E740481C1C}"/>
                      </a:extLst>
                    </a:blip>
                    <a:srcRect/>
                    <a:stretch>
                      <a:fillRect/>
                    </a:stretch>
                  </pic:blipFill>
                  <pic:spPr bwMode="auto">
                    <a:xfrm>
                      <a:off x="0" y="0"/>
                      <a:ext cx="31115" cy="8890"/>
                    </a:xfrm>
                    <a:prstGeom prst="rect">
                      <a:avLst/>
                    </a:prstGeom>
                    <a:noFill/>
                  </pic:spPr>
                </pic:pic>
              </a:graphicData>
            </a:graphic>
          </wp:anchor>
        </w:drawing>
      </w:r>
    </w:p>
    <w:p>
      <w:pPr>
        <w:spacing w:after="0" w:line="137"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Loan Documents</w:t>
      </w:r>
      <w:r>
        <w:rPr>
          <w:rFonts w:ascii="Times New Roman" w:cs="Times New Roman" w:eastAsia="Times New Roman" w:hAnsi="Times New Roman"/>
          <w:sz w:val="20"/>
          <w:szCs w:val="20"/>
          <w:color w:val="auto"/>
        </w:rPr>
        <w:t>” means, collectively, this Agreement, the Disclosure Letter, the Term Loan Notes, the Revolving Loan Notes, the Agent Fee Letter, the Lender Fee Letter, the Security Agreement, the Antecip Direct Agreement, each Non-U.S. Security Agreement, the IP Agreements, the Perfection Certificates, any Control Agreement, any other Collateral Document, any Intercompany Subordination Agreement, any guaranties executed by a Guarantor in favor of the Agent for the benefit of the Secured Parties in connection with this Agreement, and any other present or future agreement between or among a Credit Party and the Agent or any Lender, as the case may be, in connection with this Agreement, including in each case, any annexes, exhibits or schedules thereto.</w:t>
      </w:r>
    </w:p>
    <w:p>
      <w:pPr>
        <w:spacing w:after="0" w:line="179"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Malicious Code</w:t>
      </w:r>
      <w:r>
        <w:rPr>
          <w:rFonts w:ascii="Times New Roman" w:cs="Times New Roman" w:eastAsia="Times New Roman" w:hAnsi="Times New Roman"/>
          <w:sz w:val="20"/>
          <w:szCs w:val="20"/>
          <w:color w:val="auto"/>
        </w:rPr>
        <w:t>” means disabling codes or instructions, spyware, malware, Trojan horses, worms, viruses or other software routines that (a) facilitate or cause unauthorized access to, or disruption, impairment, disablement, or destruction of, or (b) are designed to compromise the privacy or data security of, in each case of (a) and (b), any IT Assets, data or other materials.</w:t>
      </w:r>
    </w:p>
    <w:p>
      <w:pPr>
        <w:spacing w:after="0" w:line="169" w:lineRule="exact"/>
        <w:rPr>
          <w:sz w:val="20"/>
          <w:szCs w:val="20"/>
          <w:color w:val="auto"/>
        </w:rPr>
      </w:pPr>
    </w:p>
    <w:p>
      <w:pPr>
        <w:jc w:val="both"/>
        <w:ind w:firstLine="749"/>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Malta Credit Party</w:t>
      </w:r>
      <w:r>
        <w:rPr>
          <w:rFonts w:ascii="Times New Roman" w:cs="Times New Roman" w:eastAsia="Times New Roman" w:hAnsi="Times New Roman"/>
          <w:sz w:val="20"/>
          <w:szCs w:val="20"/>
          <w:color w:val="auto"/>
        </w:rPr>
        <w:t>” means each of Axsome Malta Ltd., Axsome Malta Holdings Ltd. and any other Credit Party that is organized in the jurisdiction of Malta.</w:t>
      </w:r>
    </w:p>
    <w:p>
      <w:pPr>
        <w:spacing w:after="0" w:line="152"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Malta Security Documents</w:t>
      </w:r>
      <w:r>
        <w:rPr>
          <w:rFonts w:ascii="Times New Roman" w:cs="Times New Roman" w:eastAsia="Times New Roman" w:hAnsi="Times New Roman"/>
          <w:sz w:val="20"/>
          <w:szCs w:val="20"/>
          <w:color w:val="auto"/>
        </w:rPr>
        <w:t>” means (i) that certain Share Pledge Agreement, by and between Axsome Malta Holdings Ltd., Axsome Malta Ltd and the Agent, (ii) that certain Share Pledge Agreement, by and between Axsome International Holdings LLC, Axsome Malta Holdings Ltd. and the Agent, (iii) that certain Pledge of Intellectual Property Rights Agreement, by and between Axsome Malta Ltd. and the Agent, and (iv) that certain Pledge of Receivables Agreement, by and between Axsome Malta Ltd. and the Agent.</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Maltese Companies Act</w:t>
      </w:r>
      <w:r>
        <w:rPr>
          <w:rFonts w:ascii="Times New Roman" w:cs="Times New Roman" w:eastAsia="Times New Roman" w:hAnsi="Times New Roman"/>
          <w:sz w:val="20"/>
          <w:szCs w:val="20"/>
          <w:color w:val="auto"/>
        </w:rPr>
        <w:t>” means the Maltese Companies Act, 1995 (Chapter 386 of the Laws of Malta).</w:t>
      </w:r>
    </w:p>
    <w:p>
      <w:pPr>
        <w:spacing w:after="0" w:line="216" w:lineRule="exact"/>
        <w:rPr>
          <w:sz w:val="20"/>
          <w:szCs w:val="20"/>
          <w:color w:val="auto"/>
        </w:rPr>
      </w:pPr>
    </w:p>
    <w:p>
      <w:pPr>
        <w:jc w:val="both"/>
        <w:ind w:firstLine="749"/>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Managed Care Plans</w:t>
      </w:r>
      <w:r>
        <w:rPr>
          <w:rFonts w:ascii="Times New Roman" w:cs="Times New Roman" w:eastAsia="Times New Roman" w:hAnsi="Times New Roman"/>
          <w:sz w:val="20"/>
          <w:szCs w:val="20"/>
          <w:color w:val="auto"/>
        </w:rPr>
        <w:t>” means all health maintenance organizations, preferred provider organizations, individual practice associations, competitive medical plans and similar arrangements.</w:t>
      </w:r>
    </w:p>
    <w:p>
      <w:pPr>
        <w:spacing w:after="0" w:line="15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Margin Stock</w:t>
      </w:r>
      <w:r>
        <w:rPr>
          <w:rFonts w:ascii="Times New Roman" w:cs="Times New Roman" w:eastAsia="Times New Roman" w:hAnsi="Times New Roman"/>
          <w:sz w:val="20"/>
          <w:szCs w:val="20"/>
          <w:color w:val="auto"/>
        </w:rPr>
        <w:t xml:space="preserve">” is defined in </w:t>
      </w:r>
      <w:r>
        <w:rPr>
          <w:rFonts w:ascii="Times New Roman" w:cs="Times New Roman" w:eastAsia="Times New Roman" w:hAnsi="Times New Roman"/>
          <w:sz w:val="20"/>
          <w:szCs w:val="20"/>
          <w:u w:val="single" w:color="auto"/>
          <w:color w:val="auto"/>
        </w:rPr>
        <w:t>Section 4.14</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Material Adverse Change</w:t>
      </w:r>
      <w:r>
        <w:rPr>
          <w:rFonts w:ascii="Times New Roman" w:cs="Times New Roman" w:eastAsia="Times New Roman" w:hAnsi="Times New Roman"/>
          <w:sz w:val="20"/>
          <w:szCs w:val="20"/>
          <w:color w:val="auto"/>
        </w:rPr>
        <w:t>” means any material adverse change in or effect on: (i) the business, financial condition, properties or assets (including all or any portion of Collateral), liabilities (actual or contingent), operations, or performance of the Credit Parties, taken as a whole, since December 31, 2024; (ii) the ability of the Credit Parties, taken as a whole, to fulfill the payment or performance obligations under this Agreement or any other Loan Document; or (iii) the binding nature or validity of, or the 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596265</wp:posOffset>
            </wp:positionV>
            <wp:extent cx="7157720" cy="4254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13" w:right="419" w:bottom="1440" w:gutter="0" w:footer="0" w:header="0"/>
        </w:sectPr>
      </w:pPr>
    </w:p>
    <w:bookmarkStart w:id="317" w:name="page318"/>
    <w:bookmarkEnd w:id="317"/>
    <w:p>
      <w:pPr>
        <w:jc w:val="center"/>
        <w:ind w:right="419"/>
        <w:spacing w:after="0"/>
        <w:rPr>
          <w:sz w:val="20"/>
          <w:szCs w:val="20"/>
          <w:color w:val="auto"/>
        </w:rPr>
      </w:pPr>
      <w:r>
        <w:rPr>
          <w:rFonts w:ascii="Times New Roman" w:cs="Times New Roman" w:eastAsia="Times New Roman" w:hAnsi="Times New Roman"/>
          <w:sz w:val="18"/>
          <w:szCs w:val="18"/>
          <w:color w:val="auto"/>
        </w:rPr>
        <w:t>102</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4905-3710-6484 v.17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600710</wp:posOffset>
            </wp:positionV>
            <wp:extent cx="7157720" cy="4254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17" w:right="1440" w:bottom="1440" w:gutter="0" w:footer="0" w:header="0"/>
        </w:sectPr>
      </w:pPr>
    </w:p>
    <w:bookmarkStart w:id="318" w:name="page319"/>
    <w:bookmarkEnd w:id="318"/>
    <w:p>
      <w:pPr>
        <w:spacing w:after="0"/>
        <w:rPr>
          <w:sz w:val="20"/>
          <w:szCs w:val="20"/>
          <w:color w:val="auto"/>
        </w:rPr>
      </w:pPr>
      <w:r>
        <w:rPr>
          <w:rFonts w:ascii="Times New Roman" w:cs="Times New Roman" w:eastAsia="Times New Roman" w:hAnsi="Times New Roman"/>
          <w:sz w:val="20"/>
          <w:szCs w:val="20"/>
          <w:color w:val="auto"/>
        </w:rPr>
        <w:t>of the Agent or any Lender to enforce, the Loan Documents or any of its rights or remedies under the Loan Documents.</w:t>
      </w:r>
    </w:p>
    <w:p>
      <w:pPr>
        <w:spacing w:after="0" w:line="198"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Material Contract</w:t>
      </w:r>
      <w:r>
        <w:rPr>
          <w:rFonts w:ascii="Times New Roman" w:cs="Times New Roman" w:eastAsia="Times New Roman" w:hAnsi="Times New Roman"/>
          <w:sz w:val="20"/>
          <w:szCs w:val="20"/>
          <w:color w:val="auto"/>
        </w:rPr>
        <w:t>” means (i) each contract which is identified as a “Material Contract” in the Disclosure Letter, (ii) the Antecip License Agreement and (iii) any other contract or other arrangement to which any Credit Party or any of its Subsidiaries is a party (other than the Loan Documents) or by which any of its assets or properties are bound, in each case, relating to the research, licensing, development, manufacture, production, use, commercialization, marketing, importing, storage, transport, offer for sale, distribution or sale of any Product in the Territory, for which, individually or in the aggregate, the breach of, default or nonperformance under, cancellation or termination of or the failure to renew could reasonably be expected to result in a Material Adverse Change.</w:t>
      </w:r>
    </w:p>
    <w:p>
      <w:pPr>
        <w:spacing w:after="0" w:line="179"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Material IP</w:t>
      </w:r>
      <w:r>
        <w:rPr>
          <w:rFonts w:ascii="Times New Roman" w:cs="Times New Roman" w:eastAsia="Times New Roman" w:hAnsi="Times New Roman"/>
          <w:sz w:val="20"/>
          <w:szCs w:val="20"/>
          <w:color w:val="auto"/>
        </w:rPr>
        <w:t>” means any (i) Product IP and (ii) any other Intellectual Property that is material to the conduct of the business of Borrower or its Subsidiaries as conducted or reasonably expected to be conducted, or is otherwise of material value to the business of Borrower or its Subsidiaries.</w:t>
      </w:r>
    </w:p>
    <w:p>
      <w:pPr>
        <w:spacing w:after="0" w:line="18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Maturity Date</w:t>
      </w:r>
      <w:r>
        <w:rPr>
          <w:rFonts w:ascii="Times New Roman" w:cs="Times New Roman" w:eastAsia="Times New Roman" w:hAnsi="Times New Roman"/>
          <w:sz w:val="20"/>
          <w:szCs w:val="20"/>
          <w:color w:val="auto"/>
        </w:rPr>
        <w:t>” means May 8, 2030.</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Maximum Guaranteed Amount</w:t>
      </w:r>
      <w:r>
        <w:rPr>
          <w:rFonts w:ascii="Times New Roman" w:cs="Times New Roman" w:eastAsia="Times New Roman" w:hAnsi="Times New Roman"/>
          <w:sz w:val="20"/>
          <w:szCs w:val="20"/>
          <w:color w:val="auto"/>
        </w:rPr>
        <w:t xml:space="preserve">” is defined in </w:t>
      </w:r>
      <w:r>
        <w:rPr>
          <w:rFonts w:ascii="Times New Roman" w:cs="Times New Roman" w:eastAsia="Times New Roman" w:hAnsi="Times New Roman"/>
          <w:sz w:val="20"/>
          <w:szCs w:val="20"/>
          <w:u w:val="single" w:color="auto"/>
          <w:color w:val="auto"/>
        </w:rPr>
        <w:t>Section 13.2</w:t>
      </w:r>
      <w:r>
        <w:rPr>
          <w:rFonts w:ascii="Times New Roman" w:cs="Times New Roman" w:eastAsia="Times New Roman" w:hAnsi="Times New Roman"/>
          <w:sz w:val="20"/>
          <w:szCs w:val="20"/>
          <w:color w:val="auto"/>
        </w:rPr>
        <w:t>.</w:t>
      </w:r>
    </w:p>
    <w:p>
      <w:pPr>
        <w:spacing w:after="0" w:line="20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Maximum Incremental Term Amount</w:t>
      </w:r>
      <w:r>
        <w:rPr>
          <w:rFonts w:ascii="Times New Roman" w:cs="Times New Roman" w:eastAsia="Times New Roman" w:hAnsi="Times New Roman"/>
          <w:sz w:val="20"/>
          <w:szCs w:val="20"/>
          <w:color w:val="auto"/>
        </w:rPr>
        <w:t xml:space="preserve">” is defined in </w:t>
      </w:r>
      <w:r>
        <w:rPr>
          <w:rFonts w:ascii="Times New Roman" w:cs="Times New Roman" w:eastAsia="Times New Roman" w:hAnsi="Times New Roman"/>
          <w:sz w:val="20"/>
          <w:szCs w:val="20"/>
          <w:u w:val="single" w:color="auto"/>
          <w:color w:val="auto"/>
        </w:rPr>
        <w:t>Section 2.10(a)</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Medicaid</w:t>
      </w:r>
      <w:r>
        <w:rPr>
          <w:rFonts w:ascii="Times New Roman" w:cs="Times New Roman" w:eastAsia="Times New Roman" w:hAnsi="Times New Roman"/>
          <w:sz w:val="20"/>
          <w:szCs w:val="20"/>
          <w:color w:val="auto"/>
        </w:rPr>
        <w:t>” means, collectively, the health care assistance program established by Title XIX of the SSA (42 U.S.C. 1396 et seq.) and all laws, rules, regulations, manuals, orders, or requirements pertaining to such program, including (a) all federal statutes affecting such program; (b) all state statutes and plans for medical assistance enacted in connection with such program and federal rules and regulations promulgated in connection with such program; and (c) all applicable provisions of all rules, regulations, manuals, orders and administrative, reimbursement, and requirements of all Governmental Authorities promulgated in connection with such program (whether or not having the force of law).</w:t>
      </w:r>
    </w:p>
    <w:p>
      <w:pPr>
        <w:spacing w:after="0" w:line="179"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Medicare</w:t>
      </w:r>
      <w:r>
        <w:rPr>
          <w:rFonts w:ascii="Times New Roman" w:cs="Times New Roman" w:eastAsia="Times New Roman" w:hAnsi="Times New Roman"/>
          <w:sz w:val="20"/>
          <w:szCs w:val="20"/>
          <w:color w:val="auto"/>
        </w:rPr>
        <w:t>” means, collectively, the health insurance program for the aged and disabled established by Title XVIII of the SSA (42 U.S.C. 1395 et seq.) and all laws, rules, regulations, manuals, or orders pertaining to such program including (a) all federal statutes (whether set forth in Title XVIII of the SSA or elsewhere) affecting such program; and (b) all applicable provisions of all rules, regulations, manuals, orders and administrative, reimbursement and requirements of all Governmental Authorities promulgated in connection with such program (whether or not having the force of law).</w:t>
      </w:r>
    </w:p>
    <w:p>
      <w:pPr>
        <w:spacing w:after="0" w:line="180" w:lineRule="exact"/>
        <w:rPr>
          <w:sz w:val="20"/>
          <w:szCs w:val="20"/>
          <w:color w:val="auto"/>
        </w:rPr>
      </w:pPr>
    </w:p>
    <w:p>
      <w:pPr>
        <w:jc w:val="both"/>
        <w:ind w:firstLine="749"/>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Mortgage</w:t>
      </w:r>
      <w:r>
        <w:rPr>
          <w:rFonts w:ascii="Times New Roman" w:cs="Times New Roman" w:eastAsia="Times New Roman" w:hAnsi="Times New Roman"/>
          <w:sz w:val="20"/>
          <w:szCs w:val="20"/>
          <w:color w:val="auto"/>
        </w:rPr>
        <w:t>” means any deed of trust, leasehold deed of trust, mortgage, leasehold mortgage, deed to secure debt, leasehold deed to secure debt or other document creating a Lien on real estate or any interest in real estate.</w:t>
      </w:r>
    </w:p>
    <w:p>
      <w:pPr>
        <w:spacing w:after="0" w:line="152"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Multiemployer Plan</w:t>
      </w:r>
      <w:r>
        <w:rPr>
          <w:rFonts w:ascii="Times New Roman" w:cs="Times New Roman" w:eastAsia="Times New Roman" w:hAnsi="Times New Roman"/>
          <w:sz w:val="20"/>
          <w:szCs w:val="20"/>
          <w:color w:val="auto"/>
        </w:rPr>
        <w:t>” means a multiemployer plan within the meaning of Section 4001(a)(3) or Section 3(37) of ERISA (a) to which Borrower or its Subsidiaries or any of their respective ERISA Affiliates is then making or accruing an obligation to make contributions; (b) to which Borrower or its Subsidiaries or any of their respective ERISA Affiliates has within the preceding five (5) plan years made contributions; or (c) with respect to which Borrower or its Subsidiaries could incur material liability.</w:t>
      </w:r>
    </w:p>
    <w:p>
      <w:pPr>
        <w:spacing w:after="0" w:line="176"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Net Issuance Proceeds</w:t>
      </w:r>
      <w:r>
        <w:rPr>
          <w:rFonts w:ascii="Times New Roman" w:cs="Times New Roman" w:eastAsia="Times New Roman" w:hAnsi="Times New Roman"/>
          <w:sz w:val="20"/>
          <w:szCs w:val="20"/>
          <w:color w:val="auto"/>
        </w:rPr>
        <w:t xml:space="preserve">” means, in respect of any issuance of Indebtedness, the excess of: (a) the gross cash proceeds received by the issuer of such Indebtedness from such incurrence or issuance, </w:t>
      </w:r>
      <w:r>
        <w:rPr>
          <w:rFonts w:ascii="Times New Roman" w:cs="Times New Roman" w:eastAsia="Times New Roman" w:hAnsi="Times New Roman"/>
          <w:sz w:val="20"/>
          <w:szCs w:val="20"/>
          <w:u w:val="single" w:color="auto"/>
          <w:color w:val="auto"/>
        </w:rPr>
        <w:t>over</w:t>
      </w:r>
      <w:r>
        <w:rPr>
          <w:rFonts w:ascii="Times New Roman" w:cs="Times New Roman" w:eastAsia="Times New Roman" w:hAnsi="Times New Roman"/>
          <w:sz w:val="20"/>
          <w:szCs w:val="20"/>
          <w:color w:val="auto"/>
        </w:rPr>
        <w:t xml:space="preserve"> (b) all underwriting discounts, fees, commissions and reasonable out-of-pocket costs and expenses actually paid in connection therewith in favor of any Person not an Affiliate of Borrower.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591185</wp:posOffset>
            </wp:positionV>
            <wp:extent cx="7157720" cy="4254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6" w:right="339" w:bottom="1440" w:gutter="0" w:footer="0" w:header="0"/>
        </w:sectPr>
      </w:pPr>
    </w:p>
    <w:bookmarkStart w:id="319" w:name="page320"/>
    <w:bookmarkEnd w:id="319"/>
    <w:p>
      <w:pPr>
        <w:spacing w:after="0" w:line="200" w:lineRule="exact"/>
        <w:rPr>
          <w:sz w:val="20"/>
          <w:szCs w:val="20"/>
          <w:color w:val="auto"/>
        </w:rPr>
      </w:pPr>
    </w:p>
    <w:p>
      <w:pPr>
        <w:spacing w:after="0" w:line="223" w:lineRule="exact"/>
        <w:rPr>
          <w:sz w:val="20"/>
          <w:szCs w:val="20"/>
          <w:color w:val="auto"/>
        </w:rPr>
      </w:pPr>
    </w:p>
    <w:p>
      <w:pPr>
        <w:jc w:val="right"/>
        <w:ind w:right="4379"/>
        <w:spacing w:after="0"/>
        <w:rPr>
          <w:sz w:val="20"/>
          <w:szCs w:val="20"/>
          <w:color w:val="auto"/>
        </w:rPr>
      </w:pPr>
      <w:r>
        <w:rPr>
          <w:rFonts w:ascii="Times New Roman" w:cs="Times New Roman" w:eastAsia="Times New Roman" w:hAnsi="Times New Roman"/>
          <w:sz w:val="18"/>
          <w:szCs w:val="18"/>
          <w:color w:val="auto"/>
        </w:rPr>
        <w:t>103</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4905-3710-6484 v.17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600710</wp:posOffset>
            </wp:positionV>
            <wp:extent cx="7157720" cy="4254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320" w:name="page321"/>
    <w:bookmarkEnd w:id="320"/>
    <w:p>
      <w:pPr>
        <w:jc w:val="both"/>
        <w:ind w:firstLine="749"/>
        <w:spacing w:after="0" w:line="25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Net Proceeds</w:t>
      </w:r>
      <w:r>
        <w:rPr>
          <w:rFonts w:ascii="Times New Roman" w:cs="Times New Roman" w:eastAsia="Times New Roman" w:hAnsi="Times New Roman"/>
          <w:sz w:val="19"/>
          <w:szCs w:val="19"/>
          <w:color w:val="auto"/>
        </w:rPr>
        <w:t>” means proceeds in cash, checks or other cash equivalent financial instruments (including Cash Equivalents) as and when received by the Person making a Transfer and insurance proceeds received on account of an Event of Loss, net of: (a) in the event of a Transfer (i) the transaction costs, fees and expenses relating to such Transfer excluding amounts payable to Borrower or any Affiliate of Borrower, (ii) any Taxes paid or reasonably estimated to be payable as a result thereof, (iii) amounts required to be applied to repay principal, interest and premiums and penalties on Indebtedness secured by a superior Lien on the asset which is the subject of such Transfer,</w:t>
      </w:r>
    </w:p>
    <w:p>
      <w:pPr>
        <w:spacing w:after="0" w:line="4" w:lineRule="exact"/>
        <w:rPr>
          <w:sz w:val="20"/>
          <w:szCs w:val="20"/>
          <w:color w:val="auto"/>
        </w:rPr>
      </w:pPr>
    </w:p>
    <w:p>
      <w:pPr>
        <w:jc w:val="both"/>
        <w:ind w:firstLine="8"/>
        <w:spacing w:after="0"/>
        <w:tabs>
          <w:tab w:leader="none" w:pos="336" w:val="left"/>
        </w:tabs>
        <w:numPr>
          <w:ilvl w:val="0"/>
          <w:numId w:val="1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reserve reasonably established by Borrower and its Subsidiaries in respect of any liabilities or other obligations associated with such asset or assets and retained by Borrower or any of its Subsidiaries after such sale or other Transfer thereof, including pension and other post-employment benefit liabilities and liabilities related to any indemnification obligations or purchase price adjustments associated with such transaction or commitments or undertakings of Borrower and its Subsidiaries pursuant to the agreement entered into in connection with such Transfer;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upon the reversal (without the satisfaction of any applicable liabilities in cash in a corresponding amount) of any reserve described in this clause (iv), the amount of such reversal shall be included in Net Proceeds and (v) the amount of any cash escrow from the sale price for any relevant Transfer (until released from escrow), and (b) in the event of an Event of Loss, (i) all money actually applied to repair or reconstruct the damaged asset or property affected by the condemnation or taking, (ii) all of the costs and expenses reasonably incurred in connection with the collection of such proceeds, award or other payments, (iii) any Taxes paid or reasonably estimated to be payable as a result thereof, and (iv) any amounts retained by or paid to parties having superior rights to such proceeds, awards or other payments. For the purposes of determining the Net Proceeds received by any Credit Party or Subsidiary thereof in connection with a license arrangement which constitutes an Asset Sale, each payment from time to time received by the Credit Parties and their Subsidiaries in connection with such license arrangement shall be included in the aggregate Net Proceeds determination.</w:t>
      </w:r>
    </w:p>
    <w:p>
      <w:pPr>
        <w:spacing w:after="0" w:line="197"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Non-U.S. Security Agreement</w:t>
      </w:r>
      <w:r>
        <w:rPr>
          <w:rFonts w:ascii="Times New Roman" w:cs="Times New Roman" w:eastAsia="Times New Roman" w:hAnsi="Times New Roman"/>
          <w:sz w:val="20"/>
          <w:szCs w:val="20"/>
          <w:color w:val="auto"/>
        </w:rPr>
        <w:t xml:space="preserve">” means each Malta Security Document and any other collateral or security agreement, or equivalent, as may be entered into with regard to any Malta Credit Party or any Subsidiary added as a Guarantor in accordance with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5.16</w:t>
      </w:r>
      <w:r>
        <w:rPr>
          <w:rFonts w:ascii="Times New Roman" w:cs="Times New Roman" w:eastAsia="Times New Roman" w:hAnsi="Times New Roman"/>
          <w:sz w:val="20"/>
          <w:szCs w:val="20"/>
          <w:color w:val="auto"/>
        </w:rPr>
        <w:t>.</w:t>
      </w:r>
    </w:p>
    <w:p>
      <w:pPr>
        <w:spacing w:after="0" w:line="169"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Obligations</w:t>
      </w:r>
      <w:r>
        <w:rPr>
          <w:rFonts w:ascii="Times New Roman" w:cs="Times New Roman" w:eastAsia="Times New Roman" w:hAnsi="Times New Roman"/>
          <w:sz w:val="20"/>
          <w:szCs w:val="20"/>
          <w:color w:val="auto"/>
        </w:rPr>
        <w:t>” means, collectively, the Credit Parties’ obligations that arise under any Loan Document, whether or not for the payment of money, whether arising by reason of an extension of credit, loan, guaranty, indemnification or in any other manner, whether direct or indirect (including those acquired by assignment), absolute or contingent, due or to become due, now existing or hereafter arising, including debts, principal, interest, Lender and Agent Expenses, the Yield Protection Premium and any other fees, premiums expenses, indemnities and amounts any Credit Party owes to the Agent, the Lenders and the Secured Parties now or later, including interest accruing after Insolvency Proceedings begin (whether or not allowed), and to perform Borrower’s duties under the Loan Documents.</w:t>
      </w:r>
    </w:p>
    <w:p>
      <w:pPr>
        <w:spacing w:after="0" w:line="17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OFAC</w:t>
      </w:r>
      <w:r>
        <w:rPr>
          <w:rFonts w:ascii="Times New Roman" w:cs="Times New Roman" w:eastAsia="Times New Roman" w:hAnsi="Times New Roman"/>
          <w:sz w:val="20"/>
          <w:szCs w:val="20"/>
          <w:color w:val="auto"/>
        </w:rPr>
        <w:t>” is defined in the definition of “Anti-Terrorism Laws”.</w:t>
      </w:r>
    </w:p>
    <w:p>
      <w:pPr>
        <w:spacing w:after="0" w:line="216" w:lineRule="exact"/>
        <w:rPr>
          <w:sz w:val="20"/>
          <w:szCs w:val="20"/>
          <w:color w:val="auto"/>
        </w:rPr>
      </w:pPr>
    </w:p>
    <w:p>
      <w:pPr>
        <w:jc w:val="both"/>
        <w:ind w:firstLine="749"/>
        <w:spacing w:after="0" w:line="25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Operating Documents</w:t>
      </w:r>
      <w:r>
        <w:rPr>
          <w:rFonts w:ascii="Times New Roman" w:cs="Times New Roman" w:eastAsia="Times New Roman" w:hAnsi="Times New Roman"/>
          <w:sz w:val="19"/>
          <w:szCs w:val="19"/>
          <w:color w:val="auto"/>
        </w:rPr>
        <w:t>” means, collectively with respect to any Person such Person’s formation documents as certified with the Secretary of State or other applicable Governmental Authority of such Person’s jurisdiction of formation on a date that is no earlier than thirty (30) days prior to the date on which such documents are due to be delivered under this Agreement and, (a) if such Person is a corporation, its bylaws (or similar organizational regulations) in current form, (b) if such Person is a limited liability company, its limited liability company agreement (or similar agreement), and (c) if such Person is a partnership, its partnership agreement (or similar agreement),</w:t>
      </w:r>
    </w:p>
    <w:p>
      <w:pPr>
        <w:spacing w:after="0" w:line="4" w:lineRule="exact"/>
        <w:rPr>
          <w:sz w:val="20"/>
          <w:szCs w:val="20"/>
          <w:color w:val="auto"/>
        </w:rPr>
      </w:pPr>
    </w:p>
    <w:p>
      <w:pPr>
        <w:ind w:firstLine="8"/>
        <w:spacing w:after="0" w:line="246" w:lineRule="auto"/>
        <w:tabs>
          <w:tab w:leader="none" w:pos="282" w:val="left"/>
        </w:tabs>
        <w:numPr>
          <w:ilvl w:val="0"/>
          <w:numId w:val="1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a Malta Credit Party, its constitutional documents, in each case, with all current amendments, restatements, supplements or modifications thereto.</w:t>
      </w:r>
    </w:p>
    <w:p>
      <w:pPr>
        <w:spacing w:after="0" w:line="178" w:lineRule="exact"/>
        <w:rPr>
          <w:sz w:val="20"/>
          <w:szCs w:val="20"/>
          <w:color w:val="auto"/>
        </w:rPr>
      </w:pPr>
    </w:p>
    <w:p>
      <w:pPr>
        <w:ind w:firstLine="749"/>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ordinary course of business</w:t>
      </w:r>
      <w:r>
        <w:rPr>
          <w:rFonts w:ascii="Times New Roman" w:cs="Times New Roman" w:eastAsia="Times New Roman" w:hAnsi="Times New Roman"/>
          <w:sz w:val="20"/>
          <w:szCs w:val="20"/>
          <w:color w:val="auto"/>
        </w:rPr>
        <w:t>” means, in respect of any transaction involving any Person, the ordinary course of such Person’s business consistent with past practice, undertaken by such Person in good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581025</wp:posOffset>
            </wp:positionV>
            <wp:extent cx="7157720" cy="4254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09" w:right="419" w:bottom="1440" w:gutter="0" w:footer="0" w:header="0"/>
        </w:sectPr>
      </w:pPr>
    </w:p>
    <w:bookmarkStart w:id="321" w:name="page322"/>
    <w:bookmarkEnd w:id="321"/>
    <w:p>
      <w:pPr>
        <w:spacing w:after="0" w:line="140"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104</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4905-3710-6484 v.17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600710</wp:posOffset>
            </wp:positionV>
            <wp:extent cx="7157720" cy="4254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322" w:name="page323"/>
    <w:bookmarkEnd w:id="322"/>
    <w:p>
      <w:pPr>
        <w:spacing w:after="0"/>
        <w:rPr>
          <w:sz w:val="20"/>
          <w:szCs w:val="20"/>
          <w:color w:val="auto"/>
        </w:rPr>
      </w:pPr>
      <w:r>
        <w:rPr>
          <w:rFonts w:ascii="Times New Roman" w:cs="Times New Roman" w:eastAsia="Times New Roman" w:hAnsi="Times New Roman"/>
          <w:sz w:val="20"/>
          <w:szCs w:val="20"/>
          <w:color w:val="auto"/>
        </w:rPr>
        <w:t>faith and not for purposes of evading any covenant, prepayment obligation or restriction in any Loan Document.</w:t>
      </w:r>
    </w:p>
    <w:p>
      <w:pPr>
        <w:spacing w:after="0" w:line="212"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Other Connection Taxes</w:t>
      </w:r>
      <w:r>
        <w:rPr>
          <w:rFonts w:ascii="Times New Roman" w:cs="Times New Roman" w:eastAsia="Times New Roman" w:hAnsi="Times New Roman"/>
          <w:sz w:val="20"/>
          <w:szCs w:val="20"/>
          <w:color w:val="auto"/>
        </w:rPr>
        <w:t>” means, with respect to Lender or the Agent, Taxes imposed as a result of a present or former connection between Lender or the Agent and the jurisdiction imposing such Tax (other than connections arising from Lender having executed, delivered, become a party to, performed its obligations under, received payments under, received or perfected a security interest under, engaged in any other transaction pursuant to or enforced any Loan Document, or sold or assigned an interest in any Obligation or Loan Document).</w:t>
      </w:r>
    </w:p>
    <w:p>
      <w:pPr>
        <w:spacing w:after="0" w:line="167"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Other Taxes</w:t>
      </w:r>
      <w:r>
        <w:rPr>
          <w:rFonts w:ascii="Times New Roman" w:cs="Times New Roman" w:eastAsia="Times New Roman" w:hAnsi="Times New Roman"/>
          <w:sz w:val="20"/>
          <w:szCs w:val="20"/>
          <w:color w:val="auto"/>
        </w:rPr>
        <w:t>” means all present or future stamp, court or documentary, intangible, recording, filing or similar Taxes that arise from any payment made hereunder, from the execution, delivery, performance, enforcement or registration of, from the receipt or perfection of a security interest under, or otherwise with respect to, any Loan Document, except any such Taxes that are Other Connection Taxes imposed with respect to an assignment.</w:t>
      </w:r>
    </w:p>
    <w:p>
      <w:pPr>
        <w:spacing w:after="0" w:line="18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Participant Register</w:t>
      </w:r>
      <w:r>
        <w:rPr>
          <w:rFonts w:ascii="Times New Roman" w:cs="Times New Roman" w:eastAsia="Times New Roman" w:hAnsi="Times New Roman"/>
          <w:sz w:val="20"/>
          <w:szCs w:val="20"/>
          <w:color w:val="auto"/>
        </w:rPr>
        <w:t xml:space="preserve">” is defined in </w:t>
      </w:r>
      <w:r>
        <w:rPr>
          <w:rFonts w:ascii="Times New Roman" w:cs="Times New Roman" w:eastAsia="Times New Roman" w:hAnsi="Times New Roman"/>
          <w:sz w:val="20"/>
          <w:szCs w:val="20"/>
          <w:u w:val="single" w:color="auto"/>
          <w:color w:val="auto"/>
        </w:rPr>
        <w:t>Section 11.1(d)</w:t>
      </w:r>
      <w:r>
        <w:rPr>
          <w:rFonts w:ascii="Times New Roman" w:cs="Times New Roman" w:eastAsia="Times New Roman" w:hAnsi="Times New Roman"/>
          <w:sz w:val="20"/>
          <w:szCs w:val="20"/>
          <w:color w:val="auto"/>
        </w:rPr>
        <w:t>.</w:t>
      </w:r>
    </w:p>
    <w:p>
      <w:pPr>
        <w:spacing w:after="0" w:line="202"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Patents</w:t>
      </w:r>
      <w:r>
        <w:rPr>
          <w:rFonts w:ascii="Times New Roman" w:cs="Times New Roman" w:eastAsia="Times New Roman" w:hAnsi="Times New Roman"/>
          <w:sz w:val="20"/>
          <w:szCs w:val="20"/>
          <w:color w:val="auto"/>
        </w:rPr>
        <w:t>” means all patents and patent applications (including any improvements, applications for letter patent, continuations, continuations-in-part, divisionals, provisionals or any substitute applications), any patent issued with respect to any of the foregoing, any reissue, reexamination, renewal or patent term extension or adjustment (including any supplementary protection certificate) of any such patent, and any confirmation patent or registration patent or patent of addition based on any such patent, and all foreign counterparts of any of the foregoing. Patents and patent applications under this definition include all those filed with the U.S. Patent and Trademark Office and the European Patent Office.</w:t>
      </w:r>
    </w:p>
    <w:p>
      <w:pPr>
        <w:spacing w:after="0" w:line="17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Patriot Act</w:t>
      </w:r>
      <w:r>
        <w:rPr>
          <w:rFonts w:ascii="Times New Roman" w:cs="Times New Roman" w:eastAsia="Times New Roman" w:hAnsi="Times New Roman"/>
          <w:sz w:val="20"/>
          <w:szCs w:val="20"/>
          <w:color w:val="auto"/>
        </w:rPr>
        <w:t xml:space="preserve">” is defined in </w:t>
      </w:r>
      <w:r>
        <w:rPr>
          <w:rFonts w:ascii="Times New Roman" w:cs="Times New Roman" w:eastAsia="Times New Roman" w:hAnsi="Times New Roman"/>
          <w:sz w:val="20"/>
          <w:szCs w:val="20"/>
          <w:u w:val="single" w:color="auto"/>
          <w:color w:val="auto"/>
        </w:rPr>
        <w:t>Section 3.1(l)</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Payment/Advance Form</w:t>
      </w:r>
      <w:r>
        <w:rPr>
          <w:rFonts w:ascii="Times New Roman" w:cs="Times New Roman" w:eastAsia="Times New Roman" w:hAnsi="Times New Roman"/>
          <w:sz w:val="20"/>
          <w:szCs w:val="20"/>
          <w:color w:val="auto"/>
        </w:rPr>
        <w:t xml:space="preserve">” means that certain form attached hereto as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Payment Recipient</w:t>
      </w:r>
      <w:r>
        <w:rPr>
          <w:rFonts w:ascii="Times New Roman" w:cs="Times New Roman" w:eastAsia="Times New Roman" w:hAnsi="Times New Roman"/>
          <w:sz w:val="20"/>
          <w:szCs w:val="20"/>
          <w:color w:val="auto"/>
        </w:rPr>
        <w:t xml:space="preserve">” is defined in </w:t>
      </w:r>
      <w:r>
        <w:rPr>
          <w:rFonts w:ascii="Times New Roman" w:cs="Times New Roman" w:eastAsia="Times New Roman" w:hAnsi="Times New Roman"/>
          <w:sz w:val="20"/>
          <w:szCs w:val="20"/>
          <w:u w:val="single" w:color="auto"/>
          <w:color w:val="auto"/>
        </w:rPr>
        <w:t>Section 12.15(a)</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Perfection Certificate</w:t>
      </w:r>
      <w:r>
        <w:rPr>
          <w:rFonts w:ascii="Times New Roman" w:cs="Times New Roman" w:eastAsia="Times New Roman" w:hAnsi="Times New Roman"/>
          <w:sz w:val="20"/>
          <w:szCs w:val="20"/>
          <w:color w:val="auto"/>
        </w:rPr>
        <w:t xml:space="preserve">” is defined in </w:t>
      </w:r>
      <w:r>
        <w:rPr>
          <w:rFonts w:ascii="Times New Roman" w:cs="Times New Roman" w:eastAsia="Times New Roman" w:hAnsi="Times New Roman"/>
          <w:sz w:val="20"/>
          <w:szCs w:val="20"/>
          <w:u w:val="single" w:color="auto"/>
          <w:color w:val="auto"/>
        </w:rPr>
        <w:t>Section 4.6</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Periodic Term SOFR Determination Date</w:t>
      </w:r>
      <w:r>
        <w:rPr>
          <w:rFonts w:ascii="Times New Roman" w:cs="Times New Roman" w:eastAsia="Times New Roman" w:hAnsi="Times New Roman"/>
          <w:sz w:val="20"/>
          <w:szCs w:val="20"/>
          <w:color w:val="auto"/>
        </w:rPr>
        <w:t>” has the meaning specific in the definition of “Term SOFR”.</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Permitted Acquisition</w:t>
      </w:r>
      <w:r>
        <w:rPr>
          <w:rFonts w:ascii="Times New Roman" w:cs="Times New Roman" w:eastAsia="Times New Roman" w:hAnsi="Times New Roman"/>
          <w:sz w:val="20"/>
          <w:szCs w:val="20"/>
          <w:color w:val="auto"/>
        </w:rPr>
        <w:t>” means any Acquisition, so long as:</w:t>
      </w:r>
    </w:p>
    <w:p>
      <w:pPr>
        <w:spacing w:after="0" w:line="206" w:lineRule="exact"/>
        <w:rPr>
          <w:sz w:val="20"/>
          <w:szCs w:val="20"/>
          <w:color w:val="auto"/>
        </w:rPr>
      </w:pPr>
    </w:p>
    <w:p>
      <w:pPr>
        <w:ind w:left="1020" w:hanging="263"/>
        <w:spacing w:after="0"/>
        <w:tabs>
          <w:tab w:leader="none" w:pos="1020" w:val="left"/>
        </w:tabs>
        <w:numPr>
          <w:ilvl w:val="0"/>
          <w:numId w:val="1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both before and immediately after giving effect to such Acquisition, no Default or Event of Default has occurred and is</w:t>
      </w:r>
    </w:p>
    <w:p>
      <w:pPr>
        <w:spacing w:after="0" w:line="21"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continuing;</w:t>
      </w:r>
    </w:p>
    <w:p>
      <w:pPr>
        <w:spacing w:after="0" w:line="193" w:lineRule="exact"/>
        <w:rPr>
          <w:rFonts w:ascii="Times New Roman" w:cs="Times New Roman" w:eastAsia="Times New Roman" w:hAnsi="Times New Roman"/>
          <w:sz w:val="20"/>
          <w:szCs w:val="20"/>
          <w:color w:val="auto"/>
        </w:rPr>
      </w:pPr>
    </w:p>
    <w:p>
      <w:pPr>
        <w:jc w:val="both"/>
        <w:ind w:firstLine="757"/>
        <w:spacing w:after="0" w:line="249" w:lineRule="auto"/>
        <w:tabs>
          <w:tab w:leader="none" w:pos="1018" w:val="left"/>
        </w:tabs>
        <w:numPr>
          <w:ilvl w:val="0"/>
          <w:numId w:val="1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properties or assets being acquired or licensed, or the Person whose Equity Interests are being acquired, are useful in or engaged in, as applicable, (i) the same or a related line of business as that then-conducted by Borrower or its Subsidiaries, including the treatment, prevention, palliation or diagnosis of any human disease, disorder or condition, or (ii) a line of business that is ancillary to or in furtherance of a line of business as that then-conducted by Borrower or its Subsidiaries;</w:t>
      </w:r>
    </w:p>
    <w:p>
      <w:pPr>
        <w:spacing w:after="0" w:line="179" w:lineRule="exact"/>
        <w:rPr>
          <w:rFonts w:ascii="Times New Roman" w:cs="Times New Roman" w:eastAsia="Times New Roman" w:hAnsi="Times New Roman"/>
          <w:sz w:val="20"/>
          <w:szCs w:val="20"/>
          <w:color w:val="auto"/>
        </w:rPr>
      </w:pPr>
    </w:p>
    <w:p>
      <w:pPr>
        <w:jc w:val="both"/>
        <w:ind w:firstLine="757"/>
        <w:spacing w:after="0" w:line="249" w:lineRule="auto"/>
        <w:tabs>
          <w:tab w:leader="none" w:pos="1018" w:val="left"/>
        </w:tabs>
        <w:numPr>
          <w:ilvl w:val="0"/>
          <w:numId w:val="1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an Asset Acquisition, the subject assets are being acquired or licensed by Borrower or a Subsidiary of Borrower, and (i) if acquired or licensed by a Credit Party or any of its Subsidiaries, the applicable Person shall have executed and delivered or authorized, as applicable, any and all security agreements, financing statements, fixture filings, and other documentation reasonably requested by the Blackstone Representative in order to include the newly acquired or licensed assets within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595630</wp:posOffset>
            </wp:positionV>
            <wp:extent cx="7157720" cy="4254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23" w:name="page324"/>
    <w:bookmarkEnd w:id="323"/>
    <w:p>
      <w:pPr>
        <w:spacing w:after="0" w:line="5"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color w:val="auto"/>
        </w:rPr>
        <w:t>105</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4905-3710-6484 v.17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600710</wp:posOffset>
            </wp:positionV>
            <wp:extent cx="7157720" cy="4254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324" w:name="page325"/>
    <w:bookmarkEnd w:id="324"/>
    <w:p>
      <w:pPr>
        <w:jc w:val="both"/>
        <w:spacing w:after="0" w:line="244" w:lineRule="auto"/>
        <w:rPr>
          <w:sz w:val="20"/>
          <w:szCs w:val="20"/>
          <w:color w:val="auto"/>
        </w:rPr>
      </w:pPr>
      <w:r>
        <w:rPr>
          <w:rFonts w:ascii="Times New Roman" w:cs="Times New Roman" w:eastAsia="Times New Roman" w:hAnsi="Times New Roman"/>
          <w:sz w:val="20"/>
          <w:szCs w:val="20"/>
          <w:color w:val="auto"/>
        </w:rPr>
        <w:t xml:space="preserve">Collateral, as applicable, to the extent required by </w:t>
      </w:r>
      <w:r>
        <w:rPr>
          <w:rFonts w:ascii="Times New Roman" w:cs="Times New Roman" w:eastAsia="Times New Roman" w:hAnsi="Times New Roman"/>
          <w:sz w:val="20"/>
          <w:szCs w:val="20"/>
          <w:u w:val="single" w:color="auto"/>
          <w:color w:val="auto"/>
        </w:rPr>
        <w:t>Section 5.12</w:t>
      </w:r>
      <w:r>
        <w:rPr>
          <w:rFonts w:ascii="Times New Roman" w:cs="Times New Roman" w:eastAsia="Times New Roman" w:hAnsi="Times New Roman"/>
          <w:sz w:val="20"/>
          <w:szCs w:val="20"/>
          <w:color w:val="auto"/>
        </w:rPr>
        <w:t>, and (ii) if acquired or licensed by a Subsidiary of Borrower that is not a Credit Party, or if such subject assets do not constitute Collateral, then the total consideration paid or payable (including all transaction costs, assumed Indebtedness, and the maximum amount of all Acquisition Deferred Payments (other than royalty payments based solely on a percentage of sales or revenues attributable to the assets or Person being acquired), but disregarding any working capital adjustments) (such amounts, collectively the “</w:t>
      </w:r>
      <w:r>
        <w:rPr>
          <w:rFonts w:ascii="Times New Roman" w:cs="Times New Roman" w:eastAsia="Times New Roman" w:hAnsi="Times New Roman"/>
          <w:sz w:val="20"/>
          <w:szCs w:val="20"/>
          <w:b w:val="1"/>
          <w:bCs w:val="1"/>
          <w:color w:val="auto"/>
        </w:rPr>
        <w:t>Acquisition Consideration</w:t>
      </w:r>
      <w:r>
        <w:rPr>
          <w:rFonts w:ascii="Times New Roman" w:cs="Times New Roman" w:eastAsia="Times New Roman" w:hAnsi="Times New Roman"/>
          <w:sz w:val="20"/>
          <w:szCs w:val="20"/>
          <w:color w:val="auto"/>
        </w:rPr>
        <w:t>”) for all such assets, together with the Acquisition Consideration paid or payable for Stock Acquisitions described in clauses (d)(ii)(B) and (C) below and Investments made pursuant to clause (k) of the definition of “Permitted Investment”, shall not exceed $5,000,000 in the aggregate;</w:t>
      </w:r>
    </w:p>
    <w:p>
      <w:pPr>
        <w:spacing w:after="0" w:line="172" w:lineRule="exact"/>
        <w:rPr>
          <w:sz w:val="20"/>
          <w:szCs w:val="20"/>
          <w:color w:val="auto"/>
        </w:rPr>
      </w:pPr>
    </w:p>
    <w:p>
      <w:pPr>
        <w:jc w:val="both"/>
        <w:ind w:firstLine="744"/>
        <w:spacing w:after="0" w:line="260" w:lineRule="auto"/>
        <w:rPr>
          <w:sz w:val="20"/>
          <w:szCs w:val="20"/>
          <w:color w:val="auto"/>
        </w:rPr>
      </w:pPr>
      <w:r>
        <w:rPr>
          <w:rFonts w:ascii="Times New Roman" w:cs="Times New Roman" w:eastAsia="Times New Roman" w:hAnsi="Times New Roman"/>
          <w:sz w:val="19"/>
          <w:szCs w:val="19"/>
          <w:color w:val="auto"/>
        </w:rPr>
        <w:t xml:space="preserve">(d)in the case of a Stock Acquisition, (i) 100% of the Equity Interests issued by the target are acquired by Borrower or a Subsidiary and (ii) either (A) the subject Equity Interests are being acquired in such Acquisition directly by a Credit Party and the relevant Credit Party shall have complied with its obligations under </w:t>
      </w:r>
      <w:r>
        <w:rPr>
          <w:rFonts w:ascii="Times New Roman" w:cs="Times New Roman" w:eastAsia="Times New Roman" w:hAnsi="Times New Roman"/>
          <w:sz w:val="19"/>
          <w:szCs w:val="19"/>
          <w:u w:val="single" w:color="auto"/>
          <w:color w:val="auto"/>
        </w:rPr>
        <w:t>Sections 5.12</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5.13</w:t>
      </w:r>
      <w:r>
        <w:rPr>
          <w:rFonts w:ascii="Times New Roman" w:cs="Times New Roman" w:eastAsia="Times New Roman" w:hAnsi="Times New Roman"/>
          <w:sz w:val="19"/>
          <w:szCs w:val="19"/>
          <w:color w:val="auto"/>
        </w:rPr>
        <w:t xml:space="preserve"> and caused the target to become a Guarantor if required,</w:t>
      </w:r>
    </w:p>
    <w:p>
      <w:pPr>
        <w:jc w:val="both"/>
        <w:ind w:firstLine="3"/>
        <w:spacing w:after="0"/>
        <w:tabs>
          <w:tab w:leader="none" w:pos="329" w:val="left"/>
        </w:tabs>
        <w:numPr>
          <w:ilvl w:val="0"/>
          <w:numId w:val="1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subject Equity Interests are being acquired in such Acquisition directly by a Credit Party, but the target of the Stock Acquisition does not become a Guarantor and otherwise complies with </w:t>
      </w:r>
      <w:r>
        <w:rPr>
          <w:rFonts w:ascii="Times New Roman" w:cs="Times New Roman" w:eastAsia="Times New Roman" w:hAnsi="Times New Roman"/>
          <w:sz w:val="20"/>
          <w:szCs w:val="20"/>
          <w:u w:val="single" w:color="auto"/>
          <w:color w:val="auto"/>
        </w:rPr>
        <w:t>Sections 5.12</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5.13</w:t>
      </w:r>
      <w:r>
        <w:rPr>
          <w:rFonts w:ascii="Times New Roman" w:cs="Times New Roman" w:eastAsia="Times New Roman" w:hAnsi="Times New Roman"/>
          <w:sz w:val="20"/>
          <w:szCs w:val="20"/>
          <w:color w:val="auto"/>
        </w:rPr>
        <w:t xml:space="preserve"> or (C) the subject Equity Interests are not acquired in such acquisition directly by a Credit Party;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the aggregate Acquisition Consideration paid or payable in connection with Stock Acquisitions described in subclauses (B) and (C) above, together with the Acquisition Consideration paid or payable for Asset Acquisitions described in clause (c)(ii) above and Investments made pursuant to clause (k) of the definition of “Permitted Investment”, shall not exceed $5,000,000 in the aggregate;</w:t>
      </w:r>
    </w:p>
    <w:p>
      <w:pPr>
        <w:spacing w:after="0" w:line="205" w:lineRule="exact"/>
        <w:rPr>
          <w:sz w:val="20"/>
          <w:szCs w:val="20"/>
          <w:color w:val="auto"/>
        </w:rPr>
      </w:pPr>
    </w:p>
    <w:p>
      <w:pPr>
        <w:jc w:val="both"/>
        <w:ind w:firstLine="744"/>
        <w:spacing w:after="0" w:line="269" w:lineRule="auto"/>
        <w:rPr>
          <w:sz w:val="20"/>
          <w:szCs w:val="20"/>
          <w:color w:val="auto"/>
        </w:rPr>
      </w:pPr>
      <w:r>
        <w:rPr>
          <w:rFonts w:ascii="Times New Roman" w:cs="Times New Roman" w:eastAsia="Times New Roman" w:hAnsi="Times New Roman"/>
          <w:sz w:val="20"/>
          <w:szCs w:val="20"/>
          <w:color w:val="auto"/>
        </w:rPr>
        <w:t xml:space="preserve">(e)any Indebtedness or Liens assumed in connection with such Acquisition are otherwise permitted under </w:t>
      </w:r>
      <w:r>
        <w:rPr>
          <w:rFonts w:ascii="Times New Roman" w:cs="Times New Roman" w:eastAsia="Times New Roman" w:hAnsi="Times New Roman"/>
          <w:sz w:val="20"/>
          <w:szCs w:val="20"/>
          <w:u w:val="single" w:color="auto"/>
          <w:color w:val="auto"/>
        </w:rPr>
        <w:t>Section 6.4</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6.5</w:t>
      </w:r>
      <w:r>
        <w:rPr>
          <w:rFonts w:ascii="Times New Roman" w:cs="Times New Roman" w:eastAsia="Times New Roman" w:hAnsi="Times New Roman"/>
          <w:sz w:val="20"/>
          <w:szCs w:val="20"/>
          <w:color w:val="auto"/>
        </w:rPr>
        <w:t>, respectively;</w:t>
      </w:r>
    </w:p>
    <w:p>
      <w:pPr>
        <w:spacing w:after="0" w:line="159" w:lineRule="exact"/>
        <w:rPr>
          <w:sz w:val="20"/>
          <w:szCs w:val="20"/>
          <w:color w:val="auto"/>
        </w:rPr>
      </w:pPr>
    </w:p>
    <w:p>
      <w:pPr>
        <w:jc w:val="both"/>
        <w:ind w:firstLine="744"/>
        <w:spacing w:after="0" w:line="269" w:lineRule="auto"/>
        <w:rPr>
          <w:sz w:val="20"/>
          <w:szCs w:val="20"/>
          <w:color w:val="auto"/>
        </w:rPr>
      </w:pPr>
      <w:r>
        <w:rPr>
          <w:rFonts w:ascii="Times New Roman" w:cs="Times New Roman" w:eastAsia="Times New Roman" w:hAnsi="Times New Roman"/>
          <w:sz w:val="20"/>
          <w:szCs w:val="20"/>
          <w:color w:val="auto"/>
        </w:rPr>
        <w:t xml:space="preserve">(f)both before and after giving effect to such Acquisition, the Credit Parties are in compliance, on a pro forma basis, with the financial covenant set forth in </w:t>
      </w:r>
      <w:r>
        <w:rPr>
          <w:rFonts w:ascii="Times New Roman" w:cs="Times New Roman" w:eastAsia="Times New Roman" w:hAnsi="Times New Roman"/>
          <w:sz w:val="20"/>
          <w:szCs w:val="20"/>
          <w:u w:val="single" w:color="auto"/>
          <w:color w:val="auto"/>
        </w:rPr>
        <w:t>Section 6.16</w:t>
      </w: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2196465</wp:posOffset>
            </wp:positionH>
            <wp:positionV relativeFrom="paragraph">
              <wp:posOffset>-46355</wp:posOffset>
            </wp:positionV>
            <wp:extent cx="31115" cy="889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3">
                      <a:extLst>
                        <a:ext uri="{28A0092B-C50C-407E-A947-70E740481C1C}"/>
                      </a:extLst>
                    </a:blip>
                    <a:srcRect/>
                    <a:stretch>
                      <a:fillRect/>
                    </a:stretch>
                  </pic:blipFill>
                  <pic:spPr bwMode="auto">
                    <a:xfrm>
                      <a:off x="0" y="0"/>
                      <a:ext cx="31115" cy="8890"/>
                    </a:xfrm>
                    <a:prstGeom prst="rect">
                      <a:avLst/>
                    </a:prstGeom>
                    <a:noFill/>
                  </pic:spPr>
                </pic:pic>
              </a:graphicData>
            </a:graphic>
          </wp:anchor>
        </w:drawing>
      </w:r>
    </w:p>
    <w:p>
      <w:pPr>
        <w:spacing w:after="0" w:line="126" w:lineRule="exact"/>
        <w:rPr>
          <w:sz w:val="20"/>
          <w:szCs w:val="20"/>
          <w:color w:val="auto"/>
        </w:rPr>
      </w:pPr>
    </w:p>
    <w:p>
      <w:pPr>
        <w:jc w:val="both"/>
        <w:ind w:firstLine="744"/>
        <w:spacing w:after="0" w:line="255" w:lineRule="auto"/>
        <w:rPr>
          <w:sz w:val="20"/>
          <w:szCs w:val="20"/>
          <w:color w:val="auto"/>
        </w:rPr>
      </w:pPr>
      <w:r>
        <w:rPr>
          <w:rFonts w:ascii="Times New Roman" w:cs="Times New Roman" w:eastAsia="Times New Roman" w:hAnsi="Times New Roman"/>
          <w:sz w:val="19"/>
          <w:szCs w:val="19"/>
          <w:color w:val="auto"/>
        </w:rPr>
        <w:t>(g)in connection with any Acquisition (1)(x) which is funded in whole or in part by any Lender or (y) the Acquisition Consideration paid or payable with respect to such Acquisition is greater than $10,000,000, at least ten (10) Business Days prior to the date of the consummation of such Acquisition, Borrower shall have delivered to Agent and the Blackstone Representative (and Agent shall have in turn delivered to the Lenders) notice of such Acquisition, together with historical financial information and analysis with respect to the Person whose stock or assets are being acquired and copies of the acquisition agreement and related documents (including financial information and analysis, Phase I environmental assessments, opinions, certificates and lien searches), a quality of earnings report, prepared by a third party acceptable to the Blackstone Representative and information reasonably requested by the Blackstone Representative and</w:t>
      </w:r>
    </w:p>
    <w:p>
      <w:pPr>
        <w:spacing w:after="0" w:line="4"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color w:val="auto"/>
        </w:rPr>
        <w:t xml:space="preserve">(2)(x) for which such Acquisition Consideration is paid solely with the proceeds of Equity Funded Consideration and (y) the Acquisition Consideration paid or payable with respect to such Acquisition is greater than $25,000,000, Borrower shall have delivered to Agent and the Blackstone Representative (and Agent shall have in turn delivered to the Lenders) notice of such Acquisition, together with all such other materials which have been delivered or presented to the transaction committee of the Borrower (or if no such materials have been presented or delivered to any such transaction committee, those materials which have been presented or delivered to the Board of Directors of the Borrower);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Borrower shall not be required to deliver any such materials to the extent it is expressly prohibited from doing so in accordance with the binding confidentiality provisions applicable to such Acquisition;</w:t>
      </w:r>
    </w:p>
    <w:p>
      <w:pPr>
        <w:spacing w:after="0" w:line="191" w:lineRule="exact"/>
        <w:rPr>
          <w:sz w:val="20"/>
          <w:szCs w:val="20"/>
          <w:color w:val="auto"/>
        </w:rPr>
      </w:pPr>
    </w:p>
    <w:p>
      <w:pPr>
        <w:jc w:val="both"/>
        <w:ind w:firstLine="744"/>
        <w:spacing w:after="0" w:line="249" w:lineRule="auto"/>
        <w:rPr>
          <w:sz w:val="20"/>
          <w:szCs w:val="20"/>
          <w:color w:val="auto"/>
        </w:rPr>
      </w:pPr>
      <w:r>
        <w:rPr>
          <w:rFonts w:ascii="Times New Roman" w:cs="Times New Roman" w:eastAsia="Times New Roman" w:hAnsi="Times New Roman"/>
          <w:sz w:val="20"/>
          <w:szCs w:val="20"/>
          <w:color w:val="auto"/>
        </w:rPr>
        <w:t xml:space="preserve">(h)the total Acquisition Consideration paid or payable for all Permitted Acquisitions shall not exceed $200,000,000 in the aggregate;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aggregate amount of Acquisition Consideration other than Post-Approval Acquisition Deferred Payments shall not exceed $50,000,000 in the aggregate;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xml:space="preserve"> that any Acquisition Consideration which is (A) paid in the form of Qualified Equity Interests in Borrower, or (B) funded with the proceeds of Qualified Equity Interests in Borrower issued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595630</wp:posOffset>
            </wp:positionV>
            <wp:extent cx="7157720" cy="4254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400" w:top="1426" w:right="419" w:bottom="1440" w:gutter="0" w:footer="0" w:header="0"/>
        </w:sectPr>
      </w:pPr>
    </w:p>
    <w:bookmarkStart w:id="325" w:name="page326"/>
    <w:bookmarkEnd w:id="325"/>
    <w:p>
      <w:pPr>
        <w:spacing w:after="0" w:line="140" w:lineRule="exact"/>
        <w:rPr>
          <w:sz w:val="20"/>
          <w:szCs w:val="20"/>
          <w:color w:val="auto"/>
        </w:rPr>
      </w:pPr>
    </w:p>
    <w:p>
      <w:pPr>
        <w:jc w:val="right"/>
        <w:ind w:right="4379"/>
        <w:spacing w:after="0"/>
        <w:rPr>
          <w:sz w:val="20"/>
          <w:szCs w:val="20"/>
          <w:color w:val="auto"/>
        </w:rPr>
      </w:pPr>
      <w:r>
        <w:rPr>
          <w:rFonts w:ascii="Times New Roman" w:cs="Times New Roman" w:eastAsia="Times New Roman" w:hAnsi="Times New Roman"/>
          <w:sz w:val="18"/>
          <w:szCs w:val="18"/>
          <w:color w:val="auto"/>
        </w:rPr>
        <w:t>106</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4905-3710-6484 v.17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600710</wp:posOffset>
            </wp:positionV>
            <wp:extent cx="7157720" cy="4254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59"/>
          </w:cols>
          <w:pgMar w:left="400" w:top="1440" w:right="1440" w:bottom="1440" w:gutter="0" w:footer="0" w:header="0"/>
        </w:sectPr>
      </w:pPr>
    </w:p>
    <w:bookmarkStart w:id="326" w:name="page327"/>
    <w:bookmarkEnd w:id="326"/>
    <w:p>
      <w:pPr>
        <w:jc w:val="both"/>
        <w:spacing w:after="0" w:line="254" w:lineRule="auto"/>
        <w:rPr>
          <w:sz w:val="20"/>
          <w:szCs w:val="20"/>
          <w:color w:val="auto"/>
        </w:rPr>
      </w:pPr>
      <w:r>
        <w:rPr>
          <w:rFonts w:ascii="Times New Roman" w:cs="Times New Roman" w:eastAsia="Times New Roman" w:hAnsi="Times New Roman"/>
          <w:sz w:val="20"/>
          <w:szCs w:val="20"/>
          <w:color w:val="auto"/>
        </w:rPr>
        <w:t xml:space="preserve">after the date hereof (to the extent not otherwise applied to payments pursuant to </w:t>
      </w:r>
      <w:r>
        <w:rPr>
          <w:rFonts w:ascii="Times New Roman" w:cs="Times New Roman" w:eastAsia="Times New Roman" w:hAnsi="Times New Roman"/>
          <w:sz w:val="20"/>
          <w:szCs w:val="20"/>
          <w:u w:val="single" w:color="auto"/>
          <w:color w:val="auto"/>
        </w:rPr>
        <w:t>Section 6.10(iii)</w:t>
      </w:r>
      <w:r>
        <w:rPr>
          <w:rFonts w:ascii="Times New Roman" w:cs="Times New Roman" w:eastAsia="Times New Roman" w:hAnsi="Times New Roman"/>
          <w:sz w:val="20"/>
          <w:szCs w:val="20"/>
          <w:color w:val="auto"/>
        </w:rPr>
        <w:t xml:space="preserve"> or to Permitted Distributions pursuant to clause (c) of the definition thereof) (collectively, “</w:t>
      </w:r>
      <w:r>
        <w:rPr>
          <w:rFonts w:ascii="Times New Roman" w:cs="Times New Roman" w:eastAsia="Times New Roman" w:hAnsi="Times New Roman"/>
          <w:sz w:val="20"/>
          <w:szCs w:val="20"/>
          <w:b w:val="1"/>
          <w:bCs w:val="1"/>
          <w:color w:val="auto"/>
        </w:rPr>
        <w:t>Equity Funded Consideration</w:t>
      </w:r>
      <w:r>
        <w:rPr>
          <w:rFonts w:ascii="Times New Roman" w:cs="Times New Roman" w:eastAsia="Times New Roman" w:hAnsi="Times New Roman"/>
          <w:sz w:val="20"/>
          <w:szCs w:val="20"/>
          <w:color w:val="auto"/>
        </w:rPr>
        <w:t>”) shall not be subject to the foregoing cap in this clause (h); and</w:t>
      </w:r>
    </w:p>
    <w:p>
      <w:pPr>
        <w:spacing w:after="0" w:line="174" w:lineRule="exact"/>
        <w:rPr>
          <w:sz w:val="20"/>
          <w:szCs w:val="20"/>
          <w:color w:val="auto"/>
        </w:rPr>
      </w:pPr>
    </w:p>
    <w:p>
      <w:pPr>
        <w:ind w:right="20" w:firstLine="757"/>
        <w:spacing w:after="0" w:line="269" w:lineRule="auto"/>
        <w:tabs>
          <w:tab w:leader="none" w:pos="1144" w:val="left"/>
        </w:tabs>
        <w:numPr>
          <w:ilvl w:val="0"/>
          <w:numId w:val="1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Acquisition shall not be hostile and shall have been approved by the Board of Directors (or other similar body) and/or the stockholders or other equity holders of the Person being acquired or from whom assets are being acquired.</w:t>
      </w:r>
    </w:p>
    <w:p>
      <w:pPr>
        <w:spacing w:after="0" w:line="142"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Permitted Bond Hedge Transaction</w:t>
      </w:r>
      <w:r>
        <w:rPr>
          <w:rFonts w:ascii="Times New Roman" w:cs="Times New Roman" w:eastAsia="Times New Roman" w:hAnsi="Times New Roman"/>
          <w:sz w:val="20"/>
          <w:szCs w:val="20"/>
          <w:color w:val="auto"/>
        </w:rPr>
        <w:t xml:space="preserve">” means any unsecured call, call spread or capped call option (or substantively equivalent derivative transaction) relating to Borrower’s common stock (or other securities or property following a fundamental change of Borrower or other change of, or adjustment with respect to, the common stock of Borrower) purchased or otherwise entered into by Borrower in connection with the issuance of any Permitted Convertible Bond Indebtedness on terms and conditions customary for bond hedge transactions in respect of transactions related to public market convertible indebtedness (pursuant to a public offering or an offering under Rule 144A or Regulation S of the Securities Act);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the purchase price for such Permitted Bond Hedge Transaction, less the proceeds received by Borrower from the sale of any related Permitted Warrant Transaction (or in the case of capped calls, where such proceeds are not received but are reflected in a reduction of the premium), does not exceed 25.0% of the gross proceeds to Borrower from the issuance of such Permitted Convertible Bond Indebtedness.</w:t>
      </w:r>
    </w:p>
    <w:p>
      <w:pPr>
        <w:spacing w:after="0" w:line="172"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Permitted Convertible Bond Indebtedness</w:t>
      </w:r>
      <w:r>
        <w:rPr>
          <w:rFonts w:ascii="Times New Roman" w:cs="Times New Roman" w:eastAsia="Times New Roman" w:hAnsi="Times New Roman"/>
          <w:sz w:val="19"/>
          <w:szCs w:val="19"/>
          <w:color w:val="auto"/>
        </w:rPr>
        <w:t xml:space="preserve">” means unsecured Indebtedness of Borrower having a feature which entitles the holder thereof to convert or exchange all or a portion of such Indebtedness into Equity Interests of Borrower;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that (i) Permitted Convertible Bond Indebtedness shall be unsecured, (ii) no Subsidiary of Borrower or other Person shall guarantee or otherwise be an obligor in respect of Permitted Convertible Bond Indebtedness, (iii) Permitted Convertible Bond Indebtedness shall not include covenants and defaults (other than covenants and defaults customary for convertible indebtedness but not customary for loans as determined in good faith by the board of directors of the Borrower or a committee thereof) that are, taken as a whole, more restrictive on the Credit Parties than the provisions of this Agreement in any respect as determined in good faith by the board of directors of the Borrower or a committee thereof,</w:t>
      </w:r>
    </w:p>
    <w:p>
      <w:pPr>
        <w:spacing w:after="0" w:line="1" w:lineRule="exact"/>
        <w:rPr>
          <w:sz w:val="20"/>
          <w:szCs w:val="20"/>
          <w:color w:val="auto"/>
        </w:rPr>
      </w:pPr>
    </w:p>
    <w:p>
      <w:pPr>
        <w:jc w:val="both"/>
        <w:ind w:firstLine="8"/>
        <w:spacing w:after="0"/>
        <w:tabs>
          <w:tab w:leader="none" w:pos="355" w:val="left"/>
        </w:tabs>
        <w:numPr>
          <w:ilvl w:val="0"/>
          <w:numId w:val="1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 Default or Event of Default shall have occurred and be continuing at the time of incurrence of such Permitted Convertible Bond Indebtedness or would result therefrom, (v) Permitted Convertible Bond Indebtedness shall not mature and shall not be subject to any mandatory repurchase or redemption (other than in connection with a customary conversion, change of control or “fundamental change” provision) earlier than the date that is 180 days following the Maturity Date;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any right to require the scheduled repurchase or redemption of such Permitted Convertible Bond Indebtedness shall be subject to the prior repayment in full in cash of the Loans and all other Obligations that are accrued and payable and the termination of the Commitments, and (vi) Borrower shall have delivered to the Agent a certificate of a Responsible Officer of Borrower certifying as to the foregoing.</w:t>
      </w:r>
    </w:p>
    <w:p>
      <w:pPr>
        <w:spacing w:after="0" w:line="187" w:lineRule="exact"/>
        <w:rPr>
          <w:sz w:val="20"/>
          <w:szCs w:val="20"/>
          <w:color w:val="auto"/>
        </w:rPr>
      </w:pPr>
    </w:p>
    <w:p>
      <w:pPr>
        <w:ind w:firstLine="749"/>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Permitted Convertible Cash Prepayment Cap</w:t>
      </w:r>
      <w:r>
        <w:rPr>
          <w:rFonts w:ascii="Times New Roman" w:cs="Times New Roman" w:eastAsia="Times New Roman" w:hAnsi="Times New Roman"/>
          <w:sz w:val="20"/>
          <w:szCs w:val="20"/>
          <w:color w:val="auto"/>
        </w:rPr>
        <w:t xml:space="preserve">” means an amount equal to $2,500,000, </w:t>
      </w:r>
      <w:r>
        <w:rPr>
          <w:rFonts w:ascii="Times New Roman" w:cs="Times New Roman" w:eastAsia="Times New Roman" w:hAnsi="Times New Roman"/>
          <w:sz w:val="20"/>
          <w:szCs w:val="20"/>
          <w:i w:val="1"/>
          <w:iCs w:val="1"/>
          <w:color w:val="auto"/>
        </w:rPr>
        <w:t>minus</w:t>
      </w:r>
      <w:r>
        <w:rPr>
          <w:rFonts w:ascii="Times New Roman" w:cs="Times New Roman" w:eastAsia="Times New Roman" w:hAnsi="Times New Roman"/>
          <w:sz w:val="20"/>
          <w:szCs w:val="20"/>
          <w:color w:val="auto"/>
        </w:rPr>
        <w:t xml:space="preserve"> any applicable amounts utilized pursuant to </w:t>
      </w:r>
      <w:r>
        <w:rPr>
          <w:rFonts w:ascii="Times New Roman" w:cs="Times New Roman" w:eastAsia="Times New Roman" w:hAnsi="Times New Roman"/>
          <w:sz w:val="20"/>
          <w:szCs w:val="20"/>
          <w:u w:val="single" w:color="auto"/>
          <w:color w:val="auto"/>
        </w:rPr>
        <w:t>Section 6.10</w:t>
      </w:r>
      <w:r>
        <w:rPr>
          <w:rFonts w:ascii="Times New Roman" w:cs="Times New Roman" w:eastAsia="Times New Roman" w:hAnsi="Times New Roman"/>
          <w:sz w:val="20"/>
          <w:szCs w:val="20"/>
          <w:color w:val="auto"/>
        </w:rPr>
        <w:t xml:space="preserve"> and clauses (e) and (g) of the definition of “Permitted Distributions”.</w:t>
      </w:r>
    </w:p>
    <w:p>
      <w:pPr>
        <w:spacing w:after="0" w:line="15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Permitted Distributions</w:t>
      </w:r>
      <w:r>
        <w:rPr>
          <w:rFonts w:ascii="Times New Roman" w:cs="Times New Roman" w:eastAsia="Times New Roman" w:hAnsi="Times New Roman"/>
          <w:sz w:val="20"/>
          <w:szCs w:val="20"/>
          <w:color w:val="auto"/>
        </w:rPr>
        <w:t xml:space="preserve">” means, in each case subject to </w:t>
      </w:r>
      <w:r>
        <w:rPr>
          <w:rFonts w:ascii="Times New Roman" w:cs="Times New Roman" w:eastAsia="Times New Roman" w:hAnsi="Times New Roman"/>
          <w:sz w:val="20"/>
          <w:szCs w:val="20"/>
          <w:u w:val="single" w:color="auto"/>
          <w:color w:val="auto"/>
        </w:rPr>
        <w:t>Section 6.8</w:t>
      </w:r>
      <w:r>
        <w:rPr>
          <w:rFonts w:ascii="Times New Roman" w:cs="Times New Roman" w:eastAsia="Times New Roman" w:hAnsi="Times New Roman"/>
          <w:sz w:val="20"/>
          <w:szCs w:val="20"/>
          <w:color w:val="auto"/>
        </w:rPr>
        <w:t xml:space="preserve"> if applicable:</w:t>
      </w:r>
    </w:p>
    <w:p>
      <w:pPr>
        <w:spacing w:after="0" w:line="206" w:lineRule="exact"/>
        <w:rPr>
          <w:sz w:val="20"/>
          <w:szCs w:val="20"/>
          <w:color w:val="auto"/>
        </w:rPr>
      </w:pPr>
    </w:p>
    <w:p>
      <w:pPr>
        <w:ind w:firstLine="757"/>
        <w:spacing w:after="0" w:line="269" w:lineRule="auto"/>
        <w:tabs>
          <w:tab w:leader="none" w:pos="1016" w:val="left"/>
        </w:tabs>
        <w:numPr>
          <w:ilvl w:val="0"/>
          <w:numId w:val="1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dividends, distributions or other payments by any Wholly-Owned Subsidiary on its Equity Interests to, or the redemption, retirement or purchase by any Wholly-Owned Subsidiary of its Equity Interests from, Borrower or any other Wholly-Owned Subsidiary;</w:t>
      </w:r>
    </w:p>
    <w:p>
      <w:pPr>
        <w:spacing w:after="0" w:line="159" w:lineRule="exact"/>
        <w:rPr>
          <w:rFonts w:ascii="Times New Roman" w:cs="Times New Roman" w:eastAsia="Times New Roman" w:hAnsi="Times New Roman"/>
          <w:sz w:val="20"/>
          <w:szCs w:val="20"/>
          <w:color w:val="auto"/>
        </w:rPr>
      </w:pPr>
    </w:p>
    <w:p>
      <w:pPr>
        <w:ind w:firstLine="757"/>
        <w:spacing w:after="0" w:line="269" w:lineRule="auto"/>
        <w:tabs>
          <w:tab w:leader="none" w:pos="1016" w:val="left"/>
        </w:tabs>
        <w:numPr>
          <w:ilvl w:val="0"/>
          <w:numId w:val="1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dividends, distributions or other payments by any non-Wholly-Owned Subsidiary on its Equity Interests to, or the redemption, retirement or purchase by any non-Wholly-Owned Subsidiary of its</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107</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4905-3710-6484 v.17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600710</wp:posOffset>
            </wp:positionV>
            <wp:extent cx="7157720" cy="4254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13" w:right="419" w:bottom="1440" w:gutter="0" w:footer="0" w:header="0"/>
        </w:sectPr>
      </w:pPr>
    </w:p>
    <w:bookmarkStart w:id="327" w:name="page328"/>
    <w:bookmarkEnd w:id="327"/>
    <w:p>
      <w:pPr>
        <w:jc w:val="both"/>
        <w:spacing w:after="0" w:line="269" w:lineRule="auto"/>
        <w:rPr>
          <w:sz w:val="20"/>
          <w:szCs w:val="20"/>
          <w:color w:val="auto"/>
        </w:rPr>
      </w:pPr>
      <w:r>
        <w:rPr>
          <w:rFonts w:ascii="Times New Roman" w:cs="Times New Roman" w:eastAsia="Times New Roman" w:hAnsi="Times New Roman"/>
          <w:sz w:val="20"/>
          <w:szCs w:val="20"/>
          <w:color w:val="auto"/>
        </w:rPr>
        <w:t>Equity Interests from, Borrower or any other Subsidiary or each other owner of such non-Wholly-Owned Subsidiary’s Equity Interests based on their relative ownership interests of the relevant class of such Equity Interests;</w:t>
      </w:r>
    </w:p>
    <w:p>
      <w:pPr>
        <w:spacing w:after="0" w:line="159" w:lineRule="exact"/>
        <w:rPr>
          <w:sz w:val="20"/>
          <w:szCs w:val="20"/>
          <w:color w:val="auto"/>
        </w:rPr>
      </w:pPr>
    </w:p>
    <w:p>
      <w:pPr>
        <w:jc w:val="both"/>
        <w:ind w:firstLine="744"/>
        <w:spacing w:after="0" w:line="249" w:lineRule="auto"/>
        <w:rPr>
          <w:sz w:val="20"/>
          <w:szCs w:val="20"/>
          <w:color w:val="auto"/>
        </w:rPr>
      </w:pPr>
      <w:r>
        <w:rPr>
          <w:rFonts w:ascii="Times New Roman" w:cs="Times New Roman" w:eastAsia="Times New Roman" w:hAnsi="Times New Roman"/>
          <w:sz w:val="20"/>
          <w:szCs w:val="20"/>
          <w:color w:val="auto"/>
        </w:rPr>
        <w:t>(c)redemptions by Borrower in whole or in part of any of its Qualified Equity Interests for another class of its Qualified Equity Interests or rights to acquire its Qualified Equity Interests or with proceeds from substantially concurrent equity contributions or issuances of new Qualified Equity Interests (to the extent not otherwise applied to Equity Funded Consideration or payments pursuant to Section 6.10(iii));</w:t>
      </w:r>
    </w:p>
    <w:p>
      <w:pPr>
        <w:spacing w:after="0" w:line="180"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color w:val="auto"/>
        </w:rPr>
        <w:t>(d)[Reserved];</w:t>
      </w:r>
    </w:p>
    <w:p>
      <w:pPr>
        <w:spacing w:after="0" w:line="216" w:lineRule="exact"/>
        <w:rPr>
          <w:sz w:val="20"/>
          <w:szCs w:val="20"/>
          <w:color w:val="auto"/>
        </w:rPr>
      </w:pPr>
    </w:p>
    <w:p>
      <w:pPr>
        <w:jc w:val="both"/>
        <w:ind w:firstLine="744"/>
        <w:spacing w:after="0" w:line="269" w:lineRule="auto"/>
        <w:rPr>
          <w:sz w:val="20"/>
          <w:szCs w:val="20"/>
          <w:color w:val="auto"/>
        </w:rPr>
      </w:pPr>
      <w:r>
        <w:rPr>
          <w:rFonts w:ascii="Times New Roman" w:cs="Times New Roman" w:eastAsia="Times New Roman" w:hAnsi="Times New Roman"/>
          <w:sz w:val="20"/>
          <w:szCs w:val="20"/>
          <w:color w:val="auto"/>
        </w:rPr>
        <w:t>(e)the conversion by Borrower of any Permitted Convertible Bond Indebtedness into or in exchange for Qualified Equity Interests of Borrower (and cash in lieu of fractional shares subject to the Permitted Convertible Cash Prepayment Cap);</w:t>
      </w:r>
    </w:p>
    <w:p>
      <w:pPr>
        <w:spacing w:after="0" w:line="15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color w:val="auto"/>
        </w:rPr>
        <w:t>(f)[Reserved];</w:t>
      </w:r>
    </w:p>
    <w:p>
      <w:pPr>
        <w:spacing w:after="0" w:line="216" w:lineRule="exact"/>
        <w:rPr>
          <w:sz w:val="20"/>
          <w:szCs w:val="20"/>
          <w:color w:val="auto"/>
        </w:rPr>
      </w:pPr>
    </w:p>
    <w:p>
      <w:pPr>
        <w:jc w:val="both"/>
        <w:ind w:firstLine="744"/>
        <w:spacing w:after="0" w:line="254" w:lineRule="auto"/>
        <w:rPr>
          <w:sz w:val="20"/>
          <w:szCs w:val="20"/>
          <w:color w:val="auto"/>
        </w:rPr>
      </w:pPr>
      <w:r>
        <w:rPr>
          <w:rFonts w:ascii="Times New Roman" w:cs="Times New Roman" w:eastAsia="Times New Roman" w:hAnsi="Times New Roman"/>
          <w:sz w:val="20"/>
          <w:szCs w:val="20"/>
          <w:color w:val="auto"/>
        </w:rPr>
        <w:t>(g)cash payments in lieu of the issuance of fractional shares arising out of stock dividends, splits or combinations or in connection with the exercise of warrants, options or other securities convertible into or exchangeable for Equity Interests, subject to the Permitted Convertible Cash Prepayment Cap;</w:t>
      </w:r>
    </w:p>
    <w:p>
      <w:pPr>
        <w:spacing w:after="0" w:line="174" w:lineRule="exact"/>
        <w:rPr>
          <w:sz w:val="20"/>
          <w:szCs w:val="20"/>
          <w:color w:val="auto"/>
        </w:rPr>
      </w:pPr>
    </w:p>
    <w:p>
      <w:pPr>
        <w:jc w:val="both"/>
        <w:ind w:firstLine="744"/>
        <w:spacing w:after="0" w:line="249" w:lineRule="auto"/>
        <w:rPr>
          <w:sz w:val="20"/>
          <w:szCs w:val="20"/>
          <w:color w:val="auto"/>
        </w:rPr>
      </w:pPr>
      <w:r>
        <w:rPr>
          <w:rFonts w:ascii="Times New Roman" w:cs="Times New Roman" w:eastAsia="Times New Roman" w:hAnsi="Times New Roman"/>
          <w:sz w:val="20"/>
          <w:szCs w:val="20"/>
          <w:color w:val="auto"/>
        </w:rPr>
        <w:t>(h)in connection with any Acquisition or other Permitted Investment by Borrower or any of its Subsidiaries, the receipt or acceptance of the return to Borrower or any of its Subsidiaries of common Equity Interests of Borrower constituting a portion of the purchase price consideration in settlement of indemnification claims, or as a result of a purchase price adjustment (including earn-outs or similar obligations);</w:t>
      </w:r>
    </w:p>
    <w:p>
      <w:pPr>
        <w:spacing w:after="0" w:line="193" w:lineRule="exact"/>
        <w:rPr>
          <w:sz w:val="20"/>
          <w:szCs w:val="20"/>
          <w:color w:val="auto"/>
        </w:rPr>
      </w:pPr>
    </w:p>
    <w:p>
      <w:pPr>
        <w:jc w:val="both"/>
        <w:ind w:firstLine="744"/>
        <w:spacing w:after="0" w:line="269" w:lineRule="auto"/>
        <w:rPr>
          <w:sz w:val="20"/>
          <w:szCs w:val="20"/>
          <w:color w:val="auto"/>
        </w:rPr>
      </w:pPr>
      <w:r>
        <w:rPr>
          <w:rFonts w:ascii="Times New Roman" w:cs="Times New Roman" w:eastAsia="Times New Roman" w:hAnsi="Times New Roman"/>
          <w:sz w:val="20"/>
          <w:szCs w:val="20"/>
          <w:color w:val="auto"/>
        </w:rPr>
        <w:t>(i)the distribution of rights to Qualified Equity Interests pursuant to any shareholder rights plan or the redemption of such rights for nominal consideration in accordance with the terms of any shareholder rights plan;</w:t>
      </w:r>
    </w:p>
    <w:p>
      <w:pPr>
        <w:spacing w:after="0" w:line="15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color w:val="auto"/>
        </w:rPr>
        <w:t>(j)cash dividends, distributions or payments on its Equity Interests by any Subsidiary to any Credit Party;</w:t>
      </w:r>
    </w:p>
    <w:p>
      <w:pPr>
        <w:spacing w:after="0" w:line="216" w:lineRule="exact"/>
        <w:rPr>
          <w:sz w:val="20"/>
          <w:szCs w:val="20"/>
          <w:color w:val="auto"/>
        </w:rPr>
      </w:pPr>
    </w:p>
    <w:p>
      <w:pPr>
        <w:jc w:val="both"/>
        <w:ind w:firstLine="744"/>
        <w:spacing w:after="0" w:line="269" w:lineRule="auto"/>
        <w:rPr>
          <w:sz w:val="20"/>
          <w:szCs w:val="20"/>
          <w:color w:val="auto"/>
        </w:rPr>
      </w:pPr>
      <w:r>
        <w:rPr>
          <w:rFonts w:ascii="Times New Roman" w:cs="Times New Roman" w:eastAsia="Times New Roman" w:hAnsi="Times New Roman"/>
          <w:sz w:val="20"/>
          <w:szCs w:val="20"/>
          <w:color w:val="auto"/>
        </w:rPr>
        <w:t>(k)cash dividends, distributions or payments on its Equity Interests by any Subsidiary that is not a Credit Party to any other Subsidiary that is not a Credit Party;</w:t>
      </w:r>
    </w:p>
    <w:p>
      <w:pPr>
        <w:spacing w:after="0" w:line="159" w:lineRule="exact"/>
        <w:rPr>
          <w:sz w:val="20"/>
          <w:szCs w:val="20"/>
          <w:color w:val="auto"/>
        </w:rPr>
      </w:pPr>
    </w:p>
    <w:p>
      <w:pPr>
        <w:jc w:val="both"/>
        <w:ind w:firstLine="744"/>
        <w:spacing w:after="0" w:line="249" w:lineRule="auto"/>
        <w:rPr>
          <w:sz w:val="20"/>
          <w:szCs w:val="20"/>
          <w:color w:val="auto"/>
        </w:rPr>
      </w:pPr>
      <w:r>
        <w:rPr>
          <w:rFonts w:ascii="Times New Roman" w:cs="Times New Roman" w:eastAsia="Times New Roman" w:hAnsi="Times New Roman"/>
          <w:sz w:val="20"/>
          <w:szCs w:val="20"/>
          <w:color w:val="auto"/>
        </w:rPr>
        <w:t>(l)purchases of Equity Interests of Borrower deemed to occur upon the “cashless” exercises of options and warrants or the settlement or vesting of other equity awards, provided that such Equity Interests purchased represent only the portion required to cover the exercise price of such options or warrants, or similar equity incentive awards or vesting of other equity awards, any withholding taxes due upon such exercise or vesting, and any related broker fees or other costs and expenses incurred in connection therewith;</w:t>
      </w:r>
    </w:p>
    <w:p>
      <w:pPr>
        <w:spacing w:after="0" w:line="180" w:lineRule="exact"/>
        <w:rPr>
          <w:sz w:val="20"/>
          <w:szCs w:val="20"/>
          <w:color w:val="auto"/>
        </w:rPr>
      </w:pPr>
    </w:p>
    <w:p>
      <w:pPr>
        <w:jc w:val="both"/>
        <w:ind w:firstLine="744"/>
        <w:spacing w:after="0" w:line="254" w:lineRule="auto"/>
        <w:rPr>
          <w:sz w:val="20"/>
          <w:szCs w:val="20"/>
          <w:color w:val="auto"/>
        </w:rPr>
      </w:pPr>
      <w:r>
        <w:rPr>
          <w:rFonts w:ascii="Times New Roman" w:cs="Times New Roman" w:eastAsia="Times New Roman" w:hAnsi="Times New Roman"/>
          <w:sz w:val="20"/>
          <w:szCs w:val="20"/>
          <w:color w:val="auto"/>
        </w:rPr>
        <w:t>(m)issuance to directors, officers, employees or contractors of Borrower of common stock of Borrower upon the vesting of restricted stock, restricted stock units, or other rights to acquire common stock of Borrower pursuant to plans or agreements approved by Borrower’s Board of Directors or stockholders;</w:t>
      </w:r>
    </w:p>
    <w:p>
      <w:pPr>
        <w:spacing w:after="0" w:line="188" w:lineRule="exact"/>
        <w:rPr>
          <w:sz w:val="20"/>
          <w:szCs w:val="20"/>
          <w:color w:val="auto"/>
        </w:rPr>
      </w:pPr>
    </w:p>
    <w:p>
      <w:pPr>
        <w:jc w:val="both"/>
        <w:ind w:firstLine="744"/>
        <w:spacing w:after="0" w:line="254" w:lineRule="auto"/>
        <w:rPr>
          <w:sz w:val="20"/>
          <w:szCs w:val="20"/>
          <w:color w:val="auto"/>
        </w:rPr>
      </w:pPr>
      <w:r>
        <w:rPr>
          <w:rFonts w:ascii="Times New Roman" w:cs="Times New Roman" w:eastAsia="Times New Roman" w:hAnsi="Times New Roman"/>
          <w:sz w:val="20"/>
          <w:szCs w:val="20"/>
          <w:color w:val="auto"/>
        </w:rPr>
        <w:t>(n)the repurchase, retirement or other acquisition or retirement for value of Equity Interests of the issuer thereof held by any future, present or former employee, consultant, officer or director (or spouse or trust for the benefit of any of the foregoing or any lineal descendants thereof) of such issuer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592455</wp:posOffset>
            </wp:positionV>
            <wp:extent cx="7157720" cy="4254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400" w:top="1426" w:right="419" w:bottom="1440" w:gutter="0" w:footer="0" w:header="0"/>
        </w:sectPr>
      </w:pPr>
    </w:p>
    <w:bookmarkStart w:id="328" w:name="page329"/>
    <w:bookmarkEnd w:id="328"/>
    <w:p>
      <w:pPr>
        <w:jc w:val="right"/>
        <w:ind w:right="4379"/>
        <w:spacing w:after="0"/>
        <w:rPr>
          <w:sz w:val="20"/>
          <w:szCs w:val="20"/>
          <w:color w:val="auto"/>
        </w:rPr>
      </w:pPr>
      <w:r>
        <w:rPr>
          <w:rFonts w:ascii="Times New Roman" w:cs="Times New Roman" w:eastAsia="Times New Roman" w:hAnsi="Times New Roman"/>
          <w:sz w:val="18"/>
          <w:szCs w:val="18"/>
          <w:color w:val="auto"/>
        </w:rPr>
        <w:t>108</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4905-3710-6484 v.17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600710</wp:posOffset>
            </wp:positionV>
            <wp:extent cx="7157720" cy="4254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59"/>
          </w:cols>
          <w:pgMar w:left="400" w:top="1431" w:right="1440" w:bottom="1440" w:gutter="0" w:footer="0" w:header="0"/>
        </w:sectPr>
      </w:pPr>
    </w:p>
    <w:bookmarkStart w:id="329" w:name="page330"/>
    <w:bookmarkEnd w:id="329"/>
    <w:p>
      <w:pPr>
        <w:jc w:val="both"/>
        <w:spacing w:after="0" w:line="245" w:lineRule="auto"/>
        <w:rPr>
          <w:sz w:val="20"/>
          <w:szCs w:val="20"/>
          <w:color w:val="auto"/>
        </w:rPr>
      </w:pPr>
      <w:r>
        <w:rPr>
          <w:rFonts w:ascii="Times New Roman" w:cs="Times New Roman" w:eastAsia="Times New Roman" w:hAnsi="Times New Roman"/>
          <w:sz w:val="20"/>
          <w:szCs w:val="20"/>
          <w:color w:val="auto"/>
        </w:rPr>
        <w:t xml:space="preserve">any of its Subsidiaries pursuant to any management equity plan or stock option plan or any other management or employee benefit plan or agreement, or any stock subscription or shareholder agreement or employment agreement;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the aggregate payments made under this </w:t>
      </w:r>
      <w:r>
        <w:rPr>
          <w:rFonts w:ascii="Times New Roman" w:cs="Times New Roman" w:eastAsia="Times New Roman" w:hAnsi="Times New Roman"/>
          <w:sz w:val="20"/>
          <w:szCs w:val="20"/>
          <w:u w:val="single" w:color="auto"/>
          <w:color w:val="auto"/>
        </w:rPr>
        <w:t>clause (n)</w:t>
      </w:r>
      <w:r>
        <w:rPr>
          <w:rFonts w:ascii="Times New Roman" w:cs="Times New Roman" w:eastAsia="Times New Roman" w:hAnsi="Times New Roman"/>
          <w:sz w:val="20"/>
          <w:szCs w:val="20"/>
          <w:color w:val="auto"/>
        </w:rPr>
        <w:t xml:space="preserve"> do not exceed, at any time, the sum of (i) $12,000,000 (or such larger amount as agreed to and negotiated in good faith by the Blackstone Representative and the Borrower (each in their sole discretion) upon growth in Borrower’s stock price or consolidated employee base) plus (ii) in any calendar year, the aggregate amount of any payments received in such calendar year under key-man life insurance policies; and</w:t>
      </w:r>
    </w:p>
    <w:p>
      <w:pPr>
        <w:spacing w:after="0" w:line="184" w:lineRule="exact"/>
        <w:rPr>
          <w:sz w:val="20"/>
          <w:szCs w:val="20"/>
          <w:color w:val="auto"/>
        </w:rPr>
      </w:pPr>
    </w:p>
    <w:p>
      <w:pPr>
        <w:jc w:val="both"/>
        <w:ind w:firstLine="672"/>
        <w:spacing w:after="0" w:line="254" w:lineRule="auto"/>
        <w:tabs>
          <w:tab w:leader="none" w:pos="1065" w:val="left"/>
        </w:tabs>
        <w:numPr>
          <w:ilvl w:val="0"/>
          <w:numId w:val="1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other payments in respect of Equity Interests in an aggregate amount not to exceed $500,000 during the term of this Agreement, so long as both immediately before and after giving effect to any such payment in respect to Equity Interests, no Default or Event of Default has occurred and is continuing.</w:t>
      </w:r>
    </w:p>
    <w:p>
      <w:pPr>
        <w:spacing w:after="0" w:line="18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Permitted Indebtedness</w:t>
      </w:r>
      <w:r>
        <w:rPr>
          <w:rFonts w:ascii="Times New Roman" w:cs="Times New Roman" w:eastAsia="Times New Roman" w:hAnsi="Times New Roman"/>
          <w:sz w:val="20"/>
          <w:szCs w:val="20"/>
          <w:color w:val="auto"/>
        </w:rPr>
        <w:t>” means:</w:t>
      </w:r>
    </w:p>
    <w:p>
      <w:pPr>
        <w:spacing w:after="0" w:line="206" w:lineRule="exact"/>
        <w:rPr>
          <w:sz w:val="20"/>
          <w:szCs w:val="20"/>
          <w:color w:val="auto"/>
        </w:rPr>
      </w:pPr>
    </w:p>
    <w:p>
      <w:pPr>
        <w:jc w:val="both"/>
        <w:ind w:firstLine="744"/>
        <w:spacing w:after="0" w:line="269" w:lineRule="auto"/>
        <w:rPr>
          <w:sz w:val="20"/>
          <w:szCs w:val="20"/>
          <w:color w:val="auto"/>
        </w:rPr>
      </w:pPr>
      <w:r>
        <w:rPr>
          <w:rFonts w:ascii="Times New Roman" w:cs="Times New Roman" w:eastAsia="Times New Roman" w:hAnsi="Times New Roman"/>
          <w:sz w:val="20"/>
          <w:szCs w:val="20"/>
          <w:color w:val="auto"/>
        </w:rPr>
        <w:t>(a)Indebtedness of the Credit Parties to the Secured Parties under this Agreement and the other Loan Documents (including Incremental Term Facilities);</w:t>
      </w:r>
    </w:p>
    <w:p>
      <w:pPr>
        <w:spacing w:after="0" w:line="159" w:lineRule="exact"/>
        <w:rPr>
          <w:sz w:val="20"/>
          <w:szCs w:val="20"/>
          <w:color w:val="auto"/>
        </w:rPr>
      </w:pPr>
    </w:p>
    <w:p>
      <w:pPr>
        <w:jc w:val="both"/>
        <w:ind w:firstLine="744"/>
        <w:spacing w:after="0" w:line="254" w:lineRule="auto"/>
        <w:rPr>
          <w:sz w:val="20"/>
          <w:szCs w:val="20"/>
          <w:color w:val="auto"/>
        </w:rPr>
      </w:pPr>
      <w:r>
        <w:rPr>
          <w:rFonts w:ascii="Times New Roman" w:cs="Times New Roman" w:eastAsia="Times New Roman" w:hAnsi="Times New Roman"/>
          <w:sz w:val="20"/>
          <w:szCs w:val="20"/>
          <w:color w:val="auto"/>
        </w:rPr>
        <w:t xml:space="preserve">(b)Indebtedness existing on the Closing Date and shown on </w:t>
      </w:r>
      <w:r>
        <w:rPr>
          <w:rFonts w:ascii="Times New Roman" w:cs="Times New Roman" w:eastAsia="Times New Roman" w:hAnsi="Times New Roman"/>
          <w:sz w:val="20"/>
          <w:szCs w:val="20"/>
          <w:u w:val="single" w:color="auto"/>
          <w:color w:val="auto"/>
        </w:rPr>
        <w:t>Schedule 12.1</w:t>
      </w:r>
      <w:r>
        <w:rPr>
          <w:rFonts w:ascii="Times New Roman" w:cs="Times New Roman" w:eastAsia="Times New Roman" w:hAnsi="Times New Roman"/>
          <w:sz w:val="20"/>
          <w:szCs w:val="20"/>
          <w:color w:val="auto"/>
        </w:rPr>
        <w:t xml:space="preserve"> of the Disclosure Letter and Permitted Refinancings thereof;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the Existing Indebtedness shall not constitute Indebtedness permitted under this clause (b) following the Funding Date;</w:t>
      </w:r>
    </w:p>
    <w:p>
      <w:pPr>
        <w:spacing w:after="0" w:line="188" w:lineRule="exact"/>
        <w:rPr>
          <w:sz w:val="20"/>
          <w:szCs w:val="20"/>
          <w:color w:val="auto"/>
        </w:rPr>
      </w:pPr>
    </w:p>
    <w:p>
      <w:pPr>
        <w:jc w:val="both"/>
        <w:ind w:firstLine="744"/>
        <w:spacing w:after="0" w:line="249" w:lineRule="auto"/>
        <w:rPr>
          <w:sz w:val="20"/>
          <w:szCs w:val="20"/>
          <w:color w:val="auto"/>
        </w:rPr>
      </w:pPr>
      <w:r>
        <w:rPr>
          <w:rFonts w:ascii="Times New Roman" w:cs="Times New Roman" w:eastAsia="Times New Roman" w:hAnsi="Times New Roman"/>
          <w:sz w:val="20"/>
          <w:szCs w:val="20"/>
          <w:color w:val="auto"/>
        </w:rPr>
        <w:t xml:space="preserve">(c)Subordinated Debt and Permitted Convertible Bond Indebtedness ;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in each case any such Indebtedness is unsecured;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further, that (i) the aggregate principal amount of Indebtedness incurred in reliance on this clause (c) does not exceed $500,000,000 at any time outstanding, and (ii) any such Indebtedness does not provide for interest payments in cash of greater than 3% of such Indebtedness per annum, at any time prior to the date that is 181 days following the Maturity Date;</w:t>
      </w:r>
    </w:p>
    <w:p>
      <w:pPr>
        <w:spacing w:after="0" w:line="166" w:lineRule="exact"/>
        <w:rPr>
          <w:sz w:val="20"/>
          <w:szCs w:val="20"/>
          <w:color w:val="auto"/>
        </w:rPr>
      </w:pPr>
    </w:p>
    <w:p>
      <w:pPr>
        <w:jc w:val="both"/>
        <w:ind w:firstLine="744"/>
        <w:spacing w:after="0" w:line="254" w:lineRule="auto"/>
        <w:rPr>
          <w:sz w:val="20"/>
          <w:szCs w:val="20"/>
          <w:color w:val="auto"/>
        </w:rPr>
      </w:pPr>
      <w:r>
        <w:rPr>
          <w:rFonts w:ascii="Times New Roman" w:cs="Times New Roman" w:eastAsia="Times New Roman" w:hAnsi="Times New Roman"/>
          <w:sz w:val="20"/>
          <w:szCs w:val="20"/>
          <w:color w:val="auto"/>
        </w:rPr>
        <w:t>(d)Indebtedness not to exceed $10,000,000 in the aggregate at any time outstanding, consisting of (i) Indebtedness incurred to finance the purchase, construction, repair, or improvement of fixed assets and (ii) Finance Lease obligations, and, in each case, Permitted Refinancings thereof;</w:t>
      </w:r>
    </w:p>
    <w:p>
      <w:pPr>
        <w:spacing w:after="0" w:line="17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color w:val="auto"/>
        </w:rPr>
        <w:t>(e)Indebtedness in connection with corporate credit cards, purchasing cards or bank card products in the ordinary course of</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business;</w:t>
      </w:r>
    </w:p>
    <w:p>
      <w:pPr>
        <w:spacing w:after="0" w:line="207"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color w:val="auto"/>
        </w:rPr>
        <w:t>(f)[reserved];</w:t>
      </w:r>
    </w:p>
    <w:p>
      <w:pPr>
        <w:spacing w:after="0" w:line="216" w:lineRule="exact"/>
        <w:rPr>
          <w:sz w:val="20"/>
          <w:szCs w:val="20"/>
          <w:color w:val="auto"/>
        </w:rPr>
      </w:pPr>
    </w:p>
    <w:p>
      <w:pPr>
        <w:jc w:val="both"/>
        <w:ind w:firstLine="744"/>
        <w:spacing w:after="0" w:line="243" w:lineRule="auto"/>
        <w:rPr>
          <w:sz w:val="20"/>
          <w:szCs w:val="20"/>
          <w:color w:val="auto"/>
        </w:rPr>
      </w:pPr>
      <w:r>
        <w:rPr>
          <w:rFonts w:ascii="Times New Roman" w:cs="Times New Roman" w:eastAsia="Times New Roman" w:hAnsi="Times New Roman"/>
          <w:sz w:val="20"/>
          <w:szCs w:val="20"/>
          <w:color w:val="auto"/>
        </w:rPr>
        <w:t xml:space="preserve">(g)Indebtedness assumed in connection with a Permitted Acquisition or other Permitted Investment (including Indebtedness of a Person that becomes a Subsidiary of Borrower in connection with such Permitted Acquisition or Permitted Investment) and Permitted Refinancings thereof, so long as (i) such Indebtedness was not incurred in connection with, or in anticipation of, such Permitted Acquisition or other Permitted Investment, (ii) both immediately before and after giving effect thereto, no Default or Event of Default shall exist and be continuing, (iii) if such Indebtedness is secured, the Lien constitutes a Permitted Lien pursuant to clause (i) of the definition thereof, (iv) such Indebtedness is not guaranteed by any Credit Party (other than a Person acquired in such Permitted Acquisition or Permitted Acquisition), (v) both before and after giving effect to the incurrence of such Indebtedness, the Credit Parties are in compliance, on a pro forma basis, with the financial covenants set forth in </w:t>
      </w:r>
      <w:r>
        <w:rPr>
          <w:rFonts w:ascii="Times New Roman" w:cs="Times New Roman" w:eastAsia="Times New Roman" w:hAnsi="Times New Roman"/>
          <w:sz w:val="20"/>
          <w:szCs w:val="20"/>
          <w:u w:val="single" w:color="auto"/>
          <w:color w:val="auto"/>
        </w:rPr>
        <w:t>Section 6.16</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Section 6.17</w:t>
      </w:r>
      <w:r>
        <w:rPr>
          <w:rFonts w:ascii="Times New Roman" w:cs="Times New Roman" w:eastAsia="Times New Roman" w:hAnsi="Times New Roman"/>
          <w:sz w:val="20"/>
          <w:szCs w:val="20"/>
          <w:color w:val="auto"/>
        </w:rPr>
        <w:t>, and (vi) the aggregate principal balance of such Indebtedness does not exceed $10,000,000 at any time outstanding;</w:t>
      </w:r>
    </w:p>
    <w:p>
      <w:pPr>
        <w:spacing w:after="0" w:line="172" w:lineRule="exact"/>
        <w:rPr>
          <w:sz w:val="20"/>
          <w:szCs w:val="20"/>
          <w:color w:val="auto"/>
        </w:rPr>
      </w:pPr>
    </w:p>
    <w:p>
      <w:pPr>
        <w:jc w:val="both"/>
        <w:ind w:firstLine="744"/>
        <w:spacing w:after="0" w:line="269" w:lineRule="auto"/>
        <w:rPr>
          <w:sz w:val="20"/>
          <w:szCs w:val="20"/>
          <w:color w:val="auto"/>
        </w:rPr>
      </w:pPr>
      <w:r>
        <w:rPr>
          <w:rFonts w:ascii="Times New Roman" w:cs="Times New Roman" w:eastAsia="Times New Roman" w:hAnsi="Times New Roman"/>
          <w:sz w:val="20"/>
          <w:szCs w:val="20"/>
          <w:color w:val="auto"/>
        </w:rPr>
        <w:t>(h)Indebtedness of Borrower or any of its Subsidiaries with respect to letters of credit entered into in the ordinary course of business in an aggregate amount not to exceed $6,000,000 at any time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582930</wp:posOffset>
            </wp:positionV>
            <wp:extent cx="7157720" cy="4254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400" w:top="1426" w:right="419" w:bottom="1440" w:gutter="0" w:footer="0" w:header="0"/>
        </w:sectPr>
      </w:pPr>
    </w:p>
    <w:bookmarkStart w:id="330" w:name="page331"/>
    <w:bookmarkEnd w:id="330"/>
    <w:p>
      <w:pPr>
        <w:spacing w:after="0" w:line="194" w:lineRule="exact"/>
        <w:rPr>
          <w:sz w:val="20"/>
          <w:szCs w:val="20"/>
          <w:color w:val="auto"/>
        </w:rPr>
      </w:pPr>
    </w:p>
    <w:p>
      <w:pPr>
        <w:jc w:val="right"/>
        <w:ind w:right="4379"/>
        <w:spacing w:after="0"/>
        <w:rPr>
          <w:sz w:val="20"/>
          <w:szCs w:val="20"/>
          <w:color w:val="auto"/>
        </w:rPr>
      </w:pPr>
      <w:r>
        <w:rPr>
          <w:rFonts w:ascii="Times New Roman" w:cs="Times New Roman" w:eastAsia="Times New Roman" w:hAnsi="Times New Roman"/>
          <w:sz w:val="18"/>
          <w:szCs w:val="18"/>
          <w:color w:val="auto"/>
        </w:rPr>
        <w:t>109</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4905-3710-6484 v.17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600710</wp:posOffset>
            </wp:positionV>
            <wp:extent cx="7157720" cy="4254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59"/>
          </w:cols>
          <w:pgMar w:left="400" w:top="1440" w:right="1440" w:bottom="1440" w:gutter="0" w:footer="0" w:header="0"/>
        </w:sectPr>
      </w:pPr>
    </w:p>
    <w:bookmarkStart w:id="331" w:name="page332"/>
    <w:bookmarkEnd w:id="331"/>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 xml:space="preserve">(i)unsecured Indebtedness owed (i) by a Credit Party to another Credit Party, (ii) by a Subsidiary of Borrower that is not a Credit Party to another Subsidiary of Borrower that is not a Credit Party, (iii) by a Credit Party to a Subsidiary of Borrower that is not a Credit Party, or (iv) by a Subsidiary of Borrower that is not a Credit Party to a Credit Party;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advance of such Indebtedness under this clause (iv) is permitted under clause (o)(iv) of the definition of Permitted Investments; </w:t>
      </w:r>
      <w:r>
        <w:rPr>
          <w:rFonts w:ascii="Times New Roman" w:cs="Times New Roman" w:eastAsia="Times New Roman" w:hAnsi="Times New Roman"/>
          <w:sz w:val="20"/>
          <w:szCs w:val="20"/>
          <w:u w:val="single" w:color="auto"/>
          <w:color w:val="auto"/>
        </w:rPr>
        <w:t>provided further</w:t>
      </w:r>
      <w:r>
        <w:rPr>
          <w:rFonts w:ascii="Times New Roman" w:cs="Times New Roman" w:eastAsia="Times New Roman" w:hAnsi="Times New Roman"/>
          <w:sz w:val="20"/>
          <w:szCs w:val="20"/>
          <w:color w:val="auto"/>
        </w:rPr>
        <w:t>, that, from and after the Closing Date, all such Indebtedness shall be subject to the Intercompany Subordination Agreement;</w:t>
      </w:r>
    </w:p>
    <w:p>
      <w:pPr>
        <w:spacing w:after="0" w:line="18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(j)[reserved];</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(k)[reserved];</w:t>
      </w:r>
    </w:p>
    <w:p>
      <w:pPr>
        <w:spacing w:after="0" w:line="216"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(l)Indebtedness in respect of Acquisition Deferred Payments incurred in connection with Permitted Acquisitions (subject to the limitations set forth in the definition of “Permitted Acquisition” including the limitation on aggregate Acquisition Consideration);</w:t>
      </w:r>
    </w:p>
    <w:p>
      <w:pPr>
        <w:spacing w:after="0" w:line="146"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(m)Indebtedness owed to (including obligations in respect of letters of credit or bank guarantees or similar instruments for the benefit of) any Person providing workers’ compensation, health, disability or other employee benefits or property, casualty or liability insurance to Borrower or any of its Subsidiaries, pursuant to reimbursement or indemnification obligations to such Person, in each case, in the ordinary course of business;</w:t>
      </w:r>
    </w:p>
    <w:p>
      <w:pPr>
        <w:spacing w:after="0" w:line="193"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(n)Indebtedness in respect of performance bonds, bid bonds, appeal bonds, surety bonds and completion guarantees and similar obligations arising in the ordinary course of business in an aggregate amount not to exceed $1,000,000 at any time outstanding;</w:t>
      </w:r>
    </w:p>
    <w:p>
      <w:pPr>
        <w:spacing w:after="0" w:line="159"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(o)Indebtedness in respect of netting services or overdraft protection in connection with deposit or securities accounts in the ordinary course of business;</w:t>
      </w:r>
    </w:p>
    <w:p>
      <w:pPr>
        <w:spacing w:after="0" w:line="14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(p)Indebtedness consisting of the financing of insurance premiums in the ordinary course of business;</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(q)Indebtedness arising in connection with endorsement of instruments for deposit in the ordinary course of business; and</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(r)other unsecured Indebtedness of the Credit Parties in an aggregate amount outstanding at any time not to exceed $3,000,000.</w:t>
      </w:r>
    </w:p>
    <w:p>
      <w:pPr>
        <w:spacing w:after="0" w:line="216" w:lineRule="exact"/>
        <w:rPr>
          <w:sz w:val="20"/>
          <w:szCs w:val="20"/>
          <w:color w:val="auto"/>
        </w:rPr>
      </w:pPr>
    </w:p>
    <w:p>
      <w:pPr>
        <w:jc w:val="both"/>
        <w:ind w:firstLine="674"/>
        <w:spacing w:after="0" w:line="246" w:lineRule="auto"/>
        <w:rPr>
          <w:sz w:val="20"/>
          <w:szCs w:val="20"/>
          <w:color w:val="auto"/>
        </w:rPr>
      </w:pPr>
      <w:r>
        <w:rPr>
          <w:rFonts w:ascii="Times New Roman" w:cs="Times New Roman" w:eastAsia="Times New Roman" w:hAnsi="Times New Roman"/>
          <w:sz w:val="20"/>
          <w:szCs w:val="20"/>
          <w:color w:val="auto"/>
        </w:rPr>
        <w:t xml:space="preserve">Notwithstanding anything to the contrary in this Agreement, (x) “Permitted Indebtedness” shall not include any Hedging Agreements other than those described in </w:t>
      </w:r>
      <w:r>
        <w:rPr>
          <w:rFonts w:ascii="Times New Roman" w:cs="Times New Roman" w:eastAsia="Times New Roman" w:hAnsi="Times New Roman"/>
          <w:sz w:val="20"/>
          <w:szCs w:val="20"/>
          <w:u w:val="single" w:color="auto"/>
          <w:color w:val="auto"/>
        </w:rPr>
        <w:t>Section 4.23(b)</w:t>
      </w:r>
      <w:r>
        <w:rPr>
          <w:rFonts w:ascii="Times New Roman" w:cs="Times New Roman" w:eastAsia="Times New Roman" w:hAnsi="Times New Roman"/>
          <w:sz w:val="20"/>
          <w:szCs w:val="20"/>
          <w:color w:val="auto"/>
        </w:rPr>
        <w:t xml:space="preserve"> hereof and those entered into in connection with a Permitted Bond Hedge Transaction and foreign exchange or interest rate hedging transactions not for speculative purposes and (y) no Indebtedness for borrowed money shall be incurred by Subsidiaries of Borrower that are not Credit Parties (other than intercompany Indebtedness incurred pursuant to </w:t>
      </w:r>
      <w:r>
        <w:rPr>
          <w:rFonts w:ascii="Times New Roman" w:cs="Times New Roman" w:eastAsia="Times New Roman" w:hAnsi="Times New Roman"/>
          <w:sz w:val="20"/>
          <w:szCs w:val="20"/>
          <w:u w:val="single" w:color="auto"/>
          <w:color w:val="auto"/>
        </w:rPr>
        <w:t>clause (i)</w:t>
      </w:r>
      <w:r>
        <w:rPr>
          <w:rFonts w:ascii="Times New Roman" w:cs="Times New Roman" w:eastAsia="Times New Roman" w:hAnsi="Times New Roman"/>
          <w:sz w:val="20"/>
          <w:szCs w:val="20"/>
          <w:color w:val="auto"/>
        </w:rPr>
        <w:t xml:space="preserve"> above).</w:t>
      </w:r>
    </w:p>
    <w:p>
      <w:pPr>
        <w:spacing w:after="0" w:line="18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Permitted Investments</w:t>
      </w:r>
      <w:r>
        <w:rPr>
          <w:rFonts w:ascii="Times New Roman" w:cs="Times New Roman" w:eastAsia="Times New Roman" w:hAnsi="Times New Roman"/>
          <w:sz w:val="20"/>
          <w:szCs w:val="20"/>
          <w:color w:val="auto"/>
        </w:rPr>
        <w:t>” means:</w:t>
      </w:r>
    </w:p>
    <w:p>
      <w:pPr>
        <w:spacing w:after="0" w:line="22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9"/>
          <w:szCs w:val="19"/>
          <w:color w:val="auto"/>
        </w:rPr>
        <w:t xml:space="preserve">(a)Investments (including Investments in Subsidiaries) existing on the Closing Date and shown on </w:t>
      </w:r>
      <w:r>
        <w:rPr>
          <w:rFonts w:ascii="Times New Roman" w:cs="Times New Roman" w:eastAsia="Times New Roman" w:hAnsi="Times New Roman"/>
          <w:sz w:val="19"/>
          <w:szCs w:val="19"/>
          <w:u w:val="single" w:color="auto"/>
          <w:color w:val="auto"/>
        </w:rPr>
        <w:t>Schedule 12.2</w:t>
      </w:r>
      <w:r>
        <w:rPr>
          <w:rFonts w:ascii="Times New Roman" w:cs="Times New Roman" w:eastAsia="Times New Roman" w:hAnsi="Times New Roman"/>
          <w:sz w:val="19"/>
          <w:szCs w:val="19"/>
          <w:color w:val="auto"/>
        </w:rPr>
        <w:t xml:space="preserve"> of the Disclosure</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Letter;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604520</wp:posOffset>
            </wp:positionV>
            <wp:extent cx="7157720" cy="4254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400" w:top="1426" w:right="339" w:bottom="1440" w:gutter="0" w:footer="0" w:header="0"/>
        </w:sectPr>
      </w:pPr>
    </w:p>
    <w:bookmarkStart w:id="332" w:name="page333"/>
    <w:bookmarkEnd w:id="332"/>
    <w:p>
      <w:pPr>
        <w:ind w:left="760"/>
        <w:spacing w:after="0"/>
        <w:tabs>
          <w:tab w:leader="none" w:pos="4620" w:val="left"/>
        </w:tabs>
        <w:rPr>
          <w:sz w:val="20"/>
          <w:szCs w:val="20"/>
          <w:color w:val="auto"/>
        </w:rPr>
      </w:pPr>
      <w:r>
        <w:rPr>
          <w:rFonts w:ascii="Times New Roman" w:cs="Times New Roman" w:eastAsia="Times New Roman" w:hAnsi="Times New Roman"/>
          <w:sz w:val="19"/>
          <w:szCs w:val="19"/>
          <w:color w:val="auto"/>
        </w:rPr>
        <w:t>(b)</w:t>
      </w:r>
      <w:r>
        <w:rPr>
          <w:sz w:val="20"/>
          <w:szCs w:val="20"/>
          <w:color w:val="auto"/>
        </w:rPr>
        <w:tab/>
      </w:r>
      <w:r>
        <w:rPr>
          <w:rFonts w:ascii="Times New Roman" w:cs="Times New Roman" w:eastAsia="Times New Roman" w:hAnsi="Times New Roman"/>
          <w:sz w:val="19"/>
          <w:szCs w:val="19"/>
          <w:color w:val="auto"/>
        </w:rPr>
        <w:t>Investments consisting of cash and Cash Equivalents;</w:t>
      </w:r>
    </w:p>
    <w:p>
      <w:pPr>
        <w:spacing w:after="0" w:line="36"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8"/>
          <w:szCs w:val="18"/>
          <w:color w:val="auto"/>
        </w:rPr>
        <w:t>110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4905-3710-6484 v.17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600710</wp:posOffset>
            </wp:positionV>
            <wp:extent cx="7157720" cy="4254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59"/>
          </w:cols>
          <w:pgMar w:left="400" w:top="1413" w:right="1440" w:bottom="1440" w:gutter="0" w:footer="0" w:header="0"/>
        </w:sectPr>
      </w:pPr>
    </w:p>
    <w:bookmarkStart w:id="333" w:name="page334"/>
    <w:bookmarkEnd w:id="333"/>
    <w:p>
      <w:pPr>
        <w:jc w:val="both"/>
        <w:ind w:firstLine="744"/>
        <w:spacing w:after="0" w:line="269" w:lineRule="auto"/>
        <w:rPr>
          <w:sz w:val="20"/>
          <w:szCs w:val="20"/>
          <w:color w:val="auto"/>
        </w:rPr>
      </w:pPr>
      <w:r>
        <w:rPr>
          <w:rFonts w:ascii="Times New Roman" w:cs="Times New Roman" w:eastAsia="Times New Roman" w:hAnsi="Times New Roman"/>
          <w:sz w:val="20"/>
          <w:szCs w:val="20"/>
          <w:color w:val="auto"/>
        </w:rPr>
        <w:t>(c)Investments consisting of the endorsement of negotiable instruments for deposit or collection or similar transactions in the ordinary course of business;</w:t>
      </w:r>
    </w:p>
    <w:p>
      <w:pPr>
        <w:spacing w:after="0" w:line="173"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color w:val="auto"/>
        </w:rPr>
        <w:t xml:space="preserve">(d)subject to </w:t>
      </w:r>
      <w:r>
        <w:rPr>
          <w:rFonts w:ascii="Times New Roman" w:cs="Times New Roman" w:eastAsia="Times New Roman" w:hAnsi="Times New Roman"/>
          <w:sz w:val="20"/>
          <w:szCs w:val="20"/>
          <w:u w:val="single" w:color="auto"/>
          <w:color w:val="auto"/>
        </w:rPr>
        <w:t>Section 5.5</w:t>
      </w:r>
      <w:r>
        <w:rPr>
          <w:rFonts w:ascii="Times New Roman" w:cs="Times New Roman" w:eastAsia="Times New Roman" w:hAnsi="Times New Roman"/>
          <w:sz w:val="20"/>
          <w:szCs w:val="20"/>
          <w:color w:val="auto"/>
        </w:rPr>
        <w:t>, Investments consisting of deposit accounts or securities accounts;</w:t>
      </w:r>
    </w:p>
    <w:p>
      <w:pPr>
        <w:spacing w:after="0" w:line="216"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color w:val="auto"/>
        </w:rPr>
        <w:t>(e)[reserved];</w:t>
      </w:r>
    </w:p>
    <w:p>
      <w:pPr>
        <w:spacing w:after="0" w:line="216"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color w:val="auto"/>
        </w:rPr>
        <w:t>(f)Investments which are Permitted Transfers (other than pursuant to clause (d) of the definition thereof);</w:t>
      </w:r>
    </w:p>
    <w:p>
      <w:pPr>
        <w:spacing w:after="0" w:line="216" w:lineRule="exact"/>
        <w:rPr>
          <w:sz w:val="20"/>
          <w:szCs w:val="20"/>
          <w:color w:val="auto"/>
        </w:rPr>
      </w:pPr>
    </w:p>
    <w:p>
      <w:pPr>
        <w:jc w:val="both"/>
        <w:ind w:firstLine="744"/>
        <w:spacing w:after="0" w:line="254" w:lineRule="auto"/>
        <w:rPr>
          <w:sz w:val="20"/>
          <w:szCs w:val="20"/>
          <w:color w:val="auto"/>
        </w:rPr>
      </w:pPr>
      <w:r>
        <w:rPr>
          <w:rFonts w:ascii="Times New Roman" w:cs="Times New Roman" w:eastAsia="Times New Roman" w:hAnsi="Times New Roman"/>
          <w:sz w:val="20"/>
          <w:szCs w:val="20"/>
          <w:color w:val="auto"/>
        </w:rPr>
        <w:t>(g)Investments consisting of (i) travel advances and employee relocation loans and other employee advances in the ordinary course of business, and (ii) loans to employees, officers or directors relating to the purchase of equity securities of Borrower pursuant to employee stock purchase plans or agreements approved by Borrower’s Board of Directors in an aggregate principal amount not to exceed $1,000,000 at any one time outstanding;</w:t>
      </w:r>
    </w:p>
    <w:p>
      <w:pPr>
        <w:spacing w:after="0" w:line="174" w:lineRule="exact"/>
        <w:rPr>
          <w:sz w:val="20"/>
          <w:szCs w:val="20"/>
          <w:color w:val="auto"/>
        </w:rPr>
      </w:pPr>
    </w:p>
    <w:p>
      <w:pPr>
        <w:jc w:val="both"/>
        <w:ind w:firstLine="744"/>
        <w:spacing w:after="0" w:line="254" w:lineRule="auto"/>
        <w:rPr>
          <w:sz w:val="20"/>
          <w:szCs w:val="20"/>
          <w:color w:val="auto"/>
        </w:rPr>
      </w:pPr>
      <w:r>
        <w:rPr>
          <w:rFonts w:ascii="Times New Roman" w:cs="Times New Roman" w:eastAsia="Times New Roman" w:hAnsi="Times New Roman"/>
          <w:sz w:val="20"/>
          <w:szCs w:val="20"/>
          <w:color w:val="auto"/>
        </w:rPr>
        <w:t>(h)Investments (including debt obligations) received in connection with the bankruptcy or reorganization of customers or suppliers and in settlement of delinquent obligations of, and other disputes with, customers or suppliers arising in the ordinary course of business;</w:t>
      </w:r>
    </w:p>
    <w:p>
      <w:pPr>
        <w:spacing w:after="0" w:line="188" w:lineRule="exact"/>
        <w:rPr>
          <w:sz w:val="20"/>
          <w:szCs w:val="20"/>
          <w:color w:val="auto"/>
        </w:rPr>
      </w:pPr>
    </w:p>
    <w:p>
      <w:pPr>
        <w:jc w:val="both"/>
        <w:ind w:firstLine="744"/>
        <w:spacing w:after="0" w:line="269" w:lineRule="auto"/>
        <w:rPr>
          <w:sz w:val="20"/>
          <w:szCs w:val="20"/>
          <w:color w:val="auto"/>
        </w:rPr>
      </w:pPr>
      <w:r>
        <w:rPr>
          <w:rFonts w:ascii="Times New Roman" w:cs="Times New Roman" w:eastAsia="Times New Roman" w:hAnsi="Times New Roman"/>
          <w:sz w:val="20"/>
          <w:szCs w:val="20"/>
          <w:color w:val="auto"/>
        </w:rPr>
        <w:t>(i)Investments consisting of notes receivable of, or prepaid royalties and other credit extensions, to customers and suppliers who are not Affiliates, in the ordinary course of business;</w:t>
      </w:r>
    </w:p>
    <w:p>
      <w:pPr>
        <w:spacing w:after="0" w:line="159" w:lineRule="exact"/>
        <w:rPr>
          <w:sz w:val="20"/>
          <w:szCs w:val="20"/>
          <w:color w:val="auto"/>
        </w:rPr>
      </w:pPr>
    </w:p>
    <w:p>
      <w:pPr>
        <w:jc w:val="both"/>
        <w:ind w:firstLine="744"/>
        <w:spacing w:after="0" w:line="269" w:lineRule="auto"/>
        <w:rPr>
          <w:sz w:val="20"/>
          <w:szCs w:val="20"/>
          <w:color w:val="auto"/>
        </w:rPr>
      </w:pPr>
      <w:r>
        <w:rPr>
          <w:rFonts w:ascii="Times New Roman" w:cs="Times New Roman" w:eastAsia="Times New Roman" w:hAnsi="Times New Roman"/>
          <w:sz w:val="20"/>
          <w:szCs w:val="20"/>
          <w:color w:val="auto"/>
        </w:rPr>
        <w:t>(j)joint ventures or strategic alliances consisting of the non-exclusive licensing of technology, the development of technology or the providing of technical support in an amount not to exceed $500,000 per fiscal year;</w:t>
      </w:r>
    </w:p>
    <w:p>
      <w:pPr>
        <w:spacing w:after="0" w:line="159" w:lineRule="exact"/>
        <w:rPr>
          <w:sz w:val="20"/>
          <w:szCs w:val="20"/>
          <w:color w:val="auto"/>
        </w:rPr>
      </w:pPr>
    </w:p>
    <w:p>
      <w:pPr>
        <w:jc w:val="both"/>
        <w:ind w:firstLine="744"/>
        <w:spacing w:after="0" w:line="243" w:lineRule="auto"/>
        <w:rPr>
          <w:sz w:val="20"/>
          <w:szCs w:val="20"/>
          <w:color w:val="auto"/>
        </w:rPr>
      </w:pPr>
      <w:r>
        <w:rPr>
          <w:rFonts w:ascii="Times New Roman" w:cs="Times New Roman" w:eastAsia="Times New Roman" w:hAnsi="Times New Roman"/>
          <w:sz w:val="20"/>
          <w:szCs w:val="20"/>
          <w:color w:val="auto"/>
        </w:rPr>
        <w:t xml:space="preserve">(k)Investments in a Subsidiary of Borrower which is not a Credit Party that is required in order to consummate a Permitted Acquisition (including the formation of any Subsidiary for the purpose of effectuating such Permitted Acquisition, the capitalization of such Subsidiary whether by capital contribution or intercompany loans, in each case, to the extent otherwise permitted by the terms of this Agreement, related Investments in Subsidiaries necessary to consummate such Permitted Acquisition, and the receipt of any non-cash consideration in a Permitted Acquisition), so long as (i) both before and after giving effect to such Investment, the Credit Parties are in compliance, on a pro forma basis, with the financial covenant set forth in </w:t>
      </w:r>
      <w:r>
        <w:rPr>
          <w:rFonts w:ascii="Times New Roman" w:cs="Times New Roman" w:eastAsia="Times New Roman" w:hAnsi="Times New Roman"/>
          <w:sz w:val="20"/>
          <w:szCs w:val="20"/>
          <w:u w:val="single" w:color="auto"/>
          <w:color w:val="auto"/>
        </w:rPr>
        <w:t>Section 6.16</w:t>
      </w:r>
      <w:r>
        <w:rPr>
          <w:rFonts w:ascii="Times New Roman" w:cs="Times New Roman" w:eastAsia="Times New Roman" w:hAnsi="Times New Roman"/>
          <w:sz w:val="20"/>
          <w:szCs w:val="20"/>
          <w:color w:val="auto"/>
        </w:rPr>
        <w:t xml:space="preserve"> and (ii) the aggregate Investments made pursuant to this clause (k), together with the Acquisition Consideration paid or payable for Permitted Acquisitions described in clauses </w:t>
      </w:r>
      <w:r>
        <w:rPr>
          <w:rFonts w:ascii="Times New Roman" w:cs="Times New Roman" w:eastAsia="Times New Roman" w:hAnsi="Times New Roman"/>
          <w:sz w:val="20"/>
          <w:szCs w:val="20"/>
          <w:u w:val="single" w:color="auto"/>
          <w:color w:val="auto"/>
        </w:rPr>
        <w:t>(c)(ii)</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(ii)(B)</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(C)</w:t>
      </w:r>
      <w:r>
        <w:rPr>
          <w:rFonts w:ascii="Times New Roman" w:cs="Times New Roman" w:eastAsia="Times New Roman" w:hAnsi="Times New Roman"/>
          <w:sz w:val="20"/>
          <w:szCs w:val="20"/>
          <w:color w:val="auto"/>
        </w:rPr>
        <w:t xml:space="preserve"> of the definition thereof, does not exceed $5,000,000 at any time outstanding;</w:t>
      </w:r>
    </w:p>
    <w:p>
      <w:pPr>
        <w:spacing w:after="0" w:line="189" w:lineRule="exact"/>
        <w:rPr>
          <w:sz w:val="20"/>
          <w:szCs w:val="20"/>
          <w:color w:val="auto"/>
        </w:rPr>
      </w:pPr>
    </w:p>
    <w:p>
      <w:pPr>
        <w:jc w:val="both"/>
        <w:ind w:firstLine="744"/>
        <w:spacing w:after="0" w:line="274" w:lineRule="auto"/>
        <w:rPr>
          <w:sz w:val="20"/>
          <w:szCs w:val="20"/>
          <w:color w:val="auto"/>
        </w:rPr>
      </w:pPr>
      <w:r>
        <w:rPr>
          <w:rFonts w:ascii="Times New Roman" w:cs="Times New Roman" w:eastAsia="Times New Roman" w:hAnsi="Times New Roman"/>
          <w:sz w:val="19"/>
          <w:szCs w:val="19"/>
          <w:color w:val="auto"/>
        </w:rPr>
        <w:t xml:space="preserve">(l)Investments constituting the formation of any Subsidiary that is a Credit Party (but not any Investments in such Subsidiary, which must constitute Permitted Investments under another applicable clause of this definition) for the purpose of consummating a merger or acquisition transaction permitted by </w:t>
      </w:r>
      <w:r>
        <w:rPr>
          <w:rFonts w:ascii="Times New Roman" w:cs="Times New Roman" w:eastAsia="Times New Roman" w:hAnsi="Times New Roman"/>
          <w:sz w:val="19"/>
          <w:szCs w:val="19"/>
          <w:u w:val="single" w:color="auto"/>
          <w:color w:val="auto"/>
        </w:rPr>
        <w:t>Section 6.3(a)(i)</w:t>
      </w:r>
      <w:r>
        <w:rPr>
          <w:rFonts w:ascii="Times New Roman" w:cs="Times New Roman" w:eastAsia="Times New Roman" w:hAnsi="Times New Roman"/>
          <w:sz w:val="19"/>
          <w:szCs w:val="19"/>
          <w:color w:val="auto"/>
        </w:rPr>
        <w:t xml:space="preserve"> through </w:t>
      </w:r>
      <w:r>
        <w:rPr>
          <w:rFonts w:ascii="Times New Roman" w:cs="Times New Roman" w:eastAsia="Times New Roman" w:hAnsi="Times New Roman"/>
          <w:sz w:val="19"/>
          <w:szCs w:val="19"/>
          <w:u w:val="single" w:color="auto"/>
          <w:color w:val="auto"/>
        </w:rPr>
        <w:t>(iv)</w:t>
      </w:r>
      <w:r>
        <w:rPr>
          <w:rFonts w:ascii="Times New Roman" w:cs="Times New Roman" w:eastAsia="Times New Roman" w:hAnsi="Times New Roman"/>
          <w:sz w:val="19"/>
          <w:szCs w:val="19"/>
          <w:color w:val="auto"/>
        </w:rPr>
        <w:t xml:space="preserve"> hereof, which such transaction is otherwise a Permitted Investment;</w:t>
      </w:r>
    </w:p>
    <w:p>
      <w:pPr>
        <w:spacing w:after="0" w:line="156" w:lineRule="exact"/>
        <w:rPr>
          <w:sz w:val="20"/>
          <w:szCs w:val="20"/>
          <w:color w:val="auto"/>
        </w:rPr>
      </w:pPr>
    </w:p>
    <w:p>
      <w:pPr>
        <w:jc w:val="both"/>
        <w:ind w:firstLine="744"/>
        <w:spacing w:after="0" w:line="256" w:lineRule="auto"/>
        <w:rPr>
          <w:sz w:val="20"/>
          <w:szCs w:val="20"/>
          <w:color w:val="auto"/>
        </w:rPr>
      </w:pPr>
      <w:r>
        <w:rPr>
          <w:rFonts w:ascii="Times New Roman" w:cs="Times New Roman" w:eastAsia="Times New Roman" w:hAnsi="Times New Roman"/>
          <w:sz w:val="19"/>
          <w:szCs w:val="19"/>
          <w:color w:val="auto"/>
        </w:rPr>
        <w:t xml:space="preserve">(m)Investments of any Person that (i) becomes a Subsidiary of Borrower (or of any Person not previously a Subsidiary of Borrower that is merged or consolidated with or into a Subsidiary of Borrower in a transaction permitted hereunder) after the Closing Date, or (ii) are assumed after the Closing Date by any Subsidiary of Borrower in connection with an acquisition of assets from such Person by such Subsidiary, in either case, in a Permitted Acquisition;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that in each case, any such Investment (x) exists at the time such Person becomes a Subsidiary of Borrower (or is merged or consolidated with or into a Subsidiary of Borrower) or such assets are acquired,</w:t>
      </w:r>
    </w:p>
    <w:p>
      <w:pPr>
        <w:spacing w:after="0" w:line="4" w:lineRule="exact"/>
        <w:rPr>
          <w:sz w:val="20"/>
          <w:szCs w:val="20"/>
          <w:color w:val="auto"/>
        </w:rPr>
      </w:pPr>
    </w:p>
    <w:p>
      <w:pPr>
        <w:ind w:firstLine="3"/>
        <w:spacing w:after="0" w:line="246" w:lineRule="auto"/>
        <w:tabs>
          <w:tab w:leader="none" w:pos="288" w:val="left"/>
        </w:tabs>
        <w:numPr>
          <w:ilvl w:val="0"/>
          <w:numId w:val="1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was not made in contemplation of or in connection with such Person becoming a Subsidiary of Borrower (or merging or consolidating with or into a Subsidiary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596900</wp:posOffset>
            </wp:positionV>
            <wp:extent cx="7157720" cy="4254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400" w:top="1413" w:right="419" w:bottom="1440" w:gutter="0" w:footer="0" w:header="0"/>
        </w:sectPr>
      </w:pPr>
    </w:p>
    <w:bookmarkStart w:id="334" w:name="page335"/>
    <w:bookmarkEnd w:id="334"/>
    <w:p>
      <w:pPr>
        <w:spacing w:after="0" w:line="194" w:lineRule="exact"/>
        <w:rPr>
          <w:sz w:val="20"/>
          <w:szCs w:val="20"/>
          <w:color w:val="auto"/>
        </w:rPr>
      </w:pPr>
    </w:p>
    <w:p>
      <w:pPr>
        <w:jc w:val="right"/>
        <w:ind w:right="4379"/>
        <w:spacing w:after="0"/>
        <w:rPr>
          <w:sz w:val="20"/>
          <w:szCs w:val="20"/>
          <w:color w:val="auto"/>
        </w:rPr>
      </w:pPr>
      <w:r>
        <w:rPr>
          <w:rFonts w:ascii="Times New Roman" w:cs="Times New Roman" w:eastAsia="Times New Roman" w:hAnsi="Times New Roman"/>
          <w:sz w:val="18"/>
          <w:szCs w:val="18"/>
          <w:color w:val="auto"/>
        </w:rPr>
        <w:t>111</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4905-3710-6484 v.17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600710</wp:posOffset>
            </wp:positionV>
            <wp:extent cx="7157720" cy="4254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59"/>
          </w:cols>
          <w:pgMar w:left="400" w:top="1440" w:right="1440" w:bottom="1440" w:gutter="0" w:footer="0" w:header="0"/>
        </w:sectPr>
      </w:pPr>
    </w:p>
    <w:bookmarkStart w:id="335" w:name="page336"/>
    <w:bookmarkEnd w:id="335"/>
    <w:p>
      <w:pPr>
        <w:spacing w:after="0"/>
        <w:rPr>
          <w:sz w:val="20"/>
          <w:szCs w:val="20"/>
          <w:color w:val="auto"/>
        </w:rPr>
      </w:pPr>
      <w:r>
        <w:rPr>
          <w:rFonts w:ascii="Times New Roman" w:cs="Times New Roman" w:eastAsia="Times New Roman" w:hAnsi="Times New Roman"/>
          <w:sz w:val="20"/>
          <w:szCs w:val="20"/>
          <w:color w:val="auto"/>
        </w:rPr>
        <w:t>of Borrower) or such acquisition of assets, and (z) such Investment would not otherwise result in a Default or Event of Default;</w:t>
      </w:r>
    </w:p>
    <w:p>
      <w:pPr>
        <w:spacing w:after="0" w:line="216" w:lineRule="exact"/>
        <w:rPr>
          <w:sz w:val="20"/>
          <w:szCs w:val="20"/>
          <w:color w:val="auto"/>
        </w:rPr>
      </w:pPr>
    </w:p>
    <w:p>
      <w:pPr>
        <w:jc w:val="both"/>
        <w:ind w:firstLine="744"/>
        <w:spacing w:after="0" w:line="269" w:lineRule="auto"/>
        <w:rPr>
          <w:sz w:val="20"/>
          <w:szCs w:val="20"/>
          <w:color w:val="auto"/>
        </w:rPr>
      </w:pPr>
      <w:r>
        <w:rPr>
          <w:rFonts w:ascii="Times New Roman" w:cs="Times New Roman" w:eastAsia="Times New Roman" w:hAnsi="Times New Roman"/>
          <w:sz w:val="20"/>
          <w:szCs w:val="20"/>
          <w:color w:val="auto"/>
        </w:rPr>
        <w:t>(n)Investments arising as a result of the licensing of Intellectual Property in the ordinary course of business to the extent permitted pursuant to clause (j) of Permitted Transfers;</w:t>
      </w:r>
    </w:p>
    <w:p>
      <w:pPr>
        <w:spacing w:after="0" w:line="173" w:lineRule="exact"/>
        <w:rPr>
          <w:sz w:val="20"/>
          <w:szCs w:val="20"/>
          <w:color w:val="auto"/>
        </w:rPr>
      </w:pPr>
    </w:p>
    <w:p>
      <w:pPr>
        <w:jc w:val="both"/>
        <w:ind w:firstLine="744"/>
        <w:spacing w:after="0" w:line="245" w:lineRule="auto"/>
        <w:rPr>
          <w:sz w:val="20"/>
          <w:szCs w:val="20"/>
          <w:color w:val="auto"/>
        </w:rPr>
      </w:pPr>
      <w:r>
        <w:rPr>
          <w:rFonts w:ascii="Times New Roman" w:cs="Times New Roman" w:eastAsia="Times New Roman" w:hAnsi="Times New Roman"/>
          <w:sz w:val="20"/>
          <w:szCs w:val="20"/>
          <w:color w:val="auto"/>
        </w:rPr>
        <w:t xml:space="preserve">(o)Investments by (i) any Credit Party in any other Credit Party, (ii) any Subsidiary of Borrower which is not a Credit Party in another Subsidiary of Borrower which is not a Credit Party, (iii) any Subsidiary of Borrower which is not a Credit Party in any Credit Party;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(x) after giving effect to such Investment, such non-Credit Party Subsidiary may not own any Equity Interests of such Credit Party and (y) such Investment shall be subordinated to the Obligations pursuant to the Intercompany Subordination Agreement and</w:t>
      </w:r>
    </w:p>
    <w:p>
      <w:pPr>
        <w:spacing w:after="0" w:line="1" w:lineRule="exact"/>
        <w:rPr>
          <w:sz w:val="20"/>
          <w:szCs w:val="20"/>
          <w:color w:val="auto"/>
        </w:rPr>
      </w:pPr>
    </w:p>
    <w:p>
      <w:pPr>
        <w:jc w:val="both"/>
        <w:ind w:firstLine="3"/>
        <w:spacing w:after="0" w:line="241" w:lineRule="auto"/>
        <w:tabs>
          <w:tab w:leader="none" w:pos="343" w:val="left"/>
        </w:tabs>
        <w:numPr>
          <w:ilvl w:val="0"/>
          <w:numId w:val="1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Credit Party in any Subsidiary of Borrower which is not a Credit Party in the ordinary course to cover operating and maintenance of such Subsidiary which is not a Credit Party,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the aggregate consideration provided by Credit Parties for Investments after the Closing Date pursuant to this clause (iv) (net of all dividends, distributions, returns of capital and payments on Indebtedness received by the Credit Parties from non-Credit Parties) shall not exceed $500,000;</w:t>
      </w:r>
    </w:p>
    <w:p>
      <w:pPr>
        <w:spacing w:after="0" w:line="188" w:lineRule="exact"/>
        <w:rPr>
          <w:sz w:val="20"/>
          <w:szCs w:val="20"/>
          <w:color w:val="auto"/>
        </w:rPr>
      </w:pPr>
    </w:p>
    <w:p>
      <w:pPr>
        <w:jc w:val="both"/>
        <w:ind w:firstLine="744"/>
        <w:spacing w:after="0" w:line="246" w:lineRule="auto"/>
        <w:rPr>
          <w:sz w:val="20"/>
          <w:szCs w:val="20"/>
          <w:color w:val="auto"/>
        </w:rPr>
      </w:pPr>
      <w:r>
        <w:rPr>
          <w:rFonts w:ascii="Times New Roman" w:cs="Times New Roman" w:eastAsia="Times New Roman" w:hAnsi="Times New Roman"/>
          <w:sz w:val="20"/>
          <w:szCs w:val="20"/>
          <w:color w:val="auto"/>
        </w:rPr>
        <w:t xml:space="preserve">(p)without limiting the restrictions on amounts permitted to be incurred under </w:t>
      </w:r>
      <w:r>
        <w:rPr>
          <w:rFonts w:ascii="Times New Roman" w:cs="Times New Roman" w:eastAsia="Times New Roman" w:hAnsi="Times New Roman"/>
          <w:sz w:val="20"/>
          <w:szCs w:val="20"/>
          <w:u w:val="single" w:color="auto"/>
          <w:color w:val="auto"/>
        </w:rPr>
        <w:t>clause (k)</w:t>
      </w:r>
      <w:r>
        <w:rPr>
          <w:rFonts w:ascii="Times New Roman" w:cs="Times New Roman" w:eastAsia="Times New Roman" w:hAnsi="Times New Roman"/>
          <w:sz w:val="20"/>
          <w:szCs w:val="20"/>
          <w:color w:val="auto"/>
        </w:rPr>
        <w:t xml:space="preserve"> above, Investments consisting of earnest money deposits required in connection with a Permitted Acquisition or other acquisition of properties or assets not otherwise prohibited hereunder; so long as (i) both before and after giving effect to such Investment, the Credit Parties are in compliance, on a pro forma basis, with the financial covenant set forth in </w:t>
      </w:r>
      <w:r>
        <w:rPr>
          <w:rFonts w:ascii="Times New Roman" w:cs="Times New Roman" w:eastAsia="Times New Roman" w:hAnsi="Times New Roman"/>
          <w:sz w:val="20"/>
          <w:szCs w:val="20"/>
          <w:u w:val="single" w:color="auto"/>
          <w:color w:val="auto"/>
        </w:rPr>
        <w:t>Section 6.16</w:t>
      </w:r>
      <w:r>
        <w:rPr>
          <w:rFonts w:ascii="Times New Roman" w:cs="Times New Roman" w:eastAsia="Times New Roman" w:hAnsi="Times New Roman"/>
          <w:sz w:val="20"/>
          <w:szCs w:val="20"/>
          <w:color w:val="auto"/>
        </w:rPr>
        <w:t xml:space="preserve"> and (ii) the aggregate Investments made pursuant to this clause (p), do not exceed the lesser of (x) 5% of the purchase price paid in connection therewith and (y) $10,000,000 at any time outstanding; and</w:t>
      </w:r>
    </w:p>
    <w:p>
      <w:pPr>
        <w:spacing w:after="0" w:line="185" w:lineRule="exact"/>
        <w:rPr>
          <w:sz w:val="20"/>
          <w:szCs w:val="20"/>
          <w:color w:val="auto"/>
        </w:rPr>
      </w:pPr>
    </w:p>
    <w:p>
      <w:pPr>
        <w:jc w:val="both"/>
        <w:ind w:firstLine="744"/>
        <w:spacing w:after="0" w:line="269" w:lineRule="auto"/>
        <w:rPr>
          <w:sz w:val="20"/>
          <w:szCs w:val="20"/>
          <w:color w:val="auto"/>
        </w:rPr>
      </w:pPr>
      <w:r>
        <w:rPr>
          <w:rFonts w:ascii="Times New Roman" w:cs="Times New Roman" w:eastAsia="Times New Roman" w:hAnsi="Times New Roman"/>
          <w:sz w:val="20"/>
          <w:szCs w:val="20"/>
          <w:color w:val="auto"/>
        </w:rPr>
        <w:t>(q)other Investments in an aggregate amount at any time not to exceed $5,000,000, so long as both immediately before and after giving effect to such Investment, no Default or Event of Default has occurred and is continuing;</w:t>
      </w:r>
    </w:p>
    <w:p>
      <w:pPr>
        <w:spacing w:after="0" w:line="159" w:lineRule="exact"/>
        <w:rPr>
          <w:sz w:val="20"/>
          <w:szCs w:val="20"/>
          <w:color w:val="auto"/>
        </w:rPr>
      </w:pPr>
    </w:p>
    <w:p>
      <w:pPr>
        <w:jc w:val="both"/>
        <w:ind w:firstLine="669"/>
        <w:spacing w:after="0" w:line="254" w:lineRule="auto"/>
        <w:rPr>
          <w:sz w:val="20"/>
          <w:szCs w:val="20"/>
          <w:color w:val="auto"/>
        </w:rPr>
      </w:pP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none of the foregoing Investments shall be a “Permitted Investment” if (x) any Indebtedness or Liens assumed in connection with such Investment are not otherwise permitted under </w:t>
      </w:r>
      <w:r>
        <w:rPr>
          <w:rFonts w:ascii="Times New Roman" w:cs="Times New Roman" w:eastAsia="Times New Roman" w:hAnsi="Times New Roman"/>
          <w:sz w:val="20"/>
          <w:szCs w:val="20"/>
          <w:u w:val="single" w:color="auto"/>
          <w:color w:val="auto"/>
        </w:rPr>
        <w:t>Section 6.4</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6.5</w:t>
      </w:r>
      <w:r>
        <w:rPr>
          <w:rFonts w:ascii="Times New Roman" w:cs="Times New Roman" w:eastAsia="Times New Roman" w:hAnsi="Times New Roman"/>
          <w:sz w:val="20"/>
          <w:szCs w:val="20"/>
          <w:color w:val="auto"/>
        </w:rPr>
        <w:t xml:space="preserve">, respectively or (y) to the extent also constituting a Transfer, such Investment is not otherwise permitted under </w:t>
      </w:r>
      <w:r>
        <w:rPr>
          <w:rFonts w:ascii="Times New Roman" w:cs="Times New Roman" w:eastAsia="Times New Roman" w:hAnsi="Times New Roman"/>
          <w:sz w:val="20"/>
          <w:szCs w:val="20"/>
          <w:u w:val="single" w:color="auto"/>
          <w:color w:val="auto"/>
        </w:rPr>
        <w:t>Section 6.1</w:t>
      </w:r>
      <w:r>
        <w:rPr>
          <w:rFonts w:ascii="Times New Roman" w:cs="Times New Roman" w:eastAsia="Times New Roman" w:hAnsi="Times New Roman"/>
          <w:sz w:val="20"/>
          <w:szCs w:val="20"/>
          <w:color w:val="auto"/>
        </w:rPr>
        <w:t>.</w:t>
      </w:r>
    </w:p>
    <w:p>
      <w:pPr>
        <w:spacing w:after="0" w:line="174" w:lineRule="exact"/>
        <w:rPr>
          <w:sz w:val="20"/>
          <w:szCs w:val="20"/>
          <w:color w:val="auto"/>
        </w:rPr>
      </w:pPr>
    </w:p>
    <w:p>
      <w:pPr>
        <w:jc w:val="both"/>
        <w:ind w:firstLine="669"/>
        <w:spacing w:after="0" w:line="254" w:lineRule="auto"/>
        <w:rPr>
          <w:sz w:val="20"/>
          <w:szCs w:val="20"/>
          <w:color w:val="auto"/>
        </w:rPr>
      </w:pPr>
      <w:r>
        <w:rPr>
          <w:rFonts w:ascii="Times New Roman" w:cs="Times New Roman" w:eastAsia="Times New Roman" w:hAnsi="Times New Roman"/>
          <w:sz w:val="20"/>
          <w:szCs w:val="20"/>
          <w:color w:val="auto"/>
        </w:rPr>
        <w:t xml:space="preserve">Notwithstanding anything to the contrary in this Agreement, “Permitted Investments” shall not include any Hedging Agreements other than those described in </w:t>
      </w:r>
      <w:r>
        <w:rPr>
          <w:rFonts w:ascii="Times New Roman" w:cs="Times New Roman" w:eastAsia="Times New Roman" w:hAnsi="Times New Roman"/>
          <w:sz w:val="20"/>
          <w:szCs w:val="20"/>
          <w:u w:val="single" w:color="auto"/>
          <w:color w:val="auto"/>
        </w:rPr>
        <w:t>Section 4.23(b)</w:t>
      </w:r>
      <w:r>
        <w:rPr>
          <w:rFonts w:ascii="Times New Roman" w:cs="Times New Roman" w:eastAsia="Times New Roman" w:hAnsi="Times New Roman"/>
          <w:sz w:val="20"/>
          <w:szCs w:val="20"/>
          <w:color w:val="auto"/>
        </w:rPr>
        <w:t xml:space="preserve"> hereof and those entered into in connection with a Permitted Bond Hedge Transaction and foreign exchange hedging transactions not for speculative purposes.</w:t>
      </w:r>
    </w:p>
    <w:p>
      <w:pPr>
        <w:spacing w:after="0" w:line="17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Permitted Liens</w:t>
      </w:r>
      <w:r>
        <w:rPr>
          <w:rFonts w:ascii="Times New Roman" w:cs="Times New Roman" w:eastAsia="Times New Roman" w:hAnsi="Times New Roman"/>
          <w:sz w:val="20"/>
          <w:szCs w:val="20"/>
          <w:color w:val="auto"/>
        </w:rPr>
        <w:t>” means:</w:t>
      </w:r>
    </w:p>
    <w:p>
      <w:pPr>
        <w:spacing w:after="0" w:line="220"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color w:val="auto"/>
        </w:rPr>
        <w:t>(a)Liens in favor and for the benefit of the Agent and the other Secured Parties pursuant to any Loan Document;</w:t>
      </w:r>
    </w:p>
    <w:p>
      <w:pPr>
        <w:spacing w:after="0" w:line="22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color w:val="auto"/>
        </w:rPr>
        <w:t xml:space="preserve">(b)Liens existing on the Closing Date and set forth on </w:t>
      </w:r>
      <w:r>
        <w:rPr>
          <w:rFonts w:ascii="Times New Roman" w:cs="Times New Roman" w:eastAsia="Times New Roman" w:hAnsi="Times New Roman"/>
          <w:sz w:val="20"/>
          <w:szCs w:val="20"/>
          <w:u w:val="single" w:color="auto"/>
          <w:color w:val="auto"/>
        </w:rPr>
        <w:t>Schedule 12.3</w:t>
      </w:r>
      <w:r>
        <w:rPr>
          <w:rFonts w:ascii="Times New Roman" w:cs="Times New Roman" w:eastAsia="Times New Roman" w:hAnsi="Times New Roman"/>
          <w:sz w:val="20"/>
          <w:szCs w:val="20"/>
          <w:color w:val="auto"/>
        </w:rPr>
        <w:t xml:space="preserve"> of the Disclosure Letter;</w:t>
      </w:r>
    </w:p>
    <w:p>
      <w:pPr>
        <w:spacing w:after="0" w:line="216" w:lineRule="exact"/>
        <w:rPr>
          <w:sz w:val="20"/>
          <w:szCs w:val="20"/>
          <w:color w:val="auto"/>
        </w:rPr>
      </w:pPr>
    </w:p>
    <w:p>
      <w:pPr>
        <w:jc w:val="both"/>
        <w:ind w:firstLine="744"/>
        <w:spacing w:after="0" w:line="254" w:lineRule="auto"/>
        <w:rPr>
          <w:sz w:val="20"/>
          <w:szCs w:val="20"/>
          <w:color w:val="auto"/>
        </w:rPr>
      </w:pPr>
      <w:r>
        <w:rPr>
          <w:rFonts w:ascii="Times New Roman" w:cs="Times New Roman" w:eastAsia="Times New Roman" w:hAnsi="Times New Roman"/>
          <w:sz w:val="20"/>
          <w:szCs w:val="20"/>
          <w:color w:val="auto"/>
        </w:rPr>
        <w:t>(c)Liens for Taxes, assessments or governmental charges (i) which are not yet delinquent or (ii) which are being contested in good faith and by appropriate proceedings diligently conducted, if adequate reserves with respect thereto are maintained on the books of the applicable Person to the extent required in accordance with GAAP;</w:t>
      </w:r>
    </w:p>
    <w:p>
      <w:pPr>
        <w:spacing w:after="0" w:line="174" w:lineRule="exact"/>
        <w:rPr>
          <w:sz w:val="20"/>
          <w:szCs w:val="20"/>
          <w:color w:val="auto"/>
        </w:rPr>
      </w:pPr>
    </w:p>
    <w:p>
      <w:pPr>
        <w:jc w:val="both"/>
        <w:ind w:firstLine="744"/>
        <w:spacing w:after="0" w:line="269" w:lineRule="auto"/>
        <w:rPr>
          <w:sz w:val="20"/>
          <w:szCs w:val="20"/>
          <w:color w:val="auto"/>
        </w:rPr>
      </w:pPr>
      <w:r>
        <w:rPr>
          <w:rFonts w:ascii="Times New Roman" w:cs="Times New Roman" w:eastAsia="Times New Roman" w:hAnsi="Times New Roman"/>
          <w:sz w:val="20"/>
          <w:szCs w:val="20"/>
          <w:color w:val="auto"/>
        </w:rPr>
        <w:t>(d)(i) pledges, deposits or Liens arising as a matter of law in the ordinary course of business (other than Liens imposed by ERISA) in connection with workers’ compensation, payroll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582930</wp:posOffset>
            </wp:positionV>
            <wp:extent cx="7157720" cy="4254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400" w:top="1413" w:right="419" w:bottom="1440" w:gutter="0" w:footer="0" w:header="0"/>
        </w:sectPr>
      </w:pPr>
    </w:p>
    <w:bookmarkStart w:id="336" w:name="page337"/>
    <w:bookmarkEnd w:id="336"/>
    <w:p>
      <w:pPr>
        <w:jc w:val="right"/>
        <w:ind w:right="4379"/>
        <w:spacing w:after="0"/>
        <w:rPr>
          <w:sz w:val="20"/>
          <w:szCs w:val="20"/>
          <w:color w:val="auto"/>
        </w:rPr>
      </w:pPr>
      <w:r>
        <w:rPr>
          <w:rFonts w:ascii="Times New Roman" w:cs="Times New Roman" w:eastAsia="Times New Roman" w:hAnsi="Times New Roman"/>
          <w:sz w:val="18"/>
          <w:szCs w:val="18"/>
          <w:color w:val="auto"/>
        </w:rPr>
        <w:t>112</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4905-3710-6484 v.17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600710</wp:posOffset>
            </wp:positionV>
            <wp:extent cx="7157720" cy="4254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59"/>
          </w:cols>
          <w:pgMar w:left="400" w:top="1417" w:right="1440" w:bottom="1440" w:gutter="0" w:footer="0" w:header="0"/>
        </w:sectPr>
      </w:pPr>
    </w:p>
    <w:bookmarkStart w:id="337" w:name="page338"/>
    <w:bookmarkEnd w:id="337"/>
    <w:p>
      <w:pPr>
        <w:jc w:val="both"/>
        <w:spacing w:after="0" w:line="244" w:lineRule="auto"/>
        <w:rPr>
          <w:sz w:val="20"/>
          <w:szCs w:val="20"/>
          <w:color w:val="auto"/>
        </w:rPr>
      </w:pPr>
      <w:r>
        <w:rPr>
          <w:rFonts w:ascii="Times New Roman" w:cs="Times New Roman" w:eastAsia="Times New Roman" w:hAnsi="Times New Roman"/>
          <w:sz w:val="20"/>
          <w:szCs w:val="20"/>
          <w:color w:val="auto"/>
        </w:rPr>
        <w:t>unemployment insurance and other social security legislation, (ii) pledges and deposits in the ordinary course of business securing liability for reimbursement or indemnification obligations of (including obligations in respect of letters of credit or bank guarantees for the benefit of) insurance carriers providing property, casualty or liability insurance to Borrower or any of its Subsidiaries, (iii) pledges and deposits in the ordinary course of business securing liability to landlords (including obligations in respect of letters of credit or bank guarantees for the benefit of landlords) or other contractual obligations and (iv) pledges or deposits to secure performance of tenders, statutory obligations, bids, leases or other similar obligations (other than for borrowed money) or to secure obligations on surety and appeal bonds or performance bonds, in each case, entered into in the ordinary course of business;</w:t>
      </w:r>
    </w:p>
    <w:p>
      <w:pPr>
        <w:spacing w:after="0" w:line="186" w:lineRule="exact"/>
        <w:rPr>
          <w:sz w:val="20"/>
          <w:szCs w:val="20"/>
          <w:color w:val="auto"/>
        </w:rPr>
      </w:pPr>
    </w:p>
    <w:p>
      <w:pPr>
        <w:jc w:val="both"/>
        <w:ind w:firstLine="744"/>
        <w:spacing w:after="0" w:line="269" w:lineRule="auto"/>
        <w:rPr>
          <w:sz w:val="20"/>
          <w:szCs w:val="20"/>
          <w:color w:val="auto"/>
        </w:rPr>
      </w:pPr>
      <w:r>
        <w:rPr>
          <w:rFonts w:ascii="Times New Roman" w:cs="Times New Roman" w:eastAsia="Times New Roman" w:hAnsi="Times New Roman"/>
          <w:sz w:val="20"/>
          <w:szCs w:val="20"/>
          <w:color w:val="auto"/>
        </w:rPr>
        <w:t xml:space="preserve">(e)Liens arising from attachments or judgments, orders, or decrees in circumstances not constituting an Event of Default under either </w:t>
      </w:r>
      <w:r>
        <w:rPr>
          <w:rFonts w:ascii="Times New Roman" w:cs="Times New Roman" w:eastAsia="Times New Roman" w:hAnsi="Times New Roman"/>
          <w:sz w:val="20"/>
          <w:szCs w:val="20"/>
          <w:u w:val="single" w:color="auto"/>
          <w:color w:val="auto"/>
        </w:rPr>
        <w:t>Section 7.4</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7.7</w:t>
      </w:r>
      <w:r>
        <w:rPr>
          <w:rFonts w:ascii="Times New Roman" w:cs="Times New Roman" w:eastAsia="Times New Roman" w:hAnsi="Times New Roman"/>
          <w:sz w:val="20"/>
          <w:szCs w:val="20"/>
          <w:color w:val="auto"/>
        </w:rPr>
        <w:t>;</w:t>
      </w:r>
    </w:p>
    <w:p>
      <w:pPr>
        <w:spacing w:after="0" w:line="146" w:lineRule="exact"/>
        <w:rPr>
          <w:sz w:val="20"/>
          <w:szCs w:val="20"/>
          <w:color w:val="auto"/>
        </w:rPr>
      </w:pPr>
    </w:p>
    <w:p>
      <w:pPr>
        <w:jc w:val="both"/>
        <w:ind w:firstLine="744"/>
        <w:spacing w:after="0" w:line="246" w:lineRule="auto"/>
        <w:rPr>
          <w:sz w:val="20"/>
          <w:szCs w:val="20"/>
          <w:color w:val="auto"/>
        </w:rPr>
      </w:pPr>
      <w:r>
        <w:rPr>
          <w:rFonts w:ascii="Times New Roman" w:cs="Times New Roman" w:eastAsia="Times New Roman" w:hAnsi="Times New Roman"/>
          <w:sz w:val="20"/>
          <w:szCs w:val="20"/>
          <w:color w:val="auto"/>
        </w:rPr>
        <w:t xml:space="preserve">(f)Liens (including the right of set-off) in favor of banks or other financial institutions arising in connection with deposit or securities accounts held at such institutions in the ordinary course of business;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Liens are not given in connection with the incurrence of Indebtedness and relate solely to obligations for administrative and other banking fees and expenses incurred in the ordinary course of business in connection with the establishment or maintenance of such accounts;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that such Liens are within the general parameters customary in the banking industry;</w:t>
      </w:r>
    </w:p>
    <w:p>
      <w:pPr>
        <w:spacing w:after="0" w:line="185" w:lineRule="exact"/>
        <w:rPr>
          <w:sz w:val="20"/>
          <w:szCs w:val="20"/>
          <w:color w:val="auto"/>
        </w:rPr>
      </w:pPr>
    </w:p>
    <w:p>
      <w:pPr>
        <w:jc w:val="both"/>
        <w:ind w:firstLine="744"/>
        <w:spacing w:after="0" w:line="254" w:lineRule="auto"/>
        <w:rPr>
          <w:sz w:val="20"/>
          <w:szCs w:val="20"/>
          <w:color w:val="auto"/>
        </w:rPr>
      </w:pPr>
      <w:r>
        <w:rPr>
          <w:rFonts w:ascii="Times New Roman" w:cs="Times New Roman" w:eastAsia="Times New Roman" w:hAnsi="Times New Roman"/>
          <w:sz w:val="20"/>
          <w:szCs w:val="20"/>
          <w:color w:val="auto"/>
        </w:rPr>
        <w:t>(g)Liens that are contractual rights of set-off (i) relating to pooled deposit or sweep accounts of Borrower or any of its Subsidiaries to permit satisfaction of overdraft or similar obligations incurred in the ordinary course of business or (ii) relating to purchase orders and other agreements entered into with customers of Borrower or any of its Subsidiaries in the ordinary course of business;</w:t>
      </w:r>
    </w:p>
    <w:p>
      <w:pPr>
        <w:spacing w:after="0" w:line="174" w:lineRule="exact"/>
        <w:rPr>
          <w:sz w:val="20"/>
          <w:szCs w:val="20"/>
          <w:color w:val="auto"/>
        </w:rPr>
      </w:pPr>
    </w:p>
    <w:p>
      <w:pPr>
        <w:jc w:val="both"/>
        <w:ind w:firstLine="744"/>
        <w:spacing w:after="0" w:line="254" w:lineRule="auto"/>
        <w:rPr>
          <w:sz w:val="20"/>
          <w:szCs w:val="20"/>
          <w:color w:val="auto"/>
        </w:rPr>
      </w:pPr>
      <w:r>
        <w:rPr>
          <w:rFonts w:ascii="Times New Roman" w:cs="Times New Roman" w:eastAsia="Times New Roman" w:hAnsi="Times New Roman"/>
          <w:sz w:val="20"/>
          <w:szCs w:val="20"/>
          <w:color w:val="auto"/>
        </w:rPr>
        <w:t>(h)Liens solely on any cash earnest money deposits made by Borrower or any of its Subsidiaries in connection with any Acquisition, Investment or other acquisition of assets or property not otherwise prohibited under this Agreement in an aggregate amount not to exceed the lesser of (i) 5% of the purchase price paid in connection therewith and (ii) $10,000,000;</w:t>
      </w:r>
    </w:p>
    <w:p>
      <w:pPr>
        <w:spacing w:after="0" w:line="161" w:lineRule="exact"/>
        <w:rPr>
          <w:sz w:val="20"/>
          <w:szCs w:val="20"/>
          <w:color w:val="auto"/>
        </w:rPr>
      </w:pPr>
    </w:p>
    <w:p>
      <w:pPr>
        <w:jc w:val="both"/>
        <w:ind w:firstLine="744"/>
        <w:spacing w:after="0" w:line="243" w:lineRule="auto"/>
        <w:rPr>
          <w:sz w:val="20"/>
          <w:szCs w:val="20"/>
          <w:color w:val="auto"/>
        </w:rPr>
      </w:pPr>
      <w:r>
        <w:rPr>
          <w:rFonts w:ascii="Times New Roman" w:cs="Times New Roman" w:eastAsia="Times New Roman" w:hAnsi="Times New Roman"/>
          <w:sz w:val="20"/>
          <w:szCs w:val="20"/>
          <w:color w:val="auto"/>
        </w:rPr>
        <w:t xml:space="preserve">(i)Liens existing on assets or properties at the time of its acquisition or existing on the assets or properties of any Person at the time such Person becomes a Subsidiary of Borrower, in each case after the date hereof;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such Lien was not created in contemplation of such acquisition or such Person becoming a Subsidiary of Borrower, (ii) such Lien does not extend to or cover any other assets or properties (other than the proceeds or products thereof and other than after-acquired assets or properties subjected to a Lien securing Indebtedness and other obligations incurred prior to such time and which Indebtedness and other obligations are permitted hereunder that require, pursuant to their terms at such time, a pledge of after-acquired assets or properties, it being understood that such requirement shall not be permitted to apply to any assets or properties to which such requirement would not have applied but for such acquisition), and (iii) the Indebtedness secured thereby is permitted under </w:t>
      </w:r>
      <w:r>
        <w:rPr>
          <w:rFonts w:ascii="Times New Roman" w:cs="Times New Roman" w:eastAsia="Times New Roman" w:hAnsi="Times New Roman"/>
          <w:sz w:val="20"/>
          <w:szCs w:val="20"/>
          <w:u w:val="single" w:color="auto"/>
          <w:color w:val="auto"/>
        </w:rPr>
        <w:t>clause (g)</w:t>
      </w:r>
      <w:r>
        <w:rPr>
          <w:rFonts w:ascii="Times New Roman" w:cs="Times New Roman" w:eastAsia="Times New Roman" w:hAnsi="Times New Roman"/>
          <w:sz w:val="20"/>
          <w:szCs w:val="20"/>
          <w:color w:val="auto"/>
        </w:rPr>
        <w:t xml:space="preserve"> of the definition of Permitted Indebtedness as the aggregate principal amount of such Indebtedness does not exceed $5,000,000 at any time outstanding;</w:t>
      </w:r>
    </w:p>
    <w:p>
      <w:pPr>
        <w:spacing w:after="0" w:line="186" w:lineRule="exact"/>
        <w:rPr>
          <w:sz w:val="20"/>
          <w:szCs w:val="20"/>
          <w:color w:val="auto"/>
        </w:rPr>
      </w:pPr>
    </w:p>
    <w:p>
      <w:pPr>
        <w:jc w:val="both"/>
        <w:ind w:firstLine="744"/>
        <w:spacing w:after="0" w:line="254" w:lineRule="auto"/>
        <w:rPr>
          <w:sz w:val="20"/>
          <w:szCs w:val="20"/>
          <w:color w:val="auto"/>
        </w:rPr>
      </w:pPr>
      <w:r>
        <w:rPr>
          <w:rFonts w:ascii="Times New Roman" w:cs="Times New Roman" w:eastAsia="Times New Roman" w:hAnsi="Times New Roman"/>
          <w:sz w:val="20"/>
          <w:szCs w:val="20"/>
          <w:color w:val="auto"/>
        </w:rPr>
        <w:t>(j)Liens securing Indebtedness permitted under clause (d) of the definition of “Permitted Indebtedness”, so long as such Liens do not at any time encumber property other than the property financed by such Indebtedness or the subject of the applicable Finance Lease obligations and the proceeds and products thereof and customary security deposits;</w:t>
      </w:r>
    </w:p>
    <w:p>
      <w:pPr>
        <w:spacing w:after="0" w:line="161" w:lineRule="exact"/>
        <w:rPr>
          <w:sz w:val="20"/>
          <w:szCs w:val="20"/>
          <w:color w:val="auto"/>
        </w:rPr>
      </w:pPr>
    </w:p>
    <w:p>
      <w:pPr>
        <w:jc w:val="both"/>
        <w:ind w:firstLine="744"/>
        <w:spacing w:after="0" w:line="269" w:lineRule="auto"/>
        <w:rPr>
          <w:sz w:val="20"/>
          <w:szCs w:val="20"/>
          <w:color w:val="auto"/>
        </w:rPr>
      </w:pPr>
      <w:r>
        <w:rPr>
          <w:rFonts w:ascii="Times New Roman" w:cs="Times New Roman" w:eastAsia="Times New Roman" w:hAnsi="Times New Roman"/>
          <w:sz w:val="20"/>
          <w:szCs w:val="20"/>
          <w:color w:val="auto"/>
        </w:rPr>
        <w:t>(k)rights of first refusal, voting, redemption, transfer or other restrictions (including call provisions and buy-sell provisions) with respect to the Equity Interests of any joint venture or other Persons that are not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582930</wp:posOffset>
            </wp:positionV>
            <wp:extent cx="7157720" cy="4254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400" w:top="1413" w:right="419" w:bottom="1440" w:gutter="0" w:footer="0" w:header="0"/>
        </w:sectPr>
      </w:pPr>
    </w:p>
    <w:bookmarkStart w:id="338" w:name="page339"/>
    <w:bookmarkEnd w:id="338"/>
    <w:p>
      <w:pPr>
        <w:spacing w:after="0" w:line="396" w:lineRule="exact"/>
        <w:rPr>
          <w:sz w:val="20"/>
          <w:szCs w:val="20"/>
          <w:color w:val="auto"/>
        </w:rPr>
      </w:pPr>
    </w:p>
    <w:p>
      <w:pPr>
        <w:jc w:val="right"/>
        <w:ind w:right="4379"/>
        <w:spacing w:after="0"/>
        <w:rPr>
          <w:sz w:val="20"/>
          <w:szCs w:val="20"/>
          <w:color w:val="auto"/>
        </w:rPr>
      </w:pPr>
      <w:r>
        <w:rPr>
          <w:rFonts w:ascii="Times New Roman" w:cs="Times New Roman" w:eastAsia="Times New Roman" w:hAnsi="Times New Roman"/>
          <w:sz w:val="18"/>
          <w:szCs w:val="18"/>
          <w:color w:val="auto"/>
        </w:rPr>
        <w:t>113</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4905-3710-6484 v.17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600710</wp:posOffset>
            </wp:positionV>
            <wp:extent cx="7157720" cy="4254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59"/>
          </w:cols>
          <w:pgMar w:left="400" w:top="1440" w:right="1440" w:bottom="1440" w:gutter="0" w:footer="0" w:header="0"/>
        </w:sectPr>
      </w:pPr>
    </w:p>
    <w:bookmarkStart w:id="339" w:name="page340"/>
    <w:bookmarkEnd w:id="339"/>
    <w:p>
      <w:pPr>
        <w:jc w:val="both"/>
        <w:ind w:firstLine="744"/>
        <w:spacing w:after="0" w:line="254" w:lineRule="auto"/>
        <w:rPr>
          <w:sz w:val="20"/>
          <w:szCs w:val="20"/>
          <w:color w:val="auto"/>
        </w:rPr>
      </w:pPr>
      <w:r>
        <w:rPr>
          <w:rFonts w:ascii="Times New Roman" w:cs="Times New Roman" w:eastAsia="Times New Roman" w:hAnsi="Times New Roman"/>
          <w:sz w:val="20"/>
          <w:szCs w:val="20"/>
          <w:color w:val="auto"/>
        </w:rPr>
        <w:t>(l)to the extent constituting a Lien, customary escrow arrangements securing indemnification obligations associated with an Acquisition or any other Investment in an amount not to exceed the greater of (i) with respect to each such Acquisition or Investment, 5% of the purchase price of such Acquisition or Investment and (ii) $2,000,000 in the aggregate for all such Acquisitions or Investments;</w:t>
      </w:r>
    </w:p>
    <w:p>
      <w:pPr>
        <w:spacing w:after="0" w:line="174" w:lineRule="exact"/>
        <w:rPr>
          <w:sz w:val="20"/>
          <w:szCs w:val="20"/>
          <w:color w:val="auto"/>
        </w:rPr>
      </w:pPr>
    </w:p>
    <w:p>
      <w:pPr>
        <w:jc w:val="both"/>
        <w:ind w:firstLine="744"/>
        <w:spacing w:after="0" w:line="269" w:lineRule="auto"/>
        <w:rPr>
          <w:sz w:val="20"/>
          <w:szCs w:val="20"/>
          <w:color w:val="auto"/>
        </w:rPr>
      </w:pPr>
      <w:r>
        <w:rPr>
          <w:rFonts w:ascii="Times New Roman" w:cs="Times New Roman" w:eastAsia="Times New Roman" w:hAnsi="Times New Roman"/>
          <w:sz w:val="20"/>
          <w:szCs w:val="20"/>
          <w:color w:val="auto"/>
        </w:rPr>
        <w:t>(m)licenses, sublicenses, leases or subleases (other than relating to Intellectual Property) granted to others in the ordinary course of business not interfering in any material respect with the business of any Credit Party or any of its Subsidiaries;</w:t>
      </w:r>
    </w:p>
    <w:p>
      <w:pPr>
        <w:spacing w:after="0" w:line="159" w:lineRule="exact"/>
        <w:rPr>
          <w:sz w:val="20"/>
          <w:szCs w:val="20"/>
          <w:color w:val="auto"/>
        </w:rPr>
      </w:pPr>
    </w:p>
    <w:p>
      <w:pPr>
        <w:jc w:val="both"/>
        <w:ind w:firstLine="744"/>
        <w:spacing w:after="0" w:line="249" w:lineRule="auto"/>
        <w:rPr>
          <w:sz w:val="20"/>
          <w:szCs w:val="20"/>
          <w:color w:val="auto"/>
        </w:rPr>
      </w:pPr>
      <w:r>
        <w:rPr>
          <w:rFonts w:ascii="Times New Roman" w:cs="Times New Roman" w:eastAsia="Times New Roman" w:hAnsi="Times New Roman"/>
          <w:sz w:val="20"/>
          <w:szCs w:val="20"/>
          <w:color w:val="auto"/>
        </w:rPr>
        <w:t xml:space="preserve">(n)Liens on cash or other current assets pledged to secure letters of credit or bank guarantees or hedging transactions described in </w:t>
      </w:r>
      <w:r>
        <w:rPr>
          <w:rFonts w:ascii="Times New Roman" w:cs="Times New Roman" w:eastAsia="Times New Roman" w:hAnsi="Times New Roman"/>
          <w:sz w:val="20"/>
          <w:szCs w:val="20"/>
          <w:u w:val="single" w:color="auto"/>
          <w:color w:val="auto"/>
        </w:rPr>
        <w:t>Section 4.23(b)</w:t>
      </w:r>
      <w:r>
        <w:rPr>
          <w:rFonts w:ascii="Times New Roman" w:cs="Times New Roman" w:eastAsia="Times New Roman" w:hAnsi="Times New Roman"/>
          <w:sz w:val="20"/>
          <w:szCs w:val="20"/>
          <w:color w:val="auto"/>
        </w:rPr>
        <w:t xml:space="preserve"> hereof or any Permitted Bond Hedge Transaction and foreign exchange hedging transactions not for speculative purposes entered into after the Closing Date in an aggregate amount not to exceed $6,000,000;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no such Liens shall be granted on any Equity Interests or Intellectual Property;</w:t>
      </w:r>
    </w:p>
    <w:p>
      <w:pPr>
        <w:spacing w:after="0" w:line="183" w:lineRule="exact"/>
        <w:rPr>
          <w:sz w:val="20"/>
          <w:szCs w:val="20"/>
          <w:color w:val="auto"/>
        </w:rPr>
      </w:pPr>
    </w:p>
    <w:p>
      <w:pPr>
        <w:jc w:val="both"/>
        <w:ind w:firstLine="744"/>
        <w:spacing w:after="0" w:line="295" w:lineRule="auto"/>
        <w:rPr>
          <w:sz w:val="20"/>
          <w:szCs w:val="20"/>
          <w:color w:val="auto"/>
        </w:rPr>
      </w:pPr>
      <w:r>
        <w:rPr>
          <w:rFonts w:ascii="Times New Roman" w:cs="Times New Roman" w:eastAsia="Times New Roman" w:hAnsi="Times New Roman"/>
          <w:sz w:val="20"/>
          <w:szCs w:val="20"/>
          <w:color w:val="auto"/>
        </w:rPr>
        <w:t>(o)ordinary course of business Liens imposed by law or regulation, such as landlords’, carriers’, warehousemen’s, mechanics’, materialmen’s, contractors’, suppliers of materials, architects’ and repairmen’s Liens;</w:t>
      </w:r>
    </w:p>
    <w:p>
      <w:pPr>
        <w:spacing w:after="0" w:line="120" w:lineRule="exact"/>
        <w:rPr>
          <w:sz w:val="20"/>
          <w:szCs w:val="20"/>
          <w:color w:val="auto"/>
        </w:rPr>
      </w:pPr>
    </w:p>
    <w:p>
      <w:pPr>
        <w:jc w:val="both"/>
        <w:ind w:firstLine="744"/>
        <w:spacing w:after="0" w:line="269" w:lineRule="auto"/>
        <w:rPr>
          <w:sz w:val="20"/>
          <w:szCs w:val="20"/>
          <w:color w:val="auto"/>
        </w:rPr>
      </w:pPr>
      <w:r>
        <w:rPr>
          <w:rFonts w:ascii="Times New Roman" w:cs="Times New Roman" w:eastAsia="Times New Roman" w:hAnsi="Times New Roman"/>
          <w:sz w:val="20"/>
          <w:szCs w:val="20"/>
          <w:color w:val="auto"/>
        </w:rPr>
        <w:t xml:space="preserve">(p)other Liens, provided that the aggregate outstanding amount of Indebtedness secured thereby shall not exceed $1,000,000 at any time;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xml:space="preserve"> that no such Liens shall be granted on the Equity Interests of Borrower or Material IP;</w:t>
      </w:r>
    </w:p>
    <w:p>
      <w:pPr>
        <w:spacing w:after="0" w:line="159" w:lineRule="exact"/>
        <w:rPr>
          <w:sz w:val="20"/>
          <w:szCs w:val="20"/>
          <w:color w:val="auto"/>
        </w:rPr>
      </w:pPr>
    </w:p>
    <w:p>
      <w:pPr>
        <w:jc w:val="both"/>
        <w:ind w:firstLine="744"/>
        <w:spacing w:after="0" w:line="269" w:lineRule="auto"/>
        <w:rPr>
          <w:sz w:val="20"/>
          <w:szCs w:val="20"/>
          <w:color w:val="auto"/>
        </w:rPr>
      </w:pPr>
      <w:r>
        <w:rPr>
          <w:rFonts w:ascii="Times New Roman" w:cs="Times New Roman" w:eastAsia="Times New Roman" w:hAnsi="Times New Roman"/>
          <w:sz w:val="20"/>
          <w:szCs w:val="20"/>
          <w:color w:val="auto"/>
        </w:rPr>
        <w:t>(q)Liens in favor of customs and revenue authorities arising as a matter of law and in the ordinary course of business to secure payment of custom duties that are promptly paid on or before the date they become due;</w:t>
      </w:r>
    </w:p>
    <w:p>
      <w:pPr>
        <w:spacing w:after="0" w:line="159" w:lineRule="exact"/>
        <w:rPr>
          <w:sz w:val="20"/>
          <w:szCs w:val="20"/>
          <w:color w:val="auto"/>
        </w:rPr>
      </w:pPr>
    </w:p>
    <w:p>
      <w:pPr>
        <w:jc w:val="both"/>
        <w:ind w:firstLine="744"/>
        <w:spacing w:after="0" w:line="254" w:lineRule="auto"/>
        <w:rPr>
          <w:sz w:val="20"/>
          <w:szCs w:val="20"/>
          <w:color w:val="auto"/>
        </w:rPr>
      </w:pPr>
      <w:r>
        <w:rPr>
          <w:rFonts w:ascii="Times New Roman" w:cs="Times New Roman" w:eastAsia="Times New Roman" w:hAnsi="Times New Roman"/>
          <w:sz w:val="20"/>
          <w:szCs w:val="20"/>
          <w:color w:val="auto"/>
        </w:rPr>
        <w:t>(r)easements, zoning restrictions, rights-of-way and similar encumbrances on real property imposed by law or arising in the ordinary course of business so long as they do not materially impair the value or marketability of the related property; and</w:t>
      </w:r>
    </w:p>
    <w:p>
      <w:pPr>
        <w:spacing w:after="0" w:line="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(s)security deposits in connection with real estate leases in the ordinary course of business. “</w:t>
      </w:r>
      <w:r>
        <w:rPr>
          <w:rFonts w:ascii="Times New Roman" w:cs="Times New Roman" w:eastAsia="Times New Roman" w:hAnsi="Times New Roman"/>
          <w:sz w:val="20"/>
          <w:szCs w:val="20"/>
          <w:b w:val="1"/>
          <w:bCs w:val="1"/>
          <w:color w:val="auto"/>
        </w:rPr>
        <w:t>Permitted Negative Pledges</w:t>
      </w:r>
      <w:r>
        <w:rPr>
          <w:rFonts w:ascii="Times New Roman" w:cs="Times New Roman" w:eastAsia="Times New Roman" w:hAnsi="Times New Roman"/>
          <w:sz w:val="20"/>
          <w:szCs w:val="20"/>
          <w:color w:val="auto"/>
        </w:rPr>
        <w:t>”</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means:</w:t>
      </w:r>
    </w:p>
    <w:p>
      <w:pPr>
        <w:spacing w:after="0" w:line="194" w:lineRule="exact"/>
        <w:rPr>
          <w:sz w:val="20"/>
          <w:szCs w:val="20"/>
          <w:color w:val="auto"/>
        </w:rPr>
      </w:pPr>
    </w:p>
    <w:p>
      <w:pPr>
        <w:jc w:val="both"/>
        <w:ind w:firstLine="744"/>
        <w:spacing w:after="0" w:line="269" w:lineRule="auto"/>
        <w:rPr>
          <w:sz w:val="20"/>
          <w:szCs w:val="20"/>
          <w:color w:val="auto"/>
        </w:rPr>
      </w:pPr>
      <w:r>
        <w:rPr>
          <w:rFonts w:ascii="Times New Roman" w:cs="Times New Roman" w:eastAsia="Times New Roman" w:hAnsi="Times New Roman"/>
          <w:sz w:val="20"/>
          <w:szCs w:val="20"/>
          <w:color w:val="auto"/>
        </w:rPr>
        <w:t>(a)prohibitions or limitations with regard to specific properties or assets encumbered by Permitted Liens pursuant to the terms of such Permitted Liens, if and only to the extent each such prohibition or limitation applies only to such properties or assets;</w:t>
      </w:r>
    </w:p>
    <w:p>
      <w:pPr>
        <w:spacing w:after="0" w:line="146" w:lineRule="exact"/>
        <w:rPr>
          <w:sz w:val="20"/>
          <w:szCs w:val="20"/>
          <w:color w:val="auto"/>
        </w:rPr>
      </w:pPr>
    </w:p>
    <w:p>
      <w:pPr>
        <w:jc w:val="both"/>
        <w:ind w:firstLine="744"/>
        <w:spacing w:after="0" w:line="246" w:lineRule="auto"/>
        <w:rPr>
          <w:sz w:val="20"/>
          <w:szCs w:val="20"/>
          <w:color w:val="auto"/>
        </w:rPr>
      </w:pPr>
      <w:r>
        <w:rPr>
          <w:rFonts w:ascii="Times New Roman" w:cs="Times New Roman" w:eastAsia="Times New Roman" w:hAnsi="Times New Roman"/>
          <w:sz w:val="20"/>
          <w:szCs w:val="20"/>
          <w:color w:val="auto"/>
        </w:rPr>
        <w:t>(b)customary provisions restricting assignments, subletting, sublicensing or other transfer of properties or assets subject thereto set forth in leases, subleases, licenses and other similar agreements that are not otherwise prohibited under this Agreement or any other Loan Document, if and only to the extent each such restriction applies only to the properties or assets subject to such leases, subleases, licenses or agreements, and customary provisions restricting assignment, pledges or transfer of any agreement entered into in the ordinary course of business;</w:t>
      </w:r>
    </w:p>
    <w:p>
      <w:pPr>
        <w:spacing w:after="0" w:line="198"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color w:val="auto"/>
        </w:rPr>
        <w:t>(c)prohibitions or limitations imposed by Requirements of Law;</w:t>
      </w:r>
    </w:p>
    <w:p>
      <w:pPr>
        <w:spacing w:after="0" w:line="216" w:lineRule="exact"/>
        <w:rPr>
          <w:sz w:val="20"/>
          <w:szCs w:val="20"/>
          <w:color w:val="auto"/>
        </w:rPr>
      </w:pPr>
    </w:p>
    <w:p>
      <w:pPr>
        <w:jc w:val="both"/>
        <w:ind w:firstLine="744"/>
        <w:spacing w:after="0" w:line="254" w:lineRule="auto"/>
        <w:rPr>
          <w:sz w:val="20"/>
          <w:szCs w:val="20"/>
          <w:color w:val="auto"/>
        </w:rPr>
      </w:pPr>
      <w:r>
        <w:rPr>
          <w:rFonts w:ascii="Times New Roman" w:cs="Times New Roman" w:eastAsia="Times New Roman" w:hAnsi="Times New Roman"/>
          <w:sz w:val="20"/>
          <w:szCs w:val="20"/>
          <w:color w:val="auto"/>
        </w:rPr>
        <w:t>(d)customary prohibitions or limitations arising in connection with any Permitted Transfer or contained in any agreement relating to any Permitted Transfer pending the consummation of such Permitted Transfer relating solely to the property subject to such Permitted Transfer;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592455</wp:posOffset>
            </wp:positionV>
            <wp:extent cx="7157720" cy="4254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400" w:top="1426" w:right="419" w:bottom="1440" w:gutter="0" w:footer="0" w:header="0"/>
        </w:sectPr>
      </w:pPr>
    </w:p>
    <w:bookmarkStart w:id="340" w:name="page341"/>
    <w:bookmarkEnd w:id="340"/>
    <w:p>
      <w:pPr>
        <w:spacing w:after="0" w:line="200" w:lineRule="exact"/>
        <w:rPr>
          <w:sz w:val="20"/>
          <w:szCs w:val="20"/>
          <w:color w:val="auto"/>
        </w:rPr>
      </w:pPr>
    </w:p>
    <w:p>
      <w:pPr>
        <w:spacing w:after="0" w:line="250" w:lineRule="exact"/>
        <w:rPr>
          <w:sz w:val="20"/>
          <w:szCs w:val="20"/>
          <w:color w:val="auto"/>
        </w:rPr>
      </w:pPr>
    </w:p>
    <w:p>
      <w:pPr>
        <w:jc w:val="right"/>
        <w:ind w:right="4379"/>
        <w:spacing w:after="0"/>
        <w:rPr>
          <w:sz w:val="20"/>
          <w:szCs w:val="20"/>
          <w:color w:val="auto"/>
        </w:rPr>
      </w:pPr>
      <w:r>
        <w:rPr>
          <w:rFonts w:ascii="Times New Roman" w:cs="Times New Roman" w:eastAsia="Times New Roman" w:hAnsi="Times New Roman"/>
          <w:sz w:val="18"/>
          <w:szCs w:val="18"/>
          <w:color w:val="auto"/>
        </w:rPr>
        <w:t>114</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4905-3710-6484 v.17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600710</wp:posOffset>
            </wp:positionV>
            <wp:extent cx="7157720" cy="4254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59"/>
          </w:cols>
          <w:pgMar w:left="400" w:top="1440" w:right="1440" w:bottom="1440" w:gutter="0" w:footer="0" w:header="0"/>
        </w:sectPr>
      </w:pPr>
    </w:p>
    <w:bookmarkStart w:id="341" w:name="page342"/>
    <w:bookmarkEnd w:id="341"/>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(e)customary provisions in shareholders’ agreements, joint venture agreements, organizational documents or similar binding agreements relating to, or any agreement evidencing Indebtedness of, any joint venture entity or non-Wholly-Owned Subsidiary and applicable solely to such joint venture entity or non-Wholly-Owned Subsidiary and the Equity Interests issued thereby;</w:t>
      </w:r>
    </w:p>
    <w:p>
      <w:pPr>
        <w:spacing w:after="0" w:line="174"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 xml:space="preserve">(f)prohibitions or limitations that exist as of the Closing Date under Indebtedness existing on the Closing Date as set forth on </w:t>
      </w:r>
      <w:r>
        <w:rPr>
          <w:rFonts w:ascii="Times New Roman" w:cs="Times New Roman" w:eastAsia="Times New Roman" w:hAnsi="Times New Roman"/>
          <w:sz w:val="20"/>
          <w:szCs w:val="20"/>
          <w:u w:val="single" w:color="auto"/>
          <w:color w:val="auto"/>
        </w:rPr>
        <w:t>Schedule 12.1</w:t>
      </w:r>
      <w:r>
        <w:rPr>
          <w:rFonts w:ascii="Times New Roman" w:cs="Times New Roman" w:eastAsia="Times New Roman" w:hAnsi="Times New Roman"/>
          <w:sz w:val="20"/>
          <w:szCs w:val="20"/>
          <w:color w:val="auto"/>
        </w:rPr>
        <w:t xml:space="preserve"> of the Disclosure Letter;</w:t>
      </w:r>
    </w:p>
    <w:p>
      <w:pPr>
        <w:spacing w:after="0" w:line="159"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(g)customary net worth provisions set forth in real property leases entered into by Subsidiaries of Borrower, so long as such net worth provisions would not reasonably be expected to impair the ability of Borrower or its Subsidiaries to meet their ongoing obligations (as reasonably determined by a Responsible Officer of Borrower in good faith);</w:t>
      </w:r>
    </w:p>
    <w:p>
      <w:pPr>
        <w:spacing w:after="0" w:line="174" w:lineRule="exact"/>
        <w:rPr>
          <w:sz w:val="20"/>
          <w:szCs w:val="20"/>
          <w:color w:val="auto"/>
        </w:rPr>
      </w:pPr>
    </w:p>
    <w:p>
      <w:pPr>
        <w:jc w:val="both"/>
        <w:ind w:right="20" w:firstLine="749"/>
        <w:spacing w:after="0" w:line="249" w:lineRule="auto"/>
        <w:rPr>
          <w:sz w:val="20"/>
          <w:szCs w:val="20"/>
          <w:color w:val="auto"/>
        </w:rPr>
      </w:pPr>
      <w:r>
        <w:rPr>
          <w:rFonts w:ascii="Times New Roman" w:cs="Times New Roman" w:eastAsia="Times New Roman" w:hAnsi="Times New Roman"/>
          <w:sz w:val="20"/>
          <w:szCs w:val="20"/>
          <w:color w:val="auto"/>
        </w:rPr>
        <w:t>(h)customary net worth provisions set forth in customer agreements entered into in the ordinary course of business that are not otherwise prohibited under this Agreement or any other Loan Document, so long as such net worth provisions would not reasonably be expected to impair the ability of Borrower or its Subsidiaries to meet their ongoing obligations (as reasonably determined by a Responsible Officer of Borrower in good faith);</w:t>
      </w:r>
    </w:p>
    <w:p>
      <w:pPr>
        <w:spacing w:after="0" w:line="180"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(i)restrictions on cash or other deposits (including escrowed funds) imposed by agreements entered into in the ordinary course of business that are not otherwise prohibited under this Agreement or any other Loan Document;</w:t>
      </w:r>
    </w:p>
    <w:p>
      <w:pPr>
        <w:spacing w:after="0" w:line="159"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 xml:space="preserve">(j)prohibitions or limitations set forth in any agreement in effect at the time any Person becomes a Subsidiary (but not any amendment, modification, restatement, renewal, extension, supplement or replacement expanding the scope of any such restriction or condition);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agreement was not entered into in contemplation of such Person becoming a Subsidiary and each such prohibition or limitation does not apply to Borrower or any other Subsidiary (other than such Person and any other Person that is a Subsidiary of such first Person at the time such first Person becomes a Subsidiary);</w:t>
      </w:r>
    </w:p>
    <w:p>
      <w:pPr>
        <w:spacing w:after="0" w:line="18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(k)prohibitions or limitations imposed by any Loan Document;</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(l)limitations imposed with respect to any license acquired in a Permitted Acquisition;</w:t>
      </w:r>
    </w:p>
    <w:p>
      <w:pPr>
        <w:spacing w:after="0" w:line="216"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(m)prohibitions or limitations imposed by any agreement evidencing any Permitted Indebtedness of the type described in any of clause (d) of the definition of “Permitted Indebtedness” so long as such prohibitions or limitations do not apply to any property other than the property financed by such Indebtedness; and</w:t>
      </w:r>
    </w:p>
    <w:p>
      <w:pPr>
        <w:spacing w:after="0" w:line="174"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 xml:space="preserve">(n)prohibitions or limitations imposed by any amendments, modifications, restatements, renewals, extensions, supplements or replacements of any of the agreements referred to in </w:t>
      </w:r>
      <w:r>
        <w:rPr>
          <w:rFonts w:ascii="Times New Roman" w:cs="Times New Roman" w:eastAsia="Times New Roman" w:hAnsi="Times New Roman"/>
          <w:sz w:val="20"/>
          <w:szCs w:val="20"/>
          <w:u w:val="single" w:color="auto"/>
          <w:color w:val="auto"/>
        </w:rPr>
        <w:t>clauses (a)</w:t>
      </w:r>
      <w:r>
        <w:rPr>
          <w:rFonts w:ascii="Times New Roman" w:cs="Times New Roman" w:eastAsia="Times New Roman" w:hAnsi="Times New Roman"/>
          <w:sz w:val="20"/>
          <w:szCs w:val="20"/>
          <w:color w:val="auto"/>
        </w:rPr>
        <w:t xml:space="preserve"> through </w:t>
      </w:r>
      <w:r>
        <w:rPr>
          <w:rFonts w:ascii="Times New Roman" w:cs="Times New Roman" w:eastAsia="Times New Roman" w:hAnsi="Times New Roman"/>
          <w:sz w:val="20"/>
          <w:szCs w:val="20"/>
          <w:u w:val="single" w:color="auto"/>
          <w:color w:val="auto"/>
        </w:rPr>
        <w:t>(m)</w:t>
      </w:r>
      <w:r>
        <w:rPr>
          <w:rFonts w:ascii="Times New Roman" w:cs="Times New Roman" w:eastAsia="Times New Roman" w:hAnsi="Times New Roman"/>
          <w:sz w:val="20"/>
          <w:szCs w:val="20"/>
          <w:color w:val="auto"/>
        </w:rPr>
        <w:t xml:space="preserve"> above, except to the extent that any such amendment, modification, restatement, renewal, extension, supplement or replacement expands the scope of any such prohibition or limitation.</w:t>
      </w:r>
    </w:p>
    <w:p>
      <w:pPr>
        <w:spacing w:after="0" w:line="170"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Permitted Refinancing</w:t>
      </w:r>
      <w:r>
        <w:rPr>
          <w:rFonts w:ascii="Times New Roman" w:cs="Times New Roman" w:eastAsia="Times New Roman" w:hAnsi="Times New Roman"/>
          <w:sz w:val="20"/>
          <w:szCs w:val="20"/>
          <w:color w:val="auto"/>
        </w:rPr>
        <w:t>” means Indebtedness constituting a refinancing or extension of maturity of Permitted Indebtedness that</w:t>
      </w:r>
    </w:p>
    <w:p>
      <w:pPr>
        <w:spacing w:after="0" w:line="26" w:lineRule="exact"/>
        <w:rPr>
          <w:sz w:val="20"/>
          <w:szCs w:val="20"/>
          <w:color w:val="auto"/>
        </w:rPr>
      </w:pPr>
    </w:p>
    <w:p>
      <w:pPr>
        <w:jc w:val="both"/>
        <w:ind w:firstLine="3"/>
        <w:spacing w:after="0" w:line="257" w:lineRule="auto"/>
        <w:tabs>
          <w:tab w:leader="none" w:pos="281" w:val="left"/>
        </w:tabs>
        <w:numPr>
          <w:ilvl w:val="0"/>
          <w:numId w:val="19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has an aggregate outstanding principal amount not greater than the aggregate principal amount of the Indebtedness being refinanced or extended, (b) has a weighted average life to maturity (measured as of the date of such refinancing or extension) and maturity no shorter than that of the Indebtedness being refinanced or extended, (c) is not entered into as part of a sale leaseback transaction, (d) is not secured by a Lien on any property or assets other than the collateral securing the Indebtedness being refinanced or extended (and for the avoidance of doubt, if the Indebtedness being refinanced or extended is unsecured, such refinancing or extension Indebtedness shall be unsecured),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591185</wp:posOffset>
            </wp:positionV>
            <wp:extent cx="7157720" cy="4254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400" w:top="1426" w:right="339" w:bottom="1440" w:gutter="0" w:footer="0" w:header="0"/>
        </w:sectPr>
      </w:pPr>
    </w:p>
    <w:bookmarkStart w:id="342" w:name="page343"/>
    <w:bookmarkEnd w:id="342"/>
    <w:p>
      <w:pPr>
        <w:spacing w:after="0" w:line="194" w:lineRule="exact"/>
        <w:rPr>
          <w:sz w:val="20"/>
          <w:szCs w:val="20"/>
          <w:color w:val="auto"/>
        </w:rPr>
      </w:pPr>
    </w:p>
    <w:p>
      <w:pPr>
        <w:jc w:val="right"/>
        <w:ind w:right="4339"/>
        <w:spacing w:after="0"/>
        <w:rPr>
          <w:sz w:val="20"/>
          <w:szCs w:val="20"/>
          <w:color w:val="auto"/>
        </w:rPr>
      </w:pPr>
      <w:r>
        <w:rPr>
          <w:rFonts w:ascii="Times New Roman" w:cs="Times New Roman" w:eastAsia="Times New Roman" w:hAnsi="Times New Roman"/>
          <w:sz w:val="18"/>
          <w:szCs w:val="18"/>
          <w:color w:val="auto"/>
        </w:rPr>
        <w:t>115</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4905-3710-6484 v.17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600710</wp:posOffset>
            </wp:positionV>
            <wp:extent cx="7157720" cy="4254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59"/>
          </w:cols>
          <w:pgMar w:left="400" w:top="1440" w:right="1440" w:bottom="1440" w:gutter="0" w:footer="0" w:header="0"/>
        </w:sectPr>
      </w:pPr>
    </w:p>
    <w:bookmarkStart w:id="343" w:name="page344"/>
    <w:bookmarkEnd w:id="343"/>
    <w:p>
      <w:pPr>
        <w:jc w:val="both"/>
        <w:spacing w:after="0" w:line="243" w:lineRule="auto"/>
        <w:rPr>
          <w:sz w:val="20"/>
          <w:szCs w:val="20"/>
          <w:color w:val="auto"/>
        </w:rPr>
      </w:pPr>
      <w:r>
        <w:rPr>
          <w:rFonts w:ascii="Times New Roman" w:cs="Times New Roman" w:eastAsia="Times New Roman" w:hAnsi="Times New Roman"/>
          <w:sz w:val="20"/>
          <w:szCs w:val="20"/>
          <w:color w:val="auto"/>
        </w:rPr>
        <w:t>the borrower or issuer of which is the same as the borrower or issuer of the Indebtedness being refinanced or extended (with no additional co-borrower or co-issuer), (f) to the extent guaranteed, the guarantors of which are the same as the guarantors of the Indebtedness being refinanced or extended, (g) if such Indebtedness being modified or extended is secured by Liens that are contractually subordinated in right of security to the Liens securing the Obligations, is contractually subordinated in right of security to the Liens securing the Obligations and subject to an intercreditor agreement reasonably satisfactory to the Blackstone Representative, (h) if such Indebtedness being modified or extended is contractually subordinated in right of payment to the Obligations, is contractually subordinated in right of payment to the Obligations and subject to an intercreditor agreement or subordination agreement reasonably satisfactory to the Blackstone Representative, and (i) is otherwise on terms no less favorable to the Credit Parties and their respective Subsidiaries, taken as a whole, than those of the Indebtedness being refinanced or extended.</w:t>
      </w:r>
    </w:p>
    <w:p>
      <w:pPr>
        <w:spacing w:after="0" w:line="182"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Permitted Subsidiary Distribution Restrictions</w:t>
      </w:r>
      <w:r>
        <w:rPr>
          <w:rFonts w:ascii="Times New Roman" w:cs="Times New Roman" w:eastAsia="Times New Roman" w:hAnsi="Times New Roman"/>
          <w:sz w:val="20"/>
          <w:szCs w:val="20"/>
          <w:color w:val="auto"/>
        </w:rPr>
        <w:t xml:space="preserve">” means, in each case notwithstanding </w:t>
      </w:r>
      <w:r>
        <w:rPr>
          <w:rFonts w:ascii="Times New Roman" w:cs="Times New Roman" w:eastAsia="Times New Roman" w:hAnsi="Times New Roman"/>
          <w:sz w:val="20"/>
          <w:szCs w:val="20"/>
          <w:u w:val="single" w:color="auto"/>
          <w:color w:val="auto"/>
        </w:rPr>
        <w:t>Section 6.8</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(a)prohibitions or limitations with regard to specific properties or assets encumbered by Permitted Liens, if and only to the extent each such prohibition or limitation applies only to such properties or assets;</w:t>
      </w:r>
    </w:p>
    <w:p>
      <w:pPr>
        <w:spacing w:after="0" w:line="159"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(b)customary provisions restricting assignments, subletting, sublicensing or other transfer of properties or assets subject thereto set forth in leases, subleases, licenses and other similar agreements that are not otherwise prohibited under this Agreement or any other Loan Document, if and only to the extent each such restriction applies only to the properties or assets subject to such leases, subleases, licenses or agreements, and customary provisions restricting assignment, pledges or transfer of any agreement entered into in the ordinary course of business;</w:t>
      </w:r>
    </w:p>
    <w:p>
      <w:pPr>
        <w:spacing w:after="0" w:line="185"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(c)prohibitions or limitations on the transfer or assignment of any properties, assets or Equity Interests set forth in any agreement entered into in the ordinary course of business that is not otherwise prohibited under this Agreement or any other Loan Document, if and only to the extent each such prohibition or limitation applies only to such properties, assets or Equity Interests;</w:t>
      </w:r>
    </w:p>
    <w:p>
      <w:pPr>
        <w:spacing w:after="0" w:line="18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(d)prohibitions or limitations imposed by Requirements of Law;</w:t>
      </w:r>
    </w:p>
    <w:p>
      <w:pPr>
        <w:spacing w:after="0" w:line="216"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 xml:space="preserve">(e)prohibitions or limitations that exist as of the Closing Date under Indebtedness existing on the Closing Date as set forth on </w:t>
      </w:r>
      <w:r>
        <w:rPr>
          <w:rFonts w:ascii="Times New Roman" w:cs="Times New Roman" w:eastAsia="Times New Roman" w:hAnsi="Times New Roman"/>
          <w:sz w:val="20"/>
          <w:szCs w:val="20"/>
          <w:u w:val="single" w:color="auto"/>
          <w:color w:val="auto"/>
        </w:rPr>
        <w:t>Schedule 12.1</w:t>
      </w:r>
      <w:r>
        <w:rPr>
          <w:rFonts w:ascii="Times New Roman" w:cs="Times New Roman" w:eastAsia="Times New Roman" w:hAnsi="Times New Roman"/>
          <w:sz w:val="20"/>
          <w:szCs w:val="20"/>
          <w:color w:val="auto"/>
        </w:rPr>
        <w:t xml:space="preserve"> of the Disclosure Letter;</w:t>
      </w:r>
    </w:p>
    <w:p>
      <w:pPr>
        <w:spacing w:after="0" w:line="146" w:lineRule="exact"/>
        <w:rPr>
          <w:sz w:val="20"/>
          <w:szCs w:val="20"/>
          <w:color w:val="auto"/>
        </w:rPr>
      </w:pPr>
    </w:p>
    <w:p>
      <w:pPr>
        <w:jc w:val="both"/>
        <w:ind w:right="20" w:firstLine="749"/>
        <w:spacing w:after="0" w:line="269" w:lineRule="auto"/>
        <w:rPr>
          <w:sz w:val="20"/>
          <w:szCs w:val="20"/>
          <w:color w:val="auto"/>
        </w:rPr>
      </w:pPr>
      <w:r>
        <w:rPr>
          <w:rFonts w:ascii="Times New Roman" w:cs="Times New Roman" w:eastAsia="Times New Roman" w:hAnsi="Times New Roman"/>
          <w:sz w:val="20"/>
          <w:szCs w:val="20"/>
          <w:color w:val="auto"/>
        </w:rPr>
        <w:t>(f)customary prohibitions or limitations arising in connection with any Permitted Transfer or contained in any agreement relating to any Permitted Transfer pending the consummation of such Permitted Transfer;</w:t>
      </w:r>
    </w:p>
    <w:p>
      <w:pPr>
        <w:spacing w:after="0" w:line="159"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(g)customary provisions in shareholders’ agreements, joint venture agreements, organizational documents or similar binding agreements relating to, or any agreement evidencing Indebtedness of, any joint venture entity or non-Wholly-Owned Subsidiary and applicable solely to such joint venture entity or non-Wholly-Owned Subsidiary and the Equity Interests issued thereby;</w:t>
      </w:r>
    </w:p>
    <w:p>
      <w:pPr>
        <w:spacing w:after="0" w:line="174"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(h)customary net worth provisions set forth in real property leases entered into by Subsidiaries of Borrower, so long as such net worth provisions would not reasonably be expected to impair the ability of Borrower or its Subsidiaries to meet their ongoing obligations (as reasonably determined by a Responsible Officer of Borrower in good faith);</w:t>
      </w:r>
    </w:p>
    <w:p>
      <w:pPr>
        <w:spacing w:after="0" w:line="174"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(i)customary net worth provisions set forth in customer agreements entered into in the ordinary course of business that are not otherwise prohibited under this Agreement or any other Loan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582930</wp:posOffset>
            </wp:positionV>
            <wp:extent cx="7157720" cy="4254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400" w:top="1426" w:right="339" w:bottom="1440" w:gutter="0" w:footer="0" w:header="0"/>
        </w:sectPr>
      </w:pPr>
    </w:p>
    <w:bookmarkStart w:id="344" w:name="page345"/>
    <w:bookmarkEnd w:id="344"/>
    <w:p>
      <w:pPr>
        <w:spacing w:after="0" w:line="194" w:lineRule="exact"/>
        <w:rPr>
          <w:sz w:val="20"/>
          <w:szCs w:val="20"/>
          <w:color w:val="auto"/>
        </w:rPr>
      </w:pPr>
    </w:p>
    <w:p>
      <w:pPr>
        <w:jc w:val="right"/>
        <w:ind w:right="4339"/>
        <w:spacing w:after="0"/>
        <w:rPr>
          <w:sz w:val="20"/>
          <w:szCs w:val="20"/>
          <w:color w:val="auto"/>
        </w:rPr>
      </w:pPr>
      <w:r>
        <w:rPr>
          <w:rFonts w:ascii="Times New Roman" w:cs="Times New Roman" w:eastAsia="Times New Roman" w:hAnsi="Times New Roman"/>
          <w:sz w:val="18"/>
          <w:szCs w:val="18"/>
          <w:color w:val="auto"/>
        </w:rPr>
        <w:t>116</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4905-3710-6484 v.17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600710</wp:posOffset>
            </wp:positionV>
            <wp:extent cx="7157720" cy="4254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59"/>
          </w:cols>
          <w:pgMar w:left="400" w:top="1440" w:right="1440" w:bottom="1440" w:gutter="0" w:footer="0" w:header="0"/>
        </w:sectPr>
      </w:pPr>
    </w:p>
    <w:bookmarkStart w:id="345" w:name="page346"/>
    <w:bookmarkEnd w:id="345"/>
    <w:p>
      <w:pPr>
        <w:jc w:val="both"/>
        <w:spacing w:after="0" w:line="269" w:lineRule="auto"/>
        <w:rPr>
          <w:sz w:val="20"/>
          <w:szCs w:val="20"/>
          <w:color w:val="auto"/>
        </w:rPr>
      </w:pPr>
      <w:r>
        <w:rPr>
          <w:rFonts w:ascii="Times New Roman" w:cs="Times New Roman" w:eastAsia="Times New Roman" w:hAnsi="Times New Roman"/>
          <w:sz w:val="20"/>
          <w:szCs w:val="20"/>
          <w:color w:val="auto"/>
        </w:rPr>
        <w:t>Document, so long as such net worth provisions would not reasonably be expected to impair the ability of Borrower or its Subsidiaries to meet their ongoing obligations (as reasonably determined by a Responsible Officer of Borrower in good faith);</w:t>
      </w:r>
    </w:p>
    <w:p>
      <w:pPr>
        <w:spacing w:after="0" w:line="159"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(j)restrictions on cash or other deposits (including escrowed funds) imposed by agreements entered into in the ordinary course of business that are not otherwise prohibited under this Agreement or any other Loan Document;</w:t>
      </w:r>
    </w:p>
    <w:p>
      <w:pPr>
        <w:spacing w:after="0" w:line="159"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 xml:space="preserve">(k)prohibitions or limitations set forth in any agreement in effect at the time any Person becomes a Subsidiary (but not any amendment, modification, restatement, renewal, extension, supplement or replacement expanding the scope of any such restriction or condition);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agreement was not entered into in contemplation of such Person becoming a Subsidiary and each such prohibition or limitation does not apply to Borrower or any other Subsidiary (other than such Person and any other Person that is a Subsidiary of such first Person at the time such first Person becomes a Subsidiary);</w:t>
      </w:r>
    </w:p>
    <w:p>
      <w:pPr>
        <w:spacing w:after="0" w:line="18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(l)prohibitions or limitations imposed by any Loan Document; and</w:t>
      </w:r>
    </w:p>
    <w:p>
      <w:pPr>
        <w:spacing w:after="0" w:line="216"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(m)prohibitions or limitations imposed by any agreement evidencing any Permitted Indebtedness of the type described in any of the clause (d) of the definition of “Permitted Indebtedness” relating solely to the property financed by such Indebtedness; and</w:t>
      </w:r>
    </w:p>
    <w:p>
      <w:pPr>
        <w:spacing w:after="0" w:line="173"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(n)prohibitions or limitations imposed by any amendments, modifications, restatements, renewals, extensions, supplements or replacements of any of the agreements referred to in clauses (a) through (m) above, except to the extent that any such amendment, modification, restatement, renewal, extension, supplement or replacement expands the scope of any such prohibition or limitation.</w:t>
      </w:r>
    </w:p>
    <w:p>
      <w:pPr>
        <w:spacing w:after="0" w:line="17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Permitted Transfers</w:t>
      </w:r>
      <w:r>
        <w:rPr>
          <w:rFonts w:ascii="Times New Roman" w:cs="Times New Roman" w:eastAsia="Times New Roman" w:hAnsi="Times New Roman"/>
          <w:sz w:val="20"/>
          <w:szCs w:val="20"/>
          <w:color w:val="auto"/>
        </w:rPr>
        <w:t>” means:</w:t>
      </w:r>
    </w:p>
    <w:p>
      <w:pPr>
        <w:spacing w:after="0" w:line="22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 xml:space="preserve">(a)Transfers set forth on </w:t>
      </w:r>
      <w:r>
        <w:rPr>
          <w:rFonts w:ascii="Times New Roman" w:cs="Times New Roman" w:eastAsia="Times New Roman" w:hAnsi="Times New Roman"/>
          <w:sz w:val="20"/>
          <w:szCs w:val="20"/>
          <w:u w:val="single" w:color="auto"/>
          <w:color w:val="auto"/>
        </w:rPr>
        <w:t>Schedule 6.1</w:t>
      </w:r>
      <w:r>
        <w:rPr>
          <w:rFonts w:ascii="Times New Roman" w:cs="Times New Roman" w:eastAsia="Times New Roman" w:hAnsi="Times New Roman"/>
          <w:sz w:val="20"/>
          <w:szCs w:val="20"/>
          <w:color w:val="auto"/>
        </w:rPr>
        <w:t xml:space="preserve"> of the Disclosure Letter;</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(b)Transfers of Inventory in the ordinary course of business;</w:t>
      </w:r>
    </w:p>
    <w:p>
      <w:pPr>
        <w:spacing w:after="0" w:line="216"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(c)Transfers of surplus, damaged, worn out or obsolete equipment that is, in the reasonable judgment of Borrower exercised in good faith, no longer economically practicable to maintain or useful in the ordinary course of business consistent with past practice;</w:t>
      </w:r>
    </w:p>
    <w:p>
      <w:pPr>
        <w:spacing w:after="0" w:line="159"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(d)Transfers which are Permitted Liens, Permitted Investments (other than pursuant to clause (f) of the definition thereof) or Permitted Distributions;</w:t>
      </w:r>
    </w:p>
    <w:p>
      <w:pPr>
        <w:spacing w:after="0" w:line="159" w:lineRule="exact"/>
        <w:rPr>
          <w:sz w:val="20"/>
          <w:szCs w:val="20"/>
          <w:color w:val="auto"/>
        </w:rPr>
      </w:pPr>
    </w:p>
    <w:p>
      <w:pPr>
        <w:jc w:val="both"/>
        <w:ind w:right="20" w:firstLine="749"/>
        <w:spacing w:after="0" w:line="269" w:lineRule="auto"/>
        <w:rPr>
          <w:sz w:val="20"/>
          <w:szCs w:val="20"/>
          <w:color w:val="auto"/>
        </w:rPr>
      </w:pPr>
      <w:r>
        <w:rPr>
          <w:rFonts w:ascii="Times New Roman" w:cs="Times New Roman" w:eastAsia="Times New Roman" w:hAnsi="Times New Roman"/>
          <w:sz w:val="20"/>
          <w:szCs w:val="20"/>
          <w:color w:val="auto"/>
        </w:rPr>
        <w:t>(e)Transfers of cash and Cash Equivalents in the ordinary course of business or otherwise in transactions expressly permitted hereunder;</w:t>
      </w:r>
    </w:p>
    <w:p>
      <w:pPr>
        <w:spacing w:after="0" w:line="159"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 xml:space="preserve">(f)Transfers (i) between or among Credit Parties,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with respect to any properties or assets constituting Collateral under the Loan Documents, any and all steps as may be required to be taken in order to create and maintain a first priority security interest in and Lien upon such properties and assets in favor and for the benefit of the Agent and the other Secured Parties are taken contemporaneously with the completion of any such transfer, and (ii) between or among non-Credit Parties;</w:t>
      </w:r>
    </w:p>
    <w:p>
      <w:pPr>
        <w:spacing w:after="0" w:line="180"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 xml:space="preserve">(g)the sale or issuance of Equity Interests of any Subsidiary of Borrower to any Credit Party or Subsidiary,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any such sale or issuance by a Credit Party (other than Borrower) shall be to another Credit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582930</wp:posOffset>
            </wp:positionV>
            <wp:extent cx="7157720" cy="4254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400" w:top="1426" w:right="339" w:bottom="1440" w:gutter="0" w:footer="0" w:header="0"/>
        </w:sectPr>
      </w:pPr>
    </w:p>
    <w:bookmarkStart w:id="346" w:name="page347"/>
    <w:bookmarkEnd w:id="346"/>
    <w:p>
      <w:pPr>
        <w:spacing w:after="0" w:line="200" w:lineRule="exact"/>
        <w:rPr>
          <w:sz w:val="20"/>
          <w:szCs w:val="20"/>
          <w:color w:val="auto"/>
        </w:rPr>
      </w:pPr>
    </w:p>
    <w:p>
      <w:pPr>
        <w:spacing w:after="0" w:line="264" w:lineRule="exact"/>
        <w:rPr>
          <w:sz w:val="20"/>
          <w:szCs w:val="20"/>
          <w:color w:val="auto"/>
        </w:rPr>
      </w:pPr>
    </w:p>
    <w:p>
      <w:pPr>
        <w:jc w:val="right"/>
        <w:ind w:right="4339"/>
        <w:spacing w:after="0"/>
        <w:rPr>
          <w:sz w:val="20"/>
          <w:szCs w:val="20"/>
          <w:color w:val="auto"/>
        </w:rPr>
      </w:pPr>
      <w:r>
        <w:rPr>
          <w:rFonts w:ascii="Times New Roman" w:cs="Times New Roman" w:eastAsia="Times New Roman" w:hAnsi="Times New Roman"/>
          <w:sz w:val="18"/>
          <w:szCs w:val="18"/>
          <w:color w:val="auto"/>
        </w:rPr>
        <w:t>117</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4905-3710-6484 v.17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600710</wp:posOffset>
            </wp:positionV>
            <wp:extent cx="7157720" cy="4254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59"/>
          </w:cols>
          <w:pgMar w:left="400" w:top="1440" w:right="1440" w:bottom="1440" w:gutter="0" w:footer="0" w:header="0"/>
        </w:sectPr>
      </w:pPr>
    </w:p>
    <w:bookmarkStart w:id="347" w:name="page348"/>
    <w:bookmarkEnd w:id="347"/>
    <w:p>
      <w:pPr>
        <w:jc w:val="both"/>
        <w:ind w:firstLine="744"/>
        <w:spacing w:after="0" w:line="269" w:lineRule="auto"/>
        <w:rPr>
          <w:sz w:val="20"/>
          <w:szCs w:val="20"/>
          <w:color w:val="auto"/>
        </w:rPr>
      </w:pPr>
      <w:r>
        <w:rPr>
          <w:rFonts w:ascii="Times New Roman" w:cs="Times New Roman" w:eastAsia="Times New Roman" w:hAnsi="Times New Roman"/>
          <w:sz w:val="20"/>
          <w:szCs w:val="20"/>
          <w:color w:val="auto"/>
        </w:rPr>
        <w:t>(h)the sale or discount without recourse of accounts receivable arising in the ordinary course of business in connection with the compromise or collection thereof;</w:t>
      </w:r>
    </w:p>
    <w:p>
      <w:pPr>
        <w:spacing w:after="0" w:line="146" w:lineRule="exact"/>
        <w:rPr>
          <w:sz w:val="20"/>
          <w:szCs w:val="20"/>
          <w:color w:val="auto"/>
        </w:rPr>
      </w:pPr>
    </w:p>
    <w:p>
      <w:pPr>
        <w:jc w:val="both"/>
        <w:ind w:firstLine="744"/>
        <w:spacing w:after="0" w:line="249" w:lineRule="auto"/>
        <w:rPr>
          <w:sz w:val="20"/>
          <w:szCs w:val="20"/>
          <w:color w:val="auto"/>
        </w:rPr>
      </w:pPr>
      <w:r>
        <w:rPr>
          <w:rFonts w:ascii="Times New Roman" w:cs="Times New Roman" w:eastAsia="Times New Roman" w:hAnsi="Times New Roman"/>
          <w:sz w:val="20"/>
          <w:szCs w:val="20"/>
          <w:color w:val="auto"/>
        </w:rPr>
        <w:t>(i)any abandonment, cancellation, non-renewal or discontinuance of use or maintenance of Intellectual Property (other than Product IP) that Borrower reasonably determines in good faith (i) is no longer economically practicable to maintain or useful in the ordinary course of business and that (ii) would not reasonably be expected to be adverse to the rights, remedies and benefits available to, or conferred upon, the Secured Parties under any Loan Document in any material respect;</w:t>
      </w:r>
    </w:p>
    <w:p>
      <w:pPr>
        <w:spacing w:after="0" w:line="166" w:lineRule="exact"/>
        <w:rPr>
          <w:sz w:val="20"/>
          <w:szCs w:val="20"/>
          <w:color w:val="auto"/>
        </w:rPr>
      </w:pPr>
    </w:p>
    <w:p>
      <w:pPr>
        <w:jc w:val="both"/>
        <w:ind w:firstLine="744"/>
        <w:spacing w:after="0" w:line="242" w:lineRule="auto"/>
        <w:rPr>
          <w:sz w:val="20"/>
          <w:szCs w:val="20"/>
          <w:color w:val="auto"/>
        </w:rPr>
      </w:pPr>
      <w:r>
        <w:rPr>
          <w:rFonts w:ascii="Times New Roman" w:cs="Times New Roman" w:eastAsia="Times New Roman" w:hAnsi="Times New Roman"/>
          <w:sz w:val="20"/>
          <w:szCs w:val="20"/>
          <w:color w:val="auto"/>
        </w:rPr>
        <w:t>(j)Transfers by Borrower or any of its Subsidiaries pursuant to: (i) solely with respect to any portion of the Territory outside of the United States, a non-exclusive license of (or grant of a covenant not to sue with respect to) Intellectual Property or a non-exclusive grant of rights to third parties with respect to any Product, in each of the foregoing cases, in the ordinary course of business and related to research, development, manufacturing, marketing or distribution by or on behalf of any Credit Party in such portion of the Territory, (ii) an exclusive license of (or grant of a covenant not to sue with respect to) Intellectual Property or an exclusive grant of development, manufacturing, production, commercialization, marketing, co-promotion, distribution, sale or similar commercial rights, to third parties, in each case, solely with respect to portions of the Territory outside the United States, (iii) solely with respect to any portion of the Territory outside of the United States, a non-exclusive license of (or grant of a covenant not to sue with respect to) Intellectual Property to third parties for developing technology for or providing technical support to the Borrower or its Subsidiaries and (iv) non-exclusive licenses of Patents constituting Material IP entered in connection with the settlement of any claim of actual or alleged infringement, misappropriation or other violation of any such Patents by any third party, solely for the purposes of permitting third parties to launch a Generic of any Product prior to the expiration of such Patents, and granted in the ordinary course of business;</w:t>
      </w:r>
    </w:p>
    <w:p>
      <w:pPr>
        <w:spacing w:after="0" w:line="17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color w:val="auto"/>
        </w:rPr>
        <w:t xml:space="preserve">(k)subject to </w:t>
      </w:r>
      <w:r>
        <w:rPr>
          <w:rFonts w:ascii="Times New Roman" w:cs="Times New Roman" w:eastAsia="Times New Roman" w:hAnsi="Times New Roman"/>
          <w:sz w:val="20"/>
          <w:szCs w:val="20"/>
          <w:u w:val="single" w:color="auto"/>
          <w:color w:val="auto"/>
        </w:rPr>
        <w:t>Section 11.20</w:t>
      </w:r>
      <w:r>
        <w:rPr>
          <w:rFonts w:ascii="Times New Roman" w:cs="Times New Roman" w:eastAsia="Times New Roman" w:hAnsi="Times New Roman"/>
          <w:sz w:val="20"/>
          <w:szCs w:val="20"/>
          <w:color w:val="auto"/>
        </w:rPr>
        <w:t>, intercompany licenses or grants of rights of distribution, co-promotion or similar commercial rights</w:t>
      </w:r>
    </w:p>
    <w:p>
      <w:pPr>
        <w:spacing w:after="0" w:line="22" w:lineRule="exact"/>
        <w:rPr>
          <w:sz w:val="20"/>
          <w:szCs w:val="20"/>
          <w:color w:val="auto"/>
        </w:rPr>
      </w:pPr>
    </w:p>
    <w:p>
      <w:pPr>
        <w:jc w:val="both"/>
        <w:ind w:firstLine="3"/>
        <w:spacing w:after="0" w:line="241" w:lineRule="auto"/>
        <w:tabs>
          <w:tab w:leader="none" w:pos="239" w:val="left"/>
        </w:tabs>
        <w:numPr>
          <w:ilvl w:val="0"/>
          <w:numId w:val="1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between or among the Credit Parties, or (ii) between or among the Credit Parties and Subsidiaries that are not Credit Parties entered into prior to the Closing Date and set forth in the Disclosure Letter, and renewals, replacements and extensions thereof that are on comparable terms and entered into in the ordinary course of business;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with respect to any such intercompany license or grant of rights pursuant to clause (ii), such license may only be exclusive with respect to Territory outside the United States, the terms do not provide for a sale or assignment of Intellectual Property and no Default or Event of Default has occurred and is continuing;</w:t>
      </w:r>
    </w:p>
    <w:p>
      <w:pPr>
        <w:spacing w:after="0" w:line="187"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color w:val="auto"/>
        </w:rPr>
        <w:t>(l)[reserved]; and</w:t>
      </w:r>
    </w:p>
    <w:p>
      <w:pPr>
        <w:spacing w:after="0" w:line="216" w:lineRule="exact"/>
        <w:rPr>
          <w:sz w:val="20"/>
          <w:szCs w:val="20"/>
          <w:color w:val="auto"/>
        </w:rPr>
      </w:pPr>
    </w:p>
    <w:p>
      <w:pPr>
        <w:jc w:val="both"/>
        <w:ind w:firstLine="744"/>
        <w:spacing w:after="0" w:line="249" w:lineRule="auto"/>
        <w:rPr>
          <w:sz w:val="20"/>
          <w:szCs w:val="20"/>
          <w:color w:val="auto"/>
        </w:rPr>
      </w:pPr>
      <w:r>
        <w:rPr>
          <w:rFonts w:ascii="Times New Roman" w:cs="Times New Roman" w:eastAsia="Times New Roman" w:hAnsi="Times New Roman"/>
          <w:sz w:val="20"/>
          <w:szCs w:val="20"/>
          <w:color w:val="auto"/>
        </w:rPr>
        <w:t xml:space="preserve">(m)other Transfers,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(x) the aggregate fair market value (reasonably determined in good faith by a Responsible Officer of Borrower) of the properties or assets Transferred pursuant to this </w:t>
      </w:r>
      <w:r>
        <w:rPr>
          <w:rFonts w:ascii="Times New Roman" w:cs="Times New Roman" w:eastAsia="Times New Roman" w:hAnsi="Times New Roman"/>
          <w:sz w:val="20"/>
          <w:szCs w:val="20"/>
          <w:u w:val="single" w:color="auto"/>
          <w:color w:val="auto"/>
        </w:rPr>
        <w:t>clause (m)</w:t>
      </w:r>
      <w:r>
        <w:rPr>
          <w:rFonts w:ascii="Times New Roman" w:cs="Times New Roman" w:eastAsia="Times New Roman" w:hAnsi="Times New Roman"/>
          <w:sz w:val="20"/>
          <w:szCs w:val="20"/>
          <w:color w:val="auto"/>
        </w:rPr>
        <w:t xml:space="preserve"> shall not exceed $10,000,000 in the aggregate; (y) at least 75% of the total consideration paid for such Transfer is in the form of cash; and (z) both immediately before and after giving effect to any such Transfer, no Default or Event of Default has occurred and is continuing.</w:t>
      </w:r>
    </w:p>
    <w:p>
      <w:pPr>
        <w:spacing w:after="0" w:line="180" w:lineRule="exact"/>
        <w:rPr>
          <w:sz w:val="20"/>
          <w:szCs w:val="20"/>
          <w:color w:val="auto"/>
        </w:rPr>
      </w:pPr>
    </w:p>
    <w:p>
      <w:pPr>
        <w:jc w:val="both"/>
        <w:ind w:firstLine="669"/>
        <w:spacing w:after="0" w:line="249" w:lineRule="auto"/>
        <w:rPr>
          <w:sz w:val="20"/>
          <w:szCs w:val="20"/>
          <w:color w:val="auto"/>
        </w:rPr>
      </w:pPr>
      <w:r>
        <w:rPr>
          <w:rFonts w:ascii="Times New Roman" w:cs="Times New Roman" w:eastAsia="Times New Roman" w:hAnsi="Times New Roman"/>
          <w:sz w:val="20"/>
          <w:szCs w:val="20"/>
          <w:color w:val="auto"/>
        </w:rPr>
        <w:t>Notwithstanding anything else to the contrary in this Agreement, (i) no Credit Party shall make any Transfers to Subsidiaries that are not Credit Parties except for Transfers pursuant to clause (k)(ii) above and Transfers constituting Investments pursuant to clause (o)(iv) of the definition of “Permitted Investments” and (ii) the Borrower shall not, and shall not permit any of its Subsidiaries to, Transfer any Intellectual Property other than pursuant to clauses (j) and (k) above.</w:t>
      </w:r>
    </w:p>
    <w:p>
      <w:pPr>
        <w:spacing w:after="0" w:line="162" w:lineRule="exact"/>
        <w:rPr>
          <w:sz w:val="20"/>
          <w:szCs w:val="20"/>
          <w:color w:val="auto"/>
        </w:rPr>
      </w:pPr>
    </w:p>
    <w:p>
      <w:pPr>
        <w:jc w:val="both"/>
        <w:ind w:firstLine="669"/>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Permitted Warrant Transaction</w:t>
      </w:r>
      <w:r>
        <w:rPr>
          <w:rFonts w:ascii="Times New Roman" w:cs="Times New Roman" w:eastAsia="Times New Roman" w:hAnsi="Times New Roman"/>
          <w:sz w:val="20"/>
          <w:szCs w:val="20"/>
          <w:color w:val="auto"/>
        </w:rPr>
        <w:t>” means any call option, warrant or right to purchase (or substantively equivalent derivative transaction) relating to Borrower’s common stock (or other securities or property following a merger event or other change of the common stock of Borrower) sold by Borrower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591185</wp:posOffset>
            </wp:positionV>
            <wp:extent cx="7157720" cy="4254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400" w:top="1426" w:right="419" w:bottom="1440" w:gutter="0" w:footer="0" w:header="0"/>
        </w:sectPr>
      </w:pPr>
    </w:p>
    <w:bookmarkStart w:id="348" w:name="page349"/>
    <w:bookmarkEnd w:id="348"/>
    <w:p>
      <w:pPr>
        <w:spacing w:after="0" w:line="167" w:lineRule="exact"/>
        <w:rPr>
          <w:sz w:val="20"/>
          <w:szCs w:val="20"/>
          <w:color w:val="auto"/>
        </w:rPr>
      </w:pPr>
    </w:p>
    <w:p>
      <w:pPr>
        <w:jc w:val="right"/>
        <w:ind w:right="4379"/>
        <w:spacing w:after="0"/>
        <w:rPr>
          <w:sz w:val="20"/>
          <w:szCs w:val="20"/>
          <w:color w:val="auto"/>
        </w:rPr>
      </w:pPr>
      <w:r>
        <w:rPr>
          <w:rFonts w:ascii="Times New Roman" w:cs="Times New Roman" w:eastAsia="Times New Roman" w:hAnsi="Times New Roman"/>
          <w:sz w:val="18"/>
          <w:szCs w:val="18"/>
          <w:color w:val="auto"/>
        </w:rPr>
        <w:t>118</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4905-3710-6484 v.17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600710</wp:posOffset>
            </wp:positionV>
            <wp:extent cx="7157720" cy="4254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59"/>
          </w:cols>
          <w:pgMar w:left="400" w:top="1440" w:right="1440" w:bottom="1440" w:gutter="0" w:footer="0" w:header="0"/>
        </w:sectPr>
      </w:pPr>
    </w:p>
    <w:bookmarkStart w:id="349" w:name="page350"/>
    <w:bookmarkEnd w:id="349"/>
    <w:p>
      <w:pPr>
        <w:jc w:val="both"/>
        <w:spacing w:after="0" w:line="249" w:lineRule="auto"/>
        <w:rPr>
          <w:sz w:val="20"/>
          <w:szCs w:val="20"/>
          <w:color w:val="auto"/>
        </w:rPr>
      </w:pPr>
      <w:r>
        <w:rPr>
          <w:rFonts w:ascii="Times New Roman" w:cs="Times New Roman" w:eastAsia="Times New Roman" w:hAnsi="Times New Roman"/>
          <w:sz w:val="20"/>
          <w:szCs w:val="20"/>
          <w:color w:val="auto"/>
        </w:rPr>
        <w:t>and with recourse to Borrower only substantially contemporaneously with any purchase by Borrower of a related Permitted Bond Hedge Transaction, and settled in common stock of the Borrower, cash or a combination thereof (such amount of cash determined by reference to the price of the Borrower’s common stock or such other securities or property), and cash in lieu of fractional shares of common stock of the Borrower, with a strike price higher than the strike price of the Permitted Bond Hedge Transaction.</w:t>
      </w:r>
    </w:p>
    <w:p>
      <w:pPr>
        <w:spacing w:after="0" w:line="176"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Person</w:t>
      </w:r>
      <w:r>
        <w:rPr>
          <w:rFonts w:ascii="Times New Roman" w:cs="Times New Roman" w:eastAsia="Times New Roman" w:hAnsi="Times New Roman"/>
          <w:sz w:val="20"/>
          <w:szCs w:val="20"/>
          <w:color w:val="auto"/>
        </w:rPr>
        <w:t>” means any individual, sole proprietorship, partnership, limited liability company, joint venture, company, trust, unincorporated organization, association, corporation, institution, public benefit corporation, firm, joint stock company, estate, entity or government agency.</w:t>
      </w:r>
    </w:p>
    <w:p>
      <w:pPr>
        <w:spacing w:after="0" w:line="16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PIK Election</w:t>
      </w:r>
      <w:r>
        <w:rPr>
          <w:rFonts w:ascii="Times New Roman" w:cs="Times New Roman" w:eastAsia="Times New Roman" w:hAnsi="Times New Roman"/>
          <w:sz w:val="20"/>
          <w:szCs w:val="20"/>
          <w:color w:val="auto"/>
        </w:rPr>
        <w:t xml:space="preserve">” is defined in </w:t>
      </w:r>
      <w:r>
        <w:rPr>
          <w:rFonts w:ascii="Times New Roman" w:cs="Times New Roman" w:eastAsia="Times New Roman" w:hAnsi="Times New Roman"/>
          <w:sz w:val="20"/>
          <w:szCs w:val="20"/>
          <w:u w:val="single" w:color="auto"/>
          <w:color w:val="auto"/>
        </w:rPr>
        <w:t>Section 2.3(d)(iii)</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PIK Election Notice</w:t>
      </w:r>
      <w:r>
        <w:rPr>
          <w:rFonts w:ascii="Times New Roman" w:cs="Times New Roman" w:eastAsia="Times New Roman" w:hAnsi="Times New Roman"/>
          <w:sz w:val="20"/>
          <w:szCs w:val="20"/>
          <w:color w:val="auto"/>
        </w:rPr>
        <w:t xml:space="preserve">” is defined in </w:t>
      </w:r>
      <w:r>
        <w:rPr>
          <w:rFonts w:ascii="Times New Roman" w:cs="Times New Roman" w:eastAsia="Times New Roman" w:hAnsi="Times New Roman"/>
          <w:sz w:val="20"/>
          <w:szCs w:val="20"/>
          <w:u w:val="single" w:color="auto"/>
          <w:color w:val="auto"/>
        </w:rPr>
        <w:t>Section 2.3(d)(iii)</w:t>
      </w:r>
      <w:r>
        <w:rPr>
          <w:rFonts w:ascii="Times New Roman" w:cs="Times New Roman" w:eastAsia="Times New Roman" w:hAnsi="Times New Roman"/>
          <w:sz w:val="20"/>
          <w:szCs w:val="20"/>
          <w:color w:val="auto"/>
        </w:rPr>
        <w:t>.</w:t>
      </w:r>
    </w:p>
    <w:p>
      <w:pPr>
        <w:spacing w:after="0" w:line="202"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Plan</w:t>
      </w:r>
      <w:r>
        <w:rPr>
          <w:rFonts w:ascii="Times New Roman" w:cs="Times New Roman" w:eastAsia="Times New Roman" w:hAnsi="Times New Roman"/>
          <w:sz w:val="20"/>
          <w:szCs w:val="20"/>
          <w:color w:val="auto"/>
        </w:rPr>
        <w:t>” means any employee pension benefit plan subject to the provisions of Title IV of ERISA or Section 412 of the IRC or Section 302 of ERISA which is maintained or contributed to by Borrower or its Subsidiaries or any of their respective ERISA Affiliates or with respect to which Borrower or its Subsidiaries are subject to liability (including under Section 4069 of ERISA).</w:t>
      </w:r>
    </w:p>
    <w:p>
      <w:pPr>
        <w:spacing w:after="0" w:line="16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Platform</w:t>
      </w:r>
      <w:r>
        <w:rPr>
          <w:rFonts w:ascii="Times New Roman" w:cs="Times New Roman" w:eastAsia="Times New Roman" w:hAnsi="Times New Roman"/>
          <w:sz w:val="20"/>
          <w:szCs w:val="20"/>
          <w:color w:val="auto"/>
        </w:rPr>
        <w:t>” means Debt Domain, Intralinks, Syndtrak, DebtX or a substantially similar electronic transmission system.</w:t>
      </w:r>
    </w:p>
    <w:p>
      <w:pPr>
        <w:spacing w:after="0" w:line="216"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Post-Approval Acquisition Deferred Payments</w:t>
      </w:r>
      <w:r>
        <w:rPr>
          <w:rFonts w:ascii="Times New Roman" w:cs="Times New Roman" w:eastAsia="Times New Roman" w:hAnsi="Times New Roman"/>
          <w:sz w:val="20"/>
          <w:szCs w:val="20"/>
          <w:color w:val="auto"/>
        </w:rPr>
        <w:t>” means, with respect to any product(s) to which the Borrower or its Subsidiaries acquires any rights in an Acquisition, Acquisition Deferred Payments with respect to such Acquisition that are payable solely upon or after the receipt by the Borrower or its Subsidiaries of written approval from the FDA permitting the marketing of the applicable product(s) in the United States.</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Product</w:t>
      </w:r>
      <w:r>
        <w:rPr>
          <w:rFonts w:ascii="Times New Roman" w:cs="Times New Roman" w:eastAsia="Times New Roman" w:hAnsi="Times New Roman"/>
          <w:sz w:val="20"/>
          <w:szCs w:val="20"/>
          <w:color w:val="auto"/>
        </w:rPr>
        <w:t>” means, individually or collectively, (i) Auvelity, (ii) Sunosi, (iii) Symbravo, (iv) AXS-12, (v) AXS-14, (vi) AXS-05,</w:t>
      </w:r>
    </w:p>
    <w:p>
      <w:pPr>
        <w:spacing w:after="0" w:line="26" w:lineRule="exact"/>
        <w:rPr>
          <w:sz w:val="20"/>
          <w:szCs w:val="20"/>
          <w:color w:val="auto"/>
        </w:rPr>
      </w:pPr>
    </w:p>
    <w:p>
      <w:pPr>
        <w:jc w:val="both"/>
        <w:ind w:firstLine="8"/>
        <w:spacing w:after="0"/>
        <w:tabs>
          <w:tab w:leader="none" w:pos="414" w:val="left"/>
        </w:tabs>
        <w:numPr>
          <w:ilvl w:val="0"/>
          <w:numId w:val="2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AXS-07, (viii) any other product that includes any of clauses (i) through (viii), and (ix) any other current or future product that is developed, manufactured, packaged, labeled, commercialized, imported, exported, distributed, promoted, marketed or sold by or on behalf of any Credit Party or any of its Subsidiaries, including marketed products and products under development, and which product has reached (at least) the IND stage, including other pharmaceutical forms thereof, provided, however, that products of third-parties that are (1) independent of the Credit Parties or any of their Subsidiaries and (2) do not incorporate any Intellectual Property owned or licensed by the Credit Parties or any of their Subsidiaries, whether owned or co-owned (or purported to be so), shall not constitute “Products” pursuant to the foregoing clause (ix). For purpose of this definition, “has reached (at least) the IND stage” means that either an IND (or foreign equivalent) has been filed or the applicable data reasonably likely to support the filing of such an IND has been generated.</w:t>
      </w:r>
    </w:p>
    <w:p>
      <w:pPr>
        <w:spacing w:after="0" w:line="200"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Product IP</w:t>
      </w:r>
      <w:r>
        <w:rPr>
          <w:rFonts w:ascii="Times New Roman" w:cs="Times New Roman" w:eastAsia="Times New Roman" w:hAnsi="Times New Roman"/>
          <w:sz w:val="20"/>
          <w:szCs w:val="20"/>
          <w:color w:val="auto"/>
        </w:rPr>
        <w:t xml:space="preserve">” means any and all Intellectual Property of the Credit Parties or any of their Subsidiaries, whether owned or co-owned (or purported to be so) or licensed to (or purported to be so) the Credit Parties or any of their Subsidiaries, or acquired, developed or obtained by or otherwise licensed to the Credit Parties or any of their Subsidiaries after the date hereof that is, in each case, used in, related to or necessary in any material respect to research, development, manufacture, production, use, commercialization, marketing, importing, storage, transport, offer for sale, distribution or sale of any Product in the Territory, as such Intellectual Property exists from time to time in the United States and throughout the world, including, without limitation: (a) Intellectual Property set forth in </w:t>
      </w:r>
      <w:r>
        <w:rPr>
          <w:rFonts w:ascii="Times New Roman" w:cs="Times New Roman" w:eastAsia="Times New Roman" w:hAnsi="Times New Roman"/>
          <w:sz w:val="20"/>
          <w:szCs w:val="20"/>
          <w:u w:val="single" w:color="auto"/>
          <w:color w:val="auto"/>
        </w:rPr>
        <w:t>Schedule 4.6(c)</w:t>
      </w:r>
      <w:r>
        <w:rPr>
          <w:rFonts w:ascii="Times New Roman" w:cs="Times New Roman" w:eastAsia="Times New Roman" w:hAnsi="Times New Roman"/>
          <w:sz w:val="20"/>
          <w:szCs w:val="20"/>
          <w:color w:val="auto"/>
        </w:rPr>
        <w:t xml:space="preserve"> of the Disclosure Letter and (b) regulatory filings, submissions and approvals related to any research, development, manufacture, production, use, commercialization, marketing, importing, storage, transport, offer for sale, distribution or sale of any Product in the Territory and all data provided in any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602615</wp:posOffset>
            </wp:positionV>
            <wp:extent cx="7157720" cy="4254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26" w:right="419" w:bottom="1440" w:gutter="0" w:footer="0" w:header="0"/>
        </w:sectPr>
      </w:pPr>
    </w:p>
    <w:bookmarkStart w:id="350" w:name="page351"/>
    <w:bookmarkEnd w:id="350"/>
    <w:p>
      <w:pPr>
        <w:spacing w:after="0" w:line="167"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119</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4905-3710-6484 v.17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600710</wp:posOffset>
            </wp:positionV>
            <wp:extent cx="7157720" cy="4254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351" w:name="page352"/>
    <w:bookmarkEnd w:id="351"/>
    <w:p>
      <w:pPr>
        <w:jc w:val="both"/>
        <w:spacing w:after="0" w:line="269" w:lineRule="auto"/>
        <w:rPr>
          <w:sz w:val="20"/>
          <w:szCs w:val="20"/>
          <w:color w:val="auto"/>
        </w:rPr>
      </w:pPr>
      <w:r>
        <w:rPr>
          <w:rFonts w:ascii="Times New Roman" w:cs="Times New Roman" w:eastAsia="Times New Roman" w:hAnsi="Times New Roman"/>
          <w:sz w:val="20"/>
          <w:szCs w:val="20"/>
          <w:color w:val="auto"/>
        </w:rPr>
        <w:t>foregoing, including any material regulatory exclusivities relating to any Product in the Territory such as new chemical entity exclusivity or orphan drug exclusivity in the U.S., and their equivalents in counterpart foreign jurisdictions.</w:t>
      </w:r>
    </w:p>
    <w:p>
      <w:pPr>
        <w:spacing w:after="0" w:line="16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Protected Person</w:t>
      </w:r>
      <w:r>
        <w:rPr>
          <w:rFonts w:ascii="Times New Roman" w:cs="Times New Roman" w:eastAsia="Times New Roman" w:hAnsi="Times New Roman"/>
          <w:sz w:val="20"/>
          <w:szCs w:val="20"/>
          <w:color w:val="auto"/>
        </w:rPr>
        <w:t xml:space="preserve">” is defined in </w:t>
      </w:r>
      <w:r>
        <w:rPr>
          <w:rFonts w:ascii="Times New Roman" w:cs="Times New Roman" w:eastAsia="Times New Roman" w:hAnsi="Times New Roman"/>
          <w:sz w:val="20"/>
          <w:szCs w:val="20"/>
          <w:u w:val="single" w:color="auto"/>
          <w:color w:val="auto"/>
        </w:rPr>
        <w:t>Section 11.2(b)</w:t>
      </w:r>
      <w:r>
        <w:rPr>
          <w:rFonts w:ascii="Times New Roman" w:cs="Times New Roman" w:eastAsia="Times New Roman" w:hAnsi="Times New Roman"/>
          <w:sz w:val="20"/>
          <w:szCs w:val="20"/>
          <w:color w:val="auto"/>
        </w:rPr>
        <w:t>.</w:t>
      </w:r>
    </w:p>
    <w:p>
      <w:pPr>
        <w:spacing w:after="0" w:line="202"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Public Health Law</w:t>
      </w:r>
      <w:r>
        <w:rPr>
          <w:rFonts w:ascii="Times New Roman" w:cs="Times New Roman" w:eastAsia="Times New Roman" w:hAnsi="Times New Roman"/>
          <w:sz w:val="20"/>
          <w:szCs w:val="20"/>
          <w:color w:val="auto"/>
        </w:rPr>
        <w:t>” means all Requirements of Law relating to the procurement, development, clinical and non-clinical evaluation or investigation, product approval or clearance manufacture, production, analysis, distribution, dispensing, importation, exportation, use, handling, quality, reimbursement, sale, labeling, advertising, promotion, or postmarket requirements of any drug, medical device, food, dietary supplement, or other product (including any ingredient or component of, or accessory to, the foregoing products) subject to regulation under the Federal Food, Drug and Cosmetic Act (21 U.S.C. et seq.) and similar state or foreign laws, pharmacy laws, or consumer product safety laws.</w:t>
      </w:r>
    </w:p>
    <w:p>
      <w:pPr>
        <w:spacing w:after="0" w:line="19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Public Lender</w:t>
      </w:r>
      <w:r>
        <w:rPr>
          <w:rFonts w:ascii="Times New Roman" w:cs="Times New Roman" w:eastAsia="Times New Roman" w:hAnsi="Times New Roman"/>
          <w:sz w:val="20"/>
          <w:szCs w:val="20"/>
          <w:color w:val="auto"/>
        </w:rPr>
        <w:t xml:space="preserve">” is defined in </w:t>
      </w:r>
      <w:r>
        <w:rPr>
          <w:rFonts w:ascii="Times New Roman" w:cs="Times New Roman" w:eastAsia="Times New Roman" w:hAnsi="Times New Roman"/>
          <w:sz w:val="20"/>
          <w:szCs w:val="20"/>
          <w:u w:val="single" w:color="auto"/>
          <w:color w:val="auto"/>
        </w:rPr>
        <w:t>Section 9</w:t>
      </w:r>
      <w:r>
        <w:rPr>
          <w:rFonts w:ascii="Times New Roman" w:cs="Times New Roman" w:eastAsia="Times New Roman" w:hAnsi="Times New Roman"/>
          <w:sz w:val="20"/>
          <w:szCs w:val="20"/>
          <w:color w:val="auto"/>
        </w:rPr>
        <w:t>.</w:t>
      </w:r>
    </w:p>
    <w:p>
      <w:pPr>
        <w:spacing w:after="0" w:line="20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Qualified Equity Interests</w:t>
      </w:r>
      <w:r>
        <w:rPr>
          <w:rFonts w:ascii="Times New Roman" w:cs="Times New Roman" w:eastAsia="Times New Roman" w:hAnsi="Times New Roman"/>
          <w:sz w:val="20"/>
          <w:szCs w:val="20"/>
          <w:color w:val="auto"/>
        </w:rPr>
        <w:t>” means any Equity Interests that that are not Disqualified Equity Interests.</w:t>
      </w:r>
    </w:p>
    <w:p>
      <w:pPr>
        <w:spacing w:after="0" w:line="3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Register</w:t>
      </w:r>
      <w:r>
        <w:rPr>
          <w:rFonts w:ascii="Times New Roman" w:cs="Times New Roman" w:eastAsia="Times New Roman" w:hAnsi="Times New Roman"/>
          <w:sz w:val="20"/>
          <w:szCs w:val="20"/>
          <w:color w:val="auto"/>
        </w:rPr>
        <w:t xml:space="preserve">” is defined in </w:t>
      </w:r>
      <w:r>
        <w:rPr>
          <w:rFonts w:ascii="Times New Roman" w:cs="Times New Roman" w:eastAsia="Times New Roman" w:hAnsi="Times New Roman"/>
          <w:sz w:val="20"/>
          <w:szCs w:val="20"/>
          <w:u w:val="single" w:color="auto"/>
          <w:color w:val="auto"/>
        </w:rPr>
        <w:t>Section 2.8(a)</w:t>
      </w: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2458720</wp:posOffset>
            </wp:positionH>
            <wp:positionV relativeFrom="paragraph">
              <wp:posOffset>-20320</wp:posOffset>
            </wp:positionV>
            <wp:extent cx="31115" cy="825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1">
                      <a:extLst>
                        <a:ext uri="{28A0092B-C50C-407E-A947-70E740481C1C}"/>
                      </a:extLst>
                    </a:blip>
                    <a:srcRect/>
                    <a:stretch>
                      <a:fillRect/>
                    </a:stretch>
                  </pic:blipFill>
                  <pic:spPr bwMode="auto">
                    <a:xfrm>
                      <a:off x="0" y="0"/>
                      <a:ext cx="31115" cy="8255"/>
                    </a:xfrm>
                    <a:prstGeom prst="rect">
                      <a:avLst/>
                    </a:prstGeom>
                    <a:noFill/>
                  </pic:spPr>
                </pic:pic>
              </a:graphicData>
            </a:graphic>
          </wp:anchor>
        </w:drawing>
      </w: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Registered</w:t>
      </w:r>
      <w:r>
        <w:rPr>
          <w:rFonts w:ascii="Times New Roman" w:cs="Times New Roman" w:eastAsia="Times New Roman" w:hAnsi="Times New Roman"/>
          <w:sz w:val="20"/>
          <w:szCs w:val="20"/>
          <w:color w:val="auto"/>
        </w:rPr>
        <w:t xml:space="preserve">” is defined in </w:t>
      </w:r>
      <w:r>
        <w:rPr>
          <w:rFonts w:ascii="Times New Roman" w:cs="Times New Roman" w:eastAsia="Times New Roman" w:hAnsi="Times New Roman"/>
          <w:sz w:val="20"/>
          <w:szCs w:val="20"/>
          <w:u w:val="single" w:color="auto"/>
          <w:color w:val="auto"/>
        </w:rPr>
        <w:t>Section 4.6(c)</w:t>
      </w:r>
      <w:r>
        <w:rPr>
          <w:rFonts w:ascii="Times New Roman" w:cs="Times New Roman" w:eastAsia="Times New Roman" w:hAnsi="Times New Roman"/>
          <w:sz w:val="20"/>
          <w:szCs w:val="20"/>
          <w:color w:val="auto"/>
        </w:rPr>
        <w:t>.</w:t>
      </w:r>
    </w:p>
    <w:p>
      <w:pPr>
        <w:spacing w:after="0" w:line="190" w:lineRule="exact"/>
        <w:rPr>
          <w:sz w:val="20"/>
          <w:szCs w:val="20"/>
          <w:color w:val="auto"/>
        </w:rPr>
      </w:pPr>
    </w:p>
    <w:p>
      <w:pPr>
        <w:jc w:val="both"/>
        <w:ind w:firstLine="749"/>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Registered Organization</w:t>
      </w:r>
      <w:r>
        <w:rPr>
          <w:rFonts w:ascii="Times New Roman" w:cs="Times New Roman" w:eastAsia="Times New Roman" w:hAnsi="Times New Roman"/>
          <w:sz w:val="20"/>
          <w:szCs w:val="20"/>
          <w:color w:val="auto"/>
        </w:rPr>
        <w:t>” means any “registered organization” as defined in the Code with such additions to such term as may hereafter be made.</w:t>
      </w:r>
    </w:p>
    <w:p>
      <w:pPr>
        <w:spacing w:after="0" w:line="152"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Regulatory Action</w:t>
      </w:r>
      <w:r>
        <w:rPr>
          <w:rFonts w:ascii="Times New Roman" w:cs="Times New Roman" w:eastAsia="Times New Roman" w:hAnsi="Times New Roman"/>
          <w:sz w:val="20"/>
          <w:szCs w:val="20"/>
          <w:color w:val="auto"/>
        </w:rPr>
        <w:t>” means an administrative or regulatory action, proceeding, investigation, FDA Form 483 inspectional observation or formal notice of serious deficiencies, warning letter, untitled letter, notice of violation letter, recall, alert, seizure, Section 305 notice or other similar communication, or consent decree issued by a Regulatory Agency.</w:t>
      </w:r>
    </w:p>
    <w:p>
      <w:pPr>
        <w:spacing w:after="0" w:line="169" w:lineRule="exact"/>
        <w:rPr>
          <w:sz w:val="20"/>
          <w:szCs w:val="20"/>
          <w:color w:val="auto"/>
        </w:rPr>
      </w:pPr>
    </w:p>
    <w:p>
      <w:pPr>
        <w:jc w:val="both"/>
        <w:ind w:firstLine="749"/>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Regulatory Agency</w:t>
      </w:r>
      <w:r>
        <w:rPr>
          <w:rFonts w:ascii="Times New Roman" w:cs="Times New Roman" w:eastAsia="Times New Roman" w:hAnsi="Times New Roman"/>
          <w:sz w:val="20"/>
          <w:szCs w:val="20"/>
          <w:color w:val="auto"/>
        </w:rPr>
        <w:t>” means a U.S. Governmental Authority with responsibility for the approval of the marketing and sale of pharmaceuticals or other regulation of pharmaceuticals and counterpart foreign Governmental Authorities.</w:t>
      </w:r>
    </w:p>
    <w:p>
      <w:pPr>
        <w:spacing w:after="0" w:line="152"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Regulatory Approval</w:t>
      </w:r>
      <w:r>
        <w:rPr>
          <w:rFonts w:ascii="Times New Roman" w:cs="Times New Roman" w:eastAsia="Times New Roman" w:hAnsi="Times New Roman"/>
          <w:sz w:val="20"/>
          <w:szCs w:val="20"/>
          <w:color w:val="auto"/>
        </w:rPr>
        <w:t>” means all approvals, product or establishment licenses, registrations or authorizations of any Regulatory Agency necessary for the manufacture, use, storage, import, export, transport, offer for sale, or sale of any Product.</w:t>
      </w: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Rejected Amount</w:t>
      </w:r>
      <w:r>
        <w:rPr>
          <w:rFonts w:ascii="Times New Roman" w:cs="Times New Roman" w:eastAsia="Times New Roman" w:hAnsi="Times New Roman"/>
          <w:sz w:val="20"/>
          <w:szCs w:val="20"/>
          <w:color w:val="auto"/>
        </w:rPr>
        <w:t xml:space="preserve">” is defined in </w:t>
      </w:r>
      <w:r>
        <w:rPr>
          <w:rFonts w:ascii="Times New Roman" w:cs="Times New Roman" w:eastAsia="Times New Roman" w:hAnsi="Times New Roman"/>
          <w:sz w:val="20"/>
          <w:szCs w:val="20"/>
          <w:u w:val="single" w:color="auto"/>
          <w:color w:val="auto"/>
        </w:rPr>
        <w:t>Section 2.2(e)</w:t>
      </w: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2950845</wp:posOffset>
            </wp:positionH>
            <wp:positionV relativeFrom="paragraph">
              <wp:posOffset>-24765</wp:posOffset>
            </wp:positionV>
            <wp:extent cx="31115" cy="889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2">
                      <a:extLst>
                        <a:ext uri="{28A0092B-C50C-407E-A947-70E740481C1C}"/>
                      </a:extLst>
                    </a:blip>
                    <a:srcRect/>
                    <a:stretch>
                      <a:fillRect/>
                    </a:stretch>
                  </pic:blipFill>
                  <pic:spPr bwMode="auto">
                    <a:xfrm>
                      <a:off x="0" y="0"/>
                      <a:ext cx="31115" cy="8890"/>
                    </a:xfrm>
                    <a:prstGeom prst="rect">
                      <a:avLst/>
                    </a:prstGeom>
                    <a:noFill/>
                  </pic:spPr>
                </pic:pic>
              </a:graphicData>
            </a:graphic>
          </wp:anchor>
        </w:drawing>
      </w: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Rejecting Lender</w:t>
      </w:r>
      <w:r>
        <w:rPr>
          <w:rFonts w:ascii="Times New Roman" w:cs="Times New Roman" w:eastAsia="Times New Roman" w:hAnsi="Times New Roman"/>
          <w:sz w:val="20"/>
          <w:szCs w:val="20"/>
          <w:color w:val="auto"/>
        </w:rPr>
        <w:t xml:space="preserve">” is defined in </w:t>
      </w:r>
      <w:r>
        <w:rPr>
          <w:rFonts w:ascii="Times New Roman" w:cs="Times New Roman" w:eastAsia="Times New Roman" w:hAnsi="Times New Roman"/>
          <w:sz w:val="20"/>
          <w:szCs w:val="20"/>
          <w:u w:val="single" w:color="auto"/>
          <w:color w:val="auto"/>
        </w:rPr>
        <w:t>Section 2.2(e)</w:t>
      </w: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2943225</wp:posOffset>
            </wp:positionH>
            <wp:positionV relativeFrom="paragraph">
              <wp:posOffset>-24765</wp:posOffset>
            </wp:positionV>
            <wp:extent cx="31115" cy="825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3">
                      <a:extLst>
                        <a:ext uri="{28A0092B-C50C-407E-A947-70E740481C1C}"/>
                      </a:extLst>
                    </a:blip>
                    <a:srcRect/>
                    <a:stretch>
                      <a:fillRect/>
                    </a:stretch>
                  </pic:blipFill>
                  <pic:spPr bwMode="auto">
                    <a:xfrm>
                      <a:off x="0" y="0"/>
                      <a:ext cx="31115" cy="8255"/>
                    </a:xfrm>
                    <a:prstGeom prst="rect">
                      <a:avLst/>
                    </a:prstGeom>
                    <a:noFill/>
                  </pic:spPr>
                </pic:pic>
              </a:graphicData>
            </a:graphic>
          </wp:anchor>
        </w:drawing>
      </w: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Rejection Deadline</w:t>
      </w:r>
      <w:r>
        <w:rPr>
          <w:rFonts w:ascii="Times New Roman" w:cs="Times New Roman" w:eastAsia="Times New Roman" w:hAnsi="Times New Roman"/>
          <w:sz w:val="20"/>
          <w:szCs w:val="20"/>
          <w:color w:val="auto"/>
        </w:rPr>
        <w:t xml:space="preserve">” is defined in </w:t>
      </w:r>
      <w:r>
        <w:rPr>
          <w:rFonts w:ascii="Times New Roman" w:cs="Times New Roman" w:eastAsia="Times New Roman" w:hAnsi="Times New Roman"/>
          <w:sz w:val="20"/>
          <w:szCs w:val="20"/>
          <w:u w:val="single" w:color="auto"/>
          <w:color w:val="auto"/>
        </w:rPr>
        <w:t>Section 2.2(e)</w:t>
      </w: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3027045</wp:posOffset>
            </wp:positionH>
            <wp:positionV relativeFrom="paragraph">
              <wp:posOffset>-24765</wp:posOffset>
            </wp:positionV>
            <wp:extent cx="31115" cy="825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4">
                      <a:extLst>
                        <a:ext uri="{28A0092B-C50C-407E-A947-70E740481C1C}"/>
                      </a:extLst>
                    </a:blip>
                    <a:srcRect/>
                    <a:stretch>
                      <a:fillRect/>
                    </a:stretch>
                  </pic:blipFill>
                  <pic:spPr bwMode="auto">
                    <a:xfrm>
                      <a:off x="0" y="0"/>
                      <a:ext cx="31115" cy="8255"/>
                    </a:xfrm>
                    <a:prstGeom prst="rect">
                      <a:avLst/>
                    </a:prstGeom>
                    <a:noFill/>
                  </pic:spPr>
                </pic:pic>
              </a:graphicData>
            </a:graphic>
          </wp:anchor>
        </w:drawing>
      </w: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Rejection Notice</w:t>
      </w:r>
      <w:r>
        <w:rPr>
          <w:rFonts w:ascii="Times New Roman" w:cs="Times New Roman" w:eastAsia="Times New Roman" w:hAnsi="Times New Roman"/>
          <w:sz w:val="20"/>
          <w:szCs w:val="20"/>
          <w:color w:val="auto"/>
        </w:rPr>
        <w:t xml:space="preserve">” is defined in </w:t>
      </w:r>
      <w:r>
        <w:rPr>
          <w:rFonts w:ascii="Times New Roman" w:cs="Times New Roman" w:eastAsia="Times New Roman" w:hAnsi="Times New Roman"/>
          <w:sz w:val="20"/>
          <w:szCs w:val="20"/>
          <w:u w:val="single" w:color="auto"/>
          <w:color w:val="auto"/>
        </w:rPr>
        <w:t>Section 2.2(e)</w:t>
      </w:r>
      <w:r>
        <w:rPr>
          <w:rFonts w:ascii="Times New Roman" w:cs="Times New Roman" w:eastAsia="Times New Roman" w:hAnsi="Times New Roman"/>
          <w:sz w:val="20"/>
          <w:szCs w:val="20"/>
          <w:color w:val="auto"/>
        </w:rPr>
        <w:t>.</w:t>
      </w:r>
    </w:p>
    <w:p>
      <w:pPr>
        <w:spacing w:after="0" w:line="190"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Related Parties</w:t>
      </w:r>
      <w:r>
        <w:rPr>
          <w:rFonts w:ascii="Times New Roman" w:cs="Times New Roman" w:eastAsia="Times New Roman" w:hAnsi="Times New Roman"/>
          <w:sz w:val="20"/>
          <w:szCs w:val="20"/>
          <w:color w:val="auto"/>
        </w:rPr>
        <w:t>” means, with respect to any Person, such Person’s Affiliates and the current and prospective partners, directors, officers, employees, agents, trustees, administrators, members, managers, advisors and representatives of such Person and of such Person’s Affiliates.</w:t>
      </w:r>
    </w:p>
    <w:p>
      <w:pPr>
        <w:spacing w:after="0" w:line="169" w:lineRule="exact"/>
        <w:rPr>
          <w:sz w:val="20"/>
          <w:szCs w:val="20"/>
          <w:color w:val="auto"/>
        </w:rPr>
      </w:pPr>
    </w:p>
    <w:p>
      <w:pPr>
        <w:jc w:val="both"/>
        <w:ind w:firstLine="749"/>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Release</w:t>
      </w:r>
      <w:r>
        <w:rPr>
          <w:rFonts w:ascii="Times New Roman" w:cs="Times New Roman" w:eastAsia="Times New Roman" w:hAnsi="Times New Roman"/>
          <w:sz w:val="20"/>
          <w:szCs w:val="20"/>
          <w:color w:val="auto"/>
        </w:rPr>
        <w:t>” means any spilling, leaking, pumping, pouring, emitting, emptying, discharging, injecting, escaping, leaching, dumping, or disposing of any Hazardous Material into the indoor or outdoor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581025</wp:posOffset>
            </wp:positionV>
            <wp:extent cx="7157720" cy="4254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52" w:name="page353"/>
    <w:bookmarkEnd w:id="352"/>
    <w:p>
      <w:pPr>
        <w:spacing w:after="0" w:line="45" w:lineRule="exact"/>
        <w:rPr>
          <w:sz w:val="20"/>
          <w:szCs w:val="20"/>
          <w:color w:val="auto"/>
        </w:rPr>
      </w:pPr>
    </w:p>
    <w:p>
      <w:pPr>
        <w:jc w:val="right"/>
        <w:ind w:right="4379"/>
        <w:spacing w:after="0"/>
        <w:rPr>
          <w:sz w:val="20"/>
          <w:szCs w:val="20"/>
          <w:color w:val="auto"/>
        </w:rPr>
      </w:pPr>
      <w:r>
        <w:rPr>
          <w:rFonts w:ascii="Times New Roman" w:cs="Times New Roman" w:eastAsia="Times New Roman" w:hAnsi="Times New Roman"/>
          <w:sz w:val="18"/>
          <w:szCs w:val="18"/>
          <w:color w:val="auto"/>
        </w:rPr>
        <w:t>120</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4905-3710-6484 v.17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600710</wp:posOffset>
            </wp:positionV>
            <wp:extent cx="7157720" cy="4254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353" w:name="page354"/>
    <w:bookmarkEnd w:id="353"/>
    <w:p>
      <w:pPr>
        <w:jc w:val="both"/>
        <w:spacing w:after="0" w:line="269" w:lineRule="auto"/>
        <w:rPr>
          <w:sz w:val="20"/>
          <w:szCs w:val="20"/>
          <w:color w:val="auto"/>
        </w:rPr>
      </w:pPr>
      <w:r>
        <w:rPr>
          <w:rFonts w:ascii="Times New Roman" w:cs="Times New Roman" w:eastAsia="Times New Roman" w:hAnsi="Times New Roman"/>
          <w:sz w:val="20"/>
          <w:szCs w:val="20"/>
          <w:color w:val="auto"/>
        </w:rPr>
        <w:t>environment (including the abandonment or disposal of any barrels, containers or other closed receptacles containing any Hazardous Material), including the movement of any Hazardous Material through the air, soil, surface water or groundwater.</w:t>
      </w:r>
    </w:p>
    <w:p>
      <w:pPr>
        <w:spacing w:after="0" w:line="169"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Relevant EU Directive</w:t>
      </w:r>
      <w:r>
        <w:rPr>
          <w:rFonts w:ascii="Times New Roman" w:cs="Times New Roman" w:eastAsia="Times New Roman" w:hAnsi="Times New Roman"/>
          <w:sz w:val="20"/>
          <w:szCs w:val="20"/>
          <w:color w:val="auto"/>
        </w:rPr>
        <w:t>” means Directive (EU) 2019/1023 of the European Parliament and of the Council of 20 June 2019 on preventive restructuring frameworks, on discharge of debt and disqualifications, and on measures to increase the efficiency of procedures concerning restructuring, insolvency and discharge of debt, and amending Directive (EU) 2017/1132 (</w:t>
      </w:r>
      <w:r>
        <w:rPr>
          <w:rFonts w:ascii="Times New Roman" w:cs="Times New Roman" w:eastAsia="Times New Roman" w:hAnsi="Times New Roman"/>
          <w:sz w:val="20"/>
          <w:szCs w:val="20"/>
          <w:i w:val="1"/>
          <w:iCs w:val="1"/>
          <w:color w:val="auto"/>
        </w:rPr>
        <w:t>Directive on restructuring and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insolvency</w:t>
      </w:r>
      <w:r>
        <w:rPr>
          <w:rFonts w:ascii="Times New Roman" w:cs="Times New Roman" w:eastAsia="Times New Roman" w:hAnsi="Times New Roman"/>
          <w:sz w:val="20"/>
          <w:szCs w:val="20"/>
          <w:color w:val="auto"/>
        </w:rPr>
        <w:t>).</w:t>
      </w:r>
    </w:p>
    <w:p>
      <w:pPr>
        <w:spacing w:after="0" w:line="162" w:lineRule="exact"/>
        <w:rPr>
          <w:sz w:val="20"/>
          <w:szCs w:val="20"/>
          <w:color w:val="auto"/>
        </w:rPr>
      </w:pPr>
    </w:p>
    <w:p>
      <w:pPr>
        <w:jc w:val="both"/>
        <w:ind w:firstLine="749"/>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Relevant Governmental Body</w:t>
      </w:r>
      <w:r>
        <w:rPr>
          <w:rFonts w:ascii="Times New Roman" w:cs="Times New Roman" w:eastAsia="Times New Roman" w:hAnsi="Times New Roman"/>
          <w:sz w:val="20"/>
          <w:szCs w:val="20"/>
          <w:color w:val="auto"/>
        </w:rPr>
        <w:t>” means the Federal Reserve Board or the Federal Reserve Bank of New York, or a committee officially endorsed or convened by the Federal Reserve Board or the Federal Reserve Bank of New York, or any successor thereto.</w:t>
      </w:r>
    </w:p>
    <w:p>
      <w:pPr>
        <w:spacing w:after="0" w:line="16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Removal Effective Date</w:t>
      </w:r>
      <w:r>
        <w:rPr>
          <w:rFonts w:ascii="Times New Roman" w:cs="Times New Roman" w:eastAsia="Times New Roman" w:hAnsi="Times New Roman"/>
          <w:sz w:val="20"/>
          <w:szCs w:val="20"/>
          <w:color w:val="auto"/>
        </w:rPr>
        <w:t xml:space="preserve">” is defined in </w:t>
      </w:r>
      <w:r>
        <w:rPr>
          <w:rFonts w:ascii="Times New Roman" w:cs="Times New Roman" w:eastAsia="Times New Roman" w:hAnsi="Times New Roman"/>
          <w:sz w:val="20"/>
          <w:szCs w:val="20"/>
          <w:u w:val="single" w:color="auto"/>
          <w:color w:val="auto"/>
        </w:rPr>
        <w:t>Section 12.6</w:t>
      </w:r>
      <w:r>
        <w:rPr>
          <w:rFonts w:ascii="Times New Roman" w:cs="Times New Roman" w:eastAsia="Times New Roman" w:hAnsi="Times New Roman"/>
          <w:sz w:val="20"/>
          <w:szCs w:val="20"/>
          <w:color w:val="auto"/>
        </w:rPr>
        <w:t>.</w:t>
      </w:r>
    </w:p>
    <w:p>
      <w:pPr>
        <w:spacing w:after="0" w:line="202"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Required Initial Term Loan Lenders</w:t>
      </w:r>
      <w:r>
        <w:rPr>
          <w:rFonts w:ascii="Times New Roman" w:cs="Times New Roman" w:eastAsia="Times New Roman" w:hAnsi="Times New Roman"/>
          <w:sz w:val="20"/>
          <w:szCs w:val="20"/>
          <w:color w:val="auto"/>
        </w:rPr>
        <w:t xml:space="preserve">” means, at any date of determination, Lenders then holding more than fifty percent (50%) of the aggregate outstanding principal balance of the Initial Term Loans;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if any Initial Term Lender shall be a Defaulting Lender at such time then there shall be excluded from the determination of Required Initial Term Loan Lenders;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that the Required Initial Term Loan Lenders shall require the Blackstone Entities.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378460</wp:posOffset>
            </wp:positionH>
            <wp:positionV relativeFrom="paragraph">
              <wp:posOffset>-33655</wp:posOffset>
            </wp:positionV>
            <wp:extent cx="31115" cy="825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7">
                      <a:extLst>
                        <a:ext uri="{28A0092B-C50C-407E-A947-70E740481C1C}"/>
                      </a:extLst>
                    </a:blip>
                    <a:srcRect/>
                    <a:stretch>
                      <a:fillRect/>
                    </a:stretch>
                  </pic:blipFill>
                  <pic:spPr bwMode="auto">
                    <a:xfrm>
                      <a:off x="0" y="0"/>
                      <a:ext cx="31115" cy="8255"/>
                    </a:xfrm>
                    <a:prstGeom prst="rect">
                      <a:avLst/>
                    </a:prstGeom>
                    <a:noFill/>
                  </pic:spPr>
                </pic:pic>
              </a:graphicData>
            </a:graphic>
          </wp:anchor>
        </w:drawing>
      </w:r>
    </w:p>
    <w:p>
      <w:pPr>
        <w:spacing w:after="0" w:line="156"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Required Lenders</w:t>
      </w:r>
      <w:r>
        <w:rPr>
          <w:rFonts w:ascii="Times New Roman" w:cs="Times New Roman" w:eastAsia="Times New Roman" w:hAnsi="Times New Roman"/>
          <w:sz w:val="20"/>
          <w:szCs w:val="20"/>
          <w:color w:val="auto"/>
        </w:rPr>
        <w:t xml:space="preserve">” means, at any date of determination, Lenders then holding more than fifty percent (50%) of the aggregate outstanding principal balance of the Term Loans and unused Commitments;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any Lender shall be a Defaulting Lender at such time then there shall be excluded from the determination of Required Lenders;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that the Required Lenders shall include the Blackstone Entities that are Lenders.</w:t>
      </w:r>
    </w:p>
    <w:p>
      <w:pPr>
        <w:spacing w:after="0" w:line="176"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Required Revolving Credit Lenders</w:t>
      </w:r>
      <w:r>
        <w:rPr>
          <w:rFonts w:ascii="Times New Roman" w:cs="Times New Roman" w:eastAsia="Times New Roman" w:hAnsi="Times New Roman"/>
          <w:sz w:val="20"/>
          <w:szCs w:val="20"/>
          <w:color w:val="auto"/>
        </w:rPr>
        <w:t xml:space="preserve">” means, at any date of determination, Revolving Credit Lenders then holding more than fifty percent (50%) of the aggregate outstanding principal balance of the Revolving Credit Loans and unused Revolving Credit Commitments;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if any Revolving Credit Lender shall be a Defaulting Lender at such time then there shall be excluded from the determination of Required Revolving Credit Lenders;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that the Required Revolving Credit Lenders shall include the Blackstone Entities that are Revolving Credit Lenders.</w:t>
      </w:r>
    </w:p>
    <w:p>
      <w:pPr>
        <w:spacing w:after="0" w:line="180"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Required Tranche A Delayed Draw Term Loan Lenders</w:t>
      </w:r>
      <w:r>
        <w:rPr>
          <w:rFonts w:ascii="Times New Roman" w:cs="Times New Roman" w:eastAsia="Times New Roman" w:hAnsi="Times New Roman"/>
          <w:sz w:val="20"/>
          <w:szCs w:val="20"/>
          <w:color w:val="auto"/>
        </w:rPr>
        <w:t xml:space="preserve">” means, at any date of determination, Tranche A Delayed Draw Term Loan Lenders then holding more than fifty percent (50%) of the aggregate outstanding principal balance of the Tranche A Delayed Draw Term Loans and unused Tranche A Delayed Draw Commitments;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if any Tranche A Delayed Draw Term Loan Lender shall be a Defaulting Lender at such time then there shall be excluded from the determination of Required Tranche</w:t>
      </w:r>
    </w:p>
    <w:p>
      <w:pPr>
        <w:spacing w:after="0" w:line="1"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 xml:space="preserve">A Delayed Draw Term Loan Lenders;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that the Required Tranche A Delayed Draw Term Loan Lenders shall include the Blackstone Entities that are Tranche A Delayed Draw Term Loan Lenders.</w:t>
      </w:r>
    </w:p>
    <w:p>
      <w:pPr>
        <w:spacing w:after="0" w:line="191"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Required Tranche B Delayed Draw Term Loan Lenders</w:t>
      </w:r>
      <w:r>
        <w:rPr>
          <w:rFonts w:ascii="Times New Roman" w:cs="Times New Roman" w:eastAsia="Times New Roman" w:hAnsi="Times New Roman"/>
          <w:sz w:val="20"/>
          <w:szCs w:val="20"/>
          <w:color w:val="auto"/>
        </w:rPr>
        <w:t xml:space="preserve">” means, at any date of determination, Tranche B Delayed Draw Term Loan Lenders then holding more than fifty percent (50%) of the aggregate outstanding principal balance of the Tranche B Delayed Draw Term Loans and unused Tranche B Delayed Draw Commitments;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if any Tranche B Delayed Draw Term Loan Lender shall be a Defaulting Lender at such time then there shall be excluded from the determination of Required Tranche</w:t>
      </w:r>
    </w:p>
    <w:p>
      <w:pPr>
        <w:spacing w:after="0" w:line="1"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 xml:space="preserve">B Delayed Draw Term Loan Lenders;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that the Required Tranche B Delayed Draw Term Loan Lenders shall include the Blackstone Entities that are Tranche B Delayed Draw Term Loan Lenders.</w:t>
      </w:r>
    </w:p>
    <w:p>
      <w:pPr>
        <w:spacing w:after="0" w:line="164" w:lineRule="exact"/>
        <w:rPr>
          <w:sz w:val="20"/>
          <w:szCs w:val="20"/>
          <w:color w:val="auto"/>
        </w:rPr>
      </w:pPr>
    </w:p>
    <w:p>
      <w:pPr>
        <w:jc w:val="both"/>
        <w:ind w:firstLine="749"/>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Requirements of Law</w:t>
      </w:r>
      <w:r>
        <w:rPr>
          <w:rFonts w:ascii="Times New Roman" w:cs="Times New Roman" w:eastAsia="Times New Roman" w:hAnsi="Times New Roman"/>
          <w:sz w:val="20"/>
          <w:szCs w:val="20"/>
          <w:color w:val="auto"/>
        </w:rPr>
        <w:t>” means, as to any Person, the organizational or governing documents of such Person, and any law (statutory or common), treaty, order, policy, rule or regulation or determination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581025</wp:posOffset>
            </wp:positionV>
            <wp:extent cx="7157720" cy="4254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13" w:right="419" w:bottom="1440" w:gutter="0" w:footer="0" w:header="0"/>
        </w:sectPr>
      </w:pPr>
    </w:p>
    <w:bookmarkStart w:id="354" w:name="page355"/>
    <w:bookmarkEnd w:id="354"/>
    <w:p>
      <w:pPr>
        <w:spacing w:after="0" w:line="194"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121</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4905-3710-6484 v.17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600710</wp:posOffset>
            </wp:positionV>
            <wp:extent cx="7157720" cy="4254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355" w:name="page356"/>
    <w:bookmarkEnd w:id="355"/>
    <w:p>
      <w:pPr>
        <w:jc w:val="both"/>
        <w:spacing w:after="0" w:line="249" w:lineRule="auto"/>
        <w:rPr>
          <w:sz w:val="20"/>
          <w:szCs w:val="20"/>
          <w:color w:val="auto"/>
        </w:rPr>
      </w:pPr>
      <w:r>
        <w:rPr>
          <w:rFonts w:ascii="Times New Roman" w:cs="Times New Roman" w:eastAsia="Times New Roman" w:hAnsi="Times New Roman"/>
          <w:sz w:val="20"/>
          <w:szCs w:val="20"/>
          <w:color w:val="auto"/>
        </w:rPr>
        <w:t>of an arbitrator or a court or other Governmental Authority (including Health Care Laws, FDA Laws and all applicable statutes, rules, regulations, standards, guidelines, policies and orders administered or issued by any foreign Governmental Authority), in each case, applicable to and binding upon such Person or any of its assets or properties or to which such Person or any of its assets or properties are subject.</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Resignation Effective Date</w:t>
      </w:r>
      <w:r>
        <w:rPr>
          <w:rFonts w:ascii="Times New Roman" w:cs="Times New Roman" w:eastAsia="Times New Roman" w:hAnsi="Times New Roman"/>
          <w:sz w:val="20"/>
          <w:szCs w:val="20"/>
          <w:color w:val="auto"/>
        </w:rPr>
        <w:t xml:space="preserve">” is defined in </w:t>
      </w:r>
      <w:r>
        <w:rPr>
          <w:rFonts w:ascii="Times New Roman" w:cs="Times New Roman" w:eastAsia="Times New Roman" w:hAnsi="Times New Roman"/>
          <w:sz w:val="20"/>
          <w:szCs w:val="20"/>
          <w:u w:val="single" w:color="auto"/>
          <w:color w:val="auto"/>
        </w:rPr>
        <w:t>Section 12.6</w:t>
      </w:r>
      <w:r>
        <w:rPr>
          <w:rFonts w:ascii="Times New Roman" w:cs="Times New Roman" w:eastAsia="Times New Roman" w:hAnsi="Times New Roman"/>
          <w:sz w:val="20"/>
          <w:szCs w:val="20"/>
          <w:color w:val="auto"/>
        </w:rPr>
        <w:t>.</w:t>
      </w:r>
    </w:p>
    <w:p>
      <w:pPr>
        <w:spacing w:after="0" w:line="20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Resolution Authority</w:t>
      </w:r>
      <w:r>
        <w:rPr>
          <w:rFonts w:ascii="Times New Roman" w:cs="Times New Roman" w:eastAsia="Times New Roman" w:hAnsi="Times New Roman"/>
          <w:sz w:val="20"/>
          <w:szCs w:val="20"/>
          <w:color w:val="auto"/>
        </w:rPr>
        <w:t>” means any body which has authority to exercise any Write-Down and Conversion Powers.</w:t>
      </w:r>
    </w:p>
    <w:p>
      <w:pPr>
        <w:spacing w:after="0" w:line="229"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Responsible Officers</w:t>
      </w:r>
      <w:r>
        <w:rPr>
          <w:rFonts w:ascii="Times New Roman" w:cs="Times New Roman" w:eastAsia="Times New Roman" w:hAnsi="Times New Roman"/>
          <w:sz w:val="20"/>
          <w:szCs w:val="20"/>
          <w:color w:val="auto"/>
        </w:rPr>
        <w:t>” means, with respect to any Person, each of the chief executive officer, chief financial officer, chief operating officer, chief commercial officer, general counsel or any senior vice president of such Person (or, in each case, if no individual holds such title, any individual performing similar functions).</w:t>
      </w:r>
    </w:p>
    <w:p>
      <w:pPr>
        <w:spacing w:after="0" w:line="16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Restricted Distribution</w:t>
      </w:r>
      <w:r>
        <w:rPr>
          <w:rFonts w:ascii="Times New Roman" w:cs="Times New Roman" w:eastAsia="Times New Roman" w:hAnsi="Times New Roman"/>
          <w:sz w:val="20"/>
          <w:szCs w:val="20"/>
          <w:color w:val="auto"/>
        </w:rPr>
        <w:t xml:space="preserve">” is defined in </w:t>
      </w:r>
      <w:r>
        <w:rPr>
          <w:rFonts w:ascii="Times New Roman" w:cs="Times New Roman" w:eastAsia="Times New Roman" w:hAnsi="Times New Roman"/>
          <w:sz w:val="20"/>
          <w:szCs w:val="20"/>
          <w:u w:val="single" w:color="auto"/>
          <w:color w:val="auto"/>
        </w:rPr>
        <w:t>Section 6.8(a)</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Restricted License</w:t>
      </w:r>
      <w:r>
        <w:rPr>
          <w:rFonts w:ascii="Times New Roman" w:cs="Times New Roman" w:eastAsia="Times New Roman" w:hAnsi="Times New Roman"/>
          <w:sz w:val="20"/>
          <w:szCs w:val="20"/>
          <w:color w:val="auto"/>
        </w:rPr>
        <w:t>” means any material license or other agreement of the kind or nature subject or purported to be subject from time to time to a Lien under any Collateral Document, with respect to which a Credit Party is the licensee (other than off-the-shelf software that is commercially available to the public), (a) that prohibits or otherwise restricts such Credit Party from granting a security interest in such Credit Party’s interest in such license or agreement in a manner enforceable under Requirements of Law, or (b) for which a breach of or default under could interfere with the Agent’s right to sell any Collateral in any material respect.</w:t>
      </w:r>
    </w:p>
    <w:p>
      <w:pPr>
        <w:spacing w:after="0" w:line="167"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Revolving Credit Commitment</w:t>
      </w:r>
      <w:r>
        <w:rPr>
          <w:rFonts w:ascii="Times New Roman" w:cs="Times New Roman" w:eastAsia="Times New Roman" w:hAnsi="Times New Roman"/>
          <w:sz w:val="20"/>
          <w:szCs w:val="20"/>
          <w:color w:val="auto"/>
        </w:rPr>
        <w:t xml:space="preserve">” shall mean, as to each Revolving Credit Lender, its obligation to make Revolving Credit Loans to Borrower pursuant to </w:t>
      </w:r>
      <w:r>
        <w:rPr>
          <w:rFonts w:ascii="Times New Roman" w:cs="Times New Roman" w:eastAsia="Times New Roman" w:hAnsi="Times New Roman"/>
          <w:sz w:val="20"/>
          <w:szCs w:val="20"/>
          <w:u w:val="single" w:color="auto"/>
          <w:color w:val="auto"/>
        </w:rPr>
        <w:t>Section 2.2(a)(iv)</w:t>
      </w:r>
      <w:r>
        <w:rPr>
          <w:rFonts w:ascii="Times New Roman" w:cs="Times New Roman" w:eastAsia="Times New Roman" w:hAnsi="Times New Roman"/>
          <w:sz w:val="20"/>
          <w:szCs w:val="20"/>
          <w:color w:val="auto"/>
        </w:rPr>
        <w:t xml:space="preserve">, in an aggregate principal amount at any one time outstanding not to exceed the amount set forth, and opposite such Lender’s name on </w:t>
      </w:r>
      <w:r>
        <w:rPr>
          <w:rFonts w:ascii="Times New Roman" w:cs="Times New Roman" w:eastAsia="Times New Roman" w:hAnsi="Times New Roman"/>
          <w:sz w:val="20"/>
          <w:szCs w:val="20"/>
          <w:u w:val="single" w:color="auto"/>
          <w:color w:val="auto"/>
        </w:rPr>
        <w:t>Annex 1</w:t>
      </w:r>
      <w:r>
        <w:rPr>
          <w:rFonts w:ascii="Times New Roman" w:cs="Times New Roman" w:eastAsia="Times New Roman" w:hAnsi="Times New Roman"/>
          <w:sz w:val="20"/>
          <w:szCs w:val="20"/>
          <w:color w:val="auto"/>
        </w:rPr>
        <w:t>. The aggregate Revolving Credit Commitments of all Revolving Credit Lenders shall be $70,000,000 on the Closing Date.</w:t>
      </w:r>
    </w:p>
    <w:p>
      <w:pPr>
        <w:spacing w:after="0" w:line="176" w:lineRule="exact"/>
        <w:rPr>
          <w:sz w:val="20"/>
          <w:szCs w:val="20"/>
          <w:color w:val="auto"/>
        </w:rPr>
      </w:pPr>
    </w:p>
    <w:p>
      <w:pPr>
        <w:jc w:val="both"/>
        <w:ind w:firstLine="749"/>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Revolving Credit Exposure</w:t>
      </w:r>
      <w:r>
        <w:rPr>
          <w:rFonts w:ascii="Times New Roman" w:cs="Times New Roman" w:eastAsia="Times New Roman" w:hAnsi="Times New Roman"/>
          <w:sz w:val="20"/>
          <w:szCs w:val="20"/>
          <w:color w:val="auto"/>
        </w:rPr>
        <w:t>” shall mean, with respect to any Lender at any time, the aggregate principal amount of Revolving Credit Loans of such Lender than outstanding.</w:t>
      </w:r>
    </w:p>
    <w:p>
      <w:pPr>
        <w:spacing w:after="0" w:line="152"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Revolving Credit Lender</w:t>
      </w:r>
      <w:r>
        <w:rPr>
          <w:rFonts w:ascii="Times New Roman" w:cs="Times New Roman" w:eastAsia="Times New Roman" w:hAnsi="Times New Roman"/>
          <w:sz w:val="20"/>
          <w:szCs w:val="20"/>
          <w:color w:val="auto"/>
        </w:rPr>
        <w:t>” means the Persons holding Revolving Credit Commitments and/or Revolving Credit Loans and any other Person that shall have become party hereto holding Revolving Credit Commitments and/or Revolving Credit Loans pursuant to an Assignment and Assumption, other than any such Person that ceases to be a party hereto holding Revolving Credit Commitments and/or Revolving Credit Loans pursuant to an Assignment and Assumption.</w:t>
      </w:r>
    </w:p>
    <w:p>
      <w:pPr>
        <w:spacing w:after="0" w:line="18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Revolving Credit Loan</w:t>
      </w:r>
      <w:r>
        <w:rPr>
          <w:rFonts w:ascii="Times New Roman" w:cs="Times New Roman" w:eastAsia="Times New Roman" w:hAnsi="Times New Roman"/>
          <w:sz w:val="20"/>
          <w:szCs w:val="20"/>
          <w:color w:val="auto"/>
        </w:rPr>
        <w:t xml:space="preserve">” is defined in </w:t>
      </w:r>
      <w:r>
        <w:rPr>
          <w:rFonts w:ascii="Times New Roman" w:cs="Times New Roman" w:eastAsia="Times New Roman" w:hAnsi="Times New Roman"/>
          <w:sz w:val="20"/>
          <w:szCs w:val="20"/>
          <w:u w:val="single" w:color="auto"/>
          <w:color w:val="auto"/>
        </w:rPr>
        <w:t>Section 2.2(a)(iv)</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749"/>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Revolving Loan Note</w:t>
      </w:r>
      <w:r>
        <w:rPr>
          <w:rFonts w:ascii="Times New Roman" w:cs="Times New Roman" w:eastAsia="Times New Roman" w:hAnsi="Times New Roman"/>
          <w:sz w:val="20"/>
          <w:szCs w:val="20"/>
          <w:color w:val="auto"/>
        </w:rPr>
        <w:t xml:space="preserve">” means a promissory note in substantially the form attached hereto as </w:t>
      </w:r>
      <w:r>
        <w:rPr>
          <w:rFonts w:ascii="Times New Roman" w:cs="Times New Roman" w:eastAsia="Times New Roman" w:hAnsi="Times New Roman"/>
          <w:sz w:val="20"/>
          <w:szCs w:val="20"/>
          <w:u w:val="single" w:color="auto"/>
          <w:color w:val="auto"/>
        </w:rPr>
        <w:t>Exhibit B-2</w:t>
      </w:r>
      <w:r>
        <w:rPr>
          <w:rFonts w:ascii="Times New Roman" w:cs="Times New Roman" w:eastAsia="Times New Roman" w:hAnsi="Times New Roman"/>
          <w:sz w:val="20"/>
          <w:szCs w:val="20"/>
          <w:color w:val="auto"/>
        </w:rPr>
        <w:t>, as it may be amended, restated, supplemented or otherwise modified from time to time.</w:t>
      </w:r>
    </w:p>
    <w:p>
      <w:pPr>
        <w:spacing w:after="0" w:line="138"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Sanction</w:t>
      </w:r>
      <w:r>
        <w:rPr>
          <w:rFonts w:ascii="Times New Roman" w:cs="Times New Roman" w:eastAsia="Times New Roman" w:hAnsi="Times New Roman"/>
          <w:sz w:val="20"/>
          <w:szCs w:val="20"/>
          <w:color w:val="auto"/>
        </w:rPr>
        <w:t>” means any international economic or financial sanction or trade embargo imposed, administered or enforced from time to time by the United States Government (including OFAC), the United Nations Security Council, the European Union or its Member States, His Majesty’s Treasury, the Government of Ireland, the Government of Malta, Australian Government or the Government of Canada (including any province or territory thereof and Global Affairs Canada), or other relevant sanctions authority where the Borrower or any of its Subsidiaries is located or conducts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598805</wp:posOffset>
            </wp:positionV>
            <wp:extent cx="7157720" cy="4254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6" w:right="339" w:bottom="1440" w:gutter="0" w:footer="0" w:header="0"/>
        </w:sectPr>
      </w:pPr>
    </w:p>
    <w:bookmarkStart w:id="356" w:name="page357"/>
    <w:bookmarkEnd w:id="356"/>
    <w:p>
      <w:pPr>
        <w:spacing w:after="0" w:line="200" w:lineRule="exact"/>
        <w:rPr>
          <w:sz w:val="20"/>
          <w:szCs w:val="20"/>
          <w:color w:val="auto"/>
        </w:rPr>
      </w:pPr>
    </w:p>
    <w:p>
      <w:pPr>
        <w:spacing w:after="0" w:line="237" w:lineRule="exact"/>
        <w:rPr>
          <w:sz w:val="20"/>
          <w:szCs w:val="20"/>
          <w:color w:val="auto"/>
        </w:rPr>
      </w:pPr>
    </w:p>
    <w:p>
      <w:pPr>
        <w:jc w:val="right"/>
        <w:ind w:right="4379"/>
        <w:spacing w:after="0"/>
        <w:rPr>
          <w:sz w:val="20"/>
          <w:szCs w:val="20"/>
          <w:color w:val="auto"/>
        </w:rPr>
      </w:pPr>
      <w:r>
        <w:rPr>
          <w:rFonts w:ascii="Times New Roman" w:cs="Times New Roman" w:eastAsia="Times New Roman" w:hAnsi="Times New Roman"/>
          <w:sz w:val="18"/>
          <w:szCs w:val="18"/>
          <w:color w:val="auto"/>
        </w:rPr>
        <w:t>122</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4905-3710-6484 v.17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600710</wp:posOffset>
            </wp:positionV>
            <wp:extent cx="7157720" cy="4254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357" w:name="page358"/>
    <w:bookmarkEnd w:id="357"/>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SEC</w:t>
      </w:r>
      <w:r>
        <w:rPr>
          <w:rFonts w:ascii="Times New Roman" w:cs="Times New Roman" w:eastAsia="Times New Roman" w:hAnsi="Times New Roman"/>
          <w:sz w:val="20"/>
          <w:szCs w:val="20"/>
          <w:color w:val="auto"/>
        </w:rPr>
        <w:t>” shall mean the Securities and Exchange Commission and any analogous Governmental Authority.</w:t>
      </w:r>
    </w:p>
    <w:p>
      <w:pPr>
        <w:spacing w:after="0" w:line="216" w:lineRule="exact"/>
        <w:rPr>
          <w:sz w:val="20"/>
          <w:szCs w:val="20"/>
          <w:color w:val="auto"/>
        </w:rPr>
      </w:pPr>
    </w:p>
    <w:p>
      <w:pPr>
        <w:jc w:val="both"/>
        <w:ind w:firstLine="749"/>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Secured Parties</w:t>
      </w:r>
      <w:r>
        <w:rPr>
          <w:rFonts w:ascii="Times New Roman" w:cs="Times New Roman" w:eastAsia="Times New Roman" w:hAnsi="Times New Roman"/>
          <w:sz w:val="20"/>
          <w:szCs w:val="20"/>
          <w:color w:val="auto"/>
        </w:rPr>
        <w:t>” means the Agent, any Lender, each other Indemnified Person and each other holder of any Obligation of a Credit Party.</w:t>
      </w:r>
    </w:p>
    <w:p>
      <w:pPr>
        <w:spacing w:after="0" w:line="13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Securities Account</w:t>
      </w:r>
      <w:r>
        <w:rPr>
          <w:rFonts w:ascii="Times New Roman" w:cs="Times New Roman" w:eastAsia="Times New Roman" w:hAnsi="Times New Roman"/>
          <w:sz w:val="19"/>
          <w:szCs w:val="19"/>
          <w:color w:val="auto"/>
        </w:rPr>
        <w:t>” means any “securities account” as defined in the Code with such additions to such term as may hereafter be</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made.</w:t>
      </w:r>
    </w:p>
    <w:p>
      <w:pPr>
        <w:spacing w:after="0" w:line="20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Securities Act</w:t>
      </w:r>
      <w:r>
        <w:rPr>
          <w:rFonts w:ascii="Times New Roman" w:cs="Times New Roman" w:eastAsia="Times New Roman" w:hAnsi="Times New Roman"/>
          <w:sz w:val="20"/>
          <w:szCs w:val="20"/>
          <w:color w:val="auto"/>
        </w:rPr>
        <w:t>” means the Securities Act of 1933.</w:t>
      </w:r>
    </w:p>
    <w:p>
      <w:pPr>
        <w:spacing w:after="0" w:line="216" w:lineRule="exact"/>
        <w:rPr>
          <w:sz w:val="20"/>
          <w:szCs w:val="20"/>
          <w:color w:val="auto"/>
        </w:rPr>
      </w:pPr>
    </w:p>
    <w:p>
      <w:pPr>
        <w:jc w:val="both"/>
        <w:ind w:firstLine="749"/>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Securities Purchase Agreement</w:t>
      </w:r>
      <w:r>
        <w:rPr>
          <w:rFonts w:ascii="Times New Roman" w:cs="Times New Roman" w:eastAsia="Times New Roman" w:hAnsi="Times New Roman"/>
          <w:sz w:val="20"/>
          <w:szCs w:val="20"/>
          <w:color w:val="auto"/>
        </w:rPr>
        <w:t>” means that certain Securities Purchase Agreement, dated as of the Closing Date, by and among Borrower and the Blackstone Entities party thereto.</w:t>
      </w:r>
    </w:p>
    <w:p>
      <w:pPr>
        <w:spacing w:after="0" w:line="138"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Security Agreement</w:t>
      </w:r>
      <w:r>
        <w:rPr>
          <w:rFonts w:ascii="Times New Roman" w:cs="Times New Roman" w:eastAsia="Times New Roman" w:hAnsi="Times New Roman"/>
          <w:sz w:val="20"/>
          <w:szCs w:val="20"/>
          <w:color w:val="auto"/>
        </w:rPr>
        <w:t xml:space="preserve">” means the Security Agreement, dated as of the Closing Date, by and among the Credit Parties and the Agent, in form and substance substantially similar to </w:t>
      </w:r>
      <w:r>
        <w:rPr>
          <w:rFonts w:ascii="Times New Roman" w:cs="Times New Roman" w:eastAsia="Times New Roman" w:hAnsi="Times New Roman"/>
          <w:sz w:val="20"/>
          <w:szCs w:val="20"/>
          <w:u w:val="single" w:color="auto"/>
          <w:color w:val="auto"/>
        </w:rPr>
        <w:t>Exhibit F</w:t>
      </w:r>
      <w:r>
        <w:rPr>
          <w:rFonts w:ascii="Times New Roman" w:cs="Times New Roman" w:eastAsia="Times New Roman" w:hAnsi="Times New Roman"/>
          <w:sz w:val="20"/>
          <w:szCs w:val="20"/>
          <w:color w:val="auto"/>
        </w:rPr>
        <w:t xml:space="preserve"> attached hereto or in such form or substance as the Credit Parties, the Agent and the Blackstone Representative may otherwise agree.</w:t>
      </w:r>
    </w:p>
    <w:p>
      <w:pPr>
        <w:spacing w:after="0" w:line="18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SOFR</w:t>
      </w:r>
      <w:r>
        <w:rPr>
          <w:rFonts w:ascii="Times New Roman" w:cs="Times New Roman" w:eastAsia="Times New Roman" w:hAnsi="Times New Roman"/>
          <w:sz w:val="20"/>
          <w:szCs w:val="20"/>
          <w:color w:val="auto"/>
        </w:rPr>
        <w:t>” means a rate equal to the secured overnight financing rate as administered by the SOFR Administrator.</w:t>
      </w:r>
    </w:p>
    <w:p>
      <w:pPr>
        <w:spacing w:after="0" w:line="202"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SOFR Administrator</w:t>
      </w:r>
      <w:r>
        <w:rPr>
          <w:rFonts w:ascii="Times New Roman" w:cs="Times New Roman" w:eastAsia="Times New Roman" w:hAnsi="Times New Roman"/>
          <w:sz w:val="20"/>
          <w:szCs w:val="20"/>
          <w:color w:val="auto"/>
        </w:rPr>
        <w:t>” means the Federal Reserve Bank of New York (or a successor administrator of the secured overnight financing rate).</w:t>
      </w:r>
    </w:p>
    <w:p>
      <w:pPr>
        <w:ind w:left="760" w:right="1060"/>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SOFR Loan</w:t>
      </w:r>
      <w:r>
        <w:rPr>
          <w:rFonts w:ascii="Times New Roman" w:cs="Times New Roman" w:eastAsia="Times New Roman" w:hAnsi="Times New Roman"/>
          <w:sz w:val="20"/>
          <w:szCs w:val="20"/>
          <w:color w:val="auto"/>
        </w:rPr>
        <w:t>” means a Loan that bears interest at a rate based on Adjusted Term SOFR. “</w:t>
      </w:r>
      <w:r>
        <w:rPr>
          <w:rFonts w:ascii="Times New Roman" w:cs="Times New Roman" w:eastAsia="Times New Roman" w:hAnsi="Times New Roman"/>
          <w:sz w:val="20"/>
          <w:szCs w:val="20"/>
          <w:b w:val="1"/>
          <w:bCs w:val="1"/>
          <w:color w:val="auto"/>
        </w:rPr>
        <w:t>Software</w:t>
      </w:r>
      <w:r>
        <w:rPr>
          <w:rFonts w:ascii="Times New Roman" w:cs="Times New Roman" w:eastAsia="Times New Roman" w:hAnsi="Times New Roman"/>
          <w:sz w:val="20"/>
          <w:szCs w:val="20"/>
          <w:color w:val="auto"/>
        </w:rPr>
        <w:t>” is defined in the definition of “Intellectual Property”.</w:t>
      </w:r>
    </w:p>
    <w:p>
      <w:pPr>
        <w:spacing w:after="0" w:line="178"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Solvent</w:t>
      </w:r>
      <w:r>
        <w:rPr>
          <w:rFonts w:ascii="Times New Roman" w:cs="Times New Roman" w:eastAsia="Times New Roman" w:hAnsi="Times New Roman"/>
          <w:sz w:val="20"/>
          <w:szCs w:val="20"/>
          <w:color w:val="auto"/>
        </w:rPr>
        <w:t>” means, with respect to any Person as of any date of determination, that, as of such date, (a) the value of the assets (including goodwill minus disposition costs) of such Person (both at fair value and present fair saleable value), on a going concern basis, is greater than the total amount of liabilities (including contingent and unliquidated liabilities) of such Person, (b) such Person is able to generally pay all liabilities (including trade debt) of such Person as such liabilities become absolute and mature in the ordinary course of business and (c) such Person does not have unreasonably small capital after giving due consideration to the prevailing practice in the industry in which it is engaged or will be engaged. In computing the amount of contingent or unliquidated liabilities at any time, such liabilities shall be computed at the amount that, in light of all the facts and circumstances existing at such time, represents the amount that can reasonably be expected to become an actual or matured liability.</w:t>
      </w:r>
    </w:p>
    <w:p>
      <w:pPr>
        <w:spacing w:after="0" w:line="18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Specified Disputes</w:t>
      </w:r>
      <w:r>
        <w:rPr>
          <w:rFonts w:ascii="Times New Roman" w:cs="Times New Roman" w:eastAsia="Times New Roman" w:hAnsi="Times New Roman"/>
          <w:sz w:val="20"/>
          <w:szCs w:val="20"/>
          <w:color w:val="auto"/>
        </w:rPr>
        <w:t xml:space="preserve">” is defined in </w:t>
      </w:r>
      <w:r>
        <w:rPr>
          <w:rFonts w:ascii="Times New Roman" w:cs="Times New Roman" w:eastAsia="Times New Roman" w:hAnsi="Times New Roman"/>
          <w:sz w:val="20"/>
          <w:szCs w:val="20"/>
          <w:u w:val="single" w:color="auto"/>
          <w:color w:val="auto"/>
        </w:rPr>
        <w:t>Section 4.6(i)</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SSA</w:t>
      </w:r>
      <w:r>
        <w:rPr>
          <w:rFonts w:ascii="Times New Roman" w:cs="Times New Roman" w:eastAsia="Times New Roman" w:hAnsi="Times New Roman"/>
          <w:sz w:val="20"/>
          <w:szCs w:val="20"/>
          <w:color w:val="auto"/>
        </w:rPr>
        <w:t>” means the Social Security Act of 1935, codified at Title 42, Chapter 7, of the United States Code.</w:t>
      </w:r>
    </w:p>
    <w:p>
      <w:pPr>
        <w:spacing w:after="0" w:line="216" w:lineRule="exact"/>
        <w:rPr>
          <w:sz w:val="20"/>
          <w:szCs w:val="20"/>
          <w:color w:val="auto"/>
        </w:rPr>
      </w:pPr>
    </w:p>
    <w:p>
      <w:pPr>
        <w:jc w:val="both"/>
        <w:ind w:firstLine="749"/>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Stock Acquisition</w:t>
      </w:r>
      <w:r>
        <w:rPr>
          <w:rFonts w:ascii="Times New Roman" w:cs="Times New Roman" w:eastAsia="Times New Roman" w:hAnsi="Times New Roman"/>
          <w:sz w:val="20"/>
          <w:szCs w:val="20"/>
          <w:color w:val="auto"/>
        </w:rPr>
        <w:t>” means the purchase or other acquisition by Borrower or any of its Subsidiaries of any or all of the Equity Interests (by merger, amalgamation, consolidation, stock or equity purchase or otherwise) of any other Person.</w:t>
      </w:r>
    </w:p>
    <w:p>
      <w:pPr>
        <w:spacing w:after="0" w:line="152" w:lineRule="exact"/>
        <w:rPr>
          <w:sz w:val="20"/>
          <w:szCs w:val="20"/>
          <w:color w:val="auto"/>
        </w:rPr>
      </w:pPr>
    </w:p>
    <w:p>
      <w:pPr>
        <w:jc w:val="both"/>
        <w:ind w:firstLine="749"/>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Subject Subsidiary</w:t>
      </w:r>
      <w:r>
        <w:rPr>
          <w:rFonts w:ascii="Times New Roman" w:cs="Times New Roman" w:eastAsia="Times New Roman" w:hAnsi="Times New Roman"/>
          <w:sz w:val="20"/>
          <w:szCs w:val="20"/>
          <w:color w:val="auto"/>
        </w:rPr>
        <w:t>” means, with respect to any Credit Party, a Subsidiary of such Credit Party that is organized, incorporated or formed under the laws of the jurisdiction of any other Credit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581025</wp:posOffset>
            </wp:positionV>
            <wp:extent cx="7157720" cy="4254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22" w:right="419" w:bottom="1440" w:gutter="0" w:footer="0" w:header="0"/>
        </w:sectPr>
      </w:pPr>
    </w:p>
    <w:bookmarkStart w:id="358" w:name="page359"/>
    <w:bookmarkEnd w:id="358"/>
    <w:p>
      <w:pPr>
        <w:spacing w:after="0" w:line="200" w:lineRule="exact"/>
        <w:rPr>
          <w:sz w:val="20"/>
          <w:szCs w:val="20"/>
          <w:color w:val="auto"/>
        </w:rPr>
      </w:pPr>
    </w:p>
    <w:p>
      <w:pPr>
        <w:spacing w:after="0" w:line="277"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123</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4905-3710-6484 v.17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600710</wp:posOffset>
            </wp:positionV>
            <wp:extent cx="7157720" cy="4254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359" w:name="page360"/>
    <w:bookmarkEnd w:id="359"/>
    <w:p>
      <w:pPr>
        <w:jc w:val="both"/>
        <w:ind w:firstLine="749"/>
        <w:spacing w:after="0" w:line="24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Subordinated Debt</w:t>
      </w:r>
      <w:r>
        <w:rPr>
          <w:rFonts w:ascii="Times New Roman" w:cs="Times New Roman" w:eastAsia="Times New Roman" w:hAnsi="Times New Roman"/>
          <w:sz w:val="20"/>
          <w:szCs w:val="20"/>
          <w:color w:val="auto"/>
        </w:rPr>
        <w:t xml:space="preserve">” means any Indebtedness in the form of or otherwise constituting term debt incurred by the Borrower (including any Indebtedness incurred in connection with any Permitted Acquisition or other Permitted Investment) that: (a) is subordinated in right of payment to the Obligations at all times until all of the Obligations have been paid, performed or discharged in full, in cash in immediately available funds, and Borrower has no further right to obtain any Credit Extension hereunder pursuant to a subordination or other similar agreement that is reasonably satisfactory to the Blackstone Representative (which agreement shall include turnover provisions that are reasonably satisfactory to the Blackstone Representative); (b) except as permitted by </w:t>
      </w:r>
      <w:r>
        <w:rPr>
          <w:rFonts w:ascii="Times New Roman" w:cs="Times New Roman" w:eastAsia="Times New Roman" w:hAnsi="Times New Roman"/>
          <w:sz w:val="20"/>
          <w:szCs w:val="20"/>
          <w:u w:val="single" w:color="auto"/>
          <w:color w:val="auto"/>
        </w:rPr>
        <w:t>clause (d)</w:t>
      </w:r>
      <w:r>
        <w:rPr>
          <w:rFonts w:ascii="Times New Roman" w:cs="Times New Roman" w:eastAsia="Times New Roman" w:hAnsi="Times New Roman"/>
          <w:sz w:val="20"/>
          <w:szCs w:val="20"/>
          <w:color w:val="auto"/>
        </w:rPr>
        <w:t xml:space="preserve"> below or otherwise permitted by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6.10</w:t>
      </w:r>
      <w:r>
        <w:rPr>
          <w:rFonts w:ascii="Times New Roman" w:cs="Times New Roman" w:eastAsia="Times New Roman" w:hAnsi="Times New Roman"/>
          <w:sz w:val="20"/>
          <w:szCs w:val="20"/>
          <w:color w:val="auto"/>
        </w:rPr>
        <w:t xml:space="preserve">, is not subject to scheduled amortization, redemption (mandatory), sinking fund or similar payment and does not have a final maturity, in each case, before the date that is 180 days following the Maturity Date; (c) no Subsidiary of Borrower or other Person shall guarantee or otherwise be an obligor in respect of Subordinated Debt, (d) does not include covenants and agreements (other than with respect to maturity, amortization, pricing and other economic terms) that, taken as a whole, are more restrictive or onerous on the Credit Parties in any material respect than the comparable covenants and agreements in the Loan Documents, taken as a whole (as reasonably determined by a Responsible Officer of Borrower in good faith); (e) is not subject to repayment or prepayment, including pursuant to a put option exercisable by the holder of any such Indebtedness, prior to the final maturity thereof except in the case of an event of default or change of control (or the equivalent thereof, however described); and (f) does not provide or otherwise include provisions having the effect of providing that a default or event of default (or the equivalent thereof, however described) under or in respect of such Indebtedness shall exist, or such Indebtedness shall otherwise become due prior to its scheduled maturity or the holder or holders thereof or any trustee or agent on its or their behalf shall be permitted (with or without the giving of notice, the lapse of time or both) to cause any such Indebtedness to become due, or to require the prepayment, repurchase, redemption or defeasance thereof, prior to its scheduled maturity, in any such case upon the occurrence of a Default or Event of Default hereunder unless and until the Obligations have been declared, or have otherwise automatically become, immediately due and payable pursuant to </w:t>
      </w:r>
      <w:r>
        <w:rPr>
          <w:rFonts w:ascii="Times New Roman" w:cs="Times New Roman" w:eastAsia="Times New Roman" w:hAnsi="Times New Roman"/>
          <w:sz w:val="20"/>
          <w:szCs w:val="20"/>
          <w:u w:val="single" w:color="auto"/>
          <w:color w:val="auto"/>
        </w:rPr>
        <w:t>Section 8.1(a)</w:t>
      </w:r>
      <w:r>
        <w:rPr>
          <w:rFonts w:ascii="Times New Roman" w:cs="Times New Roman" w:eastAsia="Times New Roman" w:hAnsi="Times New Roman"/>
          <w:sz w:val="20"/>
          <w:szCs w:val="20"/>
          <w:color w:val="auto"/>
        </w:rPr>
        <w:t>.</w:t>
      </w:r>
    </w:p>
    <w:p>
      <w:pPr>
        <w:spacing w:after="0" w:line="187"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Subsidiary</w:t>
      </w:r>
      <w:r>
        <w:rPr>
          <w:rFonts w:ascii="Times New Roman" w:cs="Times New Roman" w:eastAsia="Times New Roman" w:hAnsi="Times New Roman"/>
          <w:sz w:val="20"/>
          <w:szCs w:val="20"/>
          <w:color w:val="auto"/>
        </w:rPr>
        <w:t>” means, with respect to any Person, a corporation, partnership, limited liability company or other entity of which more than fifty percent (50.0%) of whose shares of stock or other ownership interests having ordinary voting power (other than stock or such other ownership interests having such power only by reason of the happening of a contingency) to elect a majority of the Board of Directors (or similar body) of such corporation, partnership or other entity are at the time owned, directly or indirectly through one or more intermediaries, or both, by such Person. Unless the context otherwise requires, each reference to a Subsidiary herein shall be a reference to a Subsidiary of a Credit Party.</w:t>
      </w:r>
    </w:p>
    <w:p>
      <w:pPr>
        <w:spacing w:after="0" w:line="179"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Sunosi</w:t>
      </w:r>
      <w:r>
        <w:rPr>
          <w:rFonts w:ascii="Times New Roman" w:cs="Times New Roman" w:eastAsia="Times New Roman" w:hAnsi="Times New Roman"/>
          <w:sz w:val="20"/>
          <w:szCs w:val="20"/>
          <w:color w:val="auto"/>
        </w:rPr>
        <w:t>” means (solriamfetol), a novel, oral, dopamine and norepinephrine reuptake inhibitor (DNRI), trace amine-associated receptor 1 (TAAR1) agonist, and 5-HT1A agonist indicated for the treatment of EDS in patients with narcolepsy or obstructive sleep apnea, or OSA, together with any improvements or modifications thereto, including any formulation, dose or dosage form of solriamfetol, regardless of the indication.</w:t>
      </w:r>
    </w:p>
    <w:p>
      <w:pPr>
        <w:spacing w:after="0" w:line="176"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Symbravo</w:t>
      </w:r>
      <w:r>
        <w:rPr>
          <w:rFonts w:ascii="Times New Roman" w:cs="Times New Roman" w:eastAsia="Times New Roman" w:hAnsi="Times New Roman"/>
          <w:sz w:val="20"/>
          <w:szCs w:val="20"/>
          <w:color w:val="auto"/>
        </w:rPr>
        <w:t>” means (MoSEICTM meloxicam rizatriptan), or AXS-07, a novel, oral, rapidly absorbed, multi-mechanistic combination of meloxicam, a selective COX-2 inhibitor rizatriptan, a 5-HT1B/1D agonist indicated for the acute treatment of migraine with or without aura, together with any improvements or modifications thereto, including any formulation, dose or dosage form thereof, regardless of the indication.</w:t>
      </w:r>
    </w:p>
    <w:p>
      <w:pPr>
        <w:spacing w:after="0" w:line="189"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Tax</w:t>
      </w:r>
      <w:r>
        <w:rPr>
          <w:rFonts w:ascii="Times New Roman" w:cs="Times New Roman" w:eastAsia="Times New Roman" w:hAnsi="Times New Roman"/>
          <w:sz w:val="20"/>
          <w:szCs w:val="20"/>
          <w:color w:val="auto"/>
        </w:rPr>
        <w:t>” means any present or future taxes, levies, imposts, duties, deductions, withholdings (including backup withholding), assessments, fees or other charges imposed by any Governmental Authority, including any interest, additions to tax or penalties applicable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591185</wp:posOffset>
            </wp:positionV>
            <wp:extent cx="7157720" cy="4254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360" w:name="page361"/>
    <w:bookmarkEnd w:id="360"/>
    <w:p>
      <w:pPr>
        <w:spacing w:after="0" w:line="200" w:lineRule="exact"/>
        <w:rPr>
          <w:sz w:val="20"/>
          <w:szCs w:val="20"/>
          <w:color w:val="auto"/>
        </w:rPr>
      </w:pPr>
    </w:p>
    <w:p>
      <w:pPr>
        <w:spacing w:after="0" w:line="385" w:lineRule="exact"/>
        <w:rPr>
          <w:sz w:val="20"/>
          <w:szCs w:val="20"/>
          <w:color w:val="auto"/>
        </w:rPr>
      </w:pPr>
    </w:p>
    <w:p>
      <w:pPr>
        <w:jc w:val="right"/>
        <w:ind w:right="4379"/>
        <w:spacing w:after="0"/>
        <w:rPr>
          <w:sz w:val="20"/>
          <w:szCs w:val="20"/>
          <w:color w:val="auto"/>
        </w:rPr>
      </w:pPr>
      <w:r>
        <w:rPr>
          <w:rFonts w:ascii="Times New Roman" w:cs="Times New Roman" w:eastAsia="Times New Roman" w:hAnsi="Times New Roman"/>
          <w:sz w:val="18"/>
          <w:szCs w:val="18"/>
          <w:color w:val="auto"/>
        </w:rPr>
        <w:t>124</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4905-3710-6484 v.17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600710</wp:posOffset>
            </wp:positionV>
            <wp:extent cx="7157720" cy="4254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361" w:name="page362"/>
    <w:bookmarkEnd w:id="361"/>
    <w:p>
      <w:pPr>
        <w:jc w:val="both"/>
        <w:ind w:firstLine="674"/>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Term Loan</w:t>
      </w:r>
      <w:r>
        <w:rPr>
          <w:rFonts w:ascii="Times New Roman" w:cs="Times New Roman" w:eastAsia="Times New Roman" w:hAnsi="Times New Roman"/>
          <w:sz w:val="20"/>
          <w:szCs w:val="20"/>
          <w:color w:val="auto"/>
        </w:rPr>
        <w:t>” means the Initial Term Loans, the Tranche A Delayed Draw Term Loans, the Tranche B Delayed Draw Term Loans and any Incremental Term Loan.</w:t>
      </w:r>
    </w:p>
    <w:p>
      <w:pPr>
        <w:spacing w:after="0" w:line="152" w:lineRule="exact"/>
        <w:rPr>
          <w:sz w:val="20"/>
          <w:szCs w:val="20"/>
          <w:color w:val="auto"/>
        </w:rPr>
      </w:pPr>
    </w:p>
    <w:p>
      <w:pPr>
        <w:jc w:val="both"/>
        <w:ind w:firstLine="674"/>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Term Loan Note</w:t>
      </w:r>
      <w:r>
        <w:rPr>
          <w:rFonts w:ascii="Times New Roman" w:cs="Times New Roman" w:eastAsia="Times New Roman" w:hAnsi="Times New Roman"/>
          <w:sz w:val="20"/>
          <w:szCs w:val="20"/>
          <w:color w:val="auto"/>
        </w:rPr>
        <w:t xml:space="preserve">” means a promissory note in substantially the form attached hereto as </w:t>
      </w:r>
      <w:r>
        <w:rPr>
          <w:rFonts w:ascii="Times New Roman" w:cs="Times New Roman" w:eastAsia="Times New Roman" w:hAnsi="Times New Roman"/>
          <w:sz w:val="20"/>
          <w:szCs w:val="20"/>
          <w:u w:val="single" w:color="auto"/>
          <w:color w:val="auto"/>
        </w:rPr>
        <w:t>Exhibit B</w:t>
      </w:r>
      <w:r>
        <w:rPr>
          <w:rFonts w:ascii="Times New Roman" w:cs="Times New Roman" w:eastAsia="Times New Roman" w:hAnsi="Times New Roman"/>
          <w:sz w:val="20"/>
          <w:szCs w:val="20"/>
          <w:color w:val="auto"/>
        </w:rPr>
        <w:t xml:space="preserve"> 1, as it may be amended, restated, supplemented or otherwise modified from time to time.</w:t>
      </w:r>
    </w:p>
    <w:p>
      <w:pPr>
        <w:spacing w:after="0" w:line="138" w:lineRule="exact"/>
        <w:rPr>
          <w:sz w:val="20"/>
          <w:szCs w:val="20"/>
          <w:color w:val="auto"/>
        </w:rPr>
      </w:pPr>
    </w:p>
    <w:p>
      <w:pPr>
        <w:jc w:val="both"/>
        <w:ind w:firstLine="674"/>
        <w:spacing w:after="0" w:line="24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Term SOFR</w:t>
      </w:r>
      <w:r>
        <w:rPr>
          <w:rFonts w:ascii="Times New Roman" w:cs="Times New Roman" w:eastAsia="Times New Roman" w:hAnsi="Times New Roman"/>
          <w:sz w:val="20"/>
          <w:szCs w:val="20"/>
          <w:color w:val="auto"/>
        </w:rPr>
        <w:t>” means for any calculation with respect to a SOFR Loan, the Term SOFR Reference Rate for a period of three (3) months on the day (such day, the “</w:t>
      </w:r>
      <w:r>
        <w:rPr>
          <w:rFonts w:ascii="Times New Roman" w:cs="Times New Roman" w:eastAsia="Times New Roman" w:hAnsi="Times New Roman"/>
          <w:sz w:val="20"/>
          <w:szCs w:val="20"/>
          <w:b w:val="1"/>
          <w:bCs w:val="1"/>
          <w:color w:val="auto"/>
        </w:rPr>
        <w:t>Periodic Term SOFR Determination Day</w:t>
      </w:r>
      <w:r>
        <w:rPr>
          <w:rFonts w:ascii="Times New Roman" w:cs="Times New Roman" w:eastAsia="Times New Roman" w:hAnsi="Times New Roman"/>
          <w:sz w:val="20"/>
          <w:szCs w:val="20"/>
          <w:color w:val="auto"/>
        </w:rPr>
        <w:t xml:space="preserve">”) that is two (2) U.S. Government Securities Business Days prior to the first day of each Interest Period, as such rate is published by the Term SOFR Administrator;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if as of 5:00 p.m. (New York City time) on any Periodic Term SOFR Determination Day the Term SOFR Reference Rate for a period of three (3) months has not been published by the Term SOFR Administrator and a Benchmark Replacement Date with respect to the Term SOFR Reference Rate has not occurred, then Term SOFR shall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(3) U.S. Government Securities Business Days prior to such Periodic Term SOFR Determination Day.</w:t>
      </w:r>
    </w:p>
    <w:p>
      <w:pPr>
        <w:spacing w:after="0" w:line="199" w:lineRule="exact"/>
        <w:rPr>
          <w:sz w:val="20"/>
          <w:szCs w:val="20"/>
          <w:color w:val="auto"/>
        </w:rPr>
      </w:pPr>
    </w:p>
    <w:p>
      <w:pPr>
        <w:jc w:val="both"/>
        <w:ind w:right="20" w:firstLine="674"/>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Term SOFR Administrator</w:t>
      </w:r>
      <w:r>
        <w:rPr>
          <w:rFonts w:ascii="Times New Roman" w:cs="Times New Roman" w:eastAsia="Times New Roman" w:hAnsi="Times New Roman"/>
          <w:sz w:val="20"/>
          <w:szCs w:val="20"/>
          <w:color w:val="auto"/>
        </w:rPr>
        <w:t>” means CME Group Benchmark Administration Limited (CBA) (or a successor administrator of the Term SOFR Reference Rate selected by the Agent (at the direction of the Blackstone Representative) in its reasonable discretion).</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Term SOFR Reference Rate</w:t>
      </w:r>
      <w:r>
        <w:rPr>
          <w:rFonts w:ascii="Times New Roman" w:cs="Times New Roman" w:eastAsia="Times New Roman" w:hAnsi="Times New Roman"/>
          <w:sz w:val="20"/>
          <w:szCs w:val="20"/>
          <w:color w:val="auto"/>
        </w:rPr>
        <w:t>” means the forward-looking term rate based on SOFR.</w:t>
      </w:r>
    </w:p>
    <w:p>
      <w:pPr>
        <w:spacing w:after="0" w:line="216" w:lineRule="exact"/>
        <w:rPr>
          <w:sz w:val="20"/>
          <w:szCs w:val="20"/>
          <w:color w:val="auto"/>
        </w:rPr>
      </w:pPr>
    </w:p>
    <w:p>
      <w:pPr>
        <w:jc w:val="both"/>
        <w:ind w:firstLine="674"/>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Territory</w:t>
      </w:r>
      <w:r>
        <w:rPr>
          <w:rFonts w:ascii="Times New Roman" w:cs="Times New Roman" w:eastAsia="Times New Roman" w:hAnsi="Times New Roman"/>
          <w:sz w:val="20"/>
          <w:szCs w:val="20"/>
          <w:color w:val="auto"/>
        </w:rPr>
        <w:t>” means, with respect to any Product, anywhere in the world in which any Product has been approved, or which approval is being sought, by the relevant Governmental Authority, or in which any activities have been undertaken with respect to the commercialization of any Product, including (a) advertising, promoting, marketing, offering, selling, importing, exporting, transporting, and distributing any Product, (b) strategic marketing or sales force detailing, educating, and liaising with the medical community, (c) obtaining necessary licenses and authorization from applicable Governmental Authorities, (d) interacting with the FDA and other Governmental Authorities regarding any of the foregoing, (e) producing, manufacturing or supplying any Product, and (f) activities relating to prosecution and maintenance of Product IP.</w:t>
      </w:r>
    </w:p>
    <w:p>
      <w:pPr>
        <w:spacing w:after="0" w:line="166"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Third Party IP</w:t>
      </w:r>
      <w:r>
        <w:rPr>
          <w:rFonts w:ascii="Times New Roman" w:cs="Times New Roman" w:eastAsia="Times New Roman" w:hAnsi="Times New Roman"/>
          <w:sz w:val="20"/>
          <w:szCs w:val="20"/>
          <w:color w:val="auto"/>
        </w:rPr>
        <w:t xml:space="preserve">” is defined in </w:t>
      </w:r>
      <w:r>
        <w:rPr>
          <w:rFonts w:ascii="Times New Roman" w:cs="Times New Roman" w:eastAsia="Times New Roman" w:hAnsi="Times New Roman"/>
          <w:sz w:val="20"/>
          <w:szCs w:val="20"/>
          <w:u w:val="single" w:color="auto"/>
          <w:color w:val="auto"/>
        </w:rPr>
        <w:t>Section 4.6(m)</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674"/>
        <w:spacing w:after="0" w:line="24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Trademarks</w:t>
      </w:r>
      <w:r>
        <w:rPr>
          <w:rFonts w:ascii="Times New Roman" w:cs="Times New Roman" w:eastAsia="Times New Roman" w:hAnsi="Times New Roman"/>
          <w:sz w:val="20"/>
          <w:szCs w:val="20"/>
          <w:color w:val="auto"/>
        </w:rPr>
        <w:t>” means (a) all trademarks, trade names, corporate names, company names, business names, fictitious business names, service marks, elements of package or trade dress of goods or services, logos and other source or business identifiers, together with the goodwill associated therewith, all registrations and recordings thereof, and all applications in connection therewith, in the United States Patent and Trademark Office or in any similar office or agency of the United States or any state thereof or in any similar office or agency anywhere in the world in which foreign counterparts are registered or issued, and (b) all common law rights thereto and renewals thereof.</w:t>
      </w:r>
    </w:p>
    <w:p>
      <w:pPr>
        <w:spacing w:after="0" w:line="194"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Trade Secrets</w:t>
      </w:r>
      <w:r>
        <w:rPr>
          <w:rFonts w:ascii="Times New Roman" w:cs="Times New Roman" w:eastAsia="Times New Roman" w:hAnsi="Times New Roman"/>
          <w:sz w:val="20"/>
          <w:szCs w:val="20"/>
          <w:color w:val="auto"/>
        </w:rPr>
        <w:t>” is defined in the definition of “Intellectual Property.”</w:t>
      </w:r>
    </w:p>
    <w:p>
      <w:pPr>
        <w:spacing w:after="0" w:line="216" w:lineRule="exact"/>
        <w:rPr>
          <w:sz w:val="20"/>
          <w:szCs w:val="20"/>
          <w:color w:val="auto"/>
        </w:rPr>
      </w:pPr>
    </w:p>
    <w:p>
      <w:pPr>
        <w:jc w:val="both"/>
        <w:ind w:firstLine="674"/>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Tranche A Delayed Draw Commitment</w:t>
      </w:r>
      <w:r>
        <w:rPr>
          <w:rFonts w:ascii="Times New Roman" w:cs="Times New Roman" w:eastAsia="Times New Roman" w:hAnsi="Times New Roman"/>
          <w:sz w:val="20"/>
          <w:szCs w:val="20"/>
          <w:color w:val="auto"/>
        </w:rPr>
        <w:t xml:space="preserve">” with respect to each Tranche A Lender, the commitment of each such Tranche A Lender to make the Tranche A Delayed Draw Term Loans hereunder in an aggregate amount not to exceed the amount set forth opposite such Tranche A Lender’s name on </w:t>
      </w:r>
      <w:r>
        <w:rPr>
          <w:rFonts w:ascii="Times New Roman" w:cs="Times New Roman" w:eastAsia="Times New Roman" w:hAnsi="Times New Roman"/>
          <w:sz w:val="20"/>
          <w:szCs w:val="20"/>
          <w:u w:val="single" w:color="auto"/>
          <w:color w:val="auto"/>
        </w:rPr>
        <w:t>Annex 1</w:t>
      </w:r>
      <w:r>
        <w:rPr>
          <w:rFonts w:ascii="Times New Roman" w:cs="Times New Roman" w:eastAsia="Times New Roman" w:hAnsi="Times New Roman"/>
          <w:sz w:val="20"/>
          <w:szCs w:val="20"/>
          <w:color w:val="auto"/>
        </w:rPr>
        <w:t>. The aggregate amount of the Tranche A Lenders’ Tranche A Delayed Draw Commitments on the Closing Date is $90,000,000.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596265</wp:posOffset>
            </wp:positionV>
            <wp:extent cx="7157720" cy="4254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400" w:top="1422" w:right="339" w:bottom="1440" w:gutter="0" w:footer="0" w:header="0"/>
        </w:sectPr>
      </w:pPr>
    </w:p>
    <w:bookmarkStart w:id="362" w:name="page363"/>
    <w:bookmarkEnd w:id="362"/>
    <w:p>
      <w:pPr>
        <w:spacing w:after="0" w:line="194" w:lineRule="exact"/>
        <w:rPr>
          <w:sz w:val="20"/>
          <w:szCs w:val="20"/>
          <w:color w:val="auto"/>
        </w:rPr>
      </w:pPr>
    </w:p>
    <w:p>
      <w:pPr>
        <w:jc w:val="right"/>
        <w:ind w:right="4339"/>
        <w:spacing w:after="0"/>
        <w:rPr>
          <w:sz w:val="20"/>
          <w:szCs w:val="20"/>
          <w:color w:val="auto"/>
        </w:rPr>
      </w:pPr>
      <w:r>
        <w:rPr>
          <w:rFonts w:ascii="Times New Roman" w:cs="Times New Roman" w:eastAsia="Times New Roman" w:hAnsi="Times New Roman"/>
          <w:sz w:val="18"/>
          <w:szCs w:val="18"/>
          <w:color w:val="auto"/>
        </w:rPr>
        <w:t>125</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4905-3710-6484 v.17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600710</wp:posOffset>
            </wp:positionV>
            <wp:extent cx="7157720" cy="4254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59"/>
          </w:cols>
          <w:pgMar w:left="400" w:top="1440" w:right="1440" w:bottom="1440" w:gutter="0" w:footer="0" w:header="0"/>
        </w:sectPr>
      </w:pPr>
    </w:p>
    <w:bookmarkStart w:id="363" w:name="page364"/>
    <w:bookmarkEnd w:id="363"/>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Tranche A Delayed Draw Commitment Period</w:t>
      </w:r>
      <w:r>
        <w:rPr>
          <w:rFonts w:ascii="Times New Roman" w:cs="Times New Roman" w:eastAsia="Times New Roman" w:hAnsi="Times New Roman"/>
          <w:sz w:val="20"/>
          <w:szCs w:val="20"/>
          <w:color w:val="auto"/>
        </w:rPr>
        <w:t>” means the period from the Closing Date up to and including May 31, 2026.</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Tranche A Delayed Draw Term Loan</w:t>
      </w:r>
      <w:r>
        <w:rPr>
          <w:rFonts w:ascii="Times New Roman" w:cs="Times New Roman" w:eastAsia="Times New Roman" w:hAnsi="Times New Roman"/>
          <w:sz w:val="20"/>
          <w:szCs w:val="20"/>
          <w:color w:val="auto"/>
        </w:rPr>
        <w:t xml:space="preserve">” is defined in </w:t>
      </w:r>
      <w:r>
        <w:rPr>
          <w:rFonts w:ascii="Times New Roman" w:cs="Times New Roman" w:eastAsia="Times New Roman" w:hAnsi="Times New Roman"/>
          <w:sz w:val="20"/>
          <w:szCs w:val="20"/>
          <w:u w:val="single" w:color="auto"/>
          <w:color w:val="auto"/>
        </w:rPr>
        <w:t>Section 2.2(a)(ii)</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firstLine="749"/>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Tranche A Lender</w:t>
      </w:r>
      <w:r>
        <w:rPr>
          <w:rFonts w:ascii="Times New Roman" w:cs="Times New Roman" w:eastAsia="Times New Roman" w:hAnsi="Times New Roman"/>
          <w:sz w:val="20"/>
          <w:szCs w:val="20"/>
          <w:color w:val="auto"/>
        </w:rPr>
        <w:t>” means the Persons holding Tranche A Delayed Draw Commitments and/or Tranche A Delayed Draw Term Loans and any other Person that shall have become party hereto holding Tranche A Delayed Draw Commitments and/or Tranche A Delayed Draw Term Loans pursuant to an Assignment and Assumption, other than any such Person that ceases to be a party hereto holding Tranche A Delayed Draw Commitments and/or Tranche A Delayed Draw Term Loans pursuant to an Assignment and Assumption.</w:t>
      </w:r>
    </w:p>
    <w:p>
      <w:pPr>
        <w:spacing w:after="0" w:line="176"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Tranche B Delayed Draw Commitment</w:t>
      </w:r>
      <w:r>
        <w:rPr>
          <w:rFonts w:ascii="Times New Roman" w:cs="Times New Roman" w:eastAsia="Times New Roman" w:hAnsi="Times New Roman"/>
          <w:sz w:val="20"/>
          <w:szCs w:val="20"/>
          <w:color w:val="auto"/>
        </w:rPr>
        <w:t xml:space="preserve">” with respect to each Tranche B Lender, the commitment of each such Tranche B Lender to make the Tranche B Delayed Draw Term Loans hereunder in an aggregate amount not to exceed the amount set forth opposite such Tranche B Lender’s name on </w:t>
      </w:r>
      <w:r>
        <w:rPr>
          <w:rFonts w:ascii="Times New Roman" w:cs="Times New Roman" w:eastAsia="Times New Roman" w:hAnsi="Times New Roman"/>
          <w:sz w:val="20"/>
          <w:szCs w:val="20"/>
          <w:u w:val="single" w:color="auto"/>
          <w:color w:val="auto"/>
        </w:rPr>
        <w:t>Annex 1</w:t>
      </w:r>
      <w:r>
        <w:rPr>
          <w:rFonts w:ascii="Times New Roman" w:cs="Times New Roman" w:eastAsia="Times New Roman" w:hAnsi="Times New Roman"/>
          <w:sz w:val="20"/>
          <w:szCs w:val="20"/>
          <w:color w:val="auto"/>
        </w:rPr>
        <w:t>. The aggregate amount of the Tranche B Lenders’ Tranche B Delayed Draw Commitments on the Closing Date is $90,000,000.</w:t>
      </w:r>
    </w:p>
    <w:p>
      <w:pPr>
        <w:spacing w:after="0" w:line="16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Tranche B Delayed Draw Commitment Period</w:t>
      </w:r>
      <w:r>
        <w:rPr>
          <w:rFonts w:ascii="Times New Roman" w:cs="Times New Roman" w:eastAsia="Times New Roman" w:hAnsi="Times New Roman"/>
          <w:sz w:val="20"/>
          <w:szCs w:val="20"/>
          <w:color w:val="auto"/>
        </w:rPr>
        <w:t>” means the period from the Closing Date up to and including May 31, 2027.</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Tranche B Delayed Draw Term Loan</w:t>
      </w:r>
      <w:r>
        <w:rPr>
          <w:rFonts w:ascii="Times New Roman" w:cs="Times New Roman" w:eastAsia="Times New Roman" w:hAnsi="Times New Roman"/>
          <w:sz w:val="20"/>
          <w:szCs w:val="20"/>
          <w:color w:val="auto"/>
        </w:rPr>
        <w:t xml:space="preserve">” is defined in </w:t>
      </w:r>
      <w:r>
        <w:rPr>
          <w:rFonts w:ascii="Times New Roman" w:cs="Times New Roman" w:eastAsia="Times New Roman" w:hAnsi="Times New Roman"/>
          <w:sz w:val="20"/>
          <w:szCs w:val="20"/>
          <w:u w:val="single" w:color="auto"/>
          <w:color w:val="auto"/>
        </w:rPr>
        <w:t>Section 2.2(a)(iii)</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firstLine="749"/>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Tranche B Lender</w:t>
      </w:r>
      <w:r>
        <w:rPr>
          <w:rFonts w:ascii="Times New Roman" w:cs="Times New Roman" w:eastAsia="Times New Roman" w:hAnsi="Times New Roman"/>
          <w:sz w:val="20"/>
          <w:szCs w:val="20"/>
          <w:color w:val="auto"/>
        </w:rPr>
        <w:t>” means the Persons holding Tranche B Delayed Draw Commitments and/or Tranche B Delayed Draw Term Loans and any other Person that shall have become party hereto holding Tranche B Delayed Draw Commitments and/or Tranche B Delayed Draw Term Loans pursuant to an Assignment and Assumption, other than any such Person that ceases to be a party hereto holding Tranche B Delayed Draw Commitments and/or Tranche B Delayed Draw Term Loans pursuant to an Assignment and Assumption.</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Transfer</w:t>
      </w:r>
      <w:r>
        <w:rPr>
          <w:rFonts w:ascii="Times New Roman" w:cs="Times New Roman" w:eastAsia="Times New Roman" w:hAnsi="Times New Roman"/>
          <w:sz w:val="20"/>
          <w:szCs w:val="20"/>
          <w:color w:val="auto"/>
        </w:rPr>
        <w:t xml:space="preserve">” is defined in </w:t>
      </w:r>
      <w:r>
        <w:rPr>
          <w:rFonts w:ascii="Times New Roman" w:cs="Times New Roman" w:eastAsia="Times New Roman" w:hAnsi="Times New Roman"/>
          <w:sz w:val="20"/>
          <w:szCs w:val="20"/>
          <w:u w:val="single" w:color="auto"/>
          <w:color w:val="auto"/>
        </w:rPr>
        <w:t>Section 6.1</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Treasury Regulations</w:t>
      </w:r>
      <w:r>
        <w:rPr>
          <w:rFonts w:ascii="Times New Roman" w:cs="Times New Roman" w:eastAsia="Times New Roman" w:hAnsi="Times New Roman"/>
          <w:sz w:val="20"/>
          <w:szCs w:val="20"/>
          <w:color w:val="auto"/>
        </w:rPr>
        <w:t>” means the regulations promulgated pursuant to the IRC.</w:t>
      </w:r>
    </w:p>
    <w:p>
      <w:pPr>
        <w:spacing w:after="0" w:line="216"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TRICARE</w:t>
      </w:r>
      <w:r>
        <w:rPr>
          <w:rFonts w:ascii="Times New Roman" w:cs="Times New Roman" w:eastAsia="Times New Roman" w:hAnsi="Times New Roman"/>
          <w:sz w:val="20"/>
          <w:szCs w:val="20"/>
          <w:color w:val="auto"/>
        </w:rPr>
        <w:t>” means, collectively, a program of medical benefits covering former and active members of the uniformed services and certain of their dependents, financed and administered by the United States Departments of Defense, Health and Human Services and Transportation, and all laws applicable to such programs.</w:t>
      </w:r>
    </w:p>
    <w:p>
      <w:pPr>
        <w:spacing w:after="0" w:line="169" w:lineRule="exact"/>
        <w:rPr>
          <w:sz w:val="20"/>
          <w:szCs w:val="20"/>
          <w:color w:val="auto"/>
        </w:rPr>
      </w:pPr>
    </w:p>
    <w:p>
      <w:pPr>
        <w:jc w:val="both"/>
        <w:ind w:firstLine="749"/>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Unadjusted Benchmark Replacement</w:t>
      </w:r>
      <w:r>
        <w:rPr>
          <w:rFonts w:ascii="Times New Roman" w:cs="Times New Roman" w:eastAsia="Times New Roman" w:hAnsi="Times New Roman"/>
          <w:sz w:val="20"/>
          <w:szCs w:val="20"/>
          <w:color w:val="auto"/>
        </w:rPr>
        <w:t>” means the applicable Benchmark Replacement excluding the related Benchmark Replacement Adjustment.</w:t>
      </w:r>
    </w:p>
    <w:p>
      <w:pPr>
        <w:spacing w:after="0" w:line="13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United States</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b w:val="1"/>
          <w:bCs w:val="1"/>
          <w:color w:val="auto"/>
        </w:rPr>
        <w:t>U.S.</w:t>
      </w:r>
      <w:r>
        <w:rPr>
          <w:rFonts w:ascii="Times New Roman" w:cs="Times New Roman" w:eastAsia="Times New Roman" w:hAnsi="Times New Roman"/>
          <w:sz w:val="20"/>
          <w:szCs w:val="20"/>
          <w:color w:val="auto"/>
        </w:rPr>
        <w:t>” means the United States of America, its fifty (50) states and the District of Columbia.</w:t>
      </w:r>
    </w:p>
    <w:p>
      <w:pPr>
        <w:spacing w:after="0" w:line="229"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U.S. Credit Party</w:t>
      </w:r>
      <w:r>
        <w:rPr>
          <w:rFonts w:ascii="Times New Roman" w:cs="Times New Roman" w:eastAsia="Times New Roman" w:hAnsi="Times New Roman"/>
          <w:sz w:val="20"/>
          <w:szCs w:val="20"/>
          <w:color w:val="auto"/>
        </w:rPr>
        <w:t>” means a Credit Party organized, incorporated or formed in the U.S.</w:t>
      </w:r>
    </w:p>
    <w:p>
      <w:pPr>
        <w:spacing w:after="0" w:line="216"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U.S. Government Securities Business Day</w:t>
      </w:r>
      <w:r>
        <w:rPr>
          <w:rFonts w:ascii="Times New Roman" w:cs="Times New Roman" w:eastAsia="Times New Roman" w:hAnsi="Times New Roman"/>
          <w:sz w:val="20"/>
          <w:szCs w:val="20"/>
          <w:color w:val="auto"/>
        </w:rPr>
        <w:t>” means any day except for (a) a Saturday, (b) a Sunday or (c) a day on which the Securities Industry and Financial Markets Association recommends that the fixed income departments of its members be closed for the entire day for purposes of trading in United States government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591185</wp:posOffset>
            </wp:positionV>
            <wp:extent cx="7157720" cy="4254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2" w:right="339" w:bottom="1440" w:gutter="0" w:footer="0" w:header="0"/>
        </w:sectPr>
      </w:pPr>
    </w:p>
    <w:bookmarkStart w:id="364" w:name="page365"/>
    <w:bookmarkEnd w:id="364"/>
    <w:p>
      <w:pPr>
        <w:spacing w:after="0" w:line="200" w:lineRule="exact"/>
        <w:rPr>
          <w:sz w:val="20"/>
          <w:szCs w:val="20"/>
          <w:color w:val="auto"/>
        </w:rPr>
      </w:pPr>
    </w:p>
    <w:p>
      <w:pPr>
        <w:spacing w:after="0" w:line="264" w:lineRule="exact"/>
        <w:rPr>
          <w:sz w:val="20"/>
          <w:szCs w:val="20"/>
          <w:color w:val="auto"/>
        </w:rPr>
      </w:pPr>
    </w:p>
    <w:p>
      <w:pPr>
        <w:jc w:val="right"/>
        <w:ind w:right="4379"/>
        <w:spacing w:after="0"/>
        <w:rPr>
          <w:sz w:val="20"/>
          <w:szCs w:val="20"/>
          <w:color w:val="auto"/>
        </w:rPr>
      </w:pPr>
      <w:r>
        <w:rPr>
          <w:rFonts w:ascii="Times New Roman" w:cs="Times New Roman" w:eastAsia="Times New Roman" w:hAnsi="Times New Roman"/>
          <w:sz w:val="18"/>
          <w:szCs w:val="18"/>
          <w:color w:val="auto"/>
        </w:rPr>
        <w:t>126</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4905-3710-6484 v.17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600710</wp:posOffset>
            </wp:positionV>
            <wp:extent cx="7157720" cy="4254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365" w:name="page366"/>
    <w:bookmarkEnd w:id="365"/>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U.S. Person</w:t>
      </w:r>
      <w:r>
        <w:rPr>
          <w:rFonts w:ascii="Times New Roman" w:cs="Times New Roman" w:eastAsia="Times New Roman" w:hAnsi="Times New Roman"/>
          <w:sz w:val="20"/>
          <w:szCs w:val="20"/>
          <w:color w:val="auto"/>
        </w:rPr>
        <w:t>” means any Person that is a “United States person” as defined in Section 7701(a)(30) of the IRC.</w:t>
      </w:r>
    </w:p>
    <w:p>
      <w:pPr>
        <w:spacing w:after="0" w:line="216" w:lineRule="exact"/>
        <w:rPr>
          <w:sz w:val="20"/>
          <w:szCs w:val="20"/>
          <w:color w:val="auto"/>
        </w:rPr>
      </w:pPr>
    </w:p>
    <w:p>
      <w:pPr>
        <w:jc w:val="both"/>
        <w:ind w:firstLine="749"/>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Voting Equity Interests</w:t>
      </w:r>
      <w:r>
        <w:rPr>
          <w:rFonts w:ascii="Times New Roman" w:cs="Times New Roman" w:eastAsia="Times New Roman" w:hAnsi="Times New Roman"/>
          <w:sz w:val="20"/>
          <w:szCs w:val="20"/>
          <w:color w:val="auto"/>
        </w:rPr>
        <w:t>” means, with respect to any issuer, the issued and outstanding shares of each class of Equity Interests of such issuer entitled to vote.</w:t>
      </w:r>
    </w:p>
    <w:p>
      <w:pPr>
        <w:spacing w:after="0" w:line="152"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Wholly-Owned Subsidiary</w:t>
      </w:r>
      <w:r>
        <w:rPr>
          <w:rFonts w:ascii="Times New Roman" w:cs="Times New Roman" w:eastAsia="Times New Roman" w:hAnsi="Times New Roman"/>
          <w:sz w:val="20"/>
          <w:szCs w:val="20"/>
          <w:color w:val="auto"/>
        </w:rPr>
        <w:t>” means, with respect to any Person, a Subsidiary of such Person, all of the Equity Interests of which (other than directors’ qualifying shares or nominee or other similar shares required pursuant to Requirements of Law) are owned by such Person or another Wholly-Owned Subsidiary of such Person. Unless the context otherwise requires, each reference to a Wholly-Owned Subsidiary herein shall be a reference to a Wholly-Owned Subsidiary of a Credit Party.</w:t>
      </w:r>
    </w:p>
    <w:p>
      <w:pPr>
        <w:spacing w:after="0" w:line="162" w:lineRule="exact"/>
        <w:rPr>
          <w:sz w:val="20"/>
          <w:szCs w:val="20"/>
          <w:color w:val="auto"/>
        </w:rPr>
      </w:pPr>
    </w:p>
    <w:p>
      <w:pPr>
        <w:jc w:val="both"/>
        <w:ind w:firstLine="749"/>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Withdrawal Liability</w:t>
      </w:r>
      <w:r>
        <w:rPr>
          <w:rFonts w:ascii="Times New Roman" w:cs="Times New Roman" w:eastAsia="Times New Roman" w:hAnsi="Times New Roman"/>
          <w:sz w:val="20"/>
          <w:szCs w:val="20"/>
          <w:color w:val="auto"/>
        </w:rPr>
        <w:t>” means liability to a Multiemployer Plan as a result of a complete or partial withdrawal from such Multiemployer Plan, as such terms are defined in Part I of Subtitle E of Title IV of ERISA.</w:t>
      </w:r>
    </w:p>
    <w:p>
      <w:pPr>
        <w:spacing w:after="0" w:line="16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Write-Down and Conversion Powers</w:t>
      </w:r>
      <w:r>
        <w:rPr>
          <w:rFonts w:ascii="Times New Roman" w:cs="Times New Roman" w:eastAsia="Times New Roman" w:hAnsi="Times New Roman"/>
          <w:sz w:val="20"/>
          <w:szCs w:val="20"/>
          <w:color w:val="auto"/>
        </w:rPr>
        <w:t>” means:</w:t>
      </w:r>
    </w:p>
    <w:p>
      <w:pPr>
        <w:spacing w:after="0" w:line="206" w:lineRule="exact"/>
        <w:rPr>
          <w:sz w:val="20"/>
          <w:szCs w:val="20"/>
          <w:color w:val="auto"/>
        </w:rPr>
      </w:pPr>
    </w:p>
    <w:p>
      <w:pPr>
        <w:ind w:firstLine="1580"/>
        <w:spacing w:after="0" w:line="269" w:lineRule="auto"/>
        <w:tabs>
          <w:tab w:leader="none" w:pos="2033" w:val="left"/>
        </w:tabs>
        <w:numPr>
          <w:ilvl w:val="0"/>
          <w:numId w:val="2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relation to any Bail-In Legislation described in the EU Bail-In Legislation Schedule from time to time, the powers described as such in relation to that Bail-In Legislation in the EU Bail-In Legislation Schedule;</w:t>
      </w:r>
    </w:p>
    <w:p>
      <w:pPr>
        <w:spacing w:after="0" w:line="159" w:lineRule="exact"/>
        <w:rPr>
          <w:rFonts w:ascii="Times New Roman" w:cs="Times New Roman" w:eastAsia="Times New Roman" w:hAnsi="Times New Roman"/>
          <w:sz w:val="20"/>
          <w:szCs w:val="20"/>
          <w:color w:val="auto"/>
        </w:rPr>
      </w:pPr>
    </w:p>
    <w:p>
      <w:pPr>
        <w:ind w:left="2040" w:hanging="460"/>
        <w:spacing w:after="0"/>
        <w:tabs>
          <w:tab w:leader="none" w:pos="2040" w:val="left"/>
        </w:tabs>
        <w:numPr>
          <w:ilvl w:val="0"/>
          <w:numId w:val="2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relation to any other applicable Bail-In Legislation:</w:t>
      </w:r>
    </w:p>
    <w:p>
      <w:pPr>
        <w:spacing w:after="0" w:line="202" w:lineRule="exact"/>
        <w:rPr>
          <w:rFonts w:ascii="Times New Roman" w:cs="Times New Roman" w:eastAsia="Times New Roman" w:hAnsi="Times New Roman"/>
          <w:sz w:val="20"/>
          <w:szCs w:val="20"/>
          <w:color w:val="auto"/>
        </w:rPr>
      </w:pPr>
    </w:p>
    <w:p>
      <w:pPr>
        <w:jc w:val="both"/>
        <w:ind w:left="760" w:firstLine="1569"/>
        <w:spacing w:after="0" w:line="245" w:lineRule="auto"/>
        <w:tabs>
          <w:tab w:leader="none" w:pos="2555" w:val="left"/>
        </w:tabs>
        <w:numPr>
          <w:ilvl w:val="1"/>
          <w:numId w:val="2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powers under that Bail-In Legislation to cancel, transfer or dilute shares issued by a person that is a bank or investment firm or other financial institution or affiliate of a bank, investment firm or other financial institution, to cancel, reduce, modify or change the form of a liability of such a person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 and</w:t>
      </w:r>
    </w:p>
    <w:p>
      <w:pPr>
        <w:spacing w:after="0" w:line="184" w:lineRule="exact"/>
        <w:rPr>
          <w:sz w:val="20"/>
          <w:szCs w:val="20"/>
          <w:color w:val="auto"/>
        </w:rPr>
      </w:pPr>
    </w:p>
    <w:p>
      <w:pPr>
        <w:ind w:left="2320"/>
        <w:spacing w:after="0"/>
        <w:rPr>
          <w:sz w:val="20"/>
          <w:szCs w:val="20"/>
          <w:color w:val="auto"/>
        </w:rPr>
      </w:pPr>
      <w:r>
        <w:rPr>
          <w:rFonts w:ascii="Times New Roman" w:cs="Times New Roman" w:eastAsia="Times New Roman" w:hAnsi="Times New Roman"/>
          <w:sz w:val="20"/>
          <w:szCs w:val="20"/>
          <w:color w:val="auto"/>
        </w:rPr>
        <w:t>(ii)any similar or analogous powers under that Bail-In Legislation.</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Yield Protection Premium</w:t>
      </w:r>
      <w:r>
        <w:rPr>
          <w:rFonts w:ascii="Times New Roman" w:cs="Times New Roman" w:eastAsia="Times New Roman" w:hAnsi="Times New Roman"/>
          <w:sz w:val="20"/>
          <w:szCs w:val="20"/>
          <w:color w:val="auto"/>
        </w:rPr>
        <w:t>” is defined in the Lender Fee Letter.</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Yield Protection Premium Trigger Event</w:t>
      </w:r>
      <w:r>
        <w:rPr>
          <w:rFonts w:ascii="Times New Roman" w:cs="Times New Roman" w:eastAsia="Times New Roman" w:hAnsi="Times New Roman"/>
          <w:sz w:val="20"/>
          <w:szCs w:val="20"/>
          <w:color w:val="auto"/>
        </w:rPr>
        <w:t>” means:</w:t>
      </w:r>
    </w:p>
    <w:p>
      <w:pPr>
        <w:spacing w:after="0" w:line="206" w:lineRule="exact"/>
        <w:rPr>
          <w:sz w:val="20"/>
          <w:szCs w:val="20"/>
          <w:color w:val="auto"/>
        </w:rPr>
      </w:pPr>
    </w:p>
    <w:p>
      <w:pPr>
        <w:jc w:val="both"/>
        <w:ind w:firstLine="1580"/>
        <w:spacing w:after="0" w:line="247" w:lineRule="auto"/>
        <w:tabs>
          <w:tab w:leader="none" w:pos="2033" w:val="left"/>
        </w:tabs>
        <w:numPr>
          <w:ilvl w:val="1"/>
          <w:numId w:val="2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prepayment or repayment by any Credit Party of all, or any part, of the principal balance of any Term Loans for any reason (including any optional or voluntary prepayment or mandatory prepayment, and distribution in respect thereof, and any refinancing thereof), whether in whole or in part, and whether before or after (i) the occurrence and continuation of an Event of Default, or</w:t>
      </w:r>
    </w:p>
    <w:p>
      <w:pPr>
        <w:jc w:val="both"/>
        <w:ind w:firstLine="8"/>
        <w:spacing w:after="0" w:line="242" w:lineRule="auto"/>
        <w:tabs>
          <w:tab w:leader="none" w:pos="304" w:val="left"/>
        </w:tabs>
        <w:numPr>
          <w:ilvl w:val="0"/>
          <w:numId w:val="2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commencement of any Insolvency Proceeding, and notwithstanding any acceleration (for any reason) of the Obligations;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payment required to be made pursuant to </w:t>
      </w:r>
      <w:r>
        <w:rPr>
          <w:rFonts w:ascii="Times New Roman" w:cs="Times New Roman" w:eastAsia="Times New Roman" w:hAnsi="Times New Roman"/>
          <w:sz w:val="20"/>
          <w:szCs w:val="20"/>
          <w:u w:val="single" w:color="auto"/>
          <w:color w:val="auto"/>
        </w:rPr>
        <w:t>Section 2.2(c)(iv)</w:t>
      </w:r>
      <w:r>
        <w:rPr>
          <w:rFonts w:ascii="Times New Roman" w:cs="Times New Roman" w:eastAsia="Times New Roman" w:hAnsi="Times New Roman"/>
          <w:sz w:val="20"/>
          <w:szCs w:val="20"/>
          <w:color w:val="auto"/>
        </w:rPr>
        <w:t xml:space="preserve"> (relating solely to an Event of Loss) shall not constitute a Yield Protection Premium Trigger Event;</w:t>
      </w:r>
    </w:p>
    <w:p>
      <w:pPr>
        <w:spacing w:after="0" w:line="186" w:lineRule="exact"/>
        <w:rPr>
          <w:rFonts w:ascii="Times New Roman" w:cs="Times New Roman" w:eastAsia="Times New Roman" w:hAnsi="Times New Roman"/>
          <w:sz w:val="20"/>
          <w:szCs w:val="20"/>
          <w:color w:val="auto"/>
        </w:rPr>
      </w:pPr>
    </w:p>
    <w:p>
      <w:pPr>
        <w:ind w:firstLine="1580"/>
        <w:spacing w:after="0" w:line="269" w:lineRule="auto"/>
        <w:tabs>
          <w:tab w:leader="none" w:pos="2033" w:val="left"/>
        </w:tabs>
        <w:numPr>
          <w:ilvl w:val="1"/>
          <w:numId w:val="2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acceleration of the Obligations pursuant to </w:t>
      </w:r>
      <w:r>
        <w:rPr>
          <w:rFonts w:ascii="Times New Roman" w:cs="Times New Roman" w:eastAsia="Times New Roman" w:hAnsi="Times New Roman"/>
          <w:sz w:val="20"/>
          <w:szCs w:val="20"/>
          <w:u w:val="single" w:color="auto"/>
          <w:color w:val="auto"/>
        </w:rPr>
        <w:t>Section 8.1</w:t>
      </w:r>
      <w:r>
        <w:rPr>
          <w:rFonts w:ascii="Times New Roman" w:cs="Times New Roman" w:eastAsia="Times New Roman" w:hAnsi="Times New Roman"/>
          <w:sz w:val="20"/>
          <w:szCs w:val="20"/>
          <w:color w:val="auto"/>
        </w:rPr>
        <w:t xml:space="preserve">, for any reason, including acceleration as a result of the occurrence of an Event of Default pursuant to </w:t>
      </w:r>
      <w:r>
        <w:rPr>
          <w:rFonts w:ascii="Times New Roman" w:cs="Times New Roman" w:eastAsia="Times New Roman" w:hAnsi="Times New Roman"/>
          <w:sz w:val="20"/>
          <w:szCs w:val="20"/>
          <w:u w:val="single" w:color="auto"/>
          <w:color w:val="auto"/>
        </w:rPr>
        <w:t>Section 7.5</w:t>
      </w:r>
      <w:r>
        <w:rPr>
          <w:rFonts w:ascii="Times New Roman" w:cs="Times New Roman" w:eastAsia="Times New Roman" w:hAnsi="Times New Roman"/>
          <w:sz w:val="20"/>
          <w:szCs w:val="20"/>
          <w:color w:val="auto"/>
        </w:rPr>
        <w:t xml:space="preserve"> including as a result of the commencement of any Insolvency Proceeding;</w:t>
      </w:r>
    </w:p>
    <w:p>
      <w:pPr>
        <w:spacing w:after="0" w:line="159" w:lineRule="exact"/>
        <w:rPr>
          <w:rFonts w:ascii="Times New Roman" w:cs="Times New Roman" w:eastAsia="Times New Roman" w:hAnsi="Times New Roman"/>
          <w:sz w:val="20"/>
          <w:szCs w:val="20"/>
          <w:color w:val="auto"/>
        </w:rPr>
      </w:pPr>
    </w:p>
    <w:p>
      <w:pPr>
        <w:ind w:firstLine="1580"/>
        <w:spacing w:after="0" w:line="269" w:lineRule="auto"/>
        <w:tabs>
          <w:tab w:leader="none" w:pos="2033" w:val="left"/>
        </w:tabs>
        <w:numPr>
          <w:ilvl w:val="1"/>
          <w:numId w:val="2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satisfaction, release, payment, restructuring, reorganization, replacement, reinstatement, defeasance or compromise of any of the Obligations in any institution of Insolvency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582930</wp:posOffset>
            </wp:positionV>
            <wp:extent cx="7157720" cy="4254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6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22" w:right="419" w:bottom="1440" w:gutter="0" w:footer="0" w:header="0"/>
        </w:sectPr>
      </w:pPr>
    </w:p>
    <w:bookmarkStart w:id="366" w:name="page367"/>
    <w:bookmarkEnd w:id="366"/>
    <w:p>
      <w:pPr>
        <w:jc w:val="right"/>
        <w:ind w:right="4419"/>
        <w:spacing w:after="0"/>
        <w:rPr>
          <w:sz w:val="20"/>
          <w:szCs w:val="20"/>
          <w:color w:val="auto"/>
        </w:rPr>
      </w:pPr>
      <w:r>
        <w:rPr>
          <w:rFonts w:ascii="Times New Roman" w:cs="Times New Roman" w:eastAsia="Times New Roman" w:hAnsi="Times New Roman"/>
          <w:sz w:val="18"/>
          <w:szCs w:val="18"/>
          <w:color w:val="auto"/>
        </w:rPr>
        <w:t>127</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4905-3710-6484 v.17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600710</wp:posOffset>
            </wp:positionV>
            <wp:extent cx="7157720" cy="4254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31" w:right="1440" w:bottom="1440" w:gutter="0" w:footer="0" w:header="0"/>
        </w:sectPr>
      </w:pPr>
    </w:p>
    <w:bookmarkStart w:id="367" w:name="page368"/>
    <w:bookmarkEnd w:id="367"/>
    <w:p>
      <w:pPr>
        <w:jc w:val="both"/>
        <w:spacing w:after="0" w:line="254" w:lineRule="auto"/>
        <w:rPr>
          <w:sz w:val="20"/>
          <w:szCs w:val="20"/>
          <w:color w:val="auto"/>
        </w:rPr>
      </w:pPr>
      <w:r>
        <w:rPr>
          <w:rFonts w:ascii="Times New Roman" w:cs="Times New Roman" w:eastAsia="Times New Roman" w:hAnsi="Times New Roman"/>
          <w:sz w:val="20"/>
          <w:szCs w:val="20"/>
          <w:color w:val="auto"/>
        </w:rPr>
        <w:t>Proceeding, foreclosure (whether by power of judicial proceeding or otherwise) or deed in lieu of foreclosure or the making of a distribution of any kind in any institution of any Insolvency Proceeding to the Agent, for the account of the Secured Parties, in full or partial satisfaction of the Obligations; or</w:t>
      </w:r>
    </w:p>
    <w:p>
      <w:pPr>
        <w:spacing w:after="0" w:line="174" w:lineRule="exact"/>
        <w:rPr>
          <w:sz w:val="20"/>
          <w:szCs w:val="20"/>
          <w:color w:val="auto"/>
        </w:rPr>
      </w:pPr>
    </w:p>
    <w:p>
      <w:pPr>
        <w:ind w:left="4620" w:right="4540" w:hanging="3115"/>
        <w:spacing w:after="0" w:line="548" w:lineRule="auto"/>
        <w:tabs>
          <w:tab w:leader="none" w:pos="1900" w:val="left"/>
        </w:tabs>
        <w:numPr>
          <w:ilvl w:val="0"/>
          <w:numId w:val="20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termination of this Agreement for any reason. [Signature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128</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4905-3710-6484 v.17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610870</wp:posOffset>
            </wp:positionV>
            <wp:extent cx="7157720" cy="4254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26" w:right="419" w:bottom="1440" w:gutter="0" w:footer="0" w:header="0"/>
        </w:sectPr>
      </w:pPr>
    </w:p>
    <w:bookmarkStart w:id="368" w:name="page369"/>
    <w:bookmarkEnd w:id="36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473710</wp:posOffset>
            </wp:positionH>
            <wp:positionV relativeFrom="page">
              <wp:posOffset>929005</wp:posOffset>
            </wp:positionV>
            <wp:extent cx="2837180" cy="8572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3">
                      <a:clrChange>
                        <a:clrFrom>
                          <a:srgbClr val="FFFFFF"/>
                        </a:clrFrom>
                        <a:clrTo>
                          <a:srgbClr val="FFFFFF">
                            <a:alpha val="0"/>
                          </a:srgbClr>
                        </a:clrTo>
                      </a:clrChange>
                      <a:extLst>
                        <a:ext uri="{28A0092B-C50C-407E-A947-70E740481C1C}"/>
                      </a:extLst>
                    </a:blip>
                    <a:srcRect/>
                    <a:stretch>
                      <a:fillRect/>
                    </a:stretch>
                  </pic:blipFill>
                  <pic:spPr bwMode="auto">
                    <a:xfrm>
                      <a:off x="0" y="0"/>
                      <a:ext cx="2837180" cy="85725"/>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ind w:left="980" w:right="399" w:firstLine="453"/>
        <w:spacing w:after="0" w:line="269" w:lineRule="auto"/>
        <w:rPr>
          <w:sz w:val="20"/>
          <w:szCs w:val="20"/>
          <w:color w:val="auto"/>
        </w:rPr>
      </w:pPr>
      <w:r>
        <w:rPr>
          <w:rFonts w:ascii="Times New Roman" w:cs="Times New Roman" w:eastAsia="Times New Roman" w:hAnsi="Times New Roman"/>
          <w:sz w:val="20"/>
          <w:szCs w:val="20"/>
          <w:color w:val="auto"/>
        </w:rPr>
        <w:t>IN WITNESS WHEREOF, the parties hereto have caused this Agreement to be duly executed as of the date first above written.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946785</wp:posOffset>
            </wp:positionH>
            <wp:positionV relativeFrom="paragraph">
              <wp:posOffset>46990</wp:posOffset>
            </wp:positionV>
            <wp:extent cx="1156970" cy="368300"/>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4">
                      <a:extLst>
                        <a:ext uri="{28A0092B-C50C-407E-A947-70E740481C1C}"/>
                      </a:extLst>
                    </a:blip>
                    <a:srcRect/>
                    <a:stretch>
                      <a:fillRect/>
                    </a:stretch>
                  </pic:blipFill>
                  <pic:spPr bwMode="auto">
                    <a:xfrm>
                      <a:off x="0" y="0"/>
                      <a:ext cx="1156970" cy="368300"/>
                    </a:xfrm>
                    <a:prstGeom prst="rect">
                      <a:avLst/>
                    </a:prstGeom>
                    <a:noFill/>
                  </pic:spPr>
                </pic:pic>
              </a:graphicData>
            </a:graphic>
          </wp:anchor>
        </w:drawing>
      </w:r>
    </w:p>
    <w:p>
      <w:pPr>
        <w:spacing w:after="0" w:line="24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0"/>
          <w:szCs w:val="20"/>
          <w:color w:val="auto"/>
        </w:rPr>
        <w:t>AXSOME THERAPEUTICS, INC.,</w:t>
      </w:r>
    </w:p>
    <w:p>
      <w:pPr>
        <w:spacing w:after="0" w:line="2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0"/>
          <w:szCs w:val="20"/>
          <w:color w:val="auto"/>
        </w:rPr>
        <w:t>as the Borrower</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By: Name: Title: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Nick Pizzie</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Chief Financial Officer</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AXSOME INTERNATIONAL HOLDINGS LLC, as a Guarantor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98425</wp:posOffset>
            </wp:positionH>
            <wp:positionV relativeFrom="paragraph">
              <wp:posOffset>553085</wp:posOffset>
            </wp:positionV>
            <wp:extent cx="1139825" cy="36004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5">
                      <a:extLst>
                        <a:ext uri="{28A0092B-C50C-407E-A947-70E740481C1C}"/>
                      </a:extLst>
                    </a:blip>
                    <a:srcRect/>
                    <a:stretch>
                      <a:fillRect/>
                    </a:stretch>
                  </pic:blipFill>
                  <pic:spPr bwMode="auto">
                    <a:xfrm>
                      <a:off x="0" y="0"/>
                      <a:ext cx="1139825" cy="360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By:</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Name: Title: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Nick Pizzie Manager</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AXSOME MALTA HOLDINGS LTD., as a Guarantor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98425</wp:posOffset>
            </wp:positionH>
            <wp:positionV relativeFrom="paragraph">
              <wp:posOffset>579755</wp:posOffset>
            </wp:positionV>
            <wp:extent cx="1139825" cy="36004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6">
                      <a:extLst>
                        <a:ext uri="{28A0092B-C50C-407E-A947-70E740481C1C}"/>
                      </a:extLst>
                    </a:blip>
                    <a:srcRect/>
                    <a:stretch>
                      <a:fillRect/>
                    </a:stretch>
                  </pic:blipFill>
                  <pic:spPr bwMode="auto">
                    <a:xfrm>
                      <a:off x="0" y="0"/>
                      <a:ext cx="1139825" cy="360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By:</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Name: Title:</w:t>
      </w:r>
    </w:p>
    <w:p>
      <w:pPr>
        <w:spacing w:after="0"/>
        <w:rPr>
          <w:sz w:val="20"/>
          <w:szCs w:val="20"/>
          <w:color w:val="auto"/>
        </w:rPr>
      </w:pPr>
      <w:r>
        <w:rPr>
          <w:rFonts w:ascii="Times New Roman" w:cs="Times New Roman" w:eastAsia="Times New Roman" w:hAnsi="Times New Roman"/>
          <w:sz w:val="20"/>
          <w:szCs w:val="20"/>
          <w:color w:val="auto"/>
        </w:rPr>
        <w:t>Nick Pizzie Director</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AXSOME MALTA LTD., as a Guarantor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98425</wp:posOffset>
            </wp:positionH>
            <wp:positionV relativeFrom="paragraph">
              <wp:posOffset>562610</wp:posOffset>
            </wp:positionV>
            <wp:extent cx="1139825" cy="36004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7">
                      <a:extLst>
                        <a:ext uri="{28A0092B-C50C-407E-A947-70E740481C1C}"/>
                      </a:extLst>
                    </a:blip>
                    <a:srcRect/>
                    <a:stretch>
                      <a:fillRect/>
                    </a:stretch>
                  </pic:blipFill>
                  <pic:spPr bwMode="auto">
                    <a:xfrm>
                      <a:off x="0" y="0"/>
                      <a:ext cx="1139825" cy="360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By:</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Name: Title: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Nick Pizzie Director</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20"/>
          <w:szCs w:val="20"/>
          <w:color w:val="auto"/>
        </w:rPr>
        <w:t>[Signature Page to Loan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-213995</wp:posOffset>
            </wp:positionH>
            <wp:positionV relativeFrom="paragraph">
              <wp:posOffset>884555</wp:posOffset>
            </wp:positionV>
            <wp:extent cx="7037705" cy="4254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8">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19"/>
          </w:cols>
          <w:pgMar w:left="740" w:top="1440" w:right="1440" w:bottom="1440" w:gutter="0" w:footer="0" w:header="0"/>
        </w:sectPr>
      </w:pPr>
    </w:p>
    <w:bookmarkStart w:id="369" w:name="page370"/>
    <w:bookmarkEnd w:id="369"/>
    <w:p>
      <w:pPr>
        <w:spacing w:after="0"/>
        <w:rPr>
          <w:sz w:val="20"/>
          <w:szCs w:val="20"/>
          <w:color w:val="auto"/>
        </w:rPr>
      </w:pPr>
      <w:r>
        <w:rPr>
          <w:rFonts w:ascii="Arial" w:cs="Arial" w:eastAsia="Arial" w:hAnsi="Arial"/>
          <w:sz w:val="14"/>
          <w:szCs w:val="14"/>
          <w:color w:val="auto"/>
        </w:rPr>
        <w:t>Docusign Envelope ID: F4EA5401-6E47-460F-A064-B3C13417B0B2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right"/>
        <w:ind w:right="1739"/>
        <w:spacing w:after="0"/>
        <w:rPr>
          <w:sz w:val="20"/>
          <w:szCs w:val="20"/>
          <w:color w:val="auto"/>
        </w:rPr>
      </w:pPr>
      <w:r>
        <w:rPr>
          <w:rFonts w:ascii="Times New Roman" w:cs="Times New Roman" w:eastAsia="Times New Roman" w:hAnsi="Times New Roman"/>
          <w:sz w:val="20"/>
          <w:szCs w:val="20"/>
          <w:b w:val="1"/>
          <w:bCs w:val="1"/>
          <w:color w:val="auto"/>
        </w:rPr>
        <w:t xml:space="preserve">BLACKSTONE LIFE SCIENCES ADVISOR L.L.C., </w:t>
      </w:r>
      <w:r>
        <w:rPr>
          <w:rFonts w:ascii="Times New Roman" w:cs="Times New Roman" w:eastAsia="Times New Roman" w:hAnsi="Times New Roman"/>
          <w:sz w:val="20"/>
          <w:szCs w:val="20"/>
          <w:color w:val="auto"/>
        </w:rPr>
        <w:t>as the Blackstone Representative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60"/>
        <w:spacing w:after="0"/>
        <w:rPr>
          <w:sz w:val="20"/>
          <w:szCs w:val="20"/>
          <w:color w:val="auto"/>
        </w:rPr>
      </w:pPr>
      <w:r>
        <w:rPr>
          <w:sz w:val="1"/>
          <w:szCs w:val="1"/>
          <w:color w:val="auto"/>
        </w:rPr>
        <w:drawing>
          <wp:inline distT="0" distB="0" distL="0" distR="0">
            <wp:extent cx="874395" cy="188595"/>
            <wp:effectExtent l="0" t="0" r="0" b="0"/>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9">
                      <a:extLst>
                        <a:ext uri="{28A0092B-C50C-407E-A947-70E740481C1C}"/>
                      </a:extLst>
                    </a:blip>
                    <a:srcRect/>
                    <a:stretch>
                      <a:fillRect/>
                    </a:stretch>
                  </pic:blipFill>
                  <pic:spPr bwMode="auto">
                    <a:xfrm>
                      <a:off x="0" y="0"/>
                      <a:ext cx="874395" cy="188595"/>
                    </a:xfrm>
                    <a:prstGeom prst="rect">
                      <a:avLst/>
                    </a:prstGeom>
                    <a:noFill/>
                    <a:ln>
                      <a:noFill/>
                    </a:ln>
                  </pic:spPr>
                </pic:pic>
              </a:graphicData>
            </a:graphic>
          </wp:inline>
        </w:drawing>
      </w:r>
      <w:r>
        <w:rPr>
          <w:rFonts w:ascii="Times New Roman" w:cs="Times New Roman" w:eastAsia="Times New Roman" w:hAnsi="Times New Roman"/>
          <w:sz w:val="20"/>
          <w:szCs w:val="20"/>
          <w:color w:val="auto"/>
        </w:rPr>
        <w:t>By:</w:t>
      </w:r>
    </w:p>
    <w:p>
      <w:pPr>
        <w:spacing w:after="0" w:line="110"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20"/>
          <w:szCs w:val="20"/>
          <w:color w:val="auto"/>
        </w:rPr>
        <w:t>Name: Robert Liptak</w:t>
      </w:r>
    </w:p>
    <w:p>
      <w:pPr>
        <w:spacing w:after="0" w:line="22"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20"/>
          <w:szCs w:val="20"/>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22"/>
          <w:szCs w:val="22"/>
          <w:color w:val="auto"/>
        </w:rPr>
        <w:t>[Signature Page to Loan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615315</wp:posOffset>
            </wp:positionV>
            <wp:extent cx="7157720" cy="4254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994" w:right="1440" w:bottom="1440" w:gutter="0" w:footer="0" w:header="0"/>
        </w:sectPr>
      </w:pPr>
    </w:p>
    <w:bookmarkStart w:id="370" w:name="page371"/>
    <w:bookmarkEnd w:id="370"/>
    <w:p>
      <w:pPr>
        <w:spacing w:after="0"/>
        <w:rPr>
          <w:sz w:val="20"/>
          <w:szCs w:val="20"/>
          <w:color w:val="auto"/>
        </w:rPr>
      </w:pPr>
      <w:r>
        <w:rPr>
          <w:rFonts w:ascii="Times New Roman" w:cs="Times New Roman" w:eastAsia="Times New Roman" w:hAnsi="Times New Roman"/>
          <w:sz w:val="20"/>
          <w:szCs w:val="20"/>
          <w:b w:val="1"/>
          <w:bCs w:val="1"/>
          <w:color w:val="auto"/>
        </w:rPr>
        <w:t>BLACKSTONE ALTERNATIVE CREDIT</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ADVISORS LP,</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as the Blackstone Representative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840"/>
        <w:spacing w:after="0"/>
        <w:rPr>
          <w:sz w:val="20"/>
          <w:szCs w:val="20"/>
          <w:color w:val="auto"/>
        </w:rPr>
      </w:pPr>
      <w:r>
        <w:rPr>
          <w:sz w:val="1"/>
          <w:szCs w:val="1"/>
          <w:color w:val="auto"/>
        </w:rPr>
        <w:drawing>
          <wp:inline distT="0" distB="0" distL="0" distR="0">
            <wp:extent cx="771525" cy="514350"/>
            <wp:effectExtent l="0" t="0" r="0" b="0"/>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1">
                      <a:extLst>
                        <a:ext uri="{28A0092B-C50C-407E-A947-70E740481C1C}"/>
                      </a:extLst>
                    </a:blip>
                    <a:srcRect/>
                    <a:stretch>
                      <a:fillRect/>
                    </a:stretch>
                  </pic:blipFill>
                  <pic:spPr bwMode="auto">
                    <a:xfrm>
                      <a:off x="0" y="0"/>
                      <a:ext cx="771525" cy="514350"/>
                    </a:xfrm>
                    <a:prstGeom prst="rect">
                      <a:avLst/>
                    </a:prstGeom>
                    <a:noFill/>
                    <a:ln>
                      <a:noFill/>
                    </a:ln>
                  </pic:spPr>
                </pic:pic>
              </a:graphicData>
            </a:graphic>
          </wp:inline>
        </w:drawing>
      </w:r>
      <w:r>
        <w:rPr>
          <w:rFonts w:ascii="Times New Roman" w:cs="Times New Roman" w:eastAsia="Times New Roman" w:hAnsi="Times New Roman"/>
          <w:sz w:val="20"/>
          <w:szCs w:val="20"/>
          <w:color w:val="auto"/>
        </w:rPr>
        <w:t>By:</w:t>
      </w:r>
    </w:p>
    <w:p>
      <w:pPr>
        <w:spacing w:after="0" w:line="5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color w:val="auto"/>
        </w:rPr>
        <w:t>Name: Marisa Beeney</w:t>
      </w:r>
    </w:p>
    <w:p>
      <w:pPr>
        <w:spacing w:after="0" w:line="2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right"/>
        <w:ind w:right="2919"/>
        <w:spacing w:after="0"/>
        <w:rPr>
          <w:sz w:val="20"/>
          <w:szCs w:val="20"/>
          <w:color w:val="auto"/>
        </w:rPr>
      </w:pPr>
      <w:r>
        <w:rPr>
          <w:rFonts w:ascii="Times New Roman" w:cs="Times New Roman" w:eastAsia="Times New Roman" w:hAnsi="Times New Roman"/>
          <w:sz w:val="22"/>
          <w:szCs w:val="22"/>
          <w:color w:val="auto"/>
        </w:rPr>
        <w:t>[Signature Page to Loan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615315</wp:posOffset>
            </wp:positionV>
            <wp:extent cx="7157720" cy="4254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22" w:right="1440" w:bottom="1440" w:gutter="0" w:footer="0" w:header="0"/>
        </w:sectPr>
      </w:pPr>
    </w:p>
    <w:bookmarkStart w:id="371" w:name="page372"/>
    <w:bookmarkEnd w:id="371"/>
    <w:p>
      <w:pPr>
        <w:spacing w:after="0"/>
        <w:rPr>
          <w:sz w:val="20"/>
          <w:szCs w:val="20"/>
          <w:color w:val="auto"/>
        </w:rPr>
      </w:pPr>
      <w:r>
        <w:rPr>
          <w:rFonts w:ascii="Arial" w:cs="Arial" w:eastAsia="Arial" w:hAnsi="Arial"/>
          <w:sz w:val="14"/>
          <w:szCs w:val="14"/>
          <w:color w:val="auto"/>
        </w:rPr>
        <w:t>Docusign Envelope ID: F4EA5401-6E47-460F-A064-B3C13417B0B2</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AXIS AGGREGATOR L.P.</w:t>
      </w:r>
      <w:r>
        <w:rPr>
          <w:rFonts w:ascii="Times New Roman" w:cs="Times New Roman" w:eastAsia="Times New Roman" w:hAnsi="Times New Roman"/>
          <w:sz w:val="20"/>
          <w:szCs w:val="20"/>
          <w:color w:val="auto"/>
        </w:rPr>
        <w:t>, as a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220"/>
        <w:spacing w:after="0"/>
        <w:rPr>
          <w:sz w:val="20"/>
          <w:szCs w:val="20"/>
          <w:color w:val="auto"/>
        </w:rPr>
      </w:pPr>
      <w:r>
        <w:rPr>
          <w:sz w:val="1"/>
          <w:szCs w:val="1"/>
          <w:color w:val="auto"/>
        </w:rPr>
        <w:drawing>
          <wp:inline distT="0" distB="0" distL="0" distR="0">
            <wp:extent cx="874395" cy="188595"/>
            <wp:effectExtent l="0" t="0" r="0" b="0"/>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3">
                      <a:extLst>
                        <a:ext uri="{28A0092B-C50C-407E-A947-70E740481C1C}"/>
                      </a:extLst>
                    </a:blip>
                    <a:srcRect/>
                    <a:stretch>
                      <a:fillRect/>
                    </a:stretch>
                  </pic:blipFill>
                  <pic:spPr bwMode="auto">
                    <a:xfrm>
                      <a:off x="0" y="0"/>
                      <a:ext cx="874395" cy="188595"/>
                    </a:xfrm>
                    <a:prstGeom prst="rect">
                      <a:avLst/>
                    </a:prstGeom>
                    <a:noFill/>
                    <a:ln>
                      <a:noFill/>
                    </a:ln>
                  </pic:spPr>
                </pic:pic>
              </a:graphicData>
            </a:graphic>
          </wp:inline>
        </w:drawing>
      </w:r>
      <w:r>
        <w:rPr>
          <w:rFonts w:ascii="Times New Roman" w:cs="Times New Roman" w:eastAsia="Times New Roman" w:hAnsi="Times New Roman"/>
          <w:sz w:val="20"/>
          <w:szCs w:val="20"/>
          <w:color w:val="auto"/>
        </w:rPr>
        <w:t>By: _</w:t>
      </w:r>
    </w:p>
    <w:p>
      <w:pPr>
        <w:spacing w:after="0" w:line="83"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Name: Robert Liptak</w:t>
      </w:r>
    </w:p>
    <w:p>
      <w:pPr>
        <w:spacing w:after="0" w:line="2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[Signature Page to Loan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615315</wp:posOffset>
            </wp:positionV>
            <wp:extent cx="7157720" cy="4254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4" w:right="339" w:bottom="1440" w:gutter="0" w:footer="0" w:header="0"/>
        </w:sectPr>
      </w:pPr>
    </w:p>
    <w:bookmarkStart w:id="372" w:name="page373"/>
    <w:bookmarkEnd w:id="372"/>
    <w:p>
      <w:pPr>
        <w:spacing w:after="0" w:line="1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b w:val="1"/>
          <w:bCs w:val="1"/>
          <w:color w:val="auto"/>
        </w:rPr>
        <w:t>BLACKSTONE PRIVATE CREDIT FUND</w:t>
      </w:r>
      <w:r>
        <w:rPr>
          <w:rFonts w:ascii="Times New Roman" w:cs="Times New Roman" w:eastAsia="Times New Roman" w:hAnsi="Times New Roman"/>
          <w:sz w:val="20"/>
          <w:szCs w:val="20"/>
          <w:color w:val="auto"/>
        </w:rPr>
        <w:t>, as a Lender</w:t>
      </w:r>
    </w:p>
    <w:p>
      <w:pPr>
        <w:spacing w:after="0" w:line="220" w:lineRule="exact"/>
        <w:rPr>
          <w:sz w:val="20"/>
          <w:szCs w:val="20"/>
          <w:color w:val="auto"/>
        </w:rPr>
      </w:pPr>
    </w:p>
    <w:p>
      <w:pPr>
        <w:ind w:left="620" w:right="3919" w:hanging="323"/>
        <w:spacing w:after="0" w:line="269" w:lineRule="auto"/>
        <w:rPr>
          <w:sz w:val="20"/>
          <w:szCs w:val="20"/>
          <w:color w:val="auto"/>
        </w:rPr>
      </w:pPr>
      <w:r>
        <w:rPr>
          <w:rFonts w:ascii="Times New Roman" w:cs="Times New Roman" w:eastAsia="Times New Roman" w:hAnsi="Times New Roman"/>
          <w:sz w:val="20"/>
          <w:szCs w:val="20"/>
          <w:color w:val="auto"/>
        </w:rPr>
        <w:t>By: Blackstone Private Credit Strategies LLC, as Investment Advisor</w:t>
      </w:r>
    </w:p>
    <w:p>
      <w:pPr>
        <w:spacing w:after="0" w:line="17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9"/>
          <w:szCs w:val="19"/>
          <w:color w:val="auto"/>
        </w:rPr>
        <w:t>By: Blackstone Credit BDC Advisors LLC, as Sub-Investment Advisor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1068070</wp:posOffset>
            </wp:positionH>
            <wp:positionV relativeFrom="paragraph">
              <wp:posOffset>-63500</wp:posOffset>
            </wp:positionV>
            <wp:extent cx="796925" cy="814070"/>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5">
                      <a:extLst>
                        <a:ext uri="{28A0092B-C50C-407E-A947-70E740481C1C}"/>
                      </a:extLst>
                    </a:blip>
                    <a:srcRect/>
                    <a:stretch>
                      <a:fillRect/>
                    </a:stretch>
                  </pic:blipFill>
                  <pic:spPr bwMode="auto">
                    <a:xfrm>
                      <a:off x="0" y="0"/>
                      <a:ext cx="796925" cy="814070"/>
                    </a:xfrm>
                    <a:prstGeom prst="rect">
                      <a:avLst/>
                    </a:prstGeom>
                    <a:noFill/>
                  </pic:spPr>
                </pic:pic>
              </a:graphicData>
            </a:graphic>
          </wp:anchor>
        </w:drawing>
      </w:r>
    </w:p>
    <w:p>
      <w:pPr>
        <w:spacing w:after="0" w:line="2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color w:val="auto"/>
        </w:rPr>
        <w:t>By:</w:t>
      </w:r>
    </w:p>
    <w:p>
      <w:pPr>
        <w:spacing w:after="0" w:line="2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color w:val="auto"/>
        </w:rPr>
        <w:t>Name: Marisa Beeney</w:t>
      </w:r>
    </w:p>
    <w:p>
      <w:pPr>
        <w:spacing w:after="0" w:line="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color w:val="auto"/>
        </w:rPr>
        <w:t>Title: Authorized Signatory</w:t>
      </w:r>
    </w:p>
    <w:p>
      <w:pPr>
        <w:spacing w:after="0" w:line="15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b w:val="1"/>
          <w:bCs w:val="1"/>
          <w:color w:val="auto"/>
        </w:rPr>
        <w:t>BLACKSTONE SECURED LENDING FUND</w:t>
      </w:r>
      <w:r>
        <w:rPr>
          <w:rFonts w:ascii="Times New Roman" w:cs="Times New Roman" w:eastAsia="Times New Roman" w:hAnsi="Times New Roman"/>
          <w:sz w:val="20"/>
          <w:szCs w:val="20"/>
          <w:color w:val="auto"/>
        </w:rPr>
        <w:t>, as a Lender</w:t>
      </w:r>
    </w:p>
    <w:p>
      <w:pPr>
        <w:spacing w:after="0" w:line="2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color w:val="auto"/>
        </w:rPr>
        <w:t>By: Blackstone Private Credit Strategies LLC, as</w:t>
      </w:r>
    </w:p>
    <w:p>
      <w:pPr>
        <w:spacing w:after="0" w:line="2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auto"/>
        </w:rPr>
        <w:t>Investment Advisor</w:t>
      </w:r>
    </w:p>
    <w:p>
      <w:pPr>
        <w:spacing w:after="0" w:line="19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0"/>
          <w:szCs w:val="20"/>
          <w:color w:val="auto"/>
        </w:rPr>
        <w:t>By: Blackstone Credit BDC Advisors LLC, as Sub-</w:t>
      </w:r>
    </w:p>
    <w:p>
      <w:pPr>
        <w:spacing w:after="0" w:line="2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0"/>
          <w:szCs w:val="20"/>
          <w:color w:val="auto"/>
        </w:rPr>
        <w:t>Investment Advisor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1068070</wp:posOffset>
            </wp:positionH>
            <wp:positionV relativeFrom="paragraph">
              <wp:posOffset>8890</wp:posOffset>
            </wp:positionV>
            <wp:extent cx="796925" cy="80581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6">
                      <a:extLst>
                        <a:ext uri="{28A0092B-C50C-407E-A947-70E740481C1C}"/>
                      </a:extLst>
                    </a:blip>
                    <a:srcRect/>
                    <a:stretch>
                      <a:fillRect/>
                    </a:stretch>
                  </pic:blipFill>
                  <pic:spPr bwMode="auto">
                    <a:xfrm>
                      <a:off x="0" y="0"/>
                      <a:ext cx="796925" cy="805815"/>
                    </a:xfrm>
                    <a:prstGeom prst="rect">
                      <a:avLst/>
                    </a:prstGeom>
                    <a:noFill/>
                  </pic:spPr>
                </pic:pic>
              </a:graphicData>
            </a:graphic>
          </wp:anchor>
        </w:drawing>
      </w:r>
    </w:p>
    <w:p>
      <w:pPr>
        <w:spacing w:after="0" w:line="241"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0"/>
          <w:szCs w:val="20"/>
          <w:color w:val="auto"/>
        </w:rPr>
        <w:t>By: _____</w:t>
      </w:r>
    </w:p>
    <w:p>
      <w:pPr>
        <w:spacing w:after="0" w:line="22"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0"/>
          <w:szCs w:val="20"/>
          <w:color w:val="auto"/>
        </w:rPr>
        <w:t>Name: Marisa Beeney</w:t>
      </w:r>
    </w:p>
    <w:p>
      <w:pPr>
        <w:spacing w:after="0" w:line="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0"/>
          <w:szCs w:val="20"/>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22"/>
          <w:szCs w:val="22"/>
          <w:color w:val="auto"/>
        </w:rPr>
        <w:t>[Signature Page to Loan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4396105</wp:posOffset>
            </wp:positionV>
            <wp:extent cx="7037705" cy="42545"/>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7">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373" w:name="page374"/>
    <w:bookmarkEnd w:id="373"/>
    <w:p>
      <w:pPr>
        <w:spacing w:after="0"/>
        <w:rPr>
          <w:sz w:val="20"/>
          <w:szCs w:val="20"/>
          <w:color w:val="auto"/>
        </w:rPr>
      </w:pPr>
      <w:r>
        <w:rPr>
          <w:rFonts w:ascii="Times New Roman" w:cs="Times New Roman" w:eastAsia="Times New Roman" w:hAnsi="Times New Roman"/>
          <w:sz w:val="20"/>
          <w:szCs w:val="20"/>
          <w:color w:val="auto"/>
        </w:rPr>
        <w:t>WILMINGTON TRUST, NATIONAL ASSOCIATION, As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1839595</wp:posOffset>
            </wp:positionH>
            <wp:positionV relativeFrom="paragraph">
              <wp:posOffset>211455</wp:posOffset>
            </wp:positionV>
            <wp:extent cx="994410" cy="462915"/>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8">
                      <a:extLst>
                        <a:ext uri="{28A0092B-C50C-407E-A947-70E740481C1C}"/>
                      </a:extLst>
                    </a:blip>
                    <a:srcRect/>
                    <a:stretch>
                      <a:fillRect/>
                    </a:stretch>
                  </pic:blipFill>
                  <pic:spPr bwMode="auto">
                    <a:xfrm>
                      <a:off x="0" y="0"/>
                      <a:ext cx="994410" cy="462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3348355</wp:posOffset>
            </wp:positionH>
            <wp:positionV relativeFrom="paragraph">
              <wp:posOffset>-113665</wp:posOffset>
            </wp:positionV>
            <wp:extent cx="1791335" cy="825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9">
                      <a:extLst>
                        <a:ext uri="{28A0092B-C50C-407E-A947-70E740481C1C}"/>
                      </a:extLst>
                    </a:blip>
                    <a:srcRect/>
                    <a:stretch>
                      <a:fillRect/>
                    </a:stretch>
                  </pic:blipFill>
                  <pic:spPr bwMode="auto">
                    <a:xfrm>
                      <a:off x="0" y="0"/>
                      <a:ext cx="1791335" cy="8255"/>
                    </a:xfrm>
                    <a:prstGeom prst="rect">
                      <a:avLst/>
                    </a:prstGeom>
                    <a:noFill/>
                  </pic:spPr>
                </pic:pic>
              </a:graphicData>
            </a:graphic>
          </wp:anchor>
        </w:drawing>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Name: Teisha Wright Title: Vice President</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right"/>
        <w:ind w:right="3199"/>
        <w:spacing w:after="0"/>
        <w:rPr>
          <w:sz w:val="20"/>
          <w:szCs w:val="20"/>
          <w:color w:val="auto"/>
        </w:rPr>
      </w:pPr>
      <w:r>
        <w:rPr>
          <w:rFonts w:ascii="Times New Roman" w:cs="Times New Roman" w:eastAsia="Times New Roman" w:hAnsi="Times New Roman"/>
          <w:sz w:val="18"/>
          <w:szCs w:val="18"/>
          <w:color w:val="auto"/>
        </w:rPr>
        <w:t>[Signature Page to Loan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372" w:right="1440" w:bottom="1440" w:gutter="0" w:footer="0" w:header="0"/>
        </w:sectPr>
      </w:pPr>
    </w:p>
    <w:bookmarkStart w:id="374" w:name="page375"/>
    <w:bookmarkEnd w:id="374"/>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Annex 1</w:t>
      </w:r>
    </w:p>
    <w:p>
      <w:pPr>
        <w:spacing w:after="0" w:line="200" w:lineRule="exact"/>
        <w:rPr>
          <w:sz w:val="20"/>
          <w:szCs w:val="20"/>
          <w:color w:val="auto"/>
        </w:rPr>
      </w:pPr>
    </w:p>
    <w:p>
      <w:pPr>
        <w:spacing w:after="0" w:line="226" w:lineRule="exact"/>
        <w:rPr>
          <w:sz w:val="20"/>
          <w:szCs w:val="20"/>
          <w:color w:val="auto"/>
        </w:rPr>
      </w:pPr>
    </w:p>
    <w:p>
      <w:pPr>
        <w:ind w:left="1260" w:hanging="1272"/>
        <w:spacing w:after="0" w:line="258" w:lineRule="auto"/>
        <w:rPr>
          <w:sz w:val="20"/>
          <w:szCs w:val="20"/>
          <w:color w:val="auto"/>
        </w:rPr>
      </w:pPr>
      <w:r>
        <w:rPr>
          <w:rFonts w:ascii="Times New Roman" w:cs="Times New Roman" w:eastAsia="Times New Roman" w:hAnsi="Times New Roman"/>
          <w:sz w:val="22"/>
          <w:szCs w:val="22"/>
          <w:color w:val="auto"/>
        </w:rPr>
        <w:t>[CERTAIN PORTIONS OF THIS ANNEX HAVE BEEN OMITTED OR REDACTED PURSUANT TO ITEM 601(B)(10)(IV) OF REGULATION 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2505710</wp:posOffset>
            </wp:positionV>
            <wp:extent cx="7157720" cy="4254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40" w:top="1418" w:right="399" w:bottom="1440" w:gutter="0" w:footer="0" w:header="0"/>
        </w:sectPr>
      </w:pPr>
    </w:p>
    <w:bookmarkStart w:id="375" w:name="page376"/>
    <w:bookmarkEnd w:id="375"/>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EXHIBIT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940" w:hanging="1272"/>
        <w:spacing w:after="0" w:line="258" w:lineRule="auto"/>
        <w:rPr>
          <w:sz w:val="20"/>
          <w:szCs w:val="20"/>
          <w:color w:val="auto"/>
        </w:rPr>
      </w:pPr>
      <w:r>
        <w:rPr>
          <w:rFonts w:ascii="Times New Roman" w:cs="Times New Roman" w:eastAsia="Times New Roman" w:hAnsi="Times New Roman"/>
          <w:sz w:val="22"/>
          <w:szCs w:val="22"/>
          <w:color w:val="auto"/>
        </w:rPr>
        <w:t>[CERTAIN PORTIONS OF THIS EXHIBIT HAVE BEEN OMITTED OR REDACTED PURSUANT TO ITEM 601(B)(10) (IV) OF REGULATION 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615315</wp:posOffset>
            </wp:positionV>
            <wp:extent cx="7157720" cy="4254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60"/>
          </w:cols>
          <w:pgMar w:left="660" w:top="1418" w:right="679" w:bottom="1440" w:gutter="0" w:footer="0" w:header="0"/>
        </w:sectPr>
      </w:pPr>
    </w:p>
    <w:bookmarkStart w:id="376" w:name="page377"/>
    <w:bookmarkEnd w:id="376"/>
    <w:p>
      <w:pPr>
        <w:jc w:val="center"/>
        <w:ind w:right="19"/>
        <w:spacing w:after="0"/>
        <w:rPr>
          <w:sz w:val="20"/>
          <w:szCs w:val="20"/>
          <w:color w:val="auto"/>
        </w:rPr>
      </w:pPr>
      <w:r>
        <w:rPr>
          <w:rFonts w:ascii="Times New Roman" w:cs="Times New Roman" w:eastAsia="Times New Roman" w:hAnsi="Times New Roman"/>
          <w:sz w:val="22"/>
          <w:szCs w:val="22"/>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630555</wp:posOffset>
            </wp:positionV>
            <wp:extent cx="7157720" cy="42545"/>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209" w:right="1440" w:bottom="1440" w:gutter="0" w:footer="0" w:header="0"/>
        </w:sectPr>
      </w:pPr>
    </w:p>
    <w:bookmarkStart w:id="377" w:name="page378"/>
    <w:bookmarkEnd w:id="377"/>
    <w:p>
      <w:pPr>
        <w:jc w:val="center"/>
        <w:ind w:right="19"/>
        <w:spacing w:after="0"/>
        <w:rPr>
          <w:sz w:val="20"/>
          <w:szCs w:val="20"/>
          <w:color w:val="auto"/>
        </w:rPr>
      </w:pPr>
      <w:r>
        <w:rPr>
          <w:rFonts w:ascii="Times New Roman" w:cs="Times New Roman" w:eastAsia="Times New Roman" w:hAnsi="Times New Roman"/>
          <w:sz w:val="22"/>
          <w:szCs w:val="22"/>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630555</wp:posOffset>
            </wp:positionV>
            <wp:extent cx="7157720" cy="42545"/>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209" w:right="1440" w:bottom="1440" w:gutter="0" w:footer="0" w:header="0"/>
        </w:sectPr>
      </w:pPr>
    </w:p>
    <w:bookmarkStart w:id="378" w:name="page379"/>
    <w:bookmarkEnd w:id="378"/>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EXHIBIT B-1</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000" w:hanging="1272"/>
        <w:spacing w:after="0" w:line="258" w:lineRule="auto"/>
        <w:rPr>
          <w:sz w:val="20"/>
          <w:szCs w:val="20"/>
          <w:color w:val="auto"/>
        </w:rPr>
      </w:pPr>
      <w:r>
        <w:rPr>
          <w:rFonts w:ascii="Times New Roman" w:cs="Times New Roman" w:eastAsia="Times New Roman" w:hAnsi="Times New Roman"/>
          <w:sz w:val="22"/>
          <w:szCs w:val="22"/>
          <w:color w:val="auto"/>
        </w:rPr>
        <w:t>[CERTAIN PORTIONS OF THIS EXHIBIT HAVE BEEN OMITTED OR REDACTED PURSUANT TO ITEM 601(B)(10) (IV) OF REGULATION 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B-1-1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615315</wp:posOffset>
            </wp:positionV>
            <wp:extent cx="7157720" cy="4254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20"/>
          </w:cols>
          <w:pgMar w:left="600" w:top="1417" w:right="679" w:bottom="1440" w:gutter="0" w:footer="0" w:header="0"/>
        </w:sectPr>
      </w:pPr>
    </w:p>
    <w:bookmarkStart w:id="379" w:name="page380"/>
    <w:bookmarkEnd w:id="379"/>
    <w:p>
      <w:pPr>
        <w:jc w:val="center"/>
        <w:ind w:right="19"/>
        <w:spacing w:after="0"/>
        <w:rPr>
          <w:sz w:val="20"/>
          <w:szCs w:val="20"/>
          <w:color w:val="auto"/>
        </w:rPr>
      </w:pPr>
      <w:r>
        <w:rPr>
          <w:rFonts w:ascii="Times New Roman" w:cs="Times New Roman" w:eastAsia="Times New Roman" w:hAnsi="Times New Roman"/>
          <w:sz w:val="22"/>
          <w:szCs w:val="22"/>
          <w:color w:val="auto"/>
        </w:rPr>
        <w:t>B-1-2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630555</wp:posOffset>
            </wp:positionV>
            <wp:extent cx="7157720" cy="4254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209" w:right="1440" w:bottom="1440" w:gutter="0" w:footer="0" w:header="0"/>
        </w:sectPr>
      </w:pPr>
    </w:p>
    <w:bookmarkStart w:id="380" w:name="page381"/>
    <w:bookmarkEnd w:id="380"/>
    <w:p>
      <w:pPr>
        <w:jc w:val="center"/>
        <w:ind w:right="19"/>
        <w:spacing w:after="0"/>
        <w:rPr>
          <w:sz w:val="20"/>
          <w:szCs w:val="20"/>
          <w:color w:val="auto"/>
        </w:rPr>
      </w:pPr>
      <w:r>
        <w:rPr>
          <w:rFonts w:ascii="Times New Roman" w:cs="Times New Roman" w:eastAsia="Times New Roman" w:hAnsi="Times New Roman"/>
          <w:sz w:val="22"/>
          <w:szCs w:val="22"/>
          <w:color w:val="auto"/>
        </w:rPr>
        <w:t>B-1-3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630555</wp:posOffset>
            </wp:positionV>
            <wp:extent cx="7157720" cy="42545"/>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209" w:right="1440" w:bottom="1440" w:gutter="0" w:footer="0" w:header="0"/>
        </w:sectPr>
      </w:pPr>
    </w:p>
    <w:bookmarkStart w:id="381" w:name="page382"/>
    <w:bookmarkEnd w:id="381"/>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EXHIBIT B-2</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940" w:hanging="1272"/>
        <w:spacing w:after="0" w:line="258" w:lineRule="auto"/>
        <w:rPr>
          <w:sz w:val="20"/>
          <w:szCs w:val="20"/>
          <w:color w:val="auto"/>
        </w:rPr>
      </w:pPr>
      <w:r>
        <w:rPr>
          <w:rFonts w:ascii="Times New Roman" w:cs="Times New Roman" w:eastAsia="Times New Roman" w:hAnsi="Times New Roman"/>
          <w:sz w:val="22"/>
          <w:szCs w:val="22"/>
          <w:color w:val="auto"/>
        </w:rPr>
        <w:t>[CERTAIN PORTIONS OF THIS EXHIBIT HAVE BEEN OMITTED OR REDACTED PURSUANT TO ITEM 601(B)(10) (IV) OF REGULATION 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B-2-1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615315</wp:posOffset>
            </wp:positionV>
            <wp:extent cx="7157720" cy="42545"/>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60"/>
          </w:cols>
          <w:pgMar w:left="660" w:top="1417" w:right="679" w:bottom="1440" w:gutter="0" w:footer="0" w:header="0"/>
        </w:sectPr>
      </w:pPr>
    </w:p>
    <w:bookmarkStart w:id="382" w:name="page383"/>
    <w:bookmarkEnd w:id="382"/>
    <w:p>
      <w:pPr>
        <w:jc w:val="center"/>
        <w:ind w:right="19"/>
        <w:spacing w:after="0"/>
        <w:rPr>
          <w:sz w:val="20"/>
          <w:szCs w:val="20"/>
          <w:color w:val="auto"/>
        </w:rPr>
      </w:pPr>
      <w:r>
        <w:rPr>
          <w:rFonts w:ascii="Times New Roman" w:cs="Times New Roman" w:eastAsia="Times New Roman" w:hAnsi="Times New Roman"/>
          <w:sz w:val="22"/>
          <w:szCs w:val="22"/>
          <w:color w:val="auto"/>
        </w:rPr>
        <w:t>B-2-2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630555</wp:posOffset>
            </wp:positionV>
            <wp:extent cx="7157720" cy="42545"/>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209" w:right="1440" w:bottom="1440" w:gutter="0" w:footer="0" w:header="0"/>
        </w:sectPr>
      </w:pPr>
    </w:p>
    <w:bookmarkStart w:id="383" w:name="page384"/>
    <w:bookmarkEnd w:id="383"/>
    <w:p>
      <w:pPr>
        <w:jc w:val="center"/>
        <w:ind w:right="19"/>
        <w:spacing w:after="0"/>
        <w:rPr>
          <w:sz w:val="20"/>
          <w:szCs w:val="20"/>
          <w:color w:val="auto"/>
        </w:rPr>
      </w:pPr>
      <w:r>
        <w:rPr>
          <w:rFonts w:ascii="Times New Roman" w:cs="Times New Roman" w:eastAsia="Times New Roman" w:hAnsi="Times New Roman"/>
          <w:sz w:val="22"/>
          <w:szCs w:val="22"/>
          <w:color w:val="auto"/>
        </w:rPr>
        <w:t>B-2-3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630555</wp:posOffset>
            </wp:positionV>
            <wp:extent cx="7157720" cy="42545"/>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209" w:right="1440" w:bottom="1440" w:gutter="0" w:footer="0" w:header="0"/>
        </w:sectPr>
      </w:pPr>
    </w:p>
    <w:bookmarkStart w:id="384" w:name="page385"/>
    <w:bookmarkEnd w:id="384"/>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EXHIBIT 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940" w:hanging="1272"/>
        <w:spacing w:after="0" w:line="258" w:lineRule="auto"/>
        <w:rPr>
          <w:sz w:val="20"/>
          <w:szCs w:val="20"/>
          <w:color w:val="auto"/>
        </w:rPr>
      </w:pPr>
      <w:r>
        <w:rPr>
          <w:rFonts w:ascii="Times New Roman" w:cs="Times New Roman" w:eastAsia="Times New Roman" w:hAnsi="Times New Roman"/>
          <w:sz w:val="22"/>
          <w:szCs w:val="22"/>
          <w:color w:val="auto"/>
        </w:rPr>
        <w:t>[CERTAIN PORTIONS OF THIS EXHIBIT HAVE BEEN OMITTED OR REDACTED PURSUANT TO ITEM 601(B)(10) (IV) OF REGULATION 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615315</wp:posOffset>
            </wp:positionV>
            <wp:extent cx="7157720" cy="42545"/>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60"/>
          </w:cols>
          <w:pgMar w:left="660" w:top="1417" w:right="679" w:bottom="1440" w:gutter="0" w:footer="0" w:header="0"/>
        </w:sectPr>
      </w:pPr>
    </w:p>
    <w:bookmarkStart w:id="385" w:name="page386"/>
    <w:bookmarkEnd w:id="385"/>
    <w:p>
      <w:pPr>
        <w:jc w:val="center"/>
        <w:spacing w:after="0"/>
        <w:rPr>
          <w:sz w:val="20"/>
          <w:szCs w:val="20"/>
          <w:color w:val="auto"/>
        </w:rPr>
      </w:pPr>
      <w:r>
        <w:rPr>
          <w:rFonts w:ascii="Times New Roman" w:cs="Times New Roman" w:eastAsia="Times New Roman" w:hAnsi="Times New Roman"/>
          <w:sz w:val="22"/>
          <w:szCs w:val="22"/>
          <w:color w:val="auto"/>
        </w:rPr>
        <w:t>C-2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630555</wp:posOffset>
            </wp:positionV>
            <wp:extent cx="7157720" cy="42545"/>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209" w:right="1440" w:bottom="1440" w:gutter="0" w:footer="0" w:header="0"/>
        </w:sectPr>
      </w:pPr>
    </w:p>
    <w:bookmarkStart w:id="386" w:name="page387"/>
    <w:bookmarkEnd w:id="386"/>
    <w:p>
      <w:pPr>
        <w:jc w:val="center"/>
        <w:spacing w:after="0"/>
        <w:rPr>
          <w:sz w:val="20"/>
          <w:szCs w:val="20"/>
          <w:color w:val="auto"/>
        </w:rPr>
      </w:pPr>
      <w:r>
        <w:rPr>
          <w:rFonts w:ascii="Times New Roman" w:cs="Times New Roman" w:eastAsia="Times New Roman" w:hAnsi="Times New Roman"/>
          <w:sz w:val="22"/>
          <w:szCs w:val="22"/>
          <w:color w:val="auto"/>
        </w:rPr>
        <w:t>C-3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630555</wp:posOffset>
            </wp:positionV>
            <wp:extent cx="7157720" cy="42545"/>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209" w:right="1440" w:bottom="1440" w:gutter="0" w:footer="0" w:header="0"/>
        </w:sectPr>
      </w:pPr>
    </w:p>
    <w:bookmarkStart w:id="387" w:name="page388"/>
    <w:bookmarkEnd w:id="387"/>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EXHIBIT 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940" w:hanging="1272"/>
        <w:spacing w:after="0" w:line="258" w:lineRule="auto"/>
        <w:rPr>
          <w:sz w:val="20"/>
          <w:szCs w:val="20"/>
          <w:color w:val="auto"/>
        </w:rPr>
      </w:pPr>
      <w:r>
        <w:rPr>
          <w:rFonts w:ascii="Times New Roman" w:cs="Times New Roman" w:eastAsia="Times New Roman" w:hAnsi="Times New Roman"/>
          <w:sz w:val="22"/>
          <w:szCs w:val="22"/>
          <w:color w:val="auto"/>
        </w:rPr>
        <w:t>[CERTAIN PORTIONS OF THIS EXHIBIT HAVE BEEN OMITTED OR REDACTED PURSUANT TO ITEM 601(B)(10) (IV) OF REGULATION 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D-1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615315</wp:posOffset>
            </wp:positionV>
            <wp:extent cx="7157720" cy="42545"/>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60"/>
          </w:cols>
          <w:pgMar w:left="660" w:top="1417" w:right="679" w:bottom="1440" w:gutter="0" w:footer="0" w:header="0"/>
        </w:sectPr>
      </w:pPr>
    </w:p>
    <w:bookmarkStart w:id="388" w:name="page389"/>
    <w:bookmarkEnd w:id="388"/>
    <w:p>
      <w:pPr>
        <w:jc w:val="center"/>
        <w:ind w:right="19"/>
        <w:spacing w:after="0"/>
        <w:rPr>
          <w:sz w:val="20"/>
          <w:szCs w:val="20"/>
          <w:color w:val="auto"/>
        </w:rPr>
      </w:pPr>
      <w:r>
        <w:rPr>
          <w:rFonts w:ascii="Times New Roman" w:cs="Times New Roman" w:eastAsia="Times New Roman" w:hAnsi="Times New Roman"/>
          <w:sz w:val="22"/>
          <w:szCs w:val="22"/>
          <w:color w:val="auto"/>
        </w:rPr>
        <w:t>D-2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630555</wp:posOffset>
            </wp:positionV>
            <wp:extent cx="7157720" cy="42545"/>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209" w:right="1440" w:bottom="1440" w:gutter="0" w:footer="0" w:header="0"/>
        </w:sectPr>
      </w:pPr>
    </w:p>
    <w:bookmarkStart w:id="389" w:name="page390"/>
    <w:bookmarkEnd w:id="389"/>
    <w:p>
      <w:pPr>
        <w:jc w:val="center"/>
        <w:ind w:right="19"/>
        <w:spacing w:after="0"/>
        <w:rPr>
          <w:sz w:val="20"/>
          <w:szCs w:val="20"/>
          <w:color w:val="auto"/>
        </w:rPr>
      </w:pPr>
      <w:r>
        <w:rPr>
          <w:rFonts w:ascii="Times New Roman" w:cs="Times New Roman" w:eastAsia="Times New Roman" w:hAnsi="Times New Roman"/>
          <w:sz w:val="22"/>
          <w:szCs w:val="22"/>
          <w:color w:val="auto"/>
        </w:rPr>
        <w:t>D-3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630555</wp:posOffset>
            </wp:positionV>
            <wp:extent cx="7157720" cy="42545"/>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209" w:right="1440" w:bottom="1440" w:gutter="0" w:footer="0" w:header="0"/>
        </w:sectPr>
      </w:pPr>
    </w:p>
    <w:bookmarkStart w:id="390" w:name="page391"/>
    <w:bookmarkEnd w:id="390"/>
    <w:p>
      <w:pPr>
        <w:jc w:val="center"/>
        <w:ind w:right="19"/>
        <w:spacing w:after="0"/>
        <w:rPr>
          <w:sz w:val="20"/>
          <w:szCs w:val="20"/>
          <w:color w:val="auto"/>
        </w:rPr>
      </w:pPr>
      <w:r>
        <w:rPr>
          <w:rFonts w:ascii="Times New Roman" w:cs="Times New Roman" w:eastAsia="Times New Roman" w:hAnsi="Times New Roman"/>
          <w:sz w:val="22"/>
          <w:szCs w:val="22"/>
          <w:color w:val="auto"/>
        </w:rPr>
        <w:t>D-4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630555</wp:posOffset>
            </wp:positionV>
            <wp:extent cx="7157720" cy="42545"/>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209" w:right="1440" w:bottom="1440" w:gutter="0" w:footer="0" w:header="0"/>
        </w:sectPr>
      </w:pPr>
    </w:p>
    <w:bookmarkStart w:id="391" w:name="page392"/>
    <w:bookmarkEnd w:id="391"/>
    <w:p>
      <w:pPr>
        <w:jc w:val="center"/>
        <w:ind w:right="19"/>
        <w:spacing w:after="0"/>
        <w:rPr>
          <w:sz w:val="20"/>
          <w:szCs w:val="20"/>
          <w:color w:val="auto"/>
        </w:rPr>
      </w:pPr>
      <w:r>
        <w:rPr>
          <w:rFonts w:ascii="Times New Roman" w:cs="Times New Roman" w:eastAsia="Times New Roman" w:hAnsi="Times New Roman"/>
          <w:sz w:val="22"/>
          <w:szCs w:val="22"/>
          <w:color w:val="auto"/>
        </w:rPr>
        <w:t>D-5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630555</wp:posOffset>
            </wp:positionV>
            <wp:extent cx="7157720" cy="42545"/>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209" w:right="1440" w:bottom="1440" w:gutter="0" w:footer="0" w:header="0"/>
        </w:sectPr>
      </w:pPr>
    </w:p>
    <w:bookmarkStart w:id="392" w:name="page393"/>
    <w:bookmarkEnd w:id="392"/>
    <w:p>
      <w:pPr>
        <w:jc w:val="center"/>
        <w:ind w:right="19"/>
        <w:spacing w:after="0"/>
        <w:rPr>
          <w:sz w:val="20"/>
          <w:szCs w:val="20"/>
          <w:color w:val="auto"/>
        </w:rPr>
      </w:pPr>
      <w:r>
        <w:rPr>
          <w:rFonts w:ascii="Times New Roman" w:cs="Times New Roman" w:eastAsia="Times New Roman" w:hAnsi="Times New Roman"/>
          <w:sz w:val="22"/>
          <w:szCs w:val="22"/>
          <w:color w:val="auto"/>
        </w:rPr>
        <w:t>D-6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630555</wp:posOffset>
            </wp:positionV>
            <wp:extent cx="7157720" cy="42545"/>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209" w:right="1440" w:bottom="1440" w:gutter="0" w:footer="0" w:header="0"/>
        </w:sectPr>
      </w:pPr>
    </w:p>
    <w:bookmarkStart w:id="393" w:name="page394"/>
    <w:bookmarkEnd w:id="393"/>
    <w:p>
      <w:pPr>
        <w:jc w:val="center"/>
        <w:ind w:right="19"/>
        <w:spacing w:after="0"/>
        <w:rPr>
          <w:sz w:val="20"/>
          <w:szCs w:val="20"/>
          <w:color w:val="auto"/>
        </w:rPr>
      </w:pPr>
      <w:r>
        <w:rPr>
          <w:rFonts w:ascii="Times New Roman" w:cs="Times New Roman" w:eastAsia="Times New Roman" w:hAnsi="Times New Roman"/>
          <w:sz w:val="22"/>
          <w:szCs w:val="22"/>
          <w:color w:val="auto"/>
        </w:rPr>
        <w:t>D-7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630555</wp:posOffset>
            </wp:positionV>
            <wp:extent cx="7157720" cy="42545"/>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209" w:right="1440" w:bottom="1440" w:gutter="0" w:footer="0" w:header="0"/>
        </w:sectPr>
      </w:pPr>
    </w:p>
    <w:bookmarkStart w:id="394" w:name="page395"/>
    <w:bookmarkEnd w:id="394"/>
    <w:p>
      <w:pPr>
        <w:jc w:val="center"/>
        <w:ind w:right="19"/>
        <w:spacing w:after="0"/>
        <w:rPr>
          <w:sz w:val="20"/>
          <w:szCs w:val="20"/>
          <w:color w:val="auto"/>
        </w:rPr>
      </w:pPr>
      <w:r>
        <w:rPr>
          <w:rFonts w:ascii="Times New Roman" w:cs="Times New Roman" w:eastAsia="Times New Roman" w:hAnsi="Times New Roman"/>
          <w:sz w:val="22"/>
          <w:szCs w:val="22"/>
          <w:color w:val="auto"/>
        </w:rPr>
        <w:t>D-8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630555</wp:posOffset>
            </wp:positionV>
            <wp:extent cx="7157720" cy="42545"/>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209" w:right="1440" w:bottom="1440" w:gutter="0" w:footer="0" w:header="0"/>
        </w:sectPr>
      </w:pPr>
    </w:p>
    <w:bookmarkStart w:id="395" w:name="page396"/>
    <w:bookmarkEnd w:id="395"/>
    <w:p>
      <w:pPr>
        <w:jc w:val="center"/>
        <w:ind w:right="19"/>
        <w:spacing w:after="0"/>
        <w:rPr>
          <w:sz w:val="20"/>
          <w:szCs w:val="20"/>
          <w:color w:val="auto"/>
        </w:rPr>
      </w:pPr>
      <w:r>
        <w:rPr>
          <w:rFonts w:ascii="Times New Roman" w:cs="Times New Roman" w:eastAsia="Times New Roman" w:hAnsi="Times New Roman"/>
          <w:sz w:val="22"/>
          <w:szCs w:val="22"/>
          <w:color w:val="auto"/>
        </w:rPr>
        <w:t>D-9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630555</wp:posOffset>
            </wp:positionV>
            <wp:extent cx="7157720" cy="42545"/>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209" w:right="1440" w:bottom="1440" w:gutter="0" w:footer="0" w:header="0"/>
        </w:sectPr>
      </w:pPr>
    </w:p>
    <w:bookmarkStart w:id="396" w:name="page397"/>
    <w:bookmarkEnd w:id="396"/>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EXHIBIT 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940" w:hanging="1272"/>
        <w:spacing w:after="0" w:line="258" w:lineRule="auto"/>
        <w:rPr>
          <w:sz w:val="20"/>
          <w:szCs w:val="20"/>
          <w:color w:val="auto"/>
        </w:rPr>
      </w:pPr>
      <w:r>
        <w:rPr>
          <w:rFonts w:ascii="Times New Roman" w:cs="Times New Roman" w:eastAsia="Times New Roman" w:hAnsi="Times New Roman"/>
          <w:sz w:val="22"/>
          <w:szCs w:val="22"/>
          <w:color w:val="auto"/>
        </w:rPr>
        <w:t>[CERTAIN PORTIONS OF THIS EXHIBIT HAVE BEEN OMITTED OR REDACTED PURSUANT TO ITEM 601(B)(10) (IV) OF REGULATION 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E-1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615315</wp:posOffset>
            </wp:positionV>
            <wp:extent cx="7157720" cy="42545"/>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60"/>
          </w:cols>
          <w:pgMar w:left="660" w:top="1417" w:right="679" w:bottom="1440" w:gutter="0" w:footer="0" w:header="0"/>
        </w:sectPr>
      </w:pPr>
    </w:p>
    <w:bookmarkStart w:id="397" w:name="page398"/>
    <w:bookmarkEnd w:id="397"/>
    <w:p>
      <w:pPr>
        <w:jc w:val="center"/>
        <w:ind w:right="19"/>
        <w:spacing w:after="0"/>
        <w:rPr>
          <w:sz w:val="20"/>
          <w:szCs w:val="20"/>
          <w:color w:val="auto"/>
        </w:rPr>
      </w:pPr>
      <w:r>
        <w:rPr>
          <w:rFonts w:ascii="Times New Roman" w:cs="Times New Roman" w:eastAsia="Times New Roman" w:hAnsi="Times New Roman"/>
          <w:sz w:val="22"/>
          <w:szCs w:val="22"/>
          <w:color w:val="auto"/>
        </w:rPr>
        <w:t>E-2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630555</wp:posOffset>
            </wp:positionV>
            <wp:extent cx="7157720" cy="42545"/>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209" w:right="1440" w:bottom="1440" w:gutter="0" w:footer="0" w:header="0"/>
        </w:sectPr>
      </w:pPr>
    </w:p>
    <w:bookmarkStart w:id="398" w:name="page399"/>
    <w:bookmarkEnd w:id="398"/>
    <w:p>
      <w:pPr>
        <w:jc w:val="center"/>
        <w:ind w:right="19"/>
        <w:spacing w:after="0"/>
        <w:rPr>
          <w:sz w:val="20"/>
          <w:szCs w:val="20"/>
          <w:color w:val="auto"/>
        </w:rPr>
      </w:pPr>
      <w:r>
        <w:rPr>
          <w:rFonts w:ascii="Times New Roman" w:cs="Times New Roman" w:eastAsia="Times New Roman" w:hAnsi="Times New Roman"/>
          <w:sz w:val="22"/>
          <w:szCs w:val="22"/>
          <w:color w:val="auto"/>
        </w:rPr>
        <w:t>E-3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630555</wp:posOffset>
            </wp:positionV>
            <wp:extent cx="7157720" cy="42545"/>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209" w:right="1440" w:bottom="1440" w:gutter="0" w:footer="0" w:header="0"/>
        </w:sectPr>
      </w:pPr>
    </w:p>
    <w:bookmarkStart w:id="399" w:name="page400"/>
    <w:bookmarkEnd w:id="399"/>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EXHIBIT 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940" w:hanging="1272"/>
        <w:spacing w:after="0" w:line="258" w:lineRule="auto"/>
        <w:rPr>
          <w:sz w:val="20"/>
          <w:szCs w:val="20"/>
          <w:color w:val="auto"/>
        </w:rPr>
      </w:pPr>
      <w:r>
        <w:rPr>
          <w:rFonts w:ascii="Times New Roman" w:cs="Times New Roman" w:eastAsia="Times New Roman" w:hAnsi="Times New Roman"/>
          <w:sz w:val="22"/>
          <w:szCs w:val="22"/>
          <w:color w:val="auto"/>
        </w:rPr>
        <w:t>[CERTAIN PORTIONS OF THIS EXHIBIT HAVE BEEN OMITTED OR REDACTED PURSUANT TO ITEM 601(B)(10) (IV) OF REGULATION 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615315</wp:posOffset>
            </wp:positionV>
            <wp:extent cx="7157720" cy="42545"/>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60"/>
          </w:cols>
          <w:pgMar w:left="660" w:top="1417" w:right="679" w:bottom="1440" w:gutter="0" w:footer="0" w:header="0"/>
        </w:sectPr>
      </w:pPr>
    </w:p>
    <w:bookmarkStart w:id="400" w:name="page401"/>
    <w:bookmarkEnd w:id="400"/>
    <w:p>
      <w:pPr>
        <w:jc w:val="center"/>
        <w:ind w:right="19"/>
        <w:spacing w:after="0"/>
        <w:rPr>
          <w:sz w:val="20"/>
          <w:szCs w:val="20"/>
          <w:color w:val="auto"/>
        </w:rPr>
      </w:pPr>
      <w:r>
        <w:rPr>
          <w:rFonts w:ascii="Times New Roman" w:cs="Times New Roman" w:eastAsia="Times New Roman" w:hAnsi="Times New Roman"/>
          <w:sz w:val="22"/>
          <w:szCs w:val="22"/>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630555</wp:posOffset>
            </wp:positionV>
            <wp:extent cx="7157720" cy="42545"/>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209" w:right="1440" w:bottom="1440" w:gutter="0" w:footer="0" w:header="0"/>
        </w:sectPr>
      </w:pPr>
    </w:p>
    <w:bookmarkStart w:id="401" w:name="page402"/>
    <w:bookmarkEnd w:id="401"/>
    <w:p>
      <w:pPr>
        <w:jc w:val="center"/>
        <w:ind w:right="19"/>
        <w:spacing w:after="0"/>
        <w:rPr>
          <w:sz w:val="20"/>
          <w:szCs w:val="20"/>
          <w:color w:val="auto"/>
        </w:rPr>
      </w:pPr>
      <w:r>
        <w:rPr>
          <w:rFonts w:ascii="Times New Roman" w:cs="Times New Roman" w:eastAsia="Times New Roman" w:hAnsi="Times New Roman"/>
          <w:sz w:val="22"/>
          <w:szCs w:val="22"/>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630555</wp:posOffset>
            </wp:positionV>
            <wp:extent cx="7157720" cy="42545"/>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209" w:right="1440" w:bottom="1440" w:gutter="0" w:footer="0" w:header="0"/>
        </w:sectPr>
      </w:pPr>
    </w:p>
    <w:bookmarkStart w:id="402" w:name="page403"/>
    <w:bookmarkEnd w:id="402"/>
    <w:p>
      <w:pPr>
        <w:jc w:val="center"/>
        <w:ind w:right="19"/>
        <w:spacing w:after="0"/>
        <w:rPr>
          <w:sz w:val="20"/>
          <w:szCs w:val="20"/>
          <w:color w:val="auto"/>
        </w:rPr>
      </w:pPr>
      <w:r>
        <w:rPr>
          <w:rFonts w:ascii="Times New Roman" w:cs="Times New Roman" w:eastAsia="Times New Roman" w:hAnsi="Times New Roman"/>
          <w:sz w:val="22"/>
          <w:szCs w:val="22"/>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630555</wp:posOffset>
            </wp:positionV>
            <wp:extent cx="7157720" cy="42545"/>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209" w:right="1440" w:bottom="1440" w:gutter="0" w:footer="0" w:header="0"/>
        </w:sectPr>
      </w:pPr>
    </w:p>
    <w:bookmarkStart w:id="403" w:name="page404"/>
    <w:bookmarkEnd w:id="403"/>
    <w:p>
      <w:pPr>
        <w:jc w:val="center"/>
        <w:ind w:right="19"/>
        <w:spacing w:after="0"/>
        <w:rPr>
          <w:sz w:val="20"/>
          <w:szCs w:val="20"/>
          <w:color w:val="auto"/>
        </w:rPr>
      </w:pPr>
      <w:r>
        <w:rPr>
          <w:rFonts w:ascii="Times New Roman" w:cs="Times New Roman" w:eastAsia="Times New Roman" w:hAnsi="Times New Roman"/>
          <w:sz w:val="22"/>
          <w:szCs w:val="22"/>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630555</wp:posOffset>
            </wp:positionV>
            <wp:extent cx="7157720" cy="42545"/>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209" w:right="1440" w:bottom="1440" w:gutter="0" w:footer="0" w:header="0"/>
        </w:sectPr>
      </w:pPr>
    </w:p>
    <w:bookmarkStart w:id="404" w:name="page405"/>
    <w:bookmarkEnd w:id="404"/>
    <w:p>
      <w:pPr>
        <w:jc w:val="center"/>
        <w:ind w:right="19"/>
        <w:spacing w:after="0"/>
        <w:rPr>
          <w:sz w:val="20"/>
          <w:szCs w:val="20"/>
          <w:color w:val="auto"/>
        </w:rPr>
      </w:pPr>
      <w:r>
        <w:rPr>
          <w:rFonts w:ascii="Times New Roman" w:cs="Times New Roman" w:eastAsia="Times New Roman" w:hAnsi="Times New Roman"/>
          <w:sz w:val="22"/>
          <w:szCs w:val="22"/>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630555</wp:posOffset>
            </wp:positionV>
            <wp:extent cx="7157720" cy="42545"/>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209" w:right="1440" w:bottom="1440" w:gutter="0" w:footer="0" w:header="0"/>
        </w:sectPr>
      </w:pPr>
    </w:p>
    <w:bookmarkStart w:id="405" w:name="page406"/>
    <w:bookmarkEnd w:id="405"/>
    <w:p>
      <w:pPr>
        <w:jc w:val="center"/>
        <w:ind w:right="19"/>
        <w:spacing w:after="0"/>
        <w:rPr>
          <w:sz w:val="20"/>
          <w:szCs w:val="20"/>
          <w:color w:val="auto"/>
        </w:rPr>
      </w:pPr>
      <w:r>
        <w:rPr>
          <w:rFonts w:ascii="Times New Roman" w:cs="Times New Roman" w:eastAsia="Times New Roman" w:hAnsi="Times New Roman"/>
          <w:sz w:val="22"/>
          <w:szCs w:val="22"/>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630555</wp:posOffset>
            </wp:positionV>
            <wp:extent cx="7157720" cy="42545"/>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209" w:right="1440" w:bottom="1440" w:gutter="0" w:footer="0" w:header="0"/>
        </w:sectPr>
      </w:pPr>
    </w:p>
    <w:bookmarkStart w:id="406" w:name="page407"/>
    <w:bookmarkEnd w:id="406"/>
    <w:p>
      <w:pPr>
        <w:jc w:val="center"/>
        <w:ind w:right="19"/>
        <w:spacing w:after="0"/>
        <w:rPr>
          <w:sz w:val="20"/>
          <w:szCs w:val="20"/>
          <w:color w:val="auto"/>
        </w:rPr>
      </w:pPr>
      <w:r>
        <w:rPr>
          <w:rFonts w:ascii="Times New Roman" w:cs="Times New Roman" w:eastAsia="Times New Roman" w:hAnsi="Times New Roman"/>
          <w:sz w:val="22"/>
          <w:szCs w:val="22"/>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630555</wp:posOffset>
            </wp:positionV>
            <wp:extent cx="7157720" cy="42545"/>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209" w:right="1440" w:bottom="1440" w:gutter="0" w:footer="0" w:header="0"/>
        </w:sectPr>
      </w:pPr>
    </w:p>
    <w:bookmarkStart w:id="407" w:name="page408"/>
    <w:bookmarkEnd w:id="407"/>
    <w:p>
      <w:pPr>
        <w:jc w:val="center"/>
        <w:ind w:right="19"/>
        <w:spacing w:after="0"/>
        <w:rPr>
          <w:sz w:val="20"/>
          <w:szCs w:val="20"/>
          <w:color w:val="auto"/>
        </w:rPr>
      </w:pPr>
      <w:r>
        <w:rPr>
          <w:rFonts w:ascii="Times New Roman" w:cs="Times New Roman" w:eastAsia="Times New Roman" w:hAnsi="Times New Roman"/>
          <w:sz w:val="22"/>
          <w:szCs w:val="22"/>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630555</wp:posOffset>
            </wp:positionV>
            <wp:extent cx="7157720" cy="42545"/>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209" w:right="1440" w:bottom="1440" w:gutter="0" w:footer="0" w:header="0"/>
        </w:sectPr>
      </w:pPr>
    </w:p>
    <w:bookmarkStart w:id="408" w:name="page409"/>
    <w:bookmarkEnd w:id="408"/>
    <w:p>
      <w:pPr>
        <w:jc w:val="center"/>
        <w:spacing w:after="0"/>
        <w:rPr>
          <w:sz w:val="20"/>
          <w:szCs w:val="20"/>
          <w:color w:val="auto"/>
        </w:rPr>
      </w:pPr>
      <w:r>
        <w:rPr>
          <w:rFonts w:ascii="Times New Roman" w:cs="Times New Roman" w:eastAsia="Times New Roman" w:hAnsi="Times New Roman"/>
          <w:sz w:val="22"/>
          <w:szCs w:val="22"/>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630555</wp:posOffset>
            </wp:positionV>
            <wp:extent cx="7157720" cy="42545"/>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209" w:right="1440" w:bottom="1440" w:gutter="0" w:footer="0" w:header="0"/>
        </w:sectPr>
      </w:pPr>
    </w:p>
    <w:bookmarkStart w:id="409" w:name="page410"/>
    <w:bookmarkEnd w:id="409"/>
    <w:p>
      <w:pPr>
        <w:jc w:val="center"/>
        <w:spacing w:after="0"/>
        <w:rPr>
          <w:sz w:val="20"/>
          <w:szCs w:val="20"/>
          <w:color w:val="auto"/>
        </w:rPr>
      </w:pPr>
      <w:r>
        <w:rPr>
          <w:rFonts w:ascii="Times New Roman" w:cs="Times New Roman" w:eastAsia="Times New Roman" w:hAnsi="Times New Roman"/>
          <w:sz w:val="22"/>
          <w:szCs w:val="22"/>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630555</wp:posOffset>
            </wp:positionV>
            <wp:extent cx="7157720" cy="42545"/>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209" w:right="1440" w:bottom="1440" w:gutter="0" w:footer="0" w:header="0"/>
        </w:sectPr>
      </w:pPr>
    </w:p>
    <w:bookmarkStart w:id="410" w:name="page411"/>
    <w:bookmarkEnd w:id="410"/>
    <w:p>
      <w:pPr>
        <w:jc w:val="center"/>
        <w:spacing w:after="0"/>
        <w:rPr>
          <w:sz w:val="20"/>
          <w:szCs w:val="20"/>
          <w:color w:val="auto"/>
        </w:rPr>
      </w:pPr>
      <w:r>
        <w:rPr>
          <w:rFonts w:ascii="Times New Roman" w:cs="Times New Roman" w:eastAsia="Times New Roman" w:hAnsi="Times New Roman"/>
          <w:sz w:val="22"/>
          <w:szCs w:val="22"/>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630555</wp:posOffset>
            </wp:positionV>
            <wp:extent cx="7157720" cy="42545"/>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209" w:right="1440" w:bottom="1440" w:gutter="0" w:footer="0" w:header="0"/>
        </w:sectPr>
      </w:pPr>
    </w:p>
    <w:bookmarkStart w:id="411" w:name="page412"/>
    <w:bookmarkEnd w:id="411"/>
    <w:p>
      <w:pPr>
        <w:jc w:val="center"/>
        <w:spacing w:after="0"/>
        <w:rPr>
          <w:sz w:val="20"/>
          <w:szCs w:val="20"/>
          <w:color w:val="auto"/>
        </w:rPr>
      </w:pPr>
      <w:r>
        <w:rPr>
          <w:rFonts w:ascii="Times New Roman" w:cs="Times New Roman" w:eastAsia="Times New Roman" w:hAnsi="Times New Roman"/>
          <w:sz w:val="22"/>
          <w:szCs w:val="22"/>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630555</wp:posOffset>
            </wp:positionV>
            <wp:extent cx="7157720" cy="42545"/>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209" w:right="1440" w:bottom="1440" w:gutter="0" w:footer="0" w:header="0"/>
        </w:sectPr>
      </w:pPr>
    </w:p>
    <w:bookmarkStart w:id="412" w:name="page413"/>
    <w:bookmarkEnd w:id="412"/>
    <w:p>
      <w:pPr>
        <w:jc w:val="center"/>
        <w:spacing w:after="0"/>
        <w:rPr>
          <w:sz w:val="20"/>
          <w:szCs w:val="20"/>
          <w:color w:val="auto"/>
        </w:rPr>
      </w:pPr>
      <w:r>
        <w:rPr>
          <w:rFonts w:ascii="Times New Roman" w:cs="Times New Roman" w:eastAsia="Times New Roman" w:hAnsi="Times New Roman"/>
          <w:sz w:val="22"/>
          <w:szCs w:val="22"/>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630555</wp:posOffset>
            </wp:positionV>
            <wp:extent cx="7157720" cy="42545"/>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209" w:right="1440" w:bottom="1440" w:gutter="0" w:footer="0" w:header="0"/>
        </w:sectPr>
      </w:pPr>
    </w:p>
    <w:bookmarkStart w:id="413" w:name="page414"/>
    <w:bookmarkEnd w:id="413"/>
    <w:p>
      <w:pPr>
        <w:jc w:val="center"/>
        <w:spacing w:after="0"/>
        <w:rPr>
          <w:sz w:val="20"/>
          <w:szCs w:val="20"/>
          <w:color w:val="auto"/>
        </w:rPr>
      </w:pPr>
      <w:r>
        <w:rPr>
          <w:rFonts w:ascii="Times New Roman" w:cs="Times New Roman" w:eastAsia="Times New Roman" w:hAnsi="Times New Roman"/>
          <w:sz w:val="22"/>
          <w:szCs w:val="22"/>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630555</wp:posOffset>
            </wp:positionV>
            <wp:extent cx="7157720" cy="42545"/>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209" w:right="1440" w:bottom="1440" w:gutter="0" w:footer="0" w:header="0"/>
        </w:sectPr>
      </w:pPr>
    </w:p>
    <w:bookmarkStart w:id="414" w:name="page415"/>
    <w:bookmarkEnd w:id="414"/>
    <w:p>
      <w:pPr>
        <w:jc w:val="center"/>
        <w:spacing w:after="0"/>
        <w:rPr>
          <w:sz w:val="20"/>
          <w:szCs w:val="20"/>
          <w:color w:val="auto"/>
        </w:rPr>
      </w:pPr>
      <w:r>
        <w:rPr>
          <w:rFonts w:ascii="Times New Roman" w:cs="Times New Roman" w:eastAsia="Times New Roman" w:hAnsi="Times New Roman"/>
          <w:sz w:val="22"/>
          <w:szCs w:val="22"/>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630555</wp:posOffset>
            </wp:positionV>
            <wp:extent cx="7157720" cy="42545"/>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209" w:right="1440" w:bottom="1440" w:gutter="0" w:footer="0" w:header="0"/>
        </w:sectPr>
      </w:pPr>
    </w:p>
    <w:bookmarkStart w:id="415" w:name="page416"/>
    <w:bookmarkEnd w:id="415"/>
    <w:p>
      <w:pPr>
        <w:jc w:val="center"/>
        <w:spacing w:after="0"/>
        <w:rPr>
          <w:sz w:val="20"/>
          <w:szCs w:val="20"/>
          <w:color w:val="auto"/>
        </w:rPr>
      </w:pPr>
      <w:r>
        <w:rPr>
          <w:rFonts w:ascii="Times New Roman" w:cs="Times New Roman" w:eastAsia="Times New Roman" w:hAnsi="Times New Roman"/>
          <w:sz w:val="22"/>
          <w:szCs w:val="22"/>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630555</wp:posOffset>
            </wp:positionV>
            <wp:extent cx="7157720" cy="42545"/>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209" w:right="1440" w:bottom="1440" w:gutter="0" w:footer="0" w:header="0"/>
        </w:sectPr>
      </w:pPr>
    </w:p>
    <w:bookmarkStart w:id="416" w:name="page417"/>
    <w:bookmarkEnd w:id="416"/>
    <w:p>
      <w:pPr>
        <w:jc w:val="center"/>
        <w:spacing w:after="0"/>
        <w:rPr>
          <w:sz w:val="20"/>
          <w:szCs w:val="20"/>
          <w:color w:val="auto"/>
        </w:rPr>
      </w:pPr>
      <w:r>
        <w:rPr>
          <w:rFonts w:ascii="Times New Roman" w:cs="Times New Roman" w:eastAsia="Times New Roman" w:hAnsi="Times New Roman"/>
          <w:sz w:val="22"/>
          <w:szCs w:val="22"/>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630555</wp:posOffset>
            </wp:positionV>
            <wp:extent cx="7157720" cy="42545"/>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209" w:right="1440" w:bottom="1440" w:gutter="0" w:footer="0" w:header="0"/>
        </w:sectPr>
      </w:pPr>
    </w:p>
    <w:bookmarkStart w:id="417" w:name="page418"/>
    <w:bookmarkEnd w:id="417"/>
    <w:p>
      <w:pPr>
        <w:jc w:val="center"/>
        <w:spacing w:after="0"/>
        <w:rPr>
          <w:sz w:val="20"/>
          <w:szCs w:val="20"/>
          <w:color w:val="auto"/>
        </w:rPr>
      </w:pPr>
      <w:r>
        <w:rPr>
          <w:rFonts w:ascii="Times New Roman" w:cs="Times New Roman" w:eastAsia="Times New Roman" w:hAnsi="Times New Roman"/>
          <w:sz w:val="22"/>
          <w:szCs w:val="22"/>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630555</wp:posOffset>
            </wp:positionV>
            <wp:extent cx="7157720" cy="42545"/>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209" w:right="1440" w:bottom="1440" w:gutter="0" w:footer="0" w:header="0"/>
        </w:sectPr>
      </w:pPr>
    </w:p>
    <w:bookmarkStart w:id="418" w:name="page419"/>
    <w:bookmarkEnd w:id="418"/>
    <w:p>
      <w:pPr>
        <w:jc w:val="center"/>
        <w:spacing w:after="0"/>
        <w:rPr>
          <w:sz w:val="20"/>
          <w:szCs w:val="20"/>
          <w:color w:val="auto"/>
        </w:rPr>
      </w:pPr>
      <w:r>
        <w:rPr>
          <w:rFonts w:ascii="Times New Roman" w:cs="Times New Roman" w:eastAsia="Times New Roman" w:hAnsi="Times New Roman"/>
          <w:sz w:val="22"/>
          <w:szCs w:val="22"/>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630555</wp:posOffset>
            </wp:positionV>
            <wp:extent cx="7157720" cy="42545"/>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209" w:right="1440" w:bottom="1440" w:gutter="0" w:footer="0" w:header="0"/>
        </w:sectPr>
      </w:pPr>
    </w:p>
    <w:bookmarkStart w:id="419" w:name="page420"/>
    <w:bookmarkEnd w:id="419"/>
    <w:p>
      <w:pPr>
        <w:jc w:val="center"/>
        <w:spacing w:after="0"/>
        <w:rPr>
          <w:sz w:val="20"/>
          <w:szCs w:val="20"/>
          <w:color w:val="auto"/>
        </w:rPr>
      </w:pPr>
      <w:r>
        <w:rPr>
          <w:rFonts w:ascii="Times New Roman" w:cs="Times New Roman" w:eastAsia="Times New Roman" w:hAnsi="Times New Roman"/>
          <w:sz w:val="22"/>
          <w:szCs w:val="22"/>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630555</wp:posOffset>
            </wp:positionV>
            <wp:extent cx="7157720" cy="42545"/>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209" w:right="1440" w:bottom="1440" w:gutter="0" w:footer="0" w:header="0"/>
        </w:sectPr>
      </w:pPr>
    </w:p>
    <w:bookmarkStart w:id="420" w:name="page421"/>
    <w:bookmarkEnd w:id="420"/>
    <w:p>
      <w:pPr>
        <w:jc w:val="center"/>
        <w:ind w:right="19"/>
        <w:spacing w:after="0"/>
        <w:rPr>
          <w:sz w:val="20"/>
          <w:szCs w:val="20"/>
          <w:color w:val="auto"/>
        </w:rPr>
      </w:pPr>
      <w:r>
        <w:rPr>
          <w:rFonts w:ascii="Times New Roman" w:cs="Times New Roman" w:eastAsia="Times New Roman" w:hAnsi="Times New Roman"/>
          <w:sz w:val="21"/>
          <w:szCs w:val="21"/>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622935</wp:posOffset>
            </wp:positionV>
            <wp:extent cx="7157720" cy="42545"/>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192" w:right="1440" w:bottom="1440" w:gutter="0" w:footer="0" w:header="0"/>
        </w:sectPr>
      </w:pPr>
    </w:p>
    <w:bookmarkStart w:id="421" w:name="page422"/>
    <w:bookmarkEnd w:id="421"/>
    <w:p>
      <w:pPr>
        <w:jc w:val="center"/>
        <w:ind w:right="19"/>
        <w:spacing w:after="0"/>
        <w:rPr>
          <w:sz w:val="20"/>
          <w:szCs w:val="20"/>
          <w:color w:val="auto"/>
        </w:rPr>
      </w:pPr>
      <w:r>
        <w:rPr>
          <w:rFonts w:ascii="Times New Roman" w:cs="Times New Roman" w:eastAsia="Times New Roman" w:hAnsi="Times New Roman"/>
          <w:sz w:val="21"/>
          <w:szCs w:val="21"/>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622935</wp:posOffset>
            </wp:positionV>
            <wp:extent cx="7157720" cy="42545"/>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192" w:right="1440" w:bottom="1440" w:gutter="0" w:footer="0" w:header="0"/>
        </w:sectPr>
      </w:pPr>
    </w:p>
    <w:bookmarkStart w:id="422" w:name="page423"/>
    <w:bookmarkEnd w:id="422"/>
    <w:p>
      <w:pPr>
        <w:jc w:val="center"/>
        <w:spacing w:after="0"/>
        <w:rPr>
          <w:sz w:val="20"/>
          <w:szCs w:val="20"/>
          <w:color w:val="auto"/>
        </w:rPr>
      </w:pPr>
      <w:r>
        <w:rPr>
          <w:rFonts w:ascii="Times New Roman" w:cs="Times New Roman" w:eastAsia="Times New Roman" w:hAnsi="Times New Roman"/>
          <w:sz w:val="22"/>
          <w:szCs w:val="22"/>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630555</wp:posOffset>
            </wp:positionV>
            <wp:extent cx="7157720" cy="42545"/>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209" w:right="1440" w:bottom="1440" w:gutter="0" w:footer="0" w:header="0"/>
        </w:sectPr>
      </w:pPr>
    </w:p>
    <w:bookmarkStart w:id="423" w:name="page424"/>
    <w:bookmarkEnd w:id="423"/>
    <w:p>
      <w:pPr>
        <w:jc w:val="center"/>
        <w:spacing w:after="0"/>
        <w:rPr>
          <w:sz w:val="20"/>
          <w:szCs w:val="20"/>
          <w:color w:val="auto"/>
        </w:rPr>
      </w:pPr>
      <w:r>
        <w:rPr>
          <w:rFonts w:ascii="Times New Roman" w:cs="Times New Roman" w:eastAsia="Times New Roman" w:hAnsi="Times New Roman"/>
          <w:sz w:val="22"/>
          <w:szCs w:val="22"/>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630555</wp:posOffset>
            </wp:positionV>
            <wp:extent cx="7157720" cy="42545"/>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209" w:right="1440" w:bottom="1440" w:gutter="0" w:footer="0" w:header="0"/>
        </w:sectPr>
      </w:pPr>
    </w:p>
    <w:bookmarkStart w:id="424" w:name="page425"/>
    <w:bookmarkEnd w:id="424"/>
    <w:p>
      <w:pPr>
        <w:jc w:val="center"/>
        <w:spacing w:after="0"/>
        <w:rPr>
          <w:sz w:val="20"/>
          <w:szCs w:val="20"/>
          <w:color w:val="auto"/>
        </w:rPr>
      </w:pPr>
      <w:r>
        <w:rPr>
          <w:rFonts w:ascii="Times New Roman" w:cs="Times New Roman" w:eastAsia="Times New Roman" w:hAnsi="Times New Roman"/>
          <w:sz w:val="22"/>
          <w:szCs w:val="22"/>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630555</wp:posOffset>
            </wp:positionV>
            <wp:extent cx="7157720" cy="42545"/>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209" w:right="1440" w:bottom="1440" w:gutter="0" w:footer="0" w:header="0"/>
        </w:sectPr>
      </w:pPr>
    </w:p>
    <w:bookmarkStart w:id="425" w:name="page426"/>
    <w:bookmarkEnd w:id="425"/>
    <w:p>
      <w:pPr>
        <w:jc w:val="center"/>
        <w:spacing w:after="0"/>
        <w:rPr>
          <w:sz w:val="20"/>
          <w:szCs w:val="20"/>
          <w:color w:val="auto"/>
        </w:rPr>
      </w:pPr>
      <w:r>
        <w:rPr>
          <w:rFonts w:ascii="Times New Roman" w:cs="Times New Roman" w:eastAsia="Times New Roman" w:hAnsi="Times New Roman"/>
          <w:sz w:val="22"/>
          <w:szCs w:val="22"/>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630555</wp:posOffset>
            </wp:positionV>
            <wp:extent cx="7157720" cy="42545"/>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209" w:right="1440" w:bottom="1440" w:gutter="0" w:footer="0" w:header="0"/>
        </w:sectPr>
      </w:pPr>
    </w:p>
    <w:bookmarkStart w:id="426" w:name="page427"/>
    <w:bookmarkEnd w:id="426"/>
    <w:p>
      <w:pPr>
        <w:jc w:val="center"/>
        <w:spacing w:after="0"/>
        <w:rPr>
          <w:sz w:val="20"/>
          <w:szCs w:val="20"/>
          <w:color w:val="auto"/>
        </w:rPr>
      </w:pPr>
      <w:r>
        <w:rPr>
          <w:rFonts w:ascii="Times New Roman" w:cs="Times New Roman" w:eastAsia="Times New Roman" w:hAnsi="Times New Roman"/>
          <w:sz w:val="22"/>
          <w:szCs w:val="22"/>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630555</wp:posOffset>
            </wp:positionV>
            <wp:extent cx="7157720" cy="42545"/>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209" w:right="1440" w:bottom="1440" w:gutter="0" w:footer="0" w:header="0"/>
        </w:sectPr>
      </w:pPr>
    </w:p>
    <w:bookmarkStart w:id="427" w:name="page428"/>
    <w:bookmarkEnd w:id="427"/>
    <w:p>
      <w:pPr>
        <w:jc w:val="center"/>
        <w:ind w:right="19"/>
        <w:spacing w:after="0"/>
        <w:rPr>
          <w:sz w:val="20"/>
          <w:szCs w:val="20"/>
          <w:color w:val="auto"/>
        </w:rPr>
      </w:pPr>
      <w:r>
        <w:rPr>
          <w:rFonts w:ascii="Times New Roman" w:cs="Times New Roman" w:eastAsia="Times New Roman" w:hAnsi="Times New Roman"/>
          <w:sz w:val="21"/>
          <w:szCs w:val="21"/>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622935</wp:posOffset>
            </wp:positionV>
            <wp:extent cx="7157720" cy="42545"/>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192" w:right="1440" w:bottom="1440" w:gutter="0" w:footer="0" w:header="0"/>
        </w:sectPr>
      </w:pPr>
    </w:p>
    <w:bookmarkStart w:id="428" w:name="page429"/>
    <w:bookmarkEnd w:id="428"/>
    <w:p>
      <w:pPr>
        <w:jc w:val="center"/>
        <w:spacing w:after="0"/>
        <w:rPr>
          <w:sz w:val="20"/>
          <w:szCs w:val="20"/>
          <w:color w:val="auto"/>
        </w:rPr>
      </w:pPr>
      <w:r>
        <w:rPr>
          <w:rFonts w:ascii="Times New Roman" w:cs="Times New Roman" w:eastAsia="Times New Roman" w:hAnsi="Times New Roman"/>
          <w:sz w:val="22"/>
          <w:szCs w:val="22"/>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630555</wp:posOffset>
            </wp:positionV>
            <wp:extent cx="7157720" cy="42545"/>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209" w:right="1440" w:bottom="1440" w:gutter="0" w:footer="0" w:header="0"/>
        </w:sectPr>
      </w:pPr>
    </w:p>
    <w:bookmarkStart w:id="429" w:name="page430"/>
    <w:bookmarkEnd w:id="429"/>
    <w:p>
      <w:pPr>
        <w:jc w:val="center"/>
        <w:spacing w:after="0"/>
        <w:rPr>
          <w:sz w:val="20"/>
          <w:szCs w:val="20"/>
          <w:color w:val="auto"/>
        </w:rPr>
      </w:pPr>
      <w:r>
        <w:rPr>
          <w:rFonts w:ascii="Times New Roman" w:cs="Times New Roman" w:eastAsia="Times New Roman" w:hAnsi="Times New Roman"/>
          <w:sz w:val="22"/>
          <w:szCs w:val="22"/>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630555</wp:posOffset>
            </wp:positionV>
            <wp:extent cx="7157720" cy="42545"/>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209" w:right="1440" w:bottom="1440" w:gutter="0" w:footer="0" w:header="0"/>
        </w:sectPr>
      </w:pPr>
    </w:p>
    <w:bookmarkStart w:id="430" w:name="page431"/>
    <w:bookmarkEnd w:id="430"/>
    <w:p>
      <w:pPr>
        <w:jc w:val="center"/>
        <w:ind w:right="19"/>
        <w:spacing w:after="0"/>
        <w:rPr>
          <w:sz w:val="20"/>
          <w:szCs w:val="20"/>
          <w:color w:val="auto"/>
        </w:rPr>
      </w:pPr>
      <w:r>
        <w:rPr>
          <w:rFonts w:ascii="Times New Roman" w:cs="Times New Roman" w:eastAsia="Times New Roman" w:hAnsi="Times New Roman"/>
          <w:sz w:val="21"/>
          <w:szCs w:val="21"/>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622935</wp:posOffset>
            </wp:positionV>
            <wp:extent cx="7157720" cy="42545"/>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192" w:right="1440" w:bottom="1440" w:gutter="0" w:footer="0" w:header="0"/>
        </w:sectPr>
      </w:pPr>
    </w:p>
    <w:bookmarkStart w:id="431" w:name="page432"/>
    <w:bookmarkEnd w:id="431"/>
    <w:p>
      <w:pPr>
        <w:jc w:val="center"/>
        <w:spacing w:after="0"/>
        <w:rPr>
          <w:sz w:val="20"/>
          <w:szCs w:val="20"/>
          <w:color w:val="auto"/>
        </w:rPr>
      </w:pPr>
      <w:r>
        <w:rPr>
          <w:rFonts w:ascii="Times New Roman" w:cs="Times New Roman" w:eastAsia="Times New Roman" w:hAnsi="Times New Roman"/>
          <w:sz w:val="22"/>
          <w:szCs w:val="22"/>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630555</wp:posOffset>
            </wp:positionV>
            <wp:extent cx="7157720" cy="42545"/>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209" w:right="1440" w:bottom="1440" w:gutter="0" w:footer="0" w:header="0"/>
        </w:sectPr>
      </w:pPr>
    </w:p>
    <w:bookmarkStart w:id="432" w:name="page433"/>
    <w:bookmarkEnd w:id="432"/>
    <w:p>
      <w:pPr>
        <w:jc w:val="center"/>
        <w:spacing w:after="0"/>
        <w:rPr>
          <w:sz w:val="20"/>
          <w:szCs w:val="20"/>
          <w:color w:val="auto"/>
        </w:rPr>
      </w:pPr>
      <w:r>
        <w:rPr>
          <w:rFonts w:ascii="Times New Roman" w:cs="Times New Roman" w:eastAsia="Times New Roman" w:hAnsi="Times New Roman"/>
          <w:sz w:val="22"/>
          <w:szCs w:val="22"/>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630555</wp:posOffset>
            </wp:positionV>
            <wp:extent cx="7157720" cy="42545"/>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209" w:right="1440" w:bottom="1440" w:gutter="0" w:footer="0" w:header="0"/>
        </w:sectPr>
      </w:pPr>
    </w:p>
    <w:bookmarkStart w:id="433" w:name="page434"/>
    <w:bookmarkEnd w:id="433"/>
    <w:p>
      <w:pPr>
        <w:jc w:val="center"/>
        <w:spacing w:after="0"/>
        <w:rPr>
          <w:sz w:val="20"/>
          <w:szCs w:val="20"/>
          <w:color w:val="auto"/>
        </w:rPr>
      </w:pPr>
      <w:r>
        <w:rPr>
          <w:rFonts w:ascii="Times New Roman" w:cs="Times New Roman" w:eastAsia="Times New Roman" w:hAnsi="Times New Roman"/>
          <w:sz w:val="22"/>
          <w:szCs w:val="22"/>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630555</wp:posOffset>
            </wp:positionV>
            <wp:extent cx="7157720" cy="42545"/>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209" w:right="1440" w:bottom="1440" w:gutter="0" w:footer="0" w:header="0"/>
        </w:sectPr>
      </w:pPr>
    </w:p>
    <w:bookmarkStart w:id="434" w:name="page435"/>
    <w:bookmarkEnd w:id="434"/>
    <w:p>
      <w:pPr>
        <w:jc w:val="center"/>
        <w:spacing w:after="0"/>
        <w:rPr>
          <w:sz w:val="20"/>
          <w:szCs w:val="20"/>
          <w:color w:val="auto"/>
        </w:rPr>
      </w:pPr>
      <w:r>
        <w:rPr>
          <w:rFonts w:ascii="Times New Roman" w:cs="Times New Roman" w:eastAsia="Times New Roman" w:hAnsi="Times New Roman"/>
          <w:sz w:val="22"/>
          <w:szCs w:val="22"/>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630555</wp:posOffset>
            </wp:positionV>
            <wp:extent cx="7157720" cy="42545"/>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209" w:right="1440" w:bottom="1440" w:gutter="0" w:footer="0" w:header="0"/>
        </w:sectPr>
      </w:pPr>
    </w:p>
    <w:bookmarkStart w:id="435" w:name="page436"/>
    <w:bookmarkEnd w:id="435"/>
    <w:p>
      <w:pPr>
        <w:jc w:val="center"/>
        <w:spacing w:after="0"/>
        <w:rPr>
          <w:sz w:val="20"/>
          <w:szCs w:val="20"/>
          <w:color w:val="auto"/>
        </w:rPr>
      </w:pPr>
      <w:r>
        <w:rPr>
          <w:rFonts w:ascii="Times New Roman" w:cs="Times New Roman" w:eastAsia="Times New Roman" w:hAnsi="Times New Roman"/>
          <w:sz w:val="22"/>
          <w:szCs w:val="22"/>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630555</wp:posOffset>
            </wp:positionV>
            <wp:extent cx="7157720" cy="42545"/>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209" w:right="1440" w:bottom="1440" w:gutter="0" w:footer="0" w:header="0"/>
        </w:sectPr>
      </w:pPr>
    </w:p>
    <w:bookmarkStart w:id="436" w:name="page437"/>
    <w:bookmarkEnd w:id="436"/>
    <w:p>
      <w:pPr>
        <w:jc w:val="center"/>
        <w:spacing w:after="0"/>
        <w:rPr>
          <w:sz w:val="20"/>
          <w:szCs w:val="20"/>
          <w:color w:val="auto"/>
        </w:rPr>
      </w:pPr>
      <w:r>
        <w:rPr>
          <w:rFonts w:ascii="Times New Roman" w:cs="Times New Roman" w:eastAsia="Times New Roman" w:hAnsi="Times New Roman"/>
          <w:sz w:val="22"/>
          <w:szCs w:val="22"/>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630555</wp:posOffset>
            </wp:positionV>
            <wp:extent cx="7157720" cy="42545"/>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209" w:right="1440" w:bottom="1440" w:gutter="0" w:footer="0" w:header="0"/>
        </w:sectPr>
      </w:pPr>
    </w:p>
    <w:bookmarkStart w:id="437" w:name="page438"/>
    <w:bookmarkEnd w:id="437"/>
    <w:p>
      <w:pPr>
        <w:jc w:val="center"/>
        <w:ind w:right="19"/>
        <w:spacing w:after="0"/>
        <w:rPr>
          <w:sz w:val="20"/>
          <w:szCs w:val="20"/>
          <w:color w:val="auto"/>
        </w:rPr>
      </w:pPr>
      <w:r>
        <w:rPr>
          <w:rFonts w:ascii="Times New Roman" w:cs="Times New Roman" w:eastAsia="Times New Roman" w:hAnsi="Times New Roman"/>
          <w:sz w:val="21"/>
          <w:szCs w:val="21"/>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622935</wp:posOffset>
            </wp:positionV>
            <wp:extent cx="7157720" cy="42545"/>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192" w:right="1440" w:bottom="1440" w:gutter="0" w:footer="0" w:header="0"/>
        </w:sectPr>
      </w:pPr>
    </w:p>
    <w:bookmarkStart w:id="438" w:name="page439"/>
    <w:bookmarkEnd w:id="438"/>
    <w:p>
      <w:pPr>
        <w:jc w:val="center"/>
        <w:spacing w:after="0"/>
        <w:rPr>
          <w:sz w:val="20"/>
          <w:szCs w:val="20"/>
          <w:color w:val="auto"/>
        </w:rPr>
      </w:pPr>
      <w:r>
        <w:rPr>
          <w:rFonts w:ascii="Times New Roman" w:cs="Times New Roman" w:eastAsia="Times New Roman" w:hAnsi="Times New Roman"/>
          <w:sz w:val="22"/>
          <w:szCs w:val="22"/>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630555</wp:posOffset>
            </wp:positionV>
            <wp:extent cx="7157720" cy="42545"/>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209" w:right="1440" w:bottom="1440" w:gutter="0" w:footer="0" w:header="0"/>
        </w:sectPr>
      </w:pPr>
    </w:p>
    <w:bookmarkStart w:id="439" w:name="page440"/>
    <w:bookmarkEnd w:id="439"/>
    <w:p>
      <w:pPr>
        <w:jc w:val="center"/>
        <w:spacing w:after="0"/>
        <w:rPr>
          <w:sz w:val="20"/>
          <w:szCs w:val="20"/>
          <w:color w:val="auto"/>
        </w:rPr>
      </w:pPr>
      <w:r>
        <w:rPr>
          <w:rFonts w:ascii="Times New Roman" w:cs="Times New Roman" w:eastAsia="Times New Roman" w:hAnsi="Times New Roman"/>
          <w:sz w:val="22"/>
          <w:szCs w:val="22"/>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630555</wp:posOffset>
            </wp:positionV>
            <wp:extent cx="7157720" cy="42545"/>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209" w:right="1440" w:bottom="1440" w:gutter="0" w:footer="0" w:header="0"/>
        </w:sectPr>
      </w:pPr>
    </w:p>
    <w:bookmarkStart w:id="440" w:name="page441"/>
    <w:bookmarkEnd w:id="440"/>
    <w:p>
      <w:pPr>
        <w:jc w:val="center"/>
        <w:spacing w:after="0"/>
        <w:rPr>
          <w:sz w:val="20"/>
          <w:szCs w:val="20"/>
          <w:color w:val="auto"/>
        </w:rPr>
      </w:pPr>
      <w:r>
        <w:rPr>
          <w:rFonts w:ascii="Times New Roman" w:cs="Times New Roman" w:eastAsia="Times New Roman" w:hAnsi="Times New Roman"/>
          <w:sz w:val="22"/>
          <w:szCs w:val="22"/>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630555</wp:posOffset>
            </wp:positionV>
            <wp:extent cx="7157720" cy="42545"/>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209" w:right="1440" w:bottom="1440" w:gutter="0" w:footer="0" w:header="0"/>
        </w:sectPr>
      </w:pPr>
    </w:p>
    <w:bookmarkStart w:id="441" w:name="page442"/>
    <w:bookmarkEnd w:id="441"/>
    <w:p>
      <w:pPr>
        <w:jc w:val="center"/>
        <w:spacing w:after="0"/>
        <w:rPr>
          <w:sz w:val="20"/>
          <w:szCs w:val="20"/>
          <w:color w:val="auto"/>
        </w:rPr>
      </w:pPr>
      <w:r>
        <w:rPr>
          <w:rFonts w:ascii="Times New Roman" w:cs="Times New Roman" w:eastAsia="Times New Roman" w:hAnsi="Times New Roman"/>
          <w:sz w:val="22"/>
          <w:szCs w:val="22"/>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630555</wp:posOffset>
            </wp:positionV>
            <wp:extent cx="7157720" cy="42545"/>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209" w:right="1440" w:bottom="1440" w:gutter="0" w:footer="0" w:header="0"/>
        </w:sectPr>
      </w:pPr>
    </w:p>
    <w:bookmarkStart w:id="442" w:name="page443"/>
    <w:bookmarkEnd w:id="442"/>
    <w:p>
      <w:pPr>
        <w:jc w:val="center"/>
        <w:spacing w:after="0"/>
        <w:rPr>
          <w:sz w:val="20"/>
          <w:szCs w:val="20"/>
          <w:color w:val="auto"/>
        </w:rPr>
      </w:pPr>
      <w:r>
        <w:rPr>
          <w:rFonts w:ascii="Times New Roman" w:cs="Times New Roman" w:eastAsia="Times New Roman" w:hAnsi="Times New Roman"/>
          <w:sz w:val="22"/>
          <w:szCs w:val="22"/>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630555</wp:posOffset>
            </wp:positionV>
            <wp:extent cx="7157720" cy="42545"/>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209" w:right="1440" w:bottom="1440" w:gutter="0" w:footer="0" w:header="0"/>
        </w:sectPr>
      </w:pPr>
    </w:p>
    <w:bookmarkStart w:id="443" w:name="page444"/>
    <w:bookmarkEnd w:id="443"/>
    <w:p>
      <w:pPr>
        <w:jc w:val="center"/>
        <w:spacing w:after="0"/>
        <w:rPr>
          <w:sz w:val="20"/>
          <w:szCs w:val="20"/>
          <w:color w:val="auto"/>
        </w:rPr>
      </w:pPr>
      <w:r>
        <w:rPr>
          <w:rFonts w:ascii="Times New Roman" w:cs="Times New Roman" w:eastAsia="Times New Roman" w:hAnsi="Times New Roman"/>
          <w:sz w:val="22"/>
          <w:szCs w:val="22"/>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630555</wp:posOffset>
            </wp:positionV>
            <wp:extent cx="7157720" cy="42545"/>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209" w:right="1440" w:bottom="1440" w:gutter="0" w:footer="0" w:header="0"/>
        </w:sectPr>
      </w:pPr>
    </w:p>
    <w:bookmarkStart w:id="444" w:name="page445"/>
    <w:bookmarkEnd w:id="444"/>
    <w:p>
      <w:pPr>
        <w:jc w:val="center"/>
        <w:spacing w:after="0"/>
        <w:rPr>
          <w:sz w:val="20"/>
          <w:szCs w:val="20"/>
          <w:color w:val="auto"/>
        </w:rPr>
      </w:pPr>
      <w:r>
        <w:rPr>
          <w:rFonts w:ascii="Times New Roman" w:cs="Times New Roman" w:eastAsia="Times New Roman" w:hAnsi="Times New Roman"/>
          <w:sz w:val="22"/>
          <w:szCs w:val="22"/>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630555</wp:posOffset>
            </wp:positionV>
            <wp:extent cx="7157720" cy="42545"/>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209" w:right="1440" w:bottom="1440" w:gutter="0" w:footer="0" w:header="0"/>
        </w:sectPr>
      </w:pPr>
    </w:p>
    <w:bookmarkStart w:id="445" w:name="page446"/>
    <w:bookmarkEnd w:id="445"/>
    <w:p>
      <w:pPr>
        <w:jc w:val="center"/>
        <w:spacing w:after="0"/>
        <w:rPr>
          <w:sz w:val="20"/>
          <w:szCs w:val="20"/>
          <w:color w:val="auto"/>
        </w:rPr>
      </w:pPr>
      <w:r>
        <w:rPr>
          <w:rFonts w:ascii="Times New Roman" w:cs="Times New Roman" w:eastAsia="Times New Roman" w:hAnsi="Times New Roman"/>
          <w:sz w:val="22"/>
          <w:szCs w:val="22"/>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630555</wp:posOffset>
            </wp:positionV>
            <wp:extent cx="7157720" cy="42545"/>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209" w:right="1440" w:bottom="1440" w:gutter="0" w:footer="0" w:header="0"/>
        </w:sectPr>
      </w:pPr>
    </w:p>
    <w:bookmarkStart w:id="446" w:name="page447"/>
    <w:bookmarkEnd w:id="446"/>
    <w:p>
      <w:pPr>
        <w:jc w:val="center"/>
        <w:spacing w:after="0"/>
        <w:rPr>
          <w:sz w:val="20"/>
          <w:szCs w:val="20"/>
          <w:color w:val="auto"/>
        </w:rPr>
      </w:pPr>
      <w:r>
        <w:rPr>
          <w:rFonts w:ascii="Times New Roman" w:cs="Times New Roman" w:eastAsia="Times New Roman" w:hAnsi="Times New Roman"/>
          <w:sz w:val="22"/>
          <w:szCs w:val="22"/>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630555</wp:posOffset>
            </wp:positionV>
            <wp:extent cx="7157720" cy="42545"/>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209" w:right="1440" w:bottom="1440" w:gutter="0" w:footer="0" w:header="0"/>
        </w:sectPr>
      </w:pPr>
    </w:p>
    <w:bookmarkStart w:id="447" w:name="page448"/>
    <w:bookmarkEnd w:id="447"/>
    <w:p>
      <w:pPr>
        <w:jc w:val="center"/>
        <w:spacing w:after="0"/>
        <w:rPr>
          <w:sz w:val="20"/>
          <w:szCs w:val="20"/>
          <w:color w:val="auto"/>
        </w:rPr>
      </w:pPr>
      <w:r>
        <w:rPr>
          <w:rFonts w:ascii="Times New Roman" w:cs="Times New Roman" w:eastAsia="Times New Roman" w:hAnsi="Times New Roman"/>
          <w:sz w:val="22"/>
          <w:szCs w:val="22"/>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630555</wp:posOffset>
            </wp:positionV>
            <wp:extent cx="7157720" cy="42545"/>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209" w:right="1440" w:bottom="1440" w:gutter="0" w:footer="0" w:header="0"/>
        </w:sectPr>
      </w:pPr>
    </w:p>
    <w:bookmarkStart w:id="448" w:name="page449"/>
    <w:bookmarkEnd w:id="448"/>
    <w:p>
      <w:pPr>
        <w:jc w:val="center"/>
        <w:spacing w:after="0"/>
        <w:rPr>
          <w:sz w:val="20"/>
          <w:szCs w:val="20"/>
          <w:color w:val="auto"/>
        </w:rPr>
      </w:pPr>
      <w:r>
        <w:rPr>
          <w:rFonts w:ascii="Times New Roman" w:cs="Times New Roman" w:eastAsia="Times New Roman" w:hAnsi="Times New Roman"/>
          <w:sz w:val="22"/>
          <w:szCs w:val="22"/>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630555</wp:posOffset>
            </wp:positionV>
            <wp:extent cx="7157720" cy="42545"/>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209" w:right="1440" w:bottom="1440" w:gutter="0" w:footer="0" w:header="0"/>
        </w:sectPr>
      </w:pPr>
    </w:p>
    <w:bookmarkStart w:id="449" w:name="page450"/>
    <w:bookmarkEnd w:id="449"/>
    <w:p>
      <w:pPr>
        <w:jc w:val="center"/>
        <w:spacing w:after="0"/>
        <w:rPr>
          <w:sz w:val="20"/>
          <w:szCs w:val="20"/>
          <w:color w:val="auto"/>
        </w:rPr>
      </w:pPr>
      <w:r>
        <w:rPr>
          <w:rFonts w:ascii="Times New Roman" w:cs="Times New Roman" w:eastAsia="Times New Roman" w:hAnsi="Times New Roman"/>
          <w:sz w:val="22"/>
          <w:szCs w:val="22"/>
          <w:color w:val="auto"/>
        </w:rPr>
        <w:t>F-51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630555</wp:posOffset>
            </wp:positionV>
            <wp:extent cx="7157720" cy="42545"/>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209" w:right="1440" w:bottom="1440" w:gutter="0" w:footer="0" w:header="0"/>
        </w:sectPr>
      </w:pPr>
    </w:p>
    <w:bookmarkStart w:id="450" w:name="page451"/>
    <w:bookmarkEnd w:id="450"/>
    <w:p>
      <w:pPr>
        <w:jc w:val="center"/>
        <w:spacing w:after="0"/>
        <w:rPr>
          <w:sz w:val="20"/>
          <w:szCs w:val="20"/>
          <w:color w:val="auto"/>
        </w:rPr>
      </w:pPr>
      <w:r>
        <w:rPr>
          <w:rFonts w:ascii="Times New Roman" w:cs="Times New Roman" w:eastAsia="Times New Roman" w:hAnsi="Times New Roman"/>
          <w:sz w:val="22"/>
          <w:szCs w:val="22"/>
          <w:color w:val="auto"/>
        </w:rPr>
        <w:t>F-52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630555</wp:posOffset>
            </wp:positionV>
            <wp:extent cx="7157720" cy="42545"/>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209" w:right="1440" w:bottom="1440" w:gutter="0" w:footer="0" w:header="0"/>
        </w:sectPr>
      </w:pPr>
    </w:p>
    <w:bookmarkStart w:id="451" w:name="page452"/>
    <w:bookmarkEnd w:id="451"/>
    <w:p>
      <w:pPr>
        <w:jc w:val="center"/>
        <w:spacing w:after="0"/>
        <w:rPr>
          <w:sz w:val="20"/>
          <w:szCs w:val="20"/>
          <w:color w:val="auto"/>
        </w:rPr>
      </w:pPr>
      <w:r>
        <w:rPr>
          <w:rFonts w:ascii="Times New Roman" w:cs="Times New Roman" w:eastAsia="Times New Roman" w:hAnsi="Times New Roman"/>
          <w:sz w:val="22"/>
          <w:szCs w:val="22"/>
          <w:color w:val="auto"/>
        </w:rPr>
        <w:t>F-53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630555</wp:posOffset>
            </wp:positionV>
            <wp:extent cx="7157720" cy="42545"/>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209" w:right="1440" w:bottom="1440" w:gutter="0" w:footer="0" w:header="0"/>
        </w:sectPr>
      </w:pPr>
    </w:p>
    <w:bookmarkStart w:id="452" w:name="page453"/>
    <w:bookmarkEnd w:id="452"/>
    <w:p>
      <w:pPr>
        <w:jc w:val="center"/>
        <w:spacing w:after="0"/>
        <w:rPr>
          <w:sz w:val="20"/>
          <w:szCs w:val="20"/>
          <w:color w:val="auto"/>
        </w:rPr>
      </w:pPr>
      <w:r>
        <w:rPr>
          <w:rFonts w:ascii="Times New Roman" w:cs="Times New Roman" w:eastAsia="Times New Roman" w:hAnsi="Times New Roman"/>
          <w:sz w:val="22"/>
          <w:szCs w:val="22"/>
          <w:color w:val="auto"/>
        </w:rPr>
        <w:t>F-54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630555</wp:posOffset>
            </wp:positionV>
            <wp:extent cx="7157720" cy="42545"/>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209" w:right="1440" w:bottom="1440" w:gutter="0" w:footer="0" w:header="0"/>
        </w:sectPr>
      </w:pPr>
    </w:p>
    <w:bookmarkStart w:id="453" w:name="page454"/>
    <w:bookmarkEnd w:id="453"/>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EXHIBIT G</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940" w:hanging="1272"/>
        <w:spacing w:after="0" w:line="258" w:lineRule="auto"/>
        <w:rPr>
          <w:sz w:val="20"/>
          <w:szCs w:val="20"/>
          <w:color w:val="auto"/>
        </w:rPr>
      </w:pPr>
      <w:r>
        <w:rPr>
          <w:rFonts w:ascii="Times New Roman" w:cs="Times New Roman" w:eastAsia="Times New Roman" w:hAnsi="Times New Roman"/>
          <w:sz w:val="22"/>
          <w:szCs w:val="22"/>
          <w:color w:val="auto"/>
        </w:rPr>
        <w:t>[CERTAIN PORTIONS OF THIS EXHIBIT HAVE BEEN OMITTED OR REDACTED PURSUANT TO ITEM 601(B)(10) (IV) OF REGULATION 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G-1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615315</wp:posOffset>
            </wp:positionV>
            <wp:extent cx="7157720" cy="42545"/>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7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60"/>
          </w:cols>
          <w:pgMar w:left="660" w:top="1417" w:right="679" w:bottom="1440" w:gutter="0" w:footer="0" w:header="0"/>
        </w:sectPr>
      </w:pPr>
    </w:p>
    <w:bookmarkStart w:id="454" w:name="page455"/>
    <w:bookmarkEnd w:id="454"/>
    <w:p>
      <w:pPr>
        <w:jc w:val="center"/>
        <w:ind w:right="19"/>
        <w:spacing w:after="0"/>
        <w:rPr>
          <w:sz w:val="20"/>
          <w:szCs w:val="20"/>
          <w:color w:val="auto"/>
        </w:rPr>
      </w:pPr>
      <w:r>
        <w:rPr>
          <w:rFonts w:ascii="Times New Roman" w:cs="Times New Roman" w:eastAsia="Times New Roman" w:hAnsi="Times New Roman"/>
          <w:sz w:val="22"/>
          <w:szCs w:val="22"/>
          <w:color w:val="auto"/>
        </w:rPr>
        <w:t>G-2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630555</wp:posOffset>
            </wp:positionV>
            <wp:extent cx="7157720" cy="42545"/>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209" w:right="1440" w:bottom="1440" w:gutter="0" w:footer="0" w:header="0"/>
        </w:sectPr>
      </w:pPr>
    </w:p>
    <w:bookmarkStart w:id="455" w:name="page456"/>
    <w:bookmarkEnd w:id="455"/>
    <w:p>
      <w:pPr>
        <w:jc w:val="center"/>
        <w:ind w:right="19"/>
        <w:spacing w:after="0"/>
        <w:rPr>
          <w:sz w:val="20"/>
          <w:szCs w:val="20"/>
          <w:color w:val="auto"/>
        </w:rPr>
      </w:pPr>
      <w:r>
        <w:rPr>
          <w:rFonts w:ascii="Times New Roman" w:cs="Times New Roman" w:eastAsia="Times New Roman" w:hAnsi="Times New Roman"/>
          <w:sz w:val="22"/>
          <w:szCs w:val="22"/>
          <w:color w:val="auto"/>
        </w:rPr>
        <w:t>G-3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630555</wp:posOffset>
            </wp:positionV>
            <wp:extent cx="7157720" cy="42545"/>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209" w:right="1440" w:bottom="1440" w:gutter="0" w:footer="0" w:header="0"/>
        </w:sectPr>
      </w:pPr>
    </w:p>
    <w:bookmarkStart w:id="456" w:name="page457"/>
    <w:bookmarkEnd w:id="456"/>
    <w:p>
      <w:pPr>
        <w:jc w:val="center"/>
        <w:ind w:right="19"/>
        <w:spacing w:after="0"/>
        <w:rPr>
          <w:sz w:val="20"/>
          <w:szCs w:val="20"/>
          <w:color w:val="auto"/>
        </w:rPr>
      </w:pPr>
      <w:r>
        <w:rPr>
          <w:rFonts w:ascii="Times New Roman" w:cs="Times New Roman" w:eastAsia="Times New Roman" w:hAnsi="Times New Roman"/>
          <w:sz w:val="22"/>
          <w:szCs w:val="22"/>
          <w:color w:val="auto"/>
        </w:rPr>
        <w:t>G-4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630555</wp:posOffset>
            </wp:positionV>
            <wp:extent cx="7157720" cy="42545"/>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209" w:right="1440" w:bottom="1440" w:gutter="0" w:footer="0" w:header="0"/>
        </w:sectPr>
      </w:pPr>
    </w:p>
    <w:bookmarkStart w:id="457" w:name="page458"/>
    <w:bookmarkEnd w:id="457"/>
    <w:p>
      <w:pPr>
        <w:jc w:val="center"/>
        <w:ind w:right="19"/>
        <w:spacing w:after="0"/>
        <w:rPr>
          <w:sz w:val="20"/>
          <w:szCs w:val="20"/>
          <w:color w:val="auto"/>
        </w:rPr>
      </w:pPr>
      <w:r>
        <w:rPr>
          <w:rFonts w:ascii="Times New Roman" w:cs="Times New Roman" w:eastAsia="Times New Roman" w:hAnsi="Times New Roman"/>
          <w:sz w:val="22"/>
          <w:szCs w:val="22"/>
          <w:i w:val="1"/>
          <w:iCs w:val="1"/>
          <w:color w:val="auto"/>
        </w:rPr>
        <w:t>G-5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631825</wp:posOffset>
            </wp:positionV>
            <wp:extent cx="7157720" cy="42545"/>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207" w:right="1440" w:bottom="1440" w:gutter="0" w:footer="0" w:header="0"/>
        </w:sectPr>
      </w:pPr>
    </w:p>
    <w:bookmarkStart w:id="458" w:name="page459"/>
    <w:bookmarkEnd w:id="458"/>
    <w:p>
      <w:pPr>
        <w:jc w:val="center"/>
        <w:ind w:right="19"/>
        <w:spacing w:after="0"/>
        <w:rPr>
          <w:sz w:val="20"/>
          <w:szCs w:val="20"/>
          <w:color w:val="auto"/>
        </w:rPr>
      </w:pPr>
      <w:r>
        <w:rPr>
          <w:rFonts w:ascii="Times New Roman" w:cs="Times New Roman" w:eastAsia="Times New Roman" w:hAnsi="Times New Roman"/>
          <w:sz w:val="22"/>
          <w:szCs w:val="22"/>
          <w:color w:val="auto"/>
        </w:rPr>
        <w:t>G-6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630555</wp:posOffset>
            </wp:positionV>
            <wp:extent cx="7157720" cy="42545"/>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209" w:right="1440" w:bottom="1440" w:gutter="0" w:footer="0" w:header="0"/>
        </w:sectPr>
      </w:pPr>
    </w:p>
    <w:bookmarkStart w:id="459" w:name="page460"/>
    <w:bookmarkEnd w:id="459"/>
    <w:p>
      <w:pPr>
        <w:jc w:val="center"/>
        <w:ind w:right="19"/>
        <w:spacing w:after="0"/>
        <w:rPr>
          <w:sz w:val="20"/>
          <w:szCs w:val="20"/>
          <w:color w:val="auto"/>
        </w:rPr>
      </w:pPr>
      <w:r>
        <w:rPr>
          <w:rFonts w:ascii="Times New Roman" w:cs="Times New Roman" w:eastAsia="Times New Roman" w:hAnsi="Times New Roman"/>
          <w:sz w:val="22"/>
          <w:szCs w:val="22"/>
          <w:color w:val="auto"/>
        </w:rPr>
        <w:t>G-7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630555</wp:posOffset>
            </wp:positionV>
            <wp:extent cx="7157720" cy="42545"/>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209" w:right="1440" w:bottom="1440" w:gutter="0" w:footer="0" w:header="0"/>
        </w:sectPr>
      </w:pPr>
    </w:p>
    <w:bookmarkStart w:id="460" w:name="page461"/>
    <w:bookmarkEnd w:id="460"/>
    <w:p>
      <w:pPr>
        <w:jc w:val="center"/>
        <w:ind w:right="19"/>
        <w:spacing w:after="0"/>
        <w:rPr>
          <w:sz w:val="20"/>
          <w:szCs w:val="20"/>
          <w:color w:val="auto"/>
        </w:rPr>
      </w:pPr>
      <w:r>
        <w:rPr>
          <w:rFonts w:ascii="Times New Roman" w:cs="Times New Roman" w:eastAsia="Times New Roman" w:hAnsi="Times New Roman"/>
          <w:sz w:val="22"/>
          <w:szCs w:val="22"/>
          <w:color w:val="auto"/>
        </w:rPr>
        <w:t>G-8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630555</wp:posOffset>
            </wp:positionV>
            <wp:extent cx="7157720" cy="42545"/>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209" w:right="1440" w:bottom="1440" w:gutter="0" w:footer="0" w:header="0"/>
        </w:sectPr>
      </w:pPr>
    </w:p>
    <w:bookmarkStart w:id="461" w:name="page462"/>
    <w:bookmarkEnd w:id="461"/>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EXHIBIT H</w:t>
      </w:r>
    </w:p>
    <w:p>
      <w:pPr>
        <w:spacing w:after="0" w:line="237" w:lineRule="exact"/>
        <w:rPr>
          <w:sz w:val="20"/>
          <w:szCs w:val="20"/>
          <w:color w:val="auto"/>
        </w:rPr>
      </w:pPr>
    </w:p>
    <w:p>
      <w:pPr>
        <w:ind w:left="940" w:hanging="1272"/>
        <w:spacing w:after="0" w:line="258" w:lineRule="auto"/>
        <w:rPr>
          <w:sz w:val="20"/>
          <w:szCs w:val="20"/>
          <w:color w:val="auto"/>
        </w:rPr>
      </w:pPr>
      <w:r>
        <w:rPr>
          <w:rFonts w:ascii="Times New Roman" w:cs="Times New Roman" w:eastAsia="Times New Roman" w:hAnsi="Times New Roman"/>
          <w:sz w:val="22"/>
          <w:szCs w:val="22"/>
          <w:color w:val="auto"/>
        </w:rPr>
        <w:t>[CERTAIN PORTIONS OF THIS EXHIBIT HAVE BEEN OMITTED OR REDACTED PURSUANT TO ITEM 601(B)(10) (IV) OF REGULATION 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2505710</wp:posOffset>
            </wp:positionV>
            <wp:extent cx="7157720" cy="42545"/>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60"/>
          </w:cols>
          <w:pgMar w:left="660" w:top="1417" w:right="679" w:bottom="1440" w:gutter="0" w:footer="0" w:header="0"/>
        </w:sectPr>
      </w:pPr>
    </w:p>
    <w:bookmarkStart w:id="462" w:name="page463"/>
    <w:bookmarkEnd w:id="462"/>
    <w:p>
      <w:pPr>
        <w:jc w:val="center"/>
        <w:ind w:right="19"/>
        <w:spacing w:after="0"/>
        <w:rPr>
          <w:sz w:val="20"/>
          <w:szCs w:val="20"/>
          <w:color w:val="auto"/>
        </w:rPr>
      </w:pPr>
      <w:r>
        <w:rPr>
          <w:rFonts w:ascii="Times New Roman" w:cs="Times New Roman" w:eastAsia="Times New Roman" w:hAnsi="Times New Roman"/>
          <w:sz w:val="22"/>
          <w:szCs w:val="22"/>
          <w:color w:val="auto"/>
        </w:rPr>
        <w:t>H-2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630555</wp:posOffset>
            </wp:positionV>
            <wp:extent cx="7157720" cy="42545"/>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209" w:right="1440" w:bottom="1440" w:gutter="0" w:footer="0" w:header="0"/>
        </w:sectPr>
      </w:pPr>
    </w:p>
    <w:bookmarkStart w:id="463" w:name="page464"/>
    <w:bookmarkEnd w:id="463"/>
    <w:p>
      <w:pPr>
        <w:jc w:val="center"/>
        <w:ind w:right="19"/>
        <w:spacing w:after="0"/>
        <w:rPr>
          <w:sz w:val="20"/>
          <w:szCs w:val="20"/>
          <w:color w:val="auto"/>
        </w:rPr>
      </w:pPr>
      <w:r>
        <w:rPr>
          <w:rFonts w:ascii="Times New Roman" w:cs="Times New Roman" w:eastAsia="Times New Roman" w:hAnsi="Times New Roman"/>
          <w:sz w:val="22"/>
          <w:szCs w:val="22"/>
          <w:color w:val="auto"/>
        </w:rPr>
        <w:t>H-3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630555</wp:posOffset>
            </wp:positionV>
            <wp:extent cx="7157720" cy="42545"/>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209" w:right="1440" w:bottom="1440" w:gutter="0" w:footer="0" w:header="0"/>
        </w:sectPr>
      </w:pPr>
    </w:p>
    <w:bookmarkStart w:id="464" w:name="page465"/>
    <w:bookmarkEnd w:id="464"/>
    <w:p>
      <w:pPr>
        <w:jc w:val="center"/>
        <w:ind w:right="19"/>
        <w:spacing w:after="0"/>
        <w:rPr>
          <w:sz w:val="20"/>
          <w:szCs w:val="20"/>
          <w:color w:val="auto"/>
        </w:rPr>
      </w:pPr>
      <w:r>
        <w:rPr>
          <w:rFonts w:ascii="Times New Roman" w:cs="Times New Roman" w:eastAsia="Times New Roman" w:hAnsi="Times New Roman"/>
          <w:sz w:val="22"/>
          <w:szCs w:val="22"/>
          <w:color w:val="auto"/>
        </w:rPr>
        <w:t>H-4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630555</wp:posOffset>
            </wp:positionV>
            <wp:extent cx="7157720" cy="42545"/>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209" w:right="1440" w:bottom="1440" w:gutter="0" w:footer="0" w:header="0"/>
        </w:sectPr>
      </w:pPr>
    </w:p>
    <w:bookmarkStart w:id="465" w:name="page466"/>
    <w:bookmarkEnd w:id="465"/>
    <w:p>
      <w:pPr>
        <w:jc w:val="center"/>
        <w:spacing w:after="0"/>
        <w:rPr>
          <w:sz w:val="20"/>
          <w:szCs w:val="20"/>
          <w:color w:val="auto"/>
        </w:rPr>
      </w:pPr>
      <w:r>
        <w:rPr>
          <w:rFonts w:ascii="Times New Roman" w:cs="Times New Roman" w:eastAsia="Times New Roman" w:hAnsi="Times New Roman"/>
          <w:sz w:val="21"/>
          <w:szCs w:val="21"/>
          <w:i w:val="1"/>
          <w:iCs w:val="1"/>
          <w:color w:val="auto"/>
        </w:rPr>
        <w:t>H-5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625475</wp:posOffset>
            </wp:positionV>
            <wp:extent cx="7157720" cy="42545"/>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188" w:right="1440" w:bottom="1440" w:gutter="0" w:footer="0" w:header="0"/>
        </w:sectPr>
      </w:pPr>
    </w:p>
    <w:bookmarkStart w:id="466" w:name="page467"/>
    <w:bookmarkEnd w:id="466"/>
    <w:p>
      <w:pPr>
        <w:jc w:val="center"/>
        <w:ind w:right="19"/>
        <w:spacing w:after="0"/>
        <w:rPr>
          <w:sz w:val="20"/>
          <w:szCs w:val="20"/>
          <w:color w:val="auto"/>
        </w:rPr>
      </w:pPr>
      <w:r>
        <w:rPr>
          <w:rFonts w:ascii="Times New Roman" w:cs="Times New Roman" w:eastAsia="Times New Roman" w:hAnsi="Times New Roman"/>
          <w:sz w:val="22"/>
          <w:szCs w:val="22"/>
          <w:color w:val="auto"/>
        </w:rPr>
        <w:t>H-6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630555</wp:posOffset>
            </wp:positionV>
            <wp:extent cx="7157720" cy="42545"/>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209" w:right="1440" w:bottom="1440" w:gutter="0" w:footer="0" w:header="0"/>
        </w:sectPr>
      </w:pPr>
    </w:p>
    <w:bookmarkStart w:id="467" w:name="page468"/>
    <w:bookmarkEnd w:id="467"/>
    <w:p>
      <w:pPr>
        <w:jc w:val="center"/>
        <w:ind w:right="19"/>
        <w:spacing w:after="0"/>
        <w:rPr>
          <w:sz w:val="20"/>
          <w:szCs w:val="20"/>
          <w:color w:val="auto"/>
        </w:rPr>
      </w:pPr>
      <w:r>
        <w:rPr>
          <w:rFonts w:ascii="Times New Roman" w:cs="Times New Roman" w:eastAsia="Times New Roman" w:hAnsi="Times New Roman"/>
          <w:sz w:val="22"/>
          <w:szCs w:val="22"/>
          <w:color w:val="auto"/>
        </w:rPr>
        <w:t>H-7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630555</wp:posOffset>
            </wp:positionV>
            <wp:extent cx="7157720" cy="42545"/>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209" w:right="1440" w:bottom="1440" w:gutter="0" w:footer="0" w:header="0"/>
        </w:sectPr>
      </w:pPr>
    </w:p>
    <w:bookmarkStart w:id="468" w:name="page469"/>
    <w:bookmarkEnd w:id="468"/>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EXHIBIT I</w:t>
      </w:r>
    </w:p>
    <w:p>
      <w:pPr>
        <w:spacing w:after="0" w:line="251" w:lineRule="exact"/>
        <w:rPr>
          <w:sz w:val="20"/>
          <w:szCs w:val="20"/>
          <w:color w:val="auto"/>
        </w:rPr>
      </w:pPr>
    </w:p>
    <w:p>
      <w:pPr>
        <w:ind w:left="940" w:hanging="1272"/>
        <w:spacing w:after="0" w:line="258" w:lineRule="auto"/>
        <w:rPr>
          <w:sz w:val="20"/>
          <w:szCs w:val="20"/>
          <w:color w:val="auto"/>
        </w:rPr>
      </w:pPr>
      <w:r>
        <w:rPr>
          <w:rFonts w:ascii="Times New Roman" w:cs="Times New Roman" w:eastAsia="Times New Roman" w:hAnsi="Times New Roman"/>
          <w:sz w:val="22"/>
          <w:szCs w:val="22"/>
          <w:color w:val="auto"/>
        </w:rPr>
        <w:t>[CERTAIN PORTIONS OF THIS EXHIBIT HAVE BEEN OMITTED OR REDACTED PURSUANT TO ITEM 601(B)(10) (IV) OF REGULATION 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2505710</wp:posOffset>
            </wp:positionV>
            <wp:extent cx="7157720" cy="42545"/>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60"/>
          </w:cols>
          <w:pgMar w:left="660" w:top="1440" w:right="679" w:bottom="1440" w:gutter="0" w:footer="0" w:header="0"/>
        </w:sectPr>
      </w:pPr>
    </w:p>
    <w:bookmarkStart w:id="469" w:name="page470"/>
    <w:bookmarkEnd w:id="469"/>
    <w:p>
      <w:pPr>
        <w:jc w:val="center"/>
        <w:spacing w:after="0"/>
        <w:rPr>
          <w:sz w:val="20"/>
          <w:szCs w:val="20"/>
          <w:color w:val="auto"/>
        </w:rPr>
      </w:pPr>
      <w:r>
        <w:rPr>
          <w:rFonts w:ascii="Times New Roman" w:cs="Times New Roman" w:eastAsia="Times New Roman" w:hAnsi="Times New Roman"/>
          <w:sz w:val="22"/>
          <w:szCs w:val="22"/>
          <w:color w:val="auto"/>
        </w:rPr>
        <w:t>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630555</wp:posOffset>
            </wp:positionV>
            <wp:extent cx="7157720" cy="42545"/>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209" w:right="1440" w:bottom="1440" w:gutter="0" w:footer="0" w:header="0"/>
        </w:sectPr>
      </w:pPr>
    </w:p>
    <w:bookmarkStart w:id="470" w:name="page471"/>
    <w:bookmarkEnd w:id="470"/>
    <w:p>
      <w:pPr>
        <w:jc w:val="right"/>
        <w:spacing w:after="0"/>
        <w:rPr>
          <w:sz w:val="20"/>
          <w:szCs w:val="20"/>
          <w:color w:val="auto"/>
        </w:rPr>
      </w:pPr>
      <w:r>
        <w:rPr>
          <w:rFonts w:ascii="Times New Roman" w:cs="Times New Roman" w:eastAsia="Times New Roman" w:hAnsi="Times New Roman"/>
          <w:sz w:val="22"/>
          <w:szCs w:val="22"/>
          <w:b w:val="1"/>
          <w:bCs w:val="1"/>
          <w:color w:val="auto"/>
        </w:rPr>
        <w:t>Exhibit 10.3</w:t>
      </w:r>
    </w:p>
    <w:p>
      <w:pPr>
        <w:spacing w:after="0" w:line="258" w:lineRule="exact"/>
        <w:rPr>
          <w:sz w:val="20"/>
          <w:szCs w:val="20"/>
          <w:color w:val="auto"/>
        </w:rPr>
      </w:pPr>
    </w:p>
    <w:p>
      <w:pPr>
        <w:ind w:left="7340"/>
        <w:spacing w:after="0"/>
        <w:rPr>
          <w:sz w:val="20"/>
          <w:szCs w:val="20"/>
          <w:color w:val="auto"/>
        </w:rPr>
      </w:pPr>
      <w:r>
        <w:rPr>
          <w:rFonts w:ascii="Times New Roman" w:cs="Times New Roman" w:eastAsia="Times New Roman" w:hAnsi="Times New Roman"/>
          <w:sz w:val="21"/>
          <w:szCs w:val="21"/>
          <w:b w:val="1"/>
          <w:bCs w:val="1"/>
          <w:i w:val="1"/>
          <w:iCs w:val="1"/>
          <w:color w:val="auto"/>
        </w:rPr>
        <w:t xml:space="preserve">EXECUTION VERSION </w:t>
      </w:r>
      <w:r>
        <w:rPr>
          <w:rFonts w:ascii="Times New Roman" w:cs="Times New Roman" w:eastAsia="Times New Roman" w:hAnsi="Times New Roman"/>
          <w:sz w:val="21"/>
          <w:szCs w:val="21"/>
          <w:color w:val="auto"/>
        </w:rPr>
        <w:t>CONFIDENTIAL</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PURCHASE AGREEMENT</w:t>
      </w:r>
    </w:p>
    <w:p>
      <w:pPr>
        <w:spacing w:after="0" w:line="204" w:lineRule="exact"/>
        <w:rPr>
          <w:sz w:val="20"/>
          <w:szCs w:val="20"/>
          <w:color w:val="auto"/>
        </w:rPr>
      </w:pPr>
    </w:p>
    <w:p>
      <w:pPr>
        <w:jc w:val="both"/>
        <w:ind w:firstLine="749"/>
        <w:spacing w:after="0" w:line="228" w:lineRule="auto"/>
        <w:rPr>
          <w:sz w:val="20"/>
          <w:szCs w:val="20"/>
          <w:color w:val="auto"/>
        </w:rPr>
      </w:pPr>
      <w:r>
        <w:rPr>
          <w:rFonts w:ascii="Times New Roman" w:cs="Times New Roman" w:eastAsia="Times New Roman" w:hAnsi="Times New Roman"/>
          <w:sz w:val="22"/>
          <w:szCs w:val="22"/>
          <w:color w:val="auto"/>
        </w:rPr>
        <w:t>THIS SECURITIES PURCHASE AGREEMENT (this “</w:t>
      </w:r>
      <w:r>
        <w:rPr>
          <w:rFonts w:ascii="Times New Roman" w:cs="Times New Roman" w:eastAsia="Times New Roman" w:hAnsi="Times New Roman"/>
          <w:sz w:val="22"/>
          <w:szCs w:val="22"/>
          <w:b w:val="1"/>
          <w:bCs w:val="1"/>
          <w:i w:val="1"/>
          <w:iCs w:val="1"/>
          <w:color w:val="auto"/>
        </w:rPr>
        <w:t>Agreement</w:t>
      </w:r>
      <w:r>
        <w:rPr>
          <w:rFonts w:ascii="Times New Roman" w:cs="Times New Roman" w:eastAsia="Times New Roman" w:hAnsi="Times New Roman"/>
          <w:sz w:val="22"/>
          <w:szCs w:val="22"/>
          <w:color w:val="auto"/>
        </w:rPr>
        <w:t>”) is made effective as of May 8, 2025 (the “</w:t>
      </w:r>
      <w:r>
        <w:rPr>
          <w:rFonts w:ascii="Times New Roman" w:cs="Times New Roman" w:eastAsia="Times New Roman" w:hAnsi="Times New Roman"/>
          <w:sz w:val="22"/>
          <w:szCs w:val="22"/>
          <w:b w:val="1"/>
          <w:bCs w:val="1"/>
          <w:i w:val="1"/>
          <w:iCs w:val="1"/>
          <w:color w:val="auto"/>
        </w:rPr>
        <w:t>SPA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Effective Date</w:t>
      </w:r>
      <w:r>
        <w:rPr>
          <w:rFonts w:ascii="Times New Roman" w:cs="Times New Roman" w:eastAsia="Times New Roman" w:hAnsi="Times New Roman"/>
          <w:sz w:val="22"/>
          <w:szCs w:val="22"/>
          <w:color w:val="auto"/>
        </w:rPr>
        <w:t>”), by and among Axsome Therapeutics, Inc., a Delaware corporation with its principal place of business at One</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World Trade Center, 29</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Floor, New York, NY 10007 (“</w:t>
      </w:r>
      <w:r>
        <w:rPr>
          <w:rFonts w:ascii="Times New Roman" w:cs="Times New Roman" w:eastAsia="Times New Roman" w:hAnsi="Times New Roman"/>
          <w:sz w:val="22"/>
          <w:szCs w:val="22"/>
          <w:b w:val="1"/>
          <w:bCs w:val="1"/>
          <w:i w:val="1"/>
          <w:iCs w:val="1"/>
          <w:color w:val="auto"/>
        </w:rPr>
        <w:t>Axsome</w:t>
      </w:r>
      <w:r>
        <w:rPr>
          <w:rFonts w:ascii="Times New Roman" w:cs="Times New Roman" w:eastAsia="Times New Roman" w:hAnsi="Times New Roman"/>
          <w:sz w:val="22"/>
          <w:szCs w:val="22"/>
          <w:color w:val="auto"/>
        </w:rPr>
        <w:t>”), and each Purchaser identified on the signature pages hereto (each, including its successors and assigns, a “</w:t>
      </w:r>
      <w:r>
        <w:rPr>
          <w:rFonts w:ascii="Times New Roman" w:cs="Times New Roman" w:eastAsia="Times New Roman" w:hAnsi="Times New Roman"/>
          <w:sz w:val="22"/>
          <w:szCs w:val="22"/>
          <w:b w:val="1"/>
          <w:bCs w:val="1"/>
          <w:i w:val="1"/>
          <w:iCs w:val="1"/>
          <w:color w:val="auto"/>
        </w:rPr>
        <w:t>Purchaser</w:t>
      </w:r>
      <w:r>
        <w:rPr>
          <w:rFonts w:ascii="Times New Roman" w:cs="Times New Roman" w:eastAsia="Times New Roman" w:hAnsi="Times New Roman"/>
          <w:sz w:val="22"/>
          <w:szCs w:val="22"/>
          <w:color w:val="auto"/>
        </w:rPr>
        <w:t>” and collectively the “</w:t>
      </w:r>
      <w:r>
        <w:rPr>
          <w:rFonts w:ascii="Times New Roman" w:cs="Times New Roman" w:eastAsia="Times New Roman" w:hAnsi="Times New Roman"/>
          <w:sz w:val="22"/>
          <w:szCs w:val="22"/>
          <w:b w:val="1"/>
          <w:bCs w:val="1"/>
          <w:i w:val="1"/>
          <w:iCs w:val="1"/>
          <w:color w:val="auto"/>
        </w:rPr>
        <w:t>Purchasers</w:t>
      </w:r>
      <w:r>
        <w:rPr>
          <w:rFonts w:ascii="Times New Roman" w:cs="Times New Roman" w:eastAsia="Times New Roman" w:hAnsi="Times New Roman"/>
          <w:sz w:val="22"/>
          <w:szCs w:val="22"/>
          <w:color w:val="auto"/>
        </w:rPr>
        <w:t>”).</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BACKGROUND</w:t>
      </w:r>
    </w:p>
    <w:p>
      <w:pPr>
        <w:spacing w:after="0" w:line="220"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Axsome desires to sell to each Purchaser, and each Purchaser severally and not jointly desires to purchase from Axsome, such number of Shares (as defined below) as set forth herein at a price per Share equal to the Per Share Price (as defined below) and on the terms and subject to the conditions set forth in this Agreement (the “</w:t>
      </w:r>
      <w:r>
        <w:rPr>
          <w:rFonts w:ascii="Times New Roman" w:cs="Times New Roman" w:eastAsia="Times New Roman" w:hAnsi="Times New Roman"/>
          <w:sz w:val="22"/>
          <w:szCs w:val="22"/>
          <w:b w:val="1"/>
          <w:bCs w:val="1"/>
          <w:i w:val="1"/>
          <w:iCs w:val="1"/>
          <w:color w:val="auto"/>
        </w:rPr>
        <w:t>Offering</w:t>
      </w:r>
      <w:r>
        <w:rPr>
          <w:rFonts w:ascii="Times New Roman" w:cs="Times New Roman" w:eastAsia="Times New Roman" w:hAnsi="Times New Roman"/>
          <w:sz w:val="22"/>
          <w:szCs w:val="22"/>
          <w:color w:val="auto"/>
        </w:rPr>
        <w:t>”).</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TERMS</w:t>
      </w:r>
    </w:p>
    <w:p>
      <w:pPr>
        <w:spacing w:after="0" w:line="206"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NOW, THEREFORE, in consideration of the foregoing recitals and the mutual covenants and agreements contained herein, the Parties hereto, intending to be legally bound, do hereby agree as follows:</w:t>
      </w:r>
    </w:p>
    <w:p>
      <w:pPr>
        <w:spacing w:after="0" w:line="154" w:lineRule="exact"/>
        <w:rPr>
          <w:sz w:val="20"/>
          <w:szCs w:val="20"/>
          <w:color w:val="auto"/>
        </w:rPr>
      </w:pPr>
    </w:p>
    <w:p>
      <w:pPr>
        <w:ind w:right="20" w:firstLine="8"/>
        <w:spacing w:after="0" w:line="262" w:lineRule="auto"/>
        <w:tabs>
          <w:tab w:leader="none" w:pos="432" w:val="left"/>
        </w:tabs>
        <w:numPr>
          <w:ilvl w:val="0"/>
          <w:numId w:val="2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Definitions</w:t>
      </w:r>
      <w:r>
        <w:rPr>
          <w:rFonts w:ascii="Times New Roman" w:cs="Times New Roman" w:eastAsia="Times New Roman" w:hAnsi="Times New Roman"/>
          <w:sz w:val="22"/>
          <w:szCs w:val="22"/>
          <w:color w:val="auto"/>
        </w:rPr>
        <w:t>. The capitalized terms used herein shall have the meanings ascribed to them below or at such other place in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 as is indicated below:</w:t>
      </w:r>
    </w:p>
    <w:p>
      <w:pPr>
        <w:spacing w:after="0" w:line="148"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1.1 “</w:t>
      </w:r>
      <w:r>
        <w:rPr>
          <w:rFonts w:ascii="Times New Roman" w:cs="Times New Roman" w:eastAsia="Times New Roman" w:hAnsi="Times New Roman"/>
          <w:sz w:val="22"/>
          <w:szCs w:val="22"/>
          <w:b w:val="1"/>
          <w:bCs w:val="1"/>
          <w:i w:val="1"/>
          <w:iCs w:val="1"/>
          <w:color w:val="auto"/>
        </w:rPr>
        <w:t>Affiliate</w:t>
      </w:r>
      <w:r>
        <w:rPr>
          <w:rFonts w:ascii="Times New Roman" w:cs="Times New Roman" w:eastAsia="Times New Roman" w:hAnsi="Times New Roman"/>
          <w:sz w:val="22"/>
          <w:szCs w:val="22"/>
          <w:color w:val="auto"/>
        </w:rPr>
        <w:t>” means, with respect to any specified Person, at any time, a Person that, directly or indirectly, through one or more intermediaries, controls, or is controlled by, or is under common control with, such specified Person at such time. For purposes of this definition, “control,” when used with respect to any specified Person, shall mean (a) the direct or indirect ownership of more than 50% (or such lesser percentage which is the maximum allowed to be owned by a foreign corporation in a particular jurisdiction) of the total voting power of securities or other evidences of ownership interest in such Person or (b) the power to direct or cause the direction of the management and policies of such Person, directly or indirectly, whether through ownership of voting securities, by contract or otherwise.</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1.2  “</w:t>
      </w:r>
      <w:r>
        <w:rPr>
          <w:rFonts w:ascii="Times New Roman" w:cs="Times New Roman" w:eastAsia="Times New Roman" w:hAnsi="Times New Roman"/>
          <w:sz w:val="22"/>
          <w:szCs w:val="22"/>
          <w:b w:val="1"/>
          <w:bCs w:val="1"/>
          <w:i w:val="1"/>
          <w:iCs w:val="1"/>
          <w:color w:val="auto"/>
        </w:rPr>
        <w:t>Aggregate Shares Purchased</w:t>
      </w:r>
      <w:r>
        <w:rPr>
          <w:rFonts w:ascii="Times New Roman" w:cs="Times New Roman" w:eastAsia="Times New Roman" w:hAnsi="Times New Roman"/>
          <w:sz w:val="22"/>
          <w:szCs w:val="22"/>
          <w:color w:val="auto"/>
        </w:rPr>
        <w:t>” means 140,000.</w:t>
      </w:r>
    </w:p>
    <w:p>
      <w:pPr>
        <w:spacing w:after="0" w:line="22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1.3  “</w:t>
      </w:r>
      <w:r>
        <w:rPr>
          <w:rFonts w:ascii="Times New Roman" w:cs="Times New Roman" w:eastAsia="Times New Roman" w:hAnsi="Times New Roman"/>
          <w:sz w:val="22"/>
          <w:szCs w:val="22"/>
          <w:b w:val="1"/>
          <w:bCs w:val="1"/>
          <w:i w:val="1"/>
          <w:iCs w:val="1"/>
          <w:color w:val="auto"/>
        </w:rPr>
        <w:t>Capitalization Date</w:t>
      </w:r>
      <w:r>
        <w:rPr>
          <w:rFonts w:ascii="Times New Roman" w:cs="Times New Roman" w:eastAsia="Times New Roman" w:hAnsi="Times New Roman"/>
          <w:sz w:val="22"/>
          <w:szCs w:val="22"/>
          <w:color w:val="auto"/>
        </w:rPr>
        <w:t xml:space="preserve">” has the meaning ascribed to such term in </w:t>
      </w:r>
      <w:r>
        <w:rPr>
          <w:rFonts w:ascii="Times New Roman" w:cs="Times New Roman" w:eastAsia="Times New Roman" w:hAnsi="Times New Roman"/>
          <w:sz w:val="22"/>
          <w:szCs w:val="22"/>
          <w:u w:val="single" w:color="auto"/>
          <w:color w:val="auto"/>
        </w:rPr>
        <w:t>Section 4.1</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1.4  “</w:t>
      </w:r>
      <w:r>
        <w:rPr>
          <w:rFonts w:ascii="Times New Roman" w:cs="Times New Roman" w:eastAsia="Times New Roman" w:hAnsi="Times New Roman"/>
          <w:sz w:val="22"/>
          <w:szCs w:val="22"/>
          <w:b w:val="1"/>
          <w:bCs w:val="1"/>
          <w:i w:val="1"/>
          <w:iCs w:val="1"/>
          <w:color w:val="auto"/>
        </w:rPr>
        <w:t>Closing</w:t>
      </w:r>
      <w:r>
        <w:rPr>
          <w:rFonts w:ascii="Times New Roman" w:cs="Times New Roman" w:eastAsia="Times New Roman" w:hAnsi="Times New Roman"/>
          <w:sz w:val="22"/>
          <w:szCs w:val="22"/>
          <w:color w:val="auto"/>
        </w:rPr>
        <w:t xml:space="preserve">” has the meaning ascribed to such term in </w:t>
      </w:r>
      <w:r>
        <w:rPr>
          <w:rFonts w:ascii="Times New Roman" w:cs="Times New Roman" w:eastAsia="Times New Roman" w:hAnsi="Times New Roman"/>
          <w:sz w:val="22"/>
          <w:szCs w:val="22"/>
          <w:u w:val="single" w:color="auto"/>
          <w:color w:val="auto"/>
        </w:rPr>
        <w:t>Section 3.1</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1.5  “</w:t>
      </w:r>
      <w:r>
        <w:rPr>
          <w:rFonts w:ascii="Times New Roman" w:cs="Times New Roman" w:eastAsia="Times New Roman" w:hAnsi="Times New Roman"/>
          <w:sz w:val="22"/>
          <w:szCs w:val="22"/>
          <w:b w:val="1"/>
          <w:bCs w:val="1"/>
          <w:i w:val="1"/>
          <w:iCs w:val="1"/>
          <w:color w:val="auto"/>
        </w:rPr>
        <w:t>Closing Date</w:t>
      </w:r>
      <w:r>
        <w:rPr>
          <w:rFonts w:ascii="Times New Roman" w:cs="Times New Roman" w:eastAsia="Times New Roman" w:hAnsi="Times New Roman"/>
          <w:sz w:val="22"/>
          <w:szCs w:val="22"/>
          <w:color w:val="auto"/>
        </w:rPr>
        <w:t xml:space="preserve">” has the meaning ascribed to such term in </w:t>
      </w:r>
      <w:r>
        <w:rPr>
          <w:rFonts w:ascii="Times New Roman" w:cs="Times New Roman" w:eastAsia="Times New Roman" w:hAnsi="Times New Roman"/>
          <w:sz w:val="22"/>
          <w:szCs w:val="22"/>
          <w:u w:val="single" w:color="auto"/>
          <w:color w:val="auto"/>
        </w:rPr>
        <w:t>Section 3.1</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right="20" w:firstLine="749"/>
        <w:spacing w:after="0" w:line="264" w:lineRule="auto"/>
        <w:rPr>
          <w:sz w:val="20"/>
          <w:szCs w:val="20"/>
          <w:color w:val="auto"/>
        </w:rPr>
      </w:pPr>
      <w:r>
        <w:rPr>
          <w:rFonts w:ascii="Times New Roman" w:cs="Times New Roman" w:eastAsia="Times New Roman" w:hAnsi="Times New Roman"/>
          <w:sz w:val="22"/>
          <w:szCs w:val="22"/>
          <w:color w:val="auto"/>
        </w:rPr>
        <w:t xml:space="preserve">1.6 “ </w:t>
      </w:r>
      <w:r>
        <w:rPr>
          <w:rFonts w:ascii="Times New Roman" w:cs="Times New Roman" w:eastAsia="Times New Roman" w:hAnsi="Times New Roman"/>
          <w:sz w:val="22"/>
          <w:szCs w:val="22"/>
          <w:b w:val="1"/>
          <w:bCs w:val="1"/>
          <w:i w:val="1"/>
          <w:iCs w:val="1"/>
          <w:color w:val="auto"/>
        </w:rPr>
        <w:t>Common Stock</w:t>
      </w:r>
      <w:r>
        <w:rPr>
          <w:rFonts w:ascii="Times New Roman" w:cs="Times New Roman" w:eastAsia="Times New Roman" w:hAnsi="Times New Roman"/>
          <w:sz w:val="22"/>
          <w:szCs w:val="22"/>
          <w:color w:val="auto"/>
        </w:rPr>
        <w:t>” means the common stock of Axsome, par value $0.0001 per share, and any other class of securities into which such securities may hereafter be reclassified or changed into.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666750</wp:posOffset>
            </wp:positionV>
            <wp:extent cx="7157720" cy="42545"/>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471" w:name="page472"/>
    <w:bookmarkEnd w:id="471"/>
    <w:p>
      <w:pPr>
        <w:jc w:val="both"/>
        <w:ind w:firstLine="749"/>
        <w:spacing w:after="0" w:line="251" w:lineRule="auto"/>
        <w:rPr>
          <w:sz w:val="20"/>
          <w:szCs w:val="20"/>
          <w:color w:val="auto"/>
        </w:rPr>
      </w:pPr>
      <w:r>
        <w:rPr>
          <w:rFonts w:ascii="Times New Roman" w:cs="Times New Roman" w:eastAsia="Times New Roman" w:hAnsi="Times New Roman"/>
          <w:sz w:val="22"/>
          <w:szCs w:val="22"/>
          <w:color w:val="auto"/>
        </w:rPr>
        <w:t>1.7 “</w:t>
      </w:r>
      <w:r>
        <w:rPr>
          <w:rFonts w:ascii="Times New Roman" w:cs="Times New Roman" w:eastAsia="Times New Roman" w:hAnsi="Times New Roman"/>
          <w:sz w:val="22"/>
          <w:szCs w:val="22"/>
          <w:b w:val="1"/>
          <w:bCs w:val="1"/>
          <w:i w:val="1"/>
          <w:iCs w:val="1"/>
          <w:color w:val="auto"/>
        </w:rPr>
        <w:t>Exchange Act</w:t>
      </w:r>
      <w:r>
        <w:rPr>
          <w:rFonts w:ascii="Times New Roman" w:cs="Times New Roman" w:eastAsia="Times New Roman" w:hAnsi="Times New Roman"/>
          <w:sz w:val="22"/>
          <w:szCs w:val="22"/>
          <w:color w:val="auto"/>
        </w:rPr>
        <w:t>” means the Securities Exchange Act of 1934, as amended, together with the rules and regulations promulgated thereunder.</w:t>
      </w:r>
    </w:p>
    <w:p>
      <w:pPr>
        <w:ind w:left="1180"/>
        <w:spacing w:after="0"/>
        <w:rPr>
          <w:sz w:val="20"/>
          <w:szCs w:val="20"/>
          <w:color w:val="auto"/>
        </w:rPr>
      </w:pPr>
      <w:r>
        <w:rPr>
          <w:rFonts w:ascii="Times New Roman" w:cs="Times New Roman" w:eastAsia="Times New Roman" w:hAnsi="Times New Roman"/>
          <w:sz w:val="22"/>
          <w:szCs w:val="22"/>
          <w:color w:val="auto"/>
        </w:rPr>
        <w:t>1.8  “</w:t>
      </w:r>
      <w:r>
        <w:rPr>
          <w:rFonts w:ascii="Times New Roman" w:cs="Times New Roman" w:eastAsia="Times New Roman" w:hAnsi="Times New Roman"/>
          <w:sz w:val="22"/>
          <w:szCs w:val="22"/>
          <w:b w:val="1"/>
          <w:bCs w:val="1"/>
          <w:i w:val="1"/>
          <w:iCs w:val="1"/>
          <w:color w:val="auto"/>
        </w:rPr>
        <w:t>FDA</w:t>
      </w:r>
      <w:r>
        <w:rPr>
          <w:rFonts w:ascii="Times New Roman" w:cs="Times New Roman" w:eastAsia="Times New Roman" w:hAnsi="Times New Roman"/>
          <w:sz w:val="22"/>
          <w:szCs w:val="22"/>
          <w:color w:val="auto"/>
        </w:rPr>
        <w:t xml:space="preserve">” has the meaning ascribed to such term in </w:t>
      </w:r>
      <w:r>
        <w:rPr>
          <w:rFonts w:ascii="Times New Roman" w:cs="Times New Roman" w:eastAsia="Times New Roman" w:hAnsi="Times New Roman"/>
          <w:sz w:val="22"/>
          <w:szCs w:val="22"/>
          <w:u w:val="single" w:color="auto"/>
          <w:color w:val="auto"/>
        </w:rPr>
        <w:t>Section 4.7</w:t>
      </w:r>
    </w:p>
    <w:p>
      <w:pPr>
        <w:spacing w:after="0" w:line="176"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22"/>
          <w:szCs w:val="22"/>
          <w:color w:val="auto"/>
        </w:rPr>
        <w:t>1.9  “</w:t>
      </w:r>
      <w:r>
        <w:rPr>
          <w:rFonts w:ascii="Times New Roman" w:cs="Times New Roman" w:eastAsia="Times New Roman" w:hAnsi="Times New Roman"/>
          <w:sz w:val="22"/>
          <w:szCs w:val="22"/>
          <w:b w:val="1"/>
          <w:bCs w:val="1"/>
          <w:i w:val="1"/>
          <w:iCs w:val="1"/>
          <w:color w:val="auto"/>
        </w:rPr>
        <w:t>FDA Documents</w:t>
      </w:r>
      <w:r>
        <w:rPr>
          <w:rFonts w:ascii="Times New Roman" w:cs="Times New Roman" w:eastAsia="Times New Roman" w:hAnsi="Times New Roman"/>
          <w:sz w:val="22"/>
          <w:szCs w:val="22"/>
          <w:color w:val="auto"/>
        </w:rPr>
        <w:t xml:space="preserve">” has the meaning ascribed to such term in </w:t>
      </w:r>
      <w:r>
        <w:rPr>
          <w:rFonts w:ascii="Times New Roman" w:cs="Times New Roman" w:eastAsia="Times New Roman" w:hAnsi="Times New Roman"/>
          <w:sz w:val="22"/>
          <w:szCs w:val="22"/>
          <w:u w:val="single" w:color="auto"/>
          <w:color w:val="auto"/>
        </w:rPr>
        <w:t>Section 4.7</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22"/>
          <w:szCs w:val="22"/>
          <w:color w:val="auto"/>
        </w:rPr>
        <w:t>1.10 “</w:t>
      </w:r>
      <w:r>
        <w:rPr>
          <w:rFonts w:ascii="Times New Roman" w:cs="Times New Roman" w:eastAsia="Times New Roman" w:hAnsi="Times New Roman"/>
          <w:sz w:val="22"/>
          <w:szCs w:val="22"/>
          <w:b w:val="1"/>
          <w:bCs w:val="1"/>
          <w:i w:val="1"/>
          <w:iCs w:val="1"/>
          <w:color w:val="auto"/>
        </w:rPr>
        <w:t>GAAP</w:t>
      </w:r>
      <w:r>
        <w:rPr>
          <w:rFonts w:ascii="Times New Roman" w:cs="Times New Roman" w:eastAsia="Times New Roman" w:hAnsi="Times New Roman"/>
          <w:sz w:val="22"/>
          <w:szCs w:val="22"/>
          <w:color w:val="auto"/>
        </w:rPr>
        <w:t>” means generally accepted accounting principles in the United States.</w:t>
      </w:r>
    </w:p>
    <w:p>
      <w:pPr>
        <w:spacing w:after="0" w:line="193"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2"/>
          <w:szCs w:val="22"/>
          <w:color w:val="auto"/>
        </w:rPr>
        <w:t>1.11 “</w:t>
      </w:r>
      <w:r>
        <w:rPr>
          <w:rFonts w:ascii="Times New Roman" w:cs="Times New Roman" w:eastAsia="Times New Roman" w:hAnsi="Times New Roman"/>
          <w:sz w:val="22"/>
          <w:szCs w:val="22"/>
          <w:b w:val="1"/>
          <w:bCs w:val="1"/>
          <w:i w:val="1"/>
          <w:iCs w:val="1"/>
          <w:color w:val="auto"/>
        </w:rPr>
        <w:t>Knowledge</w:t>
      </w:r>
      <w:r>
        <w:rPr>
          <w:rFonts w:ascii="Times New Roman" w:cs="Times New Roman" w:eastAsia="Times New Roman" w:hAnsi="Times New Roman"/>
          <w:sz w:val="22"/>
          <w:szCs w:val="22"/>
          <w:color w:val="auto"/>
        </w:rPr>
        <w:t>” means the actual knowledge of each of the Chief Executive Officer, President and Chairman of the Board, the Chief Financial Officer, Chief Operating Officer, and the General Counsel of Axsome, assuming that such Person engaged in reasonable inquiry or investigation with respect to the relative subject matter.</w:t>
      </w:r>
    </w:p>
    <w:p>
      <w:pPr>
        <w:spacing w:after="0" w:line="164"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2"/>
          <w:szCs w:val="22"/>
          <w:color w:val="auto"/>
        </w:rPr>
        <w:t>1.12 “</w:t>
      </w:r>
      <w:r>
        <w:rPr>
          <w:rFonts w:ascii="Times New Roman" w:cs="Times New Roman" w:eastAsia="Times New Roman" w:hAnsi="Times New Roman"/>
          <w:sz w:val="22"/>
          <w:szCs w:val="22"/>
          <w:b w:val="1"/>
          <w:bCs w:val="1"/>
          <w:i w:val="1"/>
          <w:iCs w:val="1"/>
          <w:color w:val="auto"/>
        </w:rPr>
        <w:t>Loan Agreement</w:t>
      </w:r>
      <w:r>
        <w:rPr>
          <w:rFonts w:ascii="Times New Roman" w:cs="Times New Roman" w:eastAsia="Times New Roman" w:hAnsi="Times New Roman"/>
          <w:sz w:val="22"/>
          <w:szCs w:val="22"/>
          <w:color w:val="auto"/>
        </w:rPr>
        <w:t>” means the Loan Agreement, dated as of May 8, 2025, by and among Axsome, certain subsidiaries of Axsome from time to time party thereto, Blackstone Life Sciences and each other lender from time to time party thereto, and Wilmington Trust, National Association, as agent.</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1.13 “</w:t>
      </w:r>
      <w:r>
        <w:rPr>
          <w:rFonts w:ascii="Times New Roman" w:cs="Times New Roman" w:eastAsia="Times New Roman" w:hAnsi="Times New Roman"/>
          <w:sz w:val="22"/>
          <w:szCs w:val="22"/>
          <w:b w:val="1"/>
          <w:bCs w:val="1"/>
          <w:i w:val="1"/>
          <w:iCs w:val="1"/>
          <w:color w:val="auto"/>
        </w:rPr>
        <w:t>Lock-Up Period</w:t>
      </w:r>
      <w:r>
        <w:rPr>
          <w:rFonts w:ascii="Times New Roman" w:cs="Times New Roman" w:eastAsia="Times New Roman" w:hAnsi="Times New Roman"/>
          <w:sz w:val="22"/>
          <w:szCs w:val="22"/>
          <w:color w:val="auto"/>
        </w:rPr>
        <w:t xml:space="preserve">” has the meaning ascribed to such term in </w:t>
      </w:r>
      <w:r>
        <w:rPr>
          <w:rFonts w:ascii="Times New Roman" w:cs="Times New Roman" w:eastAsia="Times New Roman" w:hAnsi="Times New Roman"/>
          <w:sz w:val="22"/>
          <w:szCs w:val="22"/>
          <w:u w:val="single" w:color="auto"/>
          <w:color w:val="auto"/>
        </w:rPr>
        <w:t>Section 7</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1.14 “</w:t>
      </w:r>
      <w:r>
        <w:rPr>
          <w:rFonts w:ascii="Times New Roman" w:cs="Times New Roman" w:eastAsia="Times New Roman" w:hAnsi="Times New Roman"/>
          <w:sz w:val="22"/>
          <w:szCs w:val="22"/>
          <w:b w:val="1"/>
          <w:bCs w:val="1"/>
          <w:i w:val="1"/>
          <w:iCs w:val="1"/>
          <w:color w:val="auto"/>
        </w:rPr>
        <w:t>Material Adverse Effect</w:t>
      </w:r>
      <w:r>
        <w:rPr>
          <w:rFonts w:ascii="Times New Roman" w:cs="Times New Roman" w:eastAsia="Times New Roman" w:hAnsi="Times New Roman"/>
          <w:sz w:val="22"/>
          <w:szCs w:val="22"/>
          <w:color w:val="auto"/>
        </w:rPr>
        <w:t>” on or with respect to an entity (or group of entities taken as a whole) means any state of facts, event, change or effect that has had, or that would reasonably expected to have, (i) a material adverse effect on the business, properties, prospects, results of operations or financial condition of such entity (or of such group of entities taken as a whole) or (ii) a material adverse effect on the performance of this Agreement or the consummation of any of the transactions contemplated hereby.</w:t>
      </w:r>
    </w:p>
    <w:p>
      <w:pPr>
        <w:spacing w:after="0" w:line="17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1.15 “</w:t>
      </w:r>
      <w:r>
        <w:rPr>
          <w:rFonts w:ascii="Times New Roman" w:cs="Times New Roman" w:eastAsia="Times New Roman" w:hAnsi="Times New Roman"/>
          <w:sz w:val="22"/>
          <w:szCs w:val="22"/>
          <w:b w:val="1"/>
          <w:bCs w:val="1"/>
          <w:i w:val="1"/>
          <w:iCs w:val="1"/>
          <w:color w:val="auto"/>
        </w:rPr>
        <w:t>Nasdaq</w:t>
      </w:r>
      <w:r>
        <w:rPr>
          <w:rFonts w:ascii="Times New Roman" w:cs="Times New Roman" w:eastAsia="Times New Roman" w:hAnsi="Times New Roman"/>
          <w:sz w:val="22"/>
          <w:szCs w:val="22"/>
          <w:color w:val="auto"/>
        </w:rPr>
        <w:t>” means the Nasdaq Stock Market, Inc.</w:t>
      </w:r>
    </w:p>
    <w:p>
      <w:pPr>
        <w:spacing w:after="0" w:line="206"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22"/>
          <w:szCs w:val="22"/>
          <w:color w:val="auto"/>
        </w:rPr>
        <w:t>1.16 “</w:t>
      </w:r>
      <w:r>
        <w:rPr>
          <w:rFonts w:ascii="Times New Roman" w:cs="Times New Roman" w:eastAsia="Times New Roman" w:hAnsi="Times New Roman"/>
          <w:sz w:val="22"/>
          <w:szCs w:val="22"/>
          <w:b w:val="1"/>
          <w:bCs w:val="1"/>
          <w:i w:val="1"/>
          <w:iCs w:val="1"/>
          <w:color w:val="auto"/>
        </w:rPr>
        <w:t>Offering</w:t>
      </w:r>
      <w:r>
        <w:rPr>
          <w:rFonts w:ascii="Times New Roman" w:cs="Times New Roman" w:eastAsia="Times New Roman" w:hAnsi="Times New Roman"/>
          <w:sz w:val="22"/>
          <w:szCs w:val="22"/>
          <w:color w:val="auto"/>
        </w:rPr>
        <w:t>” has the meaning ascribed to such term in the Background.</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1.17 “</w:t>
      </w:r>
      <w:r>
        <w:rPr>
          <w:rFonts w:ascii="Times New Roman" w:cs="Times New Roman" w:eastAsia="Times New Roman" w:hAnsi="Times New Roman"/>
          <w:sz w:val="22"/>
          <w:szCs w:val="22"/>
          <w:b w:val="1"/>
          <w:bCs w:val="1"/>
          <w:i w:val="1"/>
          <w:iCs w:val="1"/>
          <w:color w:val="auto"/>
        </w:rPr>
        <w:t>Party</w:t>
      </w:r>
      <w:r>
        <w:rPr>
          <w:rFonts w:ascii="Times New Roman" w:cs="Times New Roman" w:eastAsia="Times New Roman" w:hAnsi="Times New Roman"/>
          <w:sz w:val="22"/>
          <w:szCs w:val="22"/>
          <w:color w:val="auto"/>
        </w:rPr>
        <w:t>” means a party to this Agreement.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1.18 “</w:t>
      </w:r>
      <w:r>
        <w:rPr>
          <w:rFonts w:ascii="Times New Roman" w:cs="Times New Roman" w:eastAsia="Times New Roman" w:hAnsi="Times New Roman"/>
          <w:sz w:val="22"/>
          <w:szCs w:val="22"/>
          <w:b w:val="1"/>
          <w:bCs w:val="1"/>
          <w:i w:val="1"/>
          <w:iCs w:val="1"/>
          <w:color w:val="auto"/>
        </w:rPr>
        <w:t>Per Share Price</w:t>
      </w:r>
      <w:r>
        <w:rPr>
          <w:rFonts w:ascii="Times New Roman" w:cs="Times New Roman" w:eastAsia="Times New Roman" w:hAnsi="Times New Roman"/>
          <w:sz w:val="22"/>
          <w:szCs w:val="22"/>
          <w:color w:val="auto"/>
        </w:rPr>
        <w:t>” means $107.14.</w:t>
      </w:r>
    </w:p>
    <w:p>
      <w:pPr>
        <w:spacing w:after="0" w:line="220"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2"/>
          <w:szCs w:val="22"/>
          <w:color w:val="auto"/>
        </w:rPr>
        <w:t>1.19 “</w:t>
      </w:r>
      <w:r>
        <w:rPr>
          <w:rFonts w:ascii="Times New Roman" w:cs="Times New Roman" w:eastAsia="Times New Roman" w:hAnsi="Times New Roman"/>
          <w:sz w:val="22"/>
          <w:szCs w:val="22"/>
          <w:b w:val="1"/>
          <w:bCs w:val="1"/>
          <w:i w:val="1"/>
          <w:iCs w:val="1"/>
          <w:color w:val="auto"/>
        </w:rPr>
        <w:t>Person</w:t>
      </w:r>
      <w:r>
        <w:rPr>
          <w:rFonts w:ascii="Times New Roman" w:cs="Times New Roman" w:eastAsia="Times New Roman" w:hAnsi="Times New Roman"/>
          <w:sz w:val="22"/>
          <w:szCs w:val="22"/>
          <w:color w:val="auto"/>
        </w:rPr>
        <w:t>” means any individual, firm, corporation, partnership, limited liability company, trust, incorporated or unincorporated association, joint venture, joint stock company, government (or an agency or political subdivision thereof) or other entity of any kind, and shall include any successor (by merger or otherwise) of such entity.</w:t>
      </w:r>
    </w:p>
    <w:p>
      <w:pPr>
        <w:spacing w:after="0" w:line="164"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22"/>
          <w:szCs w:val="22"/>
          <w:color w:val="auto"/>
        </w:rPr>
        <w:t>1.20 “</w:t>
      </w:r>
      <w:r>
        <w:rPr>
          <w:rFonts w:ascii="Times New Roman" w:cs="Times New Roman" w:eastAsia="Times New Roman" w:hAnsi="Times New Roman"/>
          <w:sz w:val="22"/>
          <w:szCs w:val="22"/>
          <w:b w:val="1"/>
          <w:bCs w:val="1"/>
          <w:i w:val="1"/>
          <w:iCs w:val="1"/>
          <w:color w:val="auto"/>
        </w:rPr>
        <w:t>Press Release</w:t>
      </w:r>
      <w:r>
        <w:rPr>
          <w:rFonts w:ascii="Times New Roman" w:cs="Times New Roman" w:eastAsia="Times New Roman" w:hAnsi="Times New Roman"/>
          <w:sz w:val="22"/>
          <w:szCs w:val="22"/>
          <w:color w:val="auto"/>
        </w:rPr>
        <w:t xml:space="preserve">” has the meaning ascribed to such term in </w:t>
      </w:r>
      <w:r>
        <w:rPr>
          <w:rFonts w:ascii="Times New Roman" w:cs="Times New Roman" w:eastAsia="Times New Roman" w:hAnsi="Times New Roman"/>
          <w:sz w:val="22"/>
          <w:szCs w:val="22"/>
          <w:u w:val="single" w:color="auto"/>
          <w:color w:val="auto"/>
        </w:rPr>
        <w:t>Section 9.4</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1"/>
          <w:szCs w:val="21"/>
          <w:color w:val="auto"/>
        </w:rPr>
        <w:t>1.21 “</w:t>
      </w:r>
      <w:r>
        <w:rPr>
          <w:rFonts w:ascii="Times New Roman" w:cs="Times New Roman" w:eastAsia="Times New Roman" w:hAnsi="Times New Roman"/>
          <w:sz w:val="21"/>
          <w:szCs w:val="21"/>
          <w:b w:val="1"/>
          <w:bCs w:val="1"/>
          <w:i w:val="1"/>
          <w:iCs w:val="1"/>
          <w:color w:val="auto"/>
        </w:rPr>
        <w:t>Purchase Price</w:t>
      </w:r>
      <w:r>
        <w:rPr>
          <w:rFonts w:ascii="Times New Roman" w:cs="Times New Roman" w:eastAsia="Times New Roman" w:hAnsi="Times New Roman"/>
          <w:sz w:val="21"/>
          <w:szCs w:val="21"/>
          <w:color w:val="auto"/>
        </w:rPr>
        <w:t>” means the aggregate purchase price payable for the Aggregate Shares Purchased at the Per Share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Price.</w:t>
      </w:r>
    </w:p>
    <w:p>
      <w:pPr>
        <w:spacing w:after="0" w:line="163"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2"/>
          <w:szCs w:val="22"/>
          <w:color w:val="auto"/>
        </w:rPr>
        <w:t>1.22 “</w:t>
      </w:r>
      <w:r>
        <w:rPr>
          <w:rFonts w:ascii="Times New Roman" w:cs="Times New Roman" w:eastAsia="Times New Roman" w:hAnsi="Times New Roman"/>
          <w:sz w:val="22"/>
          <w:szCs w:val="22"/>
          <w:b w:val="1"/>
          <w:bCs w:val="1"/>
          <w:i w:val="1"/>
          <w:iCs w:val="1"/>
          <w:color w:val="auto"/>
        </w:rPr>
        <w:t>Registered</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b w:val="1"/>
          <w:bCs w:val="1"/>
          <w:i w:val="1"/>
          <w:iCs w:val="1"/>
          <w:color w:val="auto"/>
        </w:rPr>
        <w:t>Registration</w:t>
      </w:r>
      <w:r>
        <w:rPr>
          <w:rFonts w:ascii="Times New Roman" w:cs="Times New Roman" w:eastAsia="Times New Roman" w:hAnsi="Times New Roman"/>
          <w:sz w:val="22"/>
          <w:szCs w:val="22"/>
          <w:color w:val="auto"/>
        </w:rPr>
        <w:t>” refer to a registration effected by preparing and filing a Registration Statement in compliance with the Securities Act, and the declaration or ordering of effectiveness of such Registration Statement or document by the SEC.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1638300</wp:posOffset>
            </wp:positionV>
            <wp:extent cx="7157720" cy="42545"/>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6" w:right="339" w:bottom="1440" w:gutter="0" w:footer="0" w:header="0"/>
        </w:sectPr>
      </w:pPr>
    </w:p>
    <w:bookmarkStart w:id="472" w:name="page473"/>
    <w:bookmarkEnd w:id="472"/>
    <w:p>
      <w:pPr>
        <w:ind w:left="5500"/>
        <w:spacing w:after="0"/>
        <w:rPr>
          <w:sz w:val="20"/>
          <w:szCs w:val="20"/>
          <w:color w:val="auto"/>
        </w:rPr>
      </w:pPr>
      <w:r>
        <w:rPr>
          <w:rFonts w:ascii="Times New Roman" w:cs="Times New Roman" w:eastAsia="Times New Roman" w:hAnsi="Times New Roman"/>
          <w:sz w:val="22"/>
          <w:szCs w:val="22"/>
          <w:color w:val="auto"/>
        </w:rPr>
        <w:t>-2-</w:t>
      </w:r>
    </w:p>
    <w:p>
      <w:pPr>
        <w:spacing w:after="0" w:line="2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1.23 “</w:t>
      </w:r>
      <w:r>
        <w:rPr>
          <w:rFonts w:ascii="Times New Roman" w:cs="Times New Roman" w:eastAsia="Times New Roman" w:hAnsi="Times New Roman"/>
          <w:sz w:val="22"/>
          <w:szCs w:val="22"/>
          <w:b w:val="1"/>
          <w:bCs w:val="1"/>
          <w:i w:val="1"/>
          <w:iCs w:val="1"/>
          <w:color w:val="auto"/>
        </w:rPr>
        <w:t>Registration Statement</w:t>
      </w:r>
      <w:r>
        <w:rPr>
          <w:rFonts w:ascii="Times New Roman" w:cs="Times New Roman" w:eastAsia="Times New Roman" w:hAnsi="Times New Roman"/>
          <w:sz w:val="22"/>
          <w:szCs w:val="22"/>
          <w:color w:val="auto"/>
        </w:rPr>
        <w:t>” means a registration statement filed pursuant to the Securities Act.</w:t>
      </w:r>
    </w:p>
    <w:p>
      <w:pPr>
        <w:spacing w:after="0" w:line="19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1.24 “</w:t>
      </w:r>
      <w:r>
        <w:rPr>
          <w:rFonts w:ascii="Times New Roman" w:cs="Times New Roman" w:eastAsia="Times New Roman" w:hAnsi="Times New Roman"/>
          <w:sz w:val="22"/>
          <w:szCs w:val="22"/>
          <w:b w:val="1"/>
          <w:bCs w:val="1"/>
          <w:i w:val="1"/>
          <w:iCs w:val="1"/>
          <w:color w:val="auto"/>
        </w:rPr>
        <w:t>Rule 144</w:t>
      </w:r>
      <w:r>
        <w:rPr>
          <w:rFonts w:ascii="Times New Roman" w:cs="Times New Roman" w:eastAsia="Times New Roman" w:hAnsi="Times New Roman"/>
          <w:sz w:val="22"/>
          <w:szCs w:val="22"/>
          <w:color w:val="auto"/>
        </w:rPr>
        <w:t>” means Rule 144 promulgated under the Securities Act, or any successor rule.</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1.25 “</w:t>
      </w:r>
      <w:r>
        <w:rPr>
          <w:rFonts w:ascii="Times New Roman" w:cs="Times New Roman" w:eastAsia="Times New Roman" w:hAnsi="Times New Roman"/>
          <w:sz w:val="22"/>
          <w:szCs w:val="22"/>
          <w:b w:val="1"/>
          <w:bCs w:val="1"/>
          <w:i w:val="1"/>
          <w:iCs w:val="1"/>
          <w:color w:val="auto"/>
        </w:rPr>
        <w:t>Sanctions</w:t>
      </w:r>
      <w:r>
        <w:rPr>
          <w:rFonts w:ascii="Times New Roman" w:cs="Times New Roman" w:eastAsia="Times New Roman" w:hAnsi="Times New Roman"/>
          <w:sz w:val="22"/>
          <w:szCs w:val="22"/>
          <w:color w:val="auto"/>
        </w:rPr>
        <w:t xml:space="preserve">” has the meaning ascribed to such term in </w:t>
      </w:r>
      <w:r>
        <w:rPr>
          <w:rFonts w:ascii="Times New Roman" w:cs="Times New Roman" w:eastAsia="Times New Roman" w:hAnsi="Times New Roman"/>
          <w:sz w:val="22"/>
          <w:szCs w:val="22"/>
          <w:u w:val="single" w:color="auto"/>
          <w:color w:val="auto"/>
        </w:rPr>
        <w:t>Section 4.20</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22"/>
          <w:szCs w:val="22"/>
          <w:color w:val="auto"/>
        </w:rPr>
        <w:t>1.26 “</w:t>
      </w:r>
      <w:r>
        <w:rPr>
          <w:rFonts w:ascii="Times New Roman" w:cs="Times New Roman" w:eastAsia="Times New Roman" w:hAnsi="Times New Roman"/>
          <w:sz w:val="22"/>
          <w:szCs w:val="22"/>
          <w:b w:val="1"/>
          <w:bCs w:val="1"/>
          <w:i w:val="1"/>
          <w:iCs w:val="1"/>
          <w:color w:val="auto"/>
        </w:rPr>
        <w:t>Sanctioned Country</w:t>
      </w:r>
      <w:r>
        <w:rPr>
          <w:rFonts w:ascii="Times New Roman" w:cs="Times New Roman" w:eastAsia="Times New Roman" w:hAnsi="Times New Roman"/>
          <w:sz w:val="22"/>
          <w:szCs w:val="22"/>
          <w:color w:val="auto"/>
        </w:rPr>
        <w:t xml:space="preserve">” has the meaning ascribed to such term in </w:t>
      </w:r>
      <w:r>
        <w:rPr>
          <w:rFonts w:ascii="Times New Roman" w:cs="Times New Roman" w:eastAsia="Times New Roman" w:hAnsi="Times New Roman"/>
          <w:sz w:val="22"/>
          <w:szCs w:val="22"/>
          <w:u w:val="single" w:color="auto"/>
          <w:color w:val="auto"/>
        </w:rPr>
        <w:t>Section 4.20</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1.27 “</w:t>
      </w:r>
      <w:r>
        <w:rPr>
          <w:rFonts w:ascii="Times New Roman" w:cs="Times New Roman" w:eastAsia="Times New Roman" w:hAnsi="Times New Roman"/>
          <w:sz w:val="22"/>
          <w:szCs w:val="22"/>
          <w:b w:val="1"/>
          <w:bCs w:val="1"/>
          <w:i w:val="1"/>
          <w:iCs w:val="1"/>
          <w:color w:val="auto"/>
        </w:rPr>
        <w:t>SEC</w:t>
      </w:r>
      <w:r>
        <w:rPr>
          <w:rFonts w:ascii="Times New Roman" w:cs="Times New Roman" w:eastAsia="Times New Roman" w:hAnsi="Times New Roman"/>
          <w:sz w:val="22"/>
          <w:szCs w:val="22"/>
          <w:color w:val="auto"/>
        </w:rPr>
        <w:t>” means the U.S. Securities and Exchange Commission.</w:t>
      </w:r>
    </w:p>
    <w:p>
      <w:pPr>
        <w:spacing w:after="0" w:line="206"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22"/>
          <w:szCs w:val="22"/>
          <w:color w:val="auto"/>
        </w:rPr>
        <w:t>1.28 “</w:t>
      </w:r>
      <w:r>
        <w:rPr>
          <w:rFonts w:ascii="Times New Roman" w:cs="Times New Roman" w:eastAsia="Times New Roman" w:hAnsi="Times New Roman"/>
          <w:sz w:val="22"/>
          <w:szCs w:val="22"/>
          <w:b w:val="1"/>
          <w:bCs w:val="1"/>
          <w:i w:val="1"/>
          <w:iCs w:val="1"/>
          <w:color w:val="auto"/>
        </w:rPr>
        <w:t>SEC Documents</w:t>
      </w:r>
      <w:r>
        <w:rPr>
          <w:rFonts w:ascii="Times New Roman" w:cs="Times New Roman" w:eastAsia="Times New Roman" w:hAnsi="Times New Roman"/>
          <w:sz w:val="22"/>
          <w:szCs w:val="22"/>
          <w:color w:val="auto"/>
        </w:rPr>
        <w:t xml:space="preserve">” has the meaning ascribed to such term in </w:t>
      </w:r>
      <w:r>
        <w:rPr>
          <w:rFonts w:ascii="Times New Roman" w:cs="Times New Roman" w:eastAsia="Times New Roman" w:hAnsi="Times New Roman"/>
          <w:sz w:val="22"/>
          <w:szCs w:val="22"/>
          <w:u w:val="single" w:color="auto"/>
          <w:color w:val="auto"/>
        </w:rPr>
        <w:t>Section 4.7</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1.29 “</w:t>
      </w:r>
      <w:r>
        <w:rPr>
          <w:rFonts w:ascii="Times New Roman" w:cs="Times New Roman" w:eastAsia="Times New Roman" w:hAnsi="Times New Roman"/>
          <w:sz w:val="22"/>
          <w:szCs w:val="22"/>
          <w:b w:val="1"/>
          <w:bCs w:val="1"/>
          <w:i w:val="1"/>
          <w:iCs w:val="1"/>
          <w:color w:val="auto"/>
        </w:rPr>
        <w:t>SEC Guidance</w:t>
      </w:r>
      <w:r>
        <w:rPr>
          <w:rFonts w:ascii="Times New Roman" w:cs="Times New Roman" w:eastAsia="Times New Roman" w:hAnsi="Times New Roman"/>
          <w:sz w:val="22"/>
          <w:szCs w:val="22"/>
          <w:color w:val="auto"/>
        </w:rPr>
        <w:t>” means any publicly-available written guidance, or rule of general applicability of the SEC staff.</w:t>
      </w:r>
    </w:p>
    <w:p>
      <w:pPr>
        <w:spacing w:after="0" w:line="220" w:lineRule="exact"/>
        <w:rPr>
          <w:sz w:val="20"/>
          <w:szCs w:val="20"/>
          <w:color w:val="auto"/>
        </w:rPr>
      </w:pPr>
    </w:p>
    <w:p>
      <w:pPr>
        <w:ind w:firstLine="749"/>
        <w:spacing w:after="0" w:line="264" w:lineRule="auto"/>
        <w:rPr>
          <w:sz w:val="20"/>
          <w:szCs w:val="20"/>
          <w:color w:val="auto"/>
        </w:rPr>
      </w:pPr>
      <w:r>
        <w:rPr>
          <w:rFonts w:ascii="Times New Roman" w:cs="Times New Roman" w:eastAsia="Times New Roman" w:hAnsi="Times New Roman"/>
          <w:sz w:val="22"/>
          <w:szCs w:val="22"/>
          <w:color w:val="auto"/>
        </w:rPr>
        <w:t>1.30 “</w:t>
      </w:r>
      <w:r>
        <w:rPr>
          <w:rFonts w:ascii="Times New Roman" w:cs="Times New Roman" w:eastAsia="Times New Roman" w:hAnsi="Times New Roman"/>
          <w:sz w:val="22"/>
          <w:szCs w:val="22"/>
          <w:b w:val="1"/>
          <w:bCs w:val="1"/>
          <w:i w:val="1"/>
          <w:iCs w:val="1"/>
          <w:color w:val="auto"/>
        </w:rPr>
        <w:t>Securities Act</w:t>
      </w:r>
      <w:r>
        <w:rPr>
          <w:rFonts w:ascii="Times New Roman" w:cs="Times New Roman" w:eastAsia="Times New Roman" w:hAnsi="Times New Roman"/>
          <w:sz w:val="22"/>
          <w:szCs w:val="22"/>
          <w:color w:val="auto"/>
        </w:rPr>
        <w:t>” means the Securities Act of 1933, as amended, together with the rules and regulations promulgated thereunder.</w:t>
      </w:r>
    </w:p>
    <w:p>
      <w:pPr>
        <w:spacing w:after="0" w:line="14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1.31 “</w:t>
      </w:r>
      <w:r>
        <w:rPr>
          <w:rFonts w:ascii="Times New Roman" w:cs="Times New Roman" w:eastAsia="Times New Roman" w:hAnsi="Times New Roman"/>
          <w:sz w:val="22"/>
          <w:szCs w:val="22"/>
          <w:b w:val="1"/>
          <w:bCs w:val="1"/>
          <w:i w:val="1"/>
          <w:iCs w:val="1"/>
          <w:color w:val="auto"/>
        </w:rPr>
        <w:t>Shares</w:t>
      </w:r>
      <w:r>
        <w:rPr>
          <w:rFonts w:ascii="Times New Roman" w:cs="Times New Roman" w:eastAsia="Times New Roman" w:hAnsi="Times New Roman"/>
          <w:sz w:val="22"/>
          <w:szCs w:val="22"/>
          <w:color w:val="auto"/>
        </w:rPr>
        <w:t>” means the shares of Common Stock to be issued to each Purchaser pursuant to this Agreement.</w:t>
      </w:r>
    </w:p>
    <w:p>
      <w:pPr>
        <w:spacing w:after="0" w:line="206"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22"/>
          <w:szCs w:val="22"/>
          <w:color w:val="auto"/>
        </w:rPr>
        <w:t>1.32 “</w:t>
      </w:r>
      <w:r>
        <w:rPr>
          <w:rFonts w:ascii="Times New Roman" w:cs="Times New Roman" w:eastAsia="Times New Roman" w:hAnsi="Times New Roman"/>
          <w:sz w:val="22"/>
          <w:szCs w:val="22"/>
          <w:b w:val="1"/>
          <w:bCs w:val="1"/>
          <w:i w:val="1"/>
          <w:iCs w:val="1"/>
          <w:color w:val="auto"/>
        </w:rPr>
        <w:t>Trading Day</w:t>
      </w:r>
      <w:r>
        <w:rPr>
          <w:rFonts w:ascii="Times New Roman" w:cs="Times New Roman" w:eastAsia="Times New Roman" w:hAnsi="Times New Roman"/>
          <w:sz w:val="22"/>
          <w:szCs w:val="22"/>
          <w:color w:val="auto"/>
        </w:rPr>
        <w:t>” means a day on which the Common Stock is traded on Nasdaq.</w:t>
      </w:r>
    </w:p>
    <w:p>
      <w:pPr>
        <w:spacing w:after="0" w:line="206" w:lineRule="exact"/>
        <w:rPr>
          <w:sz w:val="20"/>
          <w:szCs w:val="20"/>
          <w:color w:val="auto"/>
        </w:rPr>
      </w:pPr>
    </w:p>
    <w:p>
      <w:pPr>
        <w:ind w:firstLine="749"/>
        <w:spacing w:after="0" w:line="264" w:lineRule="auto"/>
        <w:rPr>
          <w:sz w:val="20"/>
          <w:szCs w:val="20"/>
          <w:color w:val="auto"/>
        </w:rPr>
      </w:pPr>
      <w:r>
        <w:rPr>
          <w:rFonts w:ascii="Times New Roman" w:cs="Times New Roman" w:eastAsia="Times New Roman" w:hAnsi="Times New Roman"/>
          <w:sz w:val="22"/>
          <w:szCs w:val="22"/>
          <w:color w:val="auto"/>
        </w:rPr>
        <w:t>1.33 “</w:t>
      </w:r>
      <w:r>
        <w:rPr>
          <w:rFonts w:ascii="Times New Roman" w:cs="Times New Roman" w:eastAsia="Times New Roman" w:hAnsi="Times New Roman"/>
          <w:sz w:val="22"/>
          <w:szCs w:val="22"/>
          <w:b w:val="1"/>
          <w:bCs w:val="1"/>
          <w:i w:val="1"/>
          <w:iCs w:val="1"/>
          <w:color w:val="auto"/>
        </w:rPr>
        <w:t>Transfer Agent</w:t>
      </w:r>
      <w:r>
        <w:rPr>
          <w:rFonts w:ascii="Times New Roman" w:cs="Times New Roman" w:eastAsia="Times New Roman" w:hAnsi="Times New Roman"/>
          <w:sz w:val="22"/>
          <w:szCs w:val="22"/>
          <w:color w:val="auto"/>
        </w:rPr>
        <w:t>” means Equiniti Trust Company, LLC, Axsome’s transfer agent and registrar for Common Stock, and any successor appointed in such capacity.</w:t>
      </w:r>
    </w:p>
    <w:p>
      <w:pPr>
        <w:spacing w:after="0" w:line="147" w:lineRule="exact"/>
        <w:rPr>
          <w:sz w:val="20"/>
          <w:szCs w:val="20"/>
          <w:color w:val="auto"/>
        </w:rPr>
      </w:pPr>
    </w:p>
    <w:p>
      <w:pPr>
        <w:ind w:left="520" w:hanging="512"/>
        <w:spacing w:after="0"/>
        <w:tabs>
          <w:tab w:leader="none" w:pos="520" w:val="left"/>
        </w:tabs>
        <w:numPr>
          <w:ilvl w:val="0"/>
          <w:numId w:val="206"/>
        </w:numPr>
        <w:rPr>
          <w:rFonts w:ascii="Times New Roman" w:cs="Times New Roman" w:eastAsia="Times New Roman" w:hAnsi="Times New Roman"/>
          <w:sz w:val="22"/>
          <w:szCs w:val="22"/>
          <w:b w:val="1"/>
          <w:bCs w:val="1"/>
          <w:u w:val="single" w:color="auto"/>
          <w:color w:val="auto"/>
        </w:rPr>
      </w:pPr>
      <w:r>
        <w:rPr>
          <w:rFonts w:ascii="Times New Roman" w:cs="Times New Roman" w:eastAsia="Times New Roman" w:hAnsi="Times New Roman"/>
          <w:sz w:val="22"/>
          <w:szCs w:val="22"/>
          <w:b w:val="1"/>
          <w:bCs w:val="1"/>
          <w:u w:val="single" w:color="auto"/>
          <w:color w:val="auto"/>
        </w:rPr>
        <w:t>Purchase and Sale</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22"/>
          <w:szCs w:val="22"/>
          <w:color w:val="auto"/>
        </w:rPr>
        <w:t>2.1  At the Closing, on terms and conditions as set forth herein, Axsome hereby issues</w:t>
      </w:r>
    </w:p>
    <w:p>
      <w:pPr>
        <w:spacing w:after="0" w:line="14"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 xml:space="preserve">and sells to the Purchasers, and each Purchaser hereby severally and not jointly purchases from Axsome, a number of Shares at the Per Share Price equal to the Aggregate Shares Purchased multiplied by the percentage set forth opposite such Purchaser’s name on </w:t>
      </w:r>
      <w:r>
        <w:rPr>
          <w:rFonts w:ascii="Times New Roman" w:cs="Times New Roman" w:eastAsia="Times New Roman" w:hAnsi="Times New Roman"/>
          <w:sz w:val="22"/>
          <w:szCs w:val="22"/>
          <w:u w:val="single" w:color="auto"/>
          <w:color w:val="auto"/>
        </w:rPr>
        <w:t>Schedule A</w:t>
      </w:r>
      <w:r>
        <w:rPr>
          <w:rFonts w:ascii="Times New Roman" w:cs="Times New Roman" w:eastAsia="Times New Roman" w:hAnsi="Times New Roman"/>
          <w:sz w:val="22"/>
          <w:szCs w:val="22"/>
          <w:color w:val="auto"/>
        </w:rPr>
        <w:t xml:space="preserve"> attached hereto (rounded to the nearest whole number).</w:t>
      </w:r>
    </w:p>
    <w:p>
      <w:pPr>
        <w:spacing w:after="0" w:line="174" w:lineRule="exact"/>
        <w:rPr>
          <w:sz w:val="20"/>
          <w:szCs w:val="20"/>
          <w:color w:val="auto"/>
        </w:rPr>
      </w:pPr>
    </w:p>
    <w:p>
      <w:pPr>
        <w:ind w:left="520" w:hanging="512"/>
        <w:spacing w:after="0"/>
        <w:tabs>
          <w:tab w:leader="none" w:pos="520" w:val="left"/>
        </w:tabs>
        <w:numPr>
          <w:ilvl w:val="0"/>
          <w:numId w:val="207"/>
        </w:numPr>
        <w:rPr>
          <w:rFonts w:ascii="Times New Roman" w:cs="Times New Roman" w:eastAsia="Times New Roman" w:hAnsi="Times New Roman"/>
          <w:sz w:val="22"/>
          <w:szCs w:val="22"/>
          <w:b w:val="1"/>
          <w:bCs w:val="1"/>
          <w:u w:val="single" w:color="auto"/>
          <w:color w:val="auto"/>
        </w:rPr>
      </w:pPr>
      <w:r>
        <w:rPr>
          <w:rFonts w:ascii="Times New Roman" w:cs="Times New Roman" w:eastAsia="Times New Roman" w:hAnsi="Times New Roman"/>
          <w:sz w:val="22"/>
          <w:szCs w:val="22"/>
          <w:b w:val="1"/>
          <w:bCs w:val="1"/>
          <w:u w:val="single" w:color="auto"/>
          <w:color w:val="auto"/>
        </w:rPr>
        <w:t>Closing</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22"/>
          <w:szCs w:val="22"/>
          <w:color w:val="auto"/>
        </w:rPr>
        <w:t xml:space="preserve">3.1  </w:t>
      </w:r>
      <w:r>
        <w:rPr>
          <w:rFonts w:ascii="Times New Roman" w:cs="Times New Roman" w:eastAsia="Times New Roman" w:hAnsi="Times New Roman"/>
          <w:sz w:val="22"/>
          <w:szCs w:val="22"/>
          <w:u w:val="single" w:color="auto"/>
          <w:color w:val="auto"/>
        </w:rPr>
        <w:t>Closing</w:t>
      </w:r>
      <w:r>
        <w:rPr>
          <w:rFonts w:ascii="Times New Roman" w:cs="Times New Roman" w:eastAsia="Times New Roman" w:hAnsi="Times New Roman"/>
          <w:sz w:val="22"/>
          <w:szCs w:val="22"/>
          <w:color w:val="auto"/>
        </w:rPr>
        <w:t>. Subject to the satisfaction or waiver of the conditions set forth in</w:t>
      </w:r>
    </w:p>
    <w:p>
      <w:pPr>
        <w:spacing w:after="0" w:line="14"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u w:val="single" w:color="auto"/>
          <w:color w:val="auto"/>
        </w:rPr>
        <w:t>Section 6</w:t>
      </w:r>
      <w:r>
        <w:rPr>
          <w:rFonts w:ascii="Times New Roman" w:cs="Times New Roman" w:eastAsia="Times New Roman" w:hAnsi="Times New Roman"/>
          <w:sz w:val="22"/>
          <w:szCs w:val="22"/>
          <w:color w:val="auto"/>
        </w:rPr>
        <w:t>, the completion of the sale and purchase of the Shares (the “</w:t>
      </w:r>
      <w:r>
        <w:rPr>
          <w:rFonts w:ascii="Times New Roman" w:cs="Times New Roman" w:eastAsia="Times New Roman" w:hAnsi="Times New Roman"/>
          <w:sz w:val="22"/>
          <w:szCs w:val="22"/>
          <w:b w:val="1"/>
          <w:bCs w:val="1"/>
          <w:i w:val="1"/>
          <w:iCs w:val="1"/>
          <w:color w:val="auto"/>
        </w:rPr>
        <w:t>Closing</w:t>
      </w:r>
      <w:r>
        <w:rPr>
          <w:rFonts w:ascii="Times New Roman" w:cs="Times New Roman" w:eastAsia="Times New Roman" w:hAnsi="Times New Roman"/>
          <w:sz w:val="22"/>
          <w:szCs w:val="22"/>
          <w:color w:val="auto"/>
        </w:rPr>
        <w:t xml:space="preserve">”) shall occur on the SPA Effective Date;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that</w:t>
      </w:r>
      <w:r>
        <w:rPr>
          <w:rFonts w:ascii="Times New Roman" w:cs="Times New Roman" w:eastAsia="Times New Roman" w:hAnsi="Times New Roman"/>
          <w:sz w:val="22"/>
          <w:szCs w:val="22"/>
          <w:color w:val="auto"/>
        </w:rPr>
        <w:t>, if any conditions have not been so satisfied or waived on such date, the Closing shall occur on the first business day after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satisfaction or waiver (by the Party entitled to grant such waiver) of the conditions to the Closing set forth in </w:t>
      </w:r>
      <w:r>
        <w:rPr>
          <w:rFonts w:ascii="Times New Roman" w:cs="Times New Roman" w:eastAsia="Times New Roman" w:hAnsi="Times New Roman"/>
          <w:sz w:val="22"/>
          <w:szCs w:val="22"/>
          <w:u w:val="single" w:color="auto"/>
          <w:color w:val="auto"/>
        </w:rPr>
        <w:t>Section 6</w:t>
      </w:r>
      <w:r>
        <w:rPr>
          <w:rFonts w:ascii="Times New Roman" w:cs="Times New Roman" w:eastAsia="Times New Roman" w:hAnsi="Times New Roman"/>
          <w:sz w:val="22"/>
          <w:szCs w:val="22"/>
          <w:color w:val="auto"/>
        </w:rPr>
        <w:t xml:space="preserve"> herein (other than those conditions that by their nature are to be satisfied at the Closing, but subject to fulfillment or waiver of those conditions), or on such other date as the parties shall mutually agree (the “</w:t>
      </w:r>
      <w:r>
        <w:rPr>
          <w:rFonts w:ascii="Times New Roman" w:cs="Times New Roman" w:eastAsia="Times New Roman" w:hAnsi="Times New Roman"/>
          <w:sz w:val="22"/>
          <w:szCs w:val="22"/>
          <w:b w:val="1"/>
          <w:bCs w:val="1"/>
          <w:i w:val="1"/>
          <w:iCs w:val="1"/>
          <w:color w:val="auto"/>
        </w:rPr>
        <w:t>Closing Date</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701040</wp:posOffset>
            </wp:positionV>
            <wp:extent cx="7157720" cy="42545"/>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6" w:right="339" w:bottom="1440" w:gutter="0" w:footer="0" w:header="0"/>
        </w:sectPr>
      </w:pPr>
    </w:p>
    <w:bookmarkStart w:id="473" w:name="page474"/>
    <w:bookmarkEnd w:id="473"/>
    <w:p>
      <w:pPr>
        <w:ind w:left="760"/>
        <w:spacing w:after="0"/>
        <w:rPr>
          <w:sz w:val="20"/>
          <w:szCs w:val="20"/>
          <w:color w:val="auto"/>
        </w:rPr>
      </w:pPr>
      <w:r>
        <w:rPr>
          <w:rFonts w:ascii="Times New Roman" w:cs="Times New Roman" w:eastAsia="Times New Roman" w:hAnsi="Times New Roman"/>
          <w:sz w:val="22"/>
          <w:szCs w:val="22"/>
          <w:color w:val="auto"/>
        </w:rPr>
        <w:t xml:space="preserve">3.2  </w:t>
      </w:r>
      <w:r>
        <w:rPr>
          <w:rFonts w:ascii="Times New Roman" w:cs="Times New Roman" w:eastAsia="Times New Roman" w:hAnsi="Times New Roman"/>
          <w:sz w:val="22"/>
          <w:szCs w:val="22"/>
          <w:u w:val="single" w:color="auto"/>
          <w:color w:val="auto"/>
        </w:rPr>
        <w:t>Deliveries</w:t>
      </w:r>
      <w:r>
        <w:rPr>
          <w:rFonts w:ascii="Times New Roman" w:cs="Times New Roman" w:eastAsia="Times New Roman" w:hAnsi="Times New Roman"/>
          <w:sz w:val="22"/>
          <w:szCs w:val="22"/>
          <w:color w:val="auto"/>
        </w:rPr>
        <w:t>. Subject to the terms and conditions hereof:</w:t>
      </w:r>
    </w:p>
    <w:p>
      <w:pPr>
        <w:spacing w:after="0" w:line="193" w:lineRule="exact"/>
        <w:rPr>
          <w:sz w:val="20"/>
          <w:szCs w:val="20"/>
          <w:color w:val="auto"/>
        </w:rPr>
      </w:pPr>
    </w:p>
    <w:p>
      <w:pPr>
        <w:ind w:right="20" w:firstLine="1505"/>
        <w:spacing w:after="0" w:line="258" w:lineRule="auto"/>
        <w:tabs>
          <w:tab w:leader="none" w:pos="2036" w:val="left"/>
        </w:tabs>
        <w:numPr>
          <w:ilvl w:val="0"/>
          <w:numId w:val="2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Purchaser shall deliver to Axsome the Purchase Price attributable to the Shares purchased by such Purchaser by wire transfer of immediately available funds to the account set forth on Schedule 3.2 attached hereto.</w:t>
      </w:r>
    </w:p>
    <w:p>
      <w:pPr>
        <w:spacing w:after="0" w:line="158" w:lineRule="exact"/>
        <w:rPr>
          <w:rFonts w:ascii="Times New Roman" w:cs="Times New Roman" w:eastAsia="Times New Roman" w:hAnsi="Times New Roman"/>
          <w:sz w:val="22"/>
          <w:szCs w:val="22"/>
          <w:color w:val="auto"/>
        </w:rPr>
      </w:pPr>
    </w:p>
    <w:p>
      <w:pPr>
        <w:jc w:val="both"/>
        <w:ind w:firstLine="1505"/>
        <w:spacing w:after="0" w:line="239" w:lineRule="auto"/>
        <w:tabs>
          <w:tab w:leader="none" w:pos="2036" w:val="left"/>
        </w:tabs>
        <w:numPr>
          <w:ilvl w:val="0"/>
          <w:numId w:val="2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receipt of a Purchaser’s share of the Purchase Price, Axsome shall deliver to such Purchaser written confirmation of the issuance of the applicable Shares in book entry form registered in the name of such Purchaser on Axsome’s share register maintained by the Transfer Agent. Each of the Parties shall also deliver such other documents as are required to be delivered by the Parties pursuant to the terms of this Agreement.</w:t>
      </w:r>
    </w:p>
    <w:p>
      <w:pPr>
        <w:spacing w:after="0" w:line="180"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22"/>
          <w:szCs w:val="22"/>
          <w:color w:val="auto"/>
        </w:rPr>
        <w:t xml:space="preserve">3.3 </w:t>
      </w:r>
      <w:r>
        <w:rPr>
          <w:rFonts w:ascii="Times New Roman" w:cs="Times New Roman" w:eastAsia="Times New Roman" w:hAnsi="Times New Roman"/>
          <w:sz w:val="22"/>
          <w:szCs w:val="22"/>
          <w:u w:val="single" w:color="auto"/>
          <w:color w:val="auto"/>
        </w:rPr>
        <w:t>Location</w:t>
      </w:r>
      <w:r>
        <w:rPr>
          <w:rFonts w:ascii="Times New Roman" w:cs="Times New Roman" w:eastAsia="Times New Roman" w:hAnsi="Times New Roman"/>
          <w:sz w:val="22"/>
          <w:szCs w:val="22"/>
          <w:color w:val="auto"/>
        </w:rPr>
        <w:t>. The Closing shall occur remotely via the exchange of signatures and documents unless otherwise agreed to in writing by the Parties.</w:t>
      </w:r>
    </w:p>
    <w:p>
      <w:pPr>
        <w:spacing w:after="0" w:line="154" w:lineRule="exact"/>
        <w:rPr>
          <w:sz w:val="20"/>
          <w:szCs w:val="20"/>
          <w:color w:val="auto"/>
        </w:rPr>
      </w:pPr>
    </w:p>
    <w:p>
      <w:pPr>
        <w:ind w:firstLine="8"/>
        <w:spacing w:after="0" w:line="262" w:lineRule="auto"/>
        <w:tabs>
          <w:tab w:leader="none" w:pos="445" w:val="left"/>
        </w:tabs>
        <w:numPr>
          <w:ilvl w:val="0"/>
          <w:numId w:val="2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Representations and Warranties of Axsome</w:t>
      </w:r>
      <w:r>
        <w:rPr>
          <w:rFonts w:ascii="Times New Roman" w:cs="Times New Roman" w:eastAsia="Times New Roman" w:hAnsi="Times New Roman"/>
          <w:sz w:val="22"/>
          <w:szCs w:val="22"/>
          <w:color w:val="auto"/>
        </w:rPr>
        <w:t>. Axsome hereby represents and warrants to the Purchasers as of the SPA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Effective Date and as of the Closing Date (except as set forth below), as follows:</w:t>
      </w:r>
    </w:p>
    <w:p>
      <w:pPr>
        <w:spacing w:after="0" w:line="121"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1"/>
          <w:szCs w:val="21"/>
          <w:color w:val="auto"/>
        </w:rPr>
        <w:t xml:space="preserve">4.1 </w:t>
      </w:r>
      <w:r>
        <w:rPr>
          <w:rFonts w:ascii="Times New Roman" w:cs="Times New Roman" w:eastAsia="Times New Roman" w:hAnsi="Times New Roman"/>
          <w:sz w:val="21"/>
          <w:szCs w:val="21"/>
          <w:u w:val="single" w:color="auto"/>
          <w:color w:val="auto"/>
        </w:rPr>
        <w:t>Capitalization</w:t>
      </w:r>
      <w:r>
        <w:rPr>
          <w:rFonts w:ascii="Times New Roman" w:cs="Times New Roman" w:eastAsia="Times New Roman" w:hAnsi="Times New Roman"/>
          <w:sz w:val="21"/>
          <w:szCs w:val="21"/>
          <w:color w:val="auto"/>
        </w:rPr>
        <w:t>. As of May 7, 2025 (the “</w:t>
      </w:r>
      <w:r>
        <w:rPr>
          <w:rFonts w:ascii="Times New Roman" w:cs="Times New Roman" w:eastAsia="Times New Roman" w:hAnsi="Times New Roman"/>
          <w:sz w:val="21"/>
          <w:szCs w:val="21"/>
          <w:b w:val="1"/>
          <w:bCs w:val="1"/>
          <w:i w:val="1"/>
          <w:iCs w:val="1"/>
          <w:color w:val="auto"/>
        </w:rPr>
        <w:t>Capitalization Date</w:t>
      </w:r>
      <w:r>
        <w:rPr>
          <w:rFonts w:ascii="Times New Roman" w:cs="Times New Roman" w:eastAsia="Times New Roman" w:hAnsi="Times New Roman"/>
          <w:sz w:val="21"/>
          <w:szCs w:val="21"/>
          <w:color w:val="auto"/>
        </w:rPr>
        <w:t>”), the authorized capital stock of Axsome consisted of 150,000,000 shares of Common Stock, of which 49,248,778 shares are issued and outstanding, and (ii) an aggregate of 17,546,713 shares of common stock subject to options or other equity awards are issued or reserved for issuance under Axsome’s 2015 Omnibus Incentive Compensation Plan and 1,100,000 shares of common stock are reserved for issuance under Axsome’s 2023 Employee Stock Purchase Plan; and (b) 10,000,000 shares of preferred stock, none of which is issued and outstanding. From the Capitalization Date to the SPA Effective Date, Axsome has not issued any shares of common stock except pursuant to the exercise of options or equity awards outstanding under Axsome’s 2015 Omnibus Incentive Compensation Plan as of the Capitalization Date or shares under Axsome’s 2023 Employee Stock Purchase Plan, in each case in accordance with their terms. All issued and outstanding shares of capital stock of Axsome have been duly authorized and validly issued, and are fully paid and nonassessable, and were issued in compliance with all applicable federal and state securities laws and were not issued in violation of any preemptive or similar rights. Except as described or referred to above, there are no securities convertible into or exchangeable or exercisable for, or options, warrants, calls, subscriptions, rights, contracts, commitments, or understandings of any kind to which Axsome is a party or by which Axsome is bound obligating Axsome to issue, deliver or sell, or cause to be issued, delivered or sold additional shares of its capital stock or other voting securities. There are no outstanding agreements of Axsome to repurchase, redeem or otherwise acquire any shares of its capital stock. No bonds, debentures, notes or other indebtedness having the right to vote (or convertible into or exchangeable for, securities having the right to vote) on any matters on which the stockholders of the Company may vote are issued and outstanding. The Company does not have outstanding stockholder purchase rights or “poison pill” or any similar arrangement in effect.</w:t>
      </w:r>
    </w:p>
    <w:p>
      <w:pPr>
        <w:spacing w:after="0" w:line="177"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 xml:space="preserve">4.2 </w:t>
      </w:r>
      <w:r>
        <w:rPr>
          <w:rFonts w:ascii="Times New Roman" w:cs="Times New Roman" w:eastAsia="Times New Roman" w:hAnsi="Times New Roman"/>
          <w:sz w:val="22"/>
          <w:szCs w:val="22"/>
          <w:u w:val="single" w:color="auto"/>
          <w:color w:val="auto"/>
        </w:rPr>
        <w:t>Litigation</w:t>
      </w:r>
      <w:r>
        <w:rPr>
          <w:rFonts w:ascii="Times New Roman" w:cs="Times New Roman" w:eastAsia="Times New Roman" w:hAnsi="Times New Roman"/>
          <w:sz w:val="22"/>
          <w:szCs w:val="22"/>
          <w:color w:val="auto"/>
        </w:rPr>
        <w:t>. There are no actions, suits, proceedings or, to its Knowledge, any investigations, pending or currently threatened against Axsome that questions the validity of this Agreement or the issuance of the Common Stock contemplated hereby, nor to its Knowledge, is there any basis therefor. Except as disclosed in the SEC Documents, there is no other material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594995</wp:posOffset>
            </wp:positionV>
            <wp:extent cx="7157720" cy="42545"/>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474" w:name="page475"/>
    <w:bookmarkEnd w:id="474"/>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615315</wp:posOffset>
            </wp:positionV>
            <wp:extent cx="7157720" cy="42545"/>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475" w:name="page476"/>
    <w:bookmarkEnd w:id="475"/>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action, suit, or proceeding pending or, to the Knowledge of Axsome, currently threatened against Axsome. There are no material outstanding consents, orders, decrees or judgments of any governmental entity naming Axsome.</w:t>
      </w:r>
    </w:p>
    <w:p>
      <w:pPr>
        <w:spacing w:after="0" w:line="158"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22"/>
          <w:szCs w:val="22"/>
          <w:color w:val="auto"/>
        </w:rPr>
        <w:t xml:space="preserve">4.3  </w:t>
      </w:r>
      <w:r>
        <w:rPr>
          <w:rFonts w:ascii="Times New Roman" w:cs="Times New Roman" w:eastAsia="Times New Roman" w:hAnsi="Times New Roman"/>
          <w:sz w:val="22"/>
          <w:szCs w:val="22"/>
          <w:u w:val="single" w:color="auto"/>
          <w:color w:val="auto"/>
        </w:rPr>
        <w:t>Organization and Good Standing</w:t>
      </w:r>
      <w:r>
        <w:rPr>
          <w:rFonts w:ascii="Times New Roman" w:cs="Times New Roman" w:eastAsia="Times New Roman" w:hAnsi="Times New Roman"/>
          <w:sz w:val="22"/>
          <w:szCs w:val="22"/>
          <w:color w:val="auto"/>
        </w:rPr>
        <w:t>. Axsome is a corporation duly organized, validly</w:t>
      </w:r>
    </w:p>
    <w:p>
      <w:pPr>
        <w:spacing w:after="0" w:line="14"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existing and in good standing under the laws of the State of Delaware and has all requisite corporate power and authority to own, lease and operate its properties and carry on its business as now conducted. Axsome is duly qualified and is in good standing as a foreign corporation in each jurisdiction in which the properties owned, leased or operated, or the business conducted, by it requires such qualification except where the failure to be so qualified or in good standing, individually or in the aggregate, would not reasonably be expected to have a Material Adverse Effect.</w:t>
      </w:r>
    </w:p>
    <w:p>
      <w:pPr>
        <w:spacing w:after="0" w:line="179"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22"/>
          <w:szCs w:val="22"/>
          <w:color w:val="auto"/>
        </w:rPr>
        <w:t xml:space="preserve">4.4  </w:t>
      </w:r>
      <w:r>
        <w:rPr>
          <w:rFonts w:ascii="Times New Roman" w:cs="Times New Roman" w:eastAsia="Times New Roman" w:hAnsi="Times New Roman"/>
          <w:sz w:val="22"/>
          <w:szCs w:val="22"/>
          <w:u w:val="single" w:color="auto"/>
          <w:color w:val="auto"/>
        </w:rPr>
        <w:t>Authorization</w:t>
      </w:r>
      <w:r>
        <w:rPr>
          <w:rFonts w:ascii="Times New Roman" w:cs="Times New Roman" w:eastAsia="Times New Roman" w:hAnsi="Times New Roman"/>
          <w:sz w:val="22"/>
          <w:szCs w:val="22"/>
          <w:color w:val="auto"/>
        </w:rPr>
        <w:t>. All corporate actions on the part of Axsome, its officers, directors</w:t>
      </w:r>
    </w:p>
    <w:p>
      <w:pPr>
        <w:spacing w:after="0" w:line="14"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2"/>
          <w:szCs w:val="22"/>
          <w:color w:val="auto"/>
        </w:rPr>
        <w:t>and stockholders necessary for the authorization, execution and delivery of this Agreement and for the issuance of the Shares have been taken. Axsome has the requisite corporate power to enter into this Agreement and to carry out and perform its obligations thereunder. This Agreement has been duly authorized, executed and delivered by Axsome and, upon due execution and delivery by the Purchasers, this Agreement will be a valid and binding agreement of Axsome, except as enforceability may be limited by bankruptcy, insolvency, reorganization, moratorium or similar laws affecting creditors’ rights generally or by equitable principles.</w:t>
      </w:r>
    </w:p>
    <w:p>
      <w:pPr>
        <w:spacing w:after="0" w:line="196"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22"/>
          <w:szCs w:val="22"/>
          <w:color w:val="auto"/>
        </w:rPr>
        <w:t xml:space="preserve">4.5  </w:t>
      </w:r>
      <w:r>
        <w:rPr>
          <w:rFonts w:ascii="Times New Roman" w:cs="Times New Roman" w:eastAsia="Times New Roman" w:hAnsi="Times New Roman"/>
          <w:sz w:val="22"/>
          <w:szCs w:val="22"/>
          <w:u w:val="single" w:color="auto"/>
          <w:color w:val="auto"/>
        </w:rPr>
        <w:t>Subsidiaries</w:t>
      </w:r>
      <w:r>
        <w:rPr>
          <w:rFonts w:ascii="Times New Roman" w:cs="Times New Roman" w:eastAsia="Times New Roman" w:hAnsi="Times New Roman"/>
          <w:sz w:val="22"/>
          <w:szCs w:val="22"/>
          <w:color w:val="auto"/>
        </w:rPr>
        <w:t>. Except as disclosed in the SEC Documents, Axsome does not</w:t>
      </w:r>
    </w:p>
    <w:p>
      <w:pPr>
        <w:spacing w:after="0" w:line="14"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currently own or control, directly or indirectly, any interest in any other corporation, partnership, trust, joint venture, limited liability company, association, or other business entity. Axsome is not a participant in any joint venture, partnership or similar arrangement other than as has been disclosed in SEC Documents.</w:t>
      </w:r>
    </w:p>
    <w:p>
      <w:pPr>
        <w:spacing w:after="0" w:line="178"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22"/>
          <w:szCs w:val="22"/>
          <w:color w:val="auto"/>
        </w:rPr>
        <w:t xml:space="preserve">4.6  </w:t>
      </w:r>
      <w:r>
        <w:rPr>
          <w:rFonts w:ascii="Times New Roman" w:cs="Times New Roman" w:eastAsia="Times New Roman" w:hAnsi="Times New Roman"/>
          <w:sz w:val="22"/>
          <w:szCs w:val="22"/>
          <w:u w:val="single" w:color="auto"/>
          <w:color w:val="auto"/>
        </w:rPr>
        <w:t>No Conflict With Other Instruments</w:t>
      </w:r>
      <w:r>
        <w:rPr>
          <w:rFonts w:ascii="Times New Roman" w:cs="Times New Roman" w:eastAsia="Times New Roman" w:hAnsi="Times New Roman"/>
          <w:sz w:val="22"/>
          <w:szCs w:val="22"/>
          <w:color w:val="auto"/>
        </w:rPr>
        <w:t>. Neither the execution, delivery nor</w:t>
      </w:r>
    </w:p>
    <w:p>
      <w:pPr>
        <w:spacing w:after="0" w:line="14"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2"/>
          <w:szCs w:val="22"/>
          <w:color w:val="auto"/>
        </w:rPr>
        <w:t>performance of this Agreement, nor the consummation by Axsome of the transactions contemplated hereby will result in any violation of, be in conflict with, cause any acceleration or any increased payments under, or constitute a default under, with or without the passage of time or the giving of notice: (a) any provision of Axsome’s certificate of incorporation or bylaws as in effect at the Closing; (b) any provision of any law, regulation, judgment, decree or order to which Axsome is a party or by which Axsome, or any of its assets, is bound, or (c) any note, mortgage, contract, agreement, license, waiver, exemption, order or permit to which Axsome is a party or by which Axsome, or any of its assets, is bound.</w:t>
      </w:r>
    </w:p>
    <w:p>
      <w:pPr>
        <w:spacing w:after="0" w:line="169"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22"/>
          <w:szCs w:val="22"/>
          <w:color w:val="auto"/>
        </w:rPr>
        <w:t xml:space="preserve">4.7  </w:t>
      </w:r>
      <w:r>
        <w:rPr>
          <w:rFonts w:ascii="Times New Roman" w:cs="Times New Roman" w:eastAsia="Times New Roman" w:hAnsi="Times New Roman"/>
          <w:sz w:val="22"/>
          <w:szCs w:val="22"/>
          <w:u w:val="single" w:color="auto"/>
          <w:color w:val="auto"/>
        </w:rPr>
        <w:t>Disclosure Documents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505"/>
        <w:spacing w:after="0" w:line="236" w:lineRule="auto"/>
        <w:tabs>
          <w:tab w:leader="none" w:pos="1929" w:val="left"/>
        </w:tabs>
        <w:numPr>
          <w:ilvl w:val="0"/>
          <w:numId w:val="2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the two years preceding the SPA Effective Date, Axsome has filed, on a timely basis or has received a valid extension as of such time of filing and has thereafter made such filings prior to the expiration of any such extensions, all reports, schedules, forms, statements and other documents required to be filed by Axsome (i) with the SEC under the Securities Act and the Exchange Act, including pursuant to Section 13(a) or 15(d) thereof, (the foregoing materials, including the exhibits thereto and documents incorporated by reference therein, being collectively referred to herein as the “</w:t>
      </w:r>
      <w:r>
        <w:rPr>
          <w:rFonts w:ascii="Times New Roman" w:cs="Times New Roman" w:eastAsia="Times New Roman" w:hAnsi="Times New Roman"/>
          <w:sz w:val="22"/>
          <w:szCs w:val="22"/>
          <w:b w:val="1"/>
          <w:bCs w:val="1"/>
          <w:i w:val="1"/>
          <w:iCs w:val="1"/>
          <w:color w:val="auto"/>
        </w:rPr>
        <w:t>SEC Documents</w:t>
      </w:r>
      <w:r>
        <w:rPr>
          <w:rFonts w:ascii="Times New Roman" w:cs="Times New Roman" w:eastAsia="Times New Roman" w:hAnsi="Times New Roman"/>
          <w:sz w:val="22"/>
          <w:szCs w:val="22"/>
          <w:color w:val="auto"/>
        </w:rPr>
        <w:t>”), and (ii) with the U.S. Food and Drug Administration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1251585</wp:posOffset>
            </wp:positionV>
            <wp:extent cx="7157720" cy="42545"/>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476" w:name="page477"/>
    <w:bookmarkEnd w:id="476"/>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615315</wp:posOffset>
            </wp:positionV>
            <wp:extent cx="7157720" cy="42545"/>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08" w:right="1440" w:bottom="1440" w:gutter="0" w:footer="0" w:header="0"/>
        </w:sectPr>
      </w:pPr>
    </w:p>
    <w:bookmarkStart w:id="477" w:name="page478"/>
    <w:bookmarkEnd w:id="477"/>
    <w:p>
      <w:pPr>
        <w:jc w:val="both"/>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FDA</w:t>
      </w:r>
      <w:r>
        <w:rPr>
          <w:rFonts w:ascii="Times New Roman" w:cs="Times New Roman" w:eastAsia="Times New Roman" w:hAnsi="Times New Roman"/>
          <w:sz w:val="22"/>
          <w:szCs w:val="22"/>
          <w:color w:val="auto"/>
        </w:rPr>
        <w:t>”) under its applicable regulations (“</w:t>
      </w:r>
      <w:r>
        <w:rPr>
          <w:rFonts w:ascii="Times New Roman" w:cs="Times New Roman" w:eastAsia="Times New Roman" w:hAnsi="Times New Roman"/>
          <w:sz w:val="22"/>
          <w:szCs w:val="22"/>
          <w:b w:val="1"/>
          <w:bCs w:val="1"/>
          <w:i w:val="1"/>
          <w:iCs w:val="1"/>
          <w:color w:val="auto"/>
        </w:rPr>
        <w:t>FDA Documents</w:t>
      </w:r>
      <w:r>
        <w:rPr>
          <w:rFonts w:ascii="Times New Roman" w:cs="Times New Roman" w:eastAsia="Times New Roman" w:hAnsi="Times New Roman"/>
          <w:sz w:val="22"/>
          <w:szCs w:val="22"/>
          <w:color w:val="auto"/>
        </w:rPr>
        <w:t>”), and Axsome has paid all fees and assessments due and payable in connection with the SEC Documents and the FDA Documents. As of their respective dates, the SEC Documents and the FDA Documents complied in all material respects with all statutes and applicable rules and regulations of the SEC or FDA, as applicable, including the requirements of the Securities Act or the Exchange Act, as applicable, and none of the SEC Documents or FDA Documents, when filed, contained any untrue statement of a material fact or omitted to state a material fact required to be stated therein or necessary in order to make the statements therein, in the light of the circumstances under which they were made, not misleading.</w:t>
      </w:r>
    </w:p>
    <w:p>
      <w:pPr>
        <w:spacing w:after="0" w:line="182" w:lineRule="exact"/>
        <w:rPr>
          <w:sz w:val="20"/>
          <w:szCs w:val="20"/>
          <w:color w:val="auto"/>
        </w:rPr>
      </w:pPr>
    </w:p>
    <w:p>
      <w:pPr>
        <w:jc w:val="both"/>
        <w:ind w:firstLine="1505"/>
        <w:spacing w:after="0" w:line="233" w:lineRule="auto"/>
        <w:tabs>
          <w:tab w:leader="none" w:pos="1929" w:val="left"/>
        </w:tabs>
        <w:numPr>
          <w:ilvl w:val="0"/>
          <w:numId w:val="2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audited financial statements of Axsome included in Axsome’s SEC Documents comply in all material respects with the published rules and regulations of the SEC with respect thereto, and such audited financial statements (i) were prepared from the books and records of Axsome, (ii) were prepared in accordance with GAAP applied on a consistent basis (except as may be indicated therein or in the notes or schedules thereto) and (iii) present fairly the financial position of Axsome as of the dates thereof and the results of operations and cash flows for the periods then ended. The unaudited financial statements included in the SEC Documents comply in all material respects with the published rules and regulations of the SEC with respect thereto, and such unaudited financial statements (i) were prepared from the books and records of Axsome, (ii) were prepared in accordance with GAAP, except as otherwise permitted under the Exchange Act and the rules and regulations thereunder, applied on a consistent basis (except as may be indicated therein or in the notes or schedules thereto) and (iii) present fairly the financial position of Axsome as of the dates thereof and the results of operations and cash flows (or changes in financial condition) for the periods then ended, subject to normal year-end adjustments and any other adjustments described therein or in the notes or schedules thereto. The interactive data in eXtensible Business Reporting Language included in the SEC Documents fairly presents the information called for in all material respects and has been prepared in all material respects in accordance with the SEC’s rules and guidelines applicable thereto.</w:t>
      </w:r>
    </w:p>
    <w:p>
      <w:pPr>
        <w:spacing w:after="0" w:line="180"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22"/>
          <w:szCs w:val="22"/>
          <w:color w:val="auto"/>
        </w:rPr>
        <w:t xml:space="preserve">4.8  </w:t>
      </w:r>
      <w:r>
        <w:rPr>
          <w:rFonts w:ascii="Times New Roman" w:cs="Times New Roman" w:eastAsia="Times New Roman" w:hAnsi="Times New Roman"/>
          <w:sz w:val="22"/>
          <w:szCs w:val="22"/>
          <w:u w:val="single" w:color="auto"/>
          <w:color w:val="auto"/>
        </w:rPr>
        <w:t>Absence of Certain Events and Changes</w:t>
      </w:r>
      <w:r>
        <w:rPr>
          <w:rFonts w:ascii="Times New Roman" w:cs="Times New Roman" w:eastAsia="Times New Roman" w:hAnsi="Times New Roman"/>
          <w:sz w:val="22"/>
          <w:szCs w:val="22"/>
          <w:color w:val="auto"/>
        </w:rPr>
        <w:t>. Since the date of Axsome’s Quarterly</w:t>
      </w:r>
    </w:p>
    <w:p>
      <w:pPr>
        <w:spacing w:after="0" w:line="14"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2"/>
          <w:szCs w:val="22"/>
          <w:color w:val="auto"/>
        </w:rPr>
        <w:t>Report on Form 10-Q for the period ended on March 31, 2025 : (a) Axsome has conducted its businesses in the ordinary course consistent with past practice; (b) there has not been any event, change or development which, individually or in the aggregate, would have a Material Adverse Effect, taken as a whole; (c) Axsome has not incurred any material liabilities (contingent or otherwise) other than expenses incurred in the ordinary course of business consistent with past practice; (d) Axsome has not altered its method of accounting in any material respect; and (e) Axsome has not declared or made any dividend or distribution of cash or other property to its stockholders or purchased, redeemed or made any agreements to purchase or redeem any shares of its capital stock.</w:t>
      </w:r>
    </w:p>
    <w:p>
      <w:pPr>
        <w:spacing w:after="0" w:line="181"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22"/>
          <w:szCs w:val="22"/>
          <w:color w:val="auto"/>
        </w:rPr>
        <w:t xml:space="preserve">4.9  </w:t>
      </w:r>
      <w:r>
        <w:rPr>
          <w:rFonts w:ascii="Times New Roman" w:cs="Times New Roman" w:eastAsia="Times New Roman" w:hAnsi="Times New Roman"/>
          <w:sz w:val="22"/>
          <w:szCs w:val="22"/>
          <w:u w:val="single" w:color="auto"/>
          <w:color w:val="auto"/>
        </w:rPr>
        <w:t>Intellectual Property</w:t>
      </w:r>
      <w:r>
        <w:rPr>
          <w:rFonts w:ascii="Times New Roman" w:cs="Times New Roman" w:eastAsia="Times New Roman" w:hAnsi="Times New Roman"/>
          <w:sz w:val="22"/>
          <w:szCs w:val="22"/>
          <w:color w:val="auto"/>
        </w:rPr>
        <w:t>. Axsome owns, or has an exclusive right pursuant to a valid,</w:t>
      </w:r>
    </w:p>
    <w:p>
      <w:pPr>
        <w:spacing w:after="0" w:line="14"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1"/>
          <w:szCs w:val="21"/>
          <w:color w:val="auto"/>
        </w:rPr>
        <w:t>written license agreement to use and exploit, all material intellectual property used in or necessary for the conduct of the business of Axsome as currently conducted and the conduct of such business will not conflict in any material respect with any intellectual property rights of others. Except as disclosed in the SEC Documents, (i) no claims have been asserted by a third party in writing</w:t>
      </w:r>
    </w:p>
    <w:p>
      <w:pPr>
        <w:spacing w:after="0" w:line="2" w:lineRule="exact"/>
        <w:rPr>
          <w:sz w:val="20"/>
          <w:szCs w:val="20"/>
          <w:color w:val="auto"/>
        </w:rPr>
      </w:pPr>
    </w:p>
    <w:p>
      <w:pPr>
        <w:ind w:firstLine="8"/>
        <w:spacing w:after="0" w:line="237" w:lineRule="auto"/>
        <w:tabs>
          <w:tab w:leader="none" w:pos="304" w:val="left"/>
        </w:tabs>
        <w:numPr>
          <w:ilvl w:val="0"/>
          <w:numId w:val="2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alleging that the conduct of the business of Axsome has infringed or misappropriated any intellectual property rights of such third party, or (b) challenging or questioning the validity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1129665</wp:posOffset>
            </wp:positionV>
            <wp:extent cx="7157720" cy="42545"/>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5" w:right="339" w:bottom="1440" w:gutter="0" w:footer="0" w:header="0"/>
        </w:sectPr>
      </w:pPr>
    </w:p>
    <w:bookmarkStart w:id="478" w:name="page479"/>
    <w:bookmarkEnd w:id="478"/>
    <w:p>
      <w:pPr>
        <w:jc w:val="center"/>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615315</wp:posOffset>
            </wp:positionV>
            <wp:extent cx="7157720" cy="42545"/>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08" w:right="1440" w:bottom="1440" w:gutter="0" w:footer="0" w:header="0"/>
        </w:sectPr>
      </w:pPr>
    </w:p>
    <w:bookmarkStart w:id="479" w:name="page480"/>
    <w:bookmarkEnd w:id="479"/>
    <w:p>
      <w:pPr>
        <w:jc w:val="both"/>
        <w:spacing w:after="0" w:line="236" w:lineRule="auto"/>
        <w:rPr>
          <w:sz w:val="20"/>
          <w:szCs w:val="20"/>
          <w:color w:val="auto"/>
        </w:rPr>
      </w:pPr>
      <w:r>
        <w:rPr>
          <w:rFonts w:ascii="Times New Roman" w:cs="Times New Roman" w:eastAsia="Times New Roman" w:hAnsi="Times New Roman"/>
          <w:sz w:val="22"/>
          <w:szCs w:val="22"/>
          <w:color w:val="auto"/>
        </w:rPr>
        <w:t>effectiveness of any intellectual property right of Axsome, and (ii) to the Knowledge of Axsome, there is no valid basis for any such claim (a) or (b). To the Knowledge of Axsome, no third party is misappropriating or infringing any intellectual property right of Axsome. No loss or expiration of any of the material intellectual property of Axsome is pending, or, to the Knowledge of Axsome, threatened. Axsome has taken reasonable steps in accordance with standard industry practices to protect its rights in its intellectual property and at all times has maintained the confidentiality of all information used in connection with the business that constitutes or constituted a trade secret of Axsome.</w:t>
      </w:r>
    </w:p>
    <w:p>
      <w:pPr>
        <w:spacing w:after="0" w:line="168"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 xml:space="preserve">4.10 </w:t>
      </w:r>
      <w:r>
        <w:rPr>
          <w:rFonts w:ascii="Times New Roman" w:cs="Times New Roman" w:eastAsia="Times New Roman" w:hAnsi="Times New Roman"/>
          <w:sz w:val="22"/>
          <w:szCs w:val="22"/>
          <w:u w:val="single" w:color="auto"/>
          <w:color w:val="auto"/>
        </w:rPr>
        <w:t>Compliance with Applicable Law.</w:t>
      </w:r>
      <w:r>
        <w:rPr>
          <w:rFonts w:ascii="Times New Roman" w:cs="Times New Roman" w:eastAsia="Times New Roman" w:hAnsi="Times New Roman"/>
          <w:sz w:val="22"/>
          <w:szCs w:val="22"/>
          <w:color w:val="auto"/>
        </w:rPr>
        <w:t xml:space="preserve"> Axsome has all permits, licenses, franchises, authorizations, orders and approvals of, and have made all filings, applications and registrations with, governmental entities that are required in order to permit Axsome to own or lease properties and assets and to carry on its business as presently conducted, except as would not be material to the business of Axsome. Axsome has complied and is in compliance in all material respects with all statutes, laws, regulations, rules, judgments, orders and decrees of all governmental entities applicable to it that relate to its businesses. Axsome has not received any notice alleging noncompliance, and, to the Knowledge of Axsome, is not under investigation with respect to, or threatened to be charged, with any material violation of any applicable statutes, laws, regulations, rules, judgments, orders or decrees of any governmental entities.</w:t>
      </w:r>
    </w:p>
    <w:p>
      <w:pPr>
        <w:spacing w:after="0" w:line="178"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 xml:space="preserve">4.11 </w:t>
      </w:r>
      <w:r>
        <w:rPr>
          <w:rFonts w:ascii="Times New Roman" w:cs="Times New Roman" w:eastAsia="Times New Roman" w:hAnsi="Times New Roman"/>
          <w:sz w:val="22"/>
          <w:szCs w:val="22"/>
          <w:u w:val="single" w:color="auto"/>
          <w:color w:val="auto"/>
        </w:rPr>
        <w:t>Valid Issuance of Shares</w:t>
      </w:r>
      <w:r>
        <w:rPr>
          <w:rFonts w:ascii="Times New Roman" w:cs="Times New Roman" w:eastAsia="Times New Roman" w:hAnsi="Times New Roman"/>
          <w:sz w:val="22"/>
          <w:szCs w:val="22"/>
          <w:color w:val="auto"/>
        </w:rPr>
        <w:t xml:space="preserve">. When issued, sold and delivered in accordance with the terms hereof for the consideration expressed herein, the Shares will be duly and validly authorized and issued, fully paid and non-assessable, free and clear of all liens, will not have been issued in violation of any preemptive or similar rights on the part of any Person, and, based in part on the representations of the Purchasers in </w:t>
      </w:r>
      <w:r>
        <w:rPr>
          <w:rFonts w:ascii="Times New Roman" w:cs="Times New Roman" w:eastAsia="Times New Roman" w:hAnsi="Times New Roman"/>
          <w:sz w:val="22"/>
          <w:szCs w:val="22"/>
          <w:u w:val="single" w:color="auto"/>
          <w:color w:val="auto"/>
        </w:rPr>
        <w:t>Section 5</w:t>
      </w:r>
      <w:r>
        <w:rPr>
          <w:rFonts w:ascii="Times New Roman" w:cs="Times New Roman" w:eastAsia="Times New Roman" w:hAnsi="Times New Roman"/>
          <w:sz w:val="22"/>
          <w:szCs w:val="22"/>
          <w:color w:val="auto"/>
        </w:rPr>
        <w:t xml:space="preserve"> of this Agreement, will be issued in compliance with all applicable federal and state securities laws.</w:t>
      </w:r>
    </w:p>
    <w:p>
      <w:pPr>
        <w:spacing w:after="0" w:line="177" w:lineRule="exact"/>
        <w:rPr>
          <w:sz w:val="20"/>
          <w:szCs w:val="20"/>
          <w:color w:val="auto"/>
        </w:rPr>
      </w:pPr>
    </w:p>
    <w:p>
      <w:pPr>
        <w:ind w:right="160" w:firstLine="749"/>
        <w:spacing w:after="0" w:line="239" w:lineRule="auto"/>
        <w:rPr>
          <w:sz w:val="20"/>
          <w:szCs w:val="20"/>
          <w:color w:val="auto"/>
        </w:rPr>
      </w:pPr>
      <w:r>
        <w:rPr>
          <w:rFonts w:ascii="Times New Roman" w:cs="Times New Roman" w:eastAsia="Times New Roman" w:hAnsi="Times New Roman"/>
          <w:sz w:val="22"/>
          <w:szCs w:val="22"/>
          <w:color w:val="auto"/>
        </w:rPr>
        <w:t xml:space="preserve">4.12 </w:t>
      </w:r>
      <w:r>
        <w:rPr>
          <w:rFonts w:ascii="Times New Roman" w:cs="Times New Roman" w:eastAsia="Times New Roman" w:hAnsi="Times New Roman"/>
          <w:sz w:val="22"/>
          <w:szCs w:val="22"/>
          <w:u w:val="single" w:color="auto"/>
          <w:color w:val="auto"/>
        </w:rPr>
        <w:t>Governmental Consents</w:t>
      </w:r>
      <w:r>
        <w:rPr>
          <w:rFonts w:ascii="Times New Roman" w:cs="Times New Roman" w:eastAsia="Times New Roman" w:hAnsi="Times New Roman"/>
          <w:sz w:val="22"/>
          <w:szCs w:val="22"/>
          <w:color w:val="auto"/>
        </w:rPr>
        <w:t>. No consent, approval, order or authorization of, or registration, qualification, designation, declaration or filing with, any federal, state or local governmental authority on the part of Axsome is required in connection with the consummation of the transactions contemplated by this Agreement, except for notices required or permitted to be filed with certain state and federal securities commissions, which notices will be filed on a timely basis.</w:t>
      </w:r>
    </w:p>
    <w:p>
      <w:pPr>
        <w:spacing w:after="0" w:line="180" w:lineRule="exact"/>
        <w:rPr>
          <w:sz w:val="20"/>
          <w:szCs w:val="20"/>
          <w:color w:val="auto"/>
        </w:rPr>
      </w:pPr>
    </w:p>
    <w:p>
      <w:pPr>
        <w:jc w:val="both"/>
        <w:ind w:right="20" w:firstLine="749"/>
        <w:spacing w:after="0" w:line="258" w:lineRule="auto"/>
        <w:rPr>
          <w:sz w:val="20"/>
          <w:szCs w:val="20"/>
          <w:color w:val="auto"/>
        </w:rPr>
      </w:pPr>
      <w:r>
        <w:rPr>
          <w:rFonts w:ascii="Times New Roman" w:cs="Times New Roman" w:eastAsia="Times New Roman" w:hAnsi="Times New Roman"/>
          <w:sz w:val="22"/>
          <w:szCs w:val="22"/>
          <w:color w:val="auto"/>
        </w:rPr>
        <w:t xml:space="preserve">4.13 </w:t>
      </w:r>
      <w:r>
        <w:rPr>
          <w:rFonts w:ascii="Times New Roman" w:cs="Times New Roman" w:eastAsia="Times New Roman" w:hAnsi="Times New Roman"/>
          <w:sz w:val="22"/>
          <w:szCs w:val="22"/>
          <w:u w:val="single" w:color="auto"/>
          <w:color w:val="auto"/>
        </w:rPr>
        <w:t>No Brokers</w:t>
      </w:r>
      <w:r>
        <w:rPr>
          <w:rFonts w:ascii="Times New Roman" w:cs="Times New Roman" w:eastAsia="Times New Roman" w:hAnsi="Times New Roman"/>
          <w:sz w:val="22"/>
          <w:szCs w:val="22"/>
          <w:color w:val="auto"/>
        </w:rPr>
        <w:t>. No broker, finder or investment banker is entitled to any brokerage, finder’s or other fee or commission in connection with the transactions contemplated by this Agreement based on arrangements made by Axsome.</w:t>
      </w:r>
    </w:p>
    <w:p>
      <w:pPr>
        <w:spacing w:after="0" w:line="145"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 xml:space="preserve">4.14 </w:t>
      </w:r>
      <w:r>
        <w:rPr>
          <w:rFonts w:ascii="Times New Roman" w:cs="Times New Roman" w:eastAsia="Times New Roman" w:hAnsi="Times New Roman"/>
          <w:sz w:val="22"/>
          <w:szCs w:val="22"/>
          <w:u w:val="single" w:color="auto"/>
          <w:color w:val="auto"/>
        </w:rPr>
        <w:t>No Undisclosed Liabilities</w:t>
      </w:r>
      <w:r>
        <w:rPr>
          <w:rFonts w:ascii="Times New Roman" w:cs="Times New Roman" w:eastAsia="Times New Roman" w:hAnsi="Times New Roman"/>
          <w:sz w:val="22"/>
          <w:szCs w:val="22"/>
          <w:color w:val="auto"/>
        </w:rPr>
        <w:t>. Axsome does not have any liabilities (contingent or otherwise), except for (a) liabilities reflected or reserved against in financial statements of Axsome included in the SEC Documents filed with the SEC prior to the date of this Agreement, and (b) liabilities that have not been and would not reasonably be expected to be material.</w:t>
      </w:r>
    </w:p>
    <w:p>
      <w:pPr>
        <w:spacing w:after="0" w:line="173"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21"/>
          <w:szCs w:val="21"/>
          <w:color w:val="auto"/>
        </w:rPr>
        <w:t xml:space="preserve">4.15 </w:t>
      </w:r>
      <w:r>
        <w:rPr>
          <w:rFonts w:ascii="Times New Roman" w:cs="Times New Roman" w:eastAsia="Times New Roman" w:hAnsi="Times New Roman"/>
          <w:sz w:val="21"/>
          <w:szCs w:val="21"/>
          <w:u w:val="single" w:color="auto"/>
          <w:color w:val="auto"/>
        </w:rPr>
        <w:t>Internal Controls</w:t>
      </w:r>
      <w:r>
        <w:rPr>
          <w:rFonts w:ascii="Times New Roman" w:cs="Times New Roman" w:eastAsia="Times New Roman" w:hAnsi="Times New Roman"/>
          <w:sz w:val="21"/>
          <w:szCs w:val="21"/>
          <w:color w:val="auto"/>
        </w:rPr>
        <w:t>. Axsome maintains a system of internal accounting controls sufficient to provide reasonable assurance that (i) transactions are executed in accordance with management’s general or specific authorizations, (ii) transactions are recorded as necessary to permit preparation of financial statements in conformity with GAAP and to maintain asset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1236345</wp:posOffset>
            </wp:positionV>
            <wp:extent cx="7157720" cy="42545"/>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480" w:name="page481"/>
    <w:bookmarkEnd w:id="480"/>
    <w:p>
      <w:pPr>
        <w:jc w:val="center"/>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615315</wp:posOffset>
            </wp:positionV>
            <wp:extent cx="7157720" cy="42545"/>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08" w:right="1440" w:bottom="1440" w:gutter="0" w:footer="0" w:header="0"/>
        </w:sectPr>
      </w:pPr>
    </w:p>
    <w:bookmarkStart w:id="481" w:name="page482"/>
    <w:bookmarkEnd w:id="481"/>
    <w:p>
      <w:pPr>
        <w:jc w:val="both"/>
        <w:spacing w:after="0" w:line="235" w:lineRule="auto"/>
        <w:rPr>
          <w:sz w:val="20"/>
          <w:szCs w:val="20"/>
          <w:color w:val="auto"/>
        </w:rPr>
      </w:pPr>
      <w:r>
        <w:rPr>
          <w:rFonts w:ascii="Times New Roman" w:cs="Times New Roman" w:eastAsia="Times New Roman" w:hAnsi="Times New Roman"/>
          <w:sz w:val="22"/>
          <w:szCs w:val="22"/>
          <w:color w:val="auto"/>
        </w:rPr>
        <w:t>liability accountability, and (iii) access to assets or incurrence of liabilities is permitted only in accordance with management’s general or specific authorization. Since the end of Axsome’s most recent audited fiscal year, to its Knowledge and except as disclosed prior to the date hereof, there have been no significant deficiencies or material weakness detected in Axsome’s internal control over financial reporting (whether or not remediated) and no change in Axsome’s internal control over financial reporting that has materially affected, or is reasonably likely to materially affect, Axsome’s internal control over financial reporting. Axsome is not aware of any change in its internal controls over financial reporting that has occurred during its most recent fiscal quarter that has materially affected, or is reasonably likely to materially affect, Axsome’s internal control over financial reporting.</w:t>
      </w:r>
    </w:p>
    <w:p>
      <w:pPr>
        <w:spacing w:after="0" w:line="178"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 xml:space="preserve">4.16 </w:t>
      </w:r>
      <w:r>
        <w:rPr>
          <w:rFonts w:ascii="Times New Roman" w:cs="Times New Roman" w:eastAsia="Times New Roman" w:hAnsi="Times New Roman"/>
          <w:sz w:val="22"/>
          <w:szCs w:val="22"/>
          <w:u w:val="single" w:color="auto"/>
          <w:color w:val="auto"/>
        </w:rPr>
        <w:t>Disclosure Controls</w:t>
      </w:r>
      <w:r>
        <w:rPr>
          <w:rFonts w:ascii="Times New Roman" w:cs="Times New Roman" w:eastAsia="Times New Roman" w:hAnsi="Times New Roman"/>
          <w:sz w:val="22"/>
          <w:szCs w:val="22"/>
          <w:color w:val="auto"/>
        </w:rPr>
        <w:t>. Axsome and its subsidiaries maintain an effective system of “disclosure controls and procedures” (as defined in Rule 13a-15(e) of the Exchange Act) that complies in all material respects with the requirements of the Exchange Act and that has been designed to ensure that information required to be disclosed by Axsome in reports that it files or submits under the Exchange Act is recorded, processed, summarized and reported within the time periods specified in the SEC’s rules and forms, including controls and procedures designed to ensure that such information is accumulated and communicated to Axsome’s management as appropriate to allow timely decisions regarding required disclosure.</w:t>
      </w:r>
    </w:p>
    <w:p>
      <w:pPr>
        <w:spacing w:after="0" w:line="168"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 xml:space="preserve">4.17 </w:t>
      </w:r>
      <w:r>
        <w:rPr>
          <w:rFonts w:ascii="Times New Roman" w:cs="Times New Roman" w:eastAsia="Times New Roman" w:hAnsi="Times New Roman"/>
          <w:sz w:val="22"/>
          <w:szCs w:val="22"/>
          <w:u w:val="single" w:color="auto"/>
          <w:color w:val="auto"/>
        </w:rPr>
        <w:t>Compliance</w:t>
      </w:r>
      <w:r>
        <w:rPr>
          <w:rFonts w:ascii="Times New Roman" w:cs="Times New Roman" w:eastAsia="Times New Roman" w:hAnsi="Times New Roman"/>
          <w:sz w:val="22"/>
          <w:szCs w:val="22"/>
          <w:color w:val="auto"/>
        </w:rPr>
        <w:t>. Axsome is not (i) in default under or in violation of (and no event has occurred that has not been waived that, with notice or lapse of time or both, would result in a default under), nor has Axsome received notice of a claim that it is in default under or that it is in violation of, any indenture, loan or credit agreement or any other agreement or instrument to which it is a party or by which it or any of its properties is bound (whether or not such default or violation has been waived), (ii) in violation of any judgment, decree or order of any court, arbitrator or governmental body or (iii) in violation of any statute, rule, ordinance or regulation of any governmental authority, including all foreign, federal, state and local laws relating to environmental protection, occupational health and safety, product quality and safety and employment and labor matters, except in each case as would not have or reasonably be expected to result in a Material Adverse Effect.</w:t>
      </w:r>
    </w:p>
    <w:p>
      <w:pPr>
        <w:spacing w:after="0" w:line="192" w:lineRule="exact"/>
        <w:rPr>
          <w:sz w:val="20"/>
          <w:szCs w:val="20"/>
          <w:color w:val="auto"/>
        </w:rPr>
      </w:pPr>
    </w:p>
    <w:p>
      <w:pPr>
        <w:jc w:val="both"/>
        <w:ind w:firstLine="749"/>
        <w:spacing w:after="0" w:line="233" w:lineRule="auto"/>
        <w:rPr>
          <w:sz w:val="20"/>
          <w:szCs w:val="20"/>
          <w:color w:val="auto"/>
        </w:rPr>
      </w:pPr>
      <w:r>
        <w:rPr>
          <w:rFonts w:ascii="Times New Roman" w:cs="Times New Roman" w:eastAsia="Times New Roman" w:hAnsi="Times New Roman"/>
          <w:sz w:val="22"/>
          <w:szCs w:val="22"/>
          <w:color w:val="auto"/>
        </w:rPr>
        <w:t xml:space="preserve">4.18 </w:t>
      </w:r>
      <w:r>
        <w:rPr>
          <w:rFonts w:ascii="Times New Roman" w:cs="Times New Roman" w:eastAsia="Times New Roman" w:hAnsi="Times New Roman"/>
          <w:sz w:val="22"/>
          <w:szCs w:val="22"/>
          <w:u w:val="single" w:color="auto"/>
          <w:color w:val="auto"/>
        </w:rPr>
        <w:t>No Unlawful Payments</w:t>
      </w:r>
      <w:r>
        <w:rPr>
          <w:rFonts w:ascii="Times New Roman" w:cs="Times New Roman" w:eastAsia="Times New Roman" w:hAnsi="Times New Roman"/>
          <w:sz w:val="22"/>
          <w:szCs w:val="22"/>
          <w:color w:val="auto"/>
        </w:rPr>
        <w:t>. Neither Axsome nor any of its subsidiaries nor, to the Knowledge of Axsome, any director, officer, employee, agent, affiliate or other person associated with or acting on behalf of Axsome or any of its subsidiaries has (i) used any corporate funds for any unlawful contribution, gift, entertainment or other unlawful expense relating to political activity; (ii) made or taken an act in furtherance of an offer, promise or authorization of any direct or indirect unlawful payment or benefit to any foreign or domestic government official or employee, including of any government-owned or controlled entity or of a public international organization, or any person acting in an official capacity for or on behalf of any of the foregoing, or any political party or party official or candidate for political office; (iii) violated or is in violation of any provision of the Foreign Corrupt Practices Act of 1977, as amended, or any applicable law or regulation implementing the OECD Convention on Combating Bribery of Foreign Public Officials in International Business Transactions, or committed an offence under the Bribery Act 2010 of the United Kingdom or any other applicable anti-bribery or anti-corruption law; or (iv) made, offered, agreed, requested or taken an act in furtherance of any unlawful bribe or other unlawful benefit, including any rebate, payoff, influence payment, kickback or other unlawful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1133475</wp:posOffset>
            </wp:positionV>
            <wp:extent cx="7157720" cy="42545"/>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482" w:name="page483"/>
    <w:bookmarkEnd w:id="482"/>
    <w:p>
      <w:pPr>
        <w:jc w:val="center"/>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615315</wp:posOffset>
            </wp:positionV>
            <wp:extent cx="7157720" cy="42545"/>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08" w:right="1440" w:bottom="1440" w:gutter="0" w:footer="0" w:header="0"/>
        </w:sectPr>
      </w:pPr>
    </w:p>
    <w:bookmarkStart w:id="483" w:name="page484"/>
    <w:bookmarkEnd w:id="483"/>
    <w:p>
      <w:pPr>
        <w:jc w:val="both"/>
        <w:spacing w:after="0" w:line="244" w:lineRule="auto"/>
        <w:rPr>
          <w:sz w:val="20"/>
          <w:szCs w:val="20"/>
          <w:color w:val="auto"/>
        </w:rPr>
      </w:pPr>
      <w:r>
        <w:rPr>
          <w:rFonts w:ascii="Times New Roman" w:cs="Times New Roman" w:eastAsia="Times New Roman" w:hAnsi="Times New Roman"/>
          <w:sz w:val="22"/>
          <w:szCs w:val="22"/>
          <w:color w:val="auto"/>
        </w:rPr>
        <w:t>improper payment or benefit. Axsome and its subsidiaries have instituted, maintain and enforce, and will continue to maintain and enforce policies and procedures designed to promote and ensure compliance with all applicable anti-bribery and anti-corruption laws.</w:t>
      </w:r>
    </w:p>
    <w:p>
      <w:pPr>
        <w:spacing w:after="0" w:line="173"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 xml:space="preserve">4.19 </w:t>
      </w:r>
      <w:r>
        <w:rPr>
          <w:rFonts w:ascii="Times New Roman" w:cs="Times New Roman" w:eastAsia="Times New Roman" w:hAnsi="Times New Roman"/>
          <w:sz w:val="22"/>
          <w:szCs w:val="22"/>
          <w:u w:val="single" w:color="auto"/>
          <w:color w:val="auto"/>
        </w:rPr>
        <w:t>Compliance with Anti-Money Laundering Laws</w:t>
      </w:r>
      <w:r>
        <w:rPr>
          <w:rFonts w:ascii="Times New Roman" w:cs="Times New Roman" w:eastAsia="Times New Roman" w:hAnsi="Times New Roman"/>
          <w:sz w:val="22"/>
          <w:szCs w:val="22"/>
          <w:color w:val="auto"/>
        </w:rPr>
        <w:t>. The operations of Axsome and its subsidiaries are and have been conducted at all times in compliance with applicable financial recordkeeping and reporting requirements, including those of the Currency and Foreign Transactions Reporting Act of 1970, as amended, the applicable money laundering statutes of all jurisdictions where Axsome or any of its subsidiaries conducts business, the rules and regulations thereunder and any related or similar rules, regulations or guidelines issued, administered or enforced by any governmental agency (collectively, the “</w:t>
      </w:r>
      <w:r>
        <w:rPr>
          <w:rFonts w:ascii="Times New Roman" w:cs="Times New Roman" w:eastAsia="Times New Roman" w:hAnsi="Times New Roman"/>
          <w:sz w:val="22"/>
          <w:szCs w:val="22"/>
          <w:b w:val="1"/>
          <w:bCs w:val="1"/>
          <w:i w:val="1"/>
          <w:iCs w:val="1"/>
          <w:color w:val="auto"/>
        </w:rPr>
        <w:t>Anti-Money Laundering Laws</w:t>
      </w:r>
      <w:r>
        <w:rPr>
          <w:rFonts w:ascii="Times New Roman" w:cs="Times New Roman" w:eastAsia="Times New Roman" w:hAnsi="Times New Roman"/>
          <w:sz w:val="22"/>
          <w:szCs w:val="22"/>
          <w:color w:val="auto"/>
        </w:rPr>
        <w:t>”) and no action, suit or proceeding by or before any court or governmental agency, authority or body</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or any arbitrator involving Axsome or any of its subsidiaries with respect to the Anti-Money Laundering Laws is pending or, to the Knowledge of Axsome, threatened.</w:t>
      </w:r>
    </w:p>
    <w:p>
      <w:pPr>
        <w:spacing w:after="0" w:line="165" w:lineRule="exact"/>
        <w:rPr>
          <w:sz w:val="20"/>
          <w:szCs w:val="20"/>
          <w:color w:val="auto"/>
        </w:rPr>
      </w:pPr>
    </w:p>
    <w:p>
      <w:pPr>
        <w:jc w:val="both"/>
        <w:ind w:firstLine="749"/>
        <w:spacing w:after="0" w:line="232" w:lineRule="auto"/>
        <w:rPr>
          <w:sz w:val="20"/>
          <w:szCs w:val="20"/>
          <w:color w:val="auto"/>
        </w:rPr>
      </w:pPr>
      <w:r>
        <w:rPr>
          <w:rFonts w:ascii="Times New Roman" w:cs="Times New Roman" w:eastAsia="Times New Roman" w:hAnsi="Times New Roman"/>
          <w:sz w:val="22"/>
          <w:szCs w:val="22"/>
          <w:color w:val="auto"/>
        </w:rPr>
        <w:t xml:space="preserve">4.20 </w:t>
      </w:r>
      <w:r>
        <w:rPr>
          <w:rFonts w:ascii="Times New Roman" w:cs="Times New Roman" w:eastAsia="Times New Roman" w:hAnsi="Times New Roman"/>
          <w:sz w:val="22"/>
          <w:szCs w:val="22"/>
          <w:u w:val="single" w:color="auto"/>
          <w:color w:val="auto"/>
        </w:rPr>
        <w:t>No Conflicts with Sanctions Laws</w:t>
      </w:r>
      <w:r>
        <w:rPr>
          <w:rFonts w:ascii="Times New Roman" w:cs="Times New Roman" w:eastAsia="Times New Roman" w:hAnsi="Times New Roman"/>
          <w:sz w:val="22"/>
          <w:szCs w:val="22"/>
          <w:color w:val="auto"/>
        </w:rPr>
        <w:t>. Neither Axsome nor any of its subsidiaries nor, to the Knowledge of Axsome, any director, officer, employee, agent, affiliate or other person associated with or acting on behalf of Axsome or any of its subsidiaries is currently the subject or the target of any sanctions administered or enforced by the U.S. government, (including the Office of Foreign Assets Control of the U.S. Department of the Treasury or the U.S. Department of State and including the designation as a “specially designated national” or “blocked person”), the United Nations Security Council the European Union, His Majesty’s Treasury or other relevant sanctions authority (collectively, “</w:t>
      </w:r>
      <w:r>
        <w:rPr>
          <w:rFonts w:ascii="Times New Roman" w:cs="Times New Roman" w:eastAsia="Times New Roman" w:hAnsi="Times New Roman"/>
          <w:sz w:val="22"/>
          <w:szCs w:val="22"/>
          <w:b w:val="1"/>
          <w:bCs w:val="1"/>
          <w:i w:val="1"/>
          <w:iCs w:val="1"/>
          <w:color w:val="auto"/>
        </w:rPr>
        <w:t>Sanctions</w:t>
      </w:r>
      <w:r>
        <w:rPr>
          <w:rFonts w:ascii="Times New Roman" w:cs="Times New Roman" w:eastAsia="Times New Roman" w:hAnsi="Times New Roman"/>
          <w:sz w:val="22"/>
          <w:szCs w:val="22"/>
          <w:color w:val="auto"/>
        </w:rPr>
        <w:t>”), nor is Axsome, any of its subsidiaries located, organized or resident in a country or territory that is the subject or target of Sanctions, including the Crimea Region and the non-government controlled areas of the Zaporizhzhia and Kherson Regions of Ukraine, the so-called Donetsk People’s Republic, the so-called Luhansk People’s Republic, Cuba, Iran, North Korea, and Syria (each, a “</w:t>
      </w:r>
      <w:r>
        <w:rPr>
          <w:rFonts w:ascii="Times New Roman" w:cs="Times New Roman" w:eastAsia="Times New Roman" w:hAnsi="Times New Roman"/>
          <w:sz w:val="22"/>
          <w:szCs w:val="22"/>
          <w:b w:val="1"/>
          <w:bCs w:val="1"/>
          <w:i w:val="1"/>
          <w:iCs w:val="1"/>
          <w:color w:val="auto"/>
        </w:rPr>
        <w:t>Sanctioned Country</w:t>
      </w:r>
      <w:r>
        <w:rPr>
          <w:rFonts w:ascii="Times New Roman" w:cs="Times New Roman" w:eastAsia="Times New Roman" w:hAnsi="Times New Roman"/>
          <w:sz w:val="22"/>
          <w:szCs w:val="22"/>
          <w:color w:val="auto"/>
        </w:rPr>
        <w:t>”); and Axsome will not directly or indirectly use the proceeds of the Offering of the Shares hereunder, or lend, contribute or otherwise make available such proceeds to any subsidiary, joint venture partner or other person or entity (i) to fund or facilitate any activities of or business with any person that, at the time of such funding or facilitation, is the subject or target of Sanctions, (ii) to fund or facilitate any activities of or business in any Sanctioned Country or (iii) in any other manner that will result in a violation by any person (including any person participating in the transaction, whether as underwriter, advisor, investor or otherwise) of Sanctions. For the past five years, Axsome and its subsidiaries have not knowingly engaged in and are not now knowingly engaged in any dealings or transactions with any person that at the time of the dealing or transaction is or was the subject or the target of Sanctions or with any Sanctioned Country.</w:t>
      </w:r>
    </w:p>
    <w:p>
      <w:pPr>
        <w:spacing w:after="0" w:line="190"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 xml:space="preserve">4.21 </w:t>
      </w:r>
      <w:r>
        <w:rPr>
          <w:rFonts w:ascii="Times New Roman" w:cs="Times New Roman" w:eastAsia="Times New Roman" w:hAnsi="Times New Roman"/>
          <w:sz w:val="22"/>
          <w:szCs w:val="22"/>
          <w:u w:val="single" w:color="auto"/>
          <w:color w:val="auto"/>
        </w:rPr>
        <w:t>Investment Company</w:t>
      </w:r>
      <w:r>
        <w:rPr>
          <w:rFonts w:ascii="Times New Roman" w:cs="Times New Roman" w:eastAsia="Times New Roman" w:hAnsi="Times New Roman"/>
          <w:sz w:val="22"/>
          <w:szCs w:val="22"/>
          <w:color w:val="auto"/>
        </w:rPr>
        <w:t>. Axsome is not required to be registered as, and immediately following the Closing will not be required to register as, an “investment company” within the meaning of the Investment Company Act of 1940, as amended.</w:t>
      </w:r>
    </w:p>
    <w:p>
      <w:pPr>
        <w:spacing w:after="0" w:line="172"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 xml:space="preserve">4.22 </w:t>
      </w:r>
      <w:r>
        <w:rPr>
          <w:rFonts w:ascii="Times New Roman" w:cs="Times New Roman" w:eastAsia="Times New Roman" w:hAnsi="Times New Roman"/>
          <w:sz w:val="22"/>
          <w:szCs w:val="22"/>
          <w:u w:val="single" w:color="auto"/>
          <w:color w:val="auto"/>
        </w:rPr>
        <w:t>Bad Actor Disqualification</w:t>
      </w:r>
      <w:r>
        <w:rPr>
          <w:rFonts w:ascii="Times New Roman" w:cs="Times New Roman" w:eastAsia="Times New Roman" w:hAnsi="Times New Roman"/>
          <w:sz w:val="22"/>
          <w:szCs w:val="22"/>
          <w:color w:val="auto"/>
        </w:rPr>
        <w:t>. None of Axsome, any predecessor or affiliated issuer of Axsome nor, to Axsome’s Knowledge, any director or executive officer of Axsome or any promoter connected with Axsome in any capacity, is subject to any of the “bad actor” disqualifications within the meaning of Rule 506(d) under the Securities Act, except for a disqualification event covered by Rule 506(d)(2) or (d)(3).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1165225</wp:posOffset>
            </wp:positionV>
            <wp:extent cx="7157720" cy="42545"/>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484" w:name="page485"/>
    <w:bookmarkEnd w:id="484"/>
    <w:p>
      <w:pPr>
        <w:jc w:val="cente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615315</wp:posOffset>
            </wp:positionV>
            <wp:extent cx="7157720" cy="42545"/>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08" w:right="1440" w:bottom="1440" w:gutter="0" w:footer="0" w:header="0"/>
        </w:sectPr>
      </w:pPr>
    </w:p>
    <w:bookmarkStart w:id="485" w:name="page486"/>
    <w:bookmarkEnd w:id="485"/>
    <w:p>
      <w:pPr>
        <w:ind w:left="760"/>
        <w:spacing w:after="0"/>
        <w:rPr>
          <w:sz w:val="20"/>
          <w:szCs w:val="20"/>
          <w:color w:val="auto"/>
        </w:rPr>
      </w:pPr>
      <w:r>
        <w:rPr>
          <w:rFonts w:ascii="Times New Roman" w:cs="Times New Roman" w:eastAsia="Times New Roman" w:hAnsi="Times New Roman"/>
          <w:sz w:val="21"/>
          <w:szCs w:val="21"/>
          <w:color w:val="auto"/>
        </w:rPr>
        <w:t xml:space="preserve">4.23 </w:t>
      </w:r>
      <w:r>
        <w:rPr>
          <w:rFonts w:ascii="Times New Roman" w:cs="Times New Roman" w:eastAsia="Times New Roman" w:hAnsi="Times New Roman"/>
          <w:sz w:val="21"/>
          <w:szCs w:val="21"/>
          <w:u w:val="single" w:color="auto"/>
          <w:color w:val="auto"/>
        </w:rPr>
        <w:t>Investment Matters</w:t>
      </w:r>
      <w:r>
        <w:rPr>
          <w:rFonts w:ascii="Times New Roman" w:cs="Times New Roman" w:eastAsia="Times New Roman" w:hAnsi="Times New Roman"/>
          <w:sz w:val="21"/>
          <w:szCs w:val="21"/>
          <w:color w:val="auto"/>
        </w:rPr>
        <w:t xml:space="preserve">. Assuming the accuracy of each Purchaser’s representations and warranties set forth in </w:t>
      </w:r>
      <w:r>
        <w:rPr>
          <w:rFonts w:ascii="Times New Roman" w:cs="Times New Roman" w:eastAsia="Times New Roman" w:hAnsi="Times New Roman"/>
          <w:sz w:val="21"/>
          <w:szCs w:val="21"/>
          <w:u w:val="single" w:color="auto"/>
          <w:color w:val="auto"/>
        </w:rPr>
        <w:t>Section</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u w:val="single" w:color="auto"/>
          <w:color w:val="auto"/>
        </w:rPr>
        <w:t>5</w:t>
      </w:r>
      <w:r>
        <w:rPr>
          <w:rFonts w:ascii="Times New Roman" w:cs="Times New Roman" w:eastAsia="Times New Roman" w:hAnsi="Times New Roman"/>
          <w:sz w:val="21"/>
          <w:szCs w:val="21"/>
          <w:color w:val="auto"/>
        </w:rPr>
        <w:t>, no registration under the Securities Act is required for the offer and sale of the Shares to the Purchasers hereunder. The Shares</w:t>
      </w:r>
    </w:p>
    <w:p>
      <w:pPr>
        <w:spacing w:after="0" w:line="2" w:lineRule="exact"/>
        <w:rPr>
          <w:sz w:val="20"/>
          <w:szCs w:val="20"/>
          <w:color w:val="auto"/>
        </w:rPr>
      </w:pPr>
    </w:p>
    <w:p>
      <w:pPr>
        <w:jc w:val="both"/>
        <w:ind w:firstLine="8"/>
        <w:spacing w:after="0" w:line="235" w:lineRule="auto"/>
        <w:tabs>
          <w:tab w:leader="none" w:pos="270" w:val="left"/>
        </w:tabs>
        <w:numPr>
          <w:ilvl w:val="0"/>
          <w:numId w:val="2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were not offered to the Purchasers by any form of general solicitation or general advertising and (ii) are not being offered to the Purchasers in a manner involving a public offering under, or in a distribution in violation of, the Securities Act, or any state securities laws.</w:t>
      </w:r>
    </w:p>
    <w:p>
      <w:pPr>
        <w:spacing w:after="0" w:line="174" w:lineRule="exact"/>
        <w:rPr>
          <w:sz w:val="20"/>
          <w:szCs w:val="20"/>
          <w:color w:val="auto"/>
        </w:rPr>
      </w:pPr>
    </w:p>
    <w:p>
      <w:pPr>
        <w:ind w:firstLine="8"/>
        <w:spacing w:after="0" w:line="262" w:lineRule="auto"/>
        <w:tabs>
          <w:tab w:leader="none" w:pos="472" w:val="left"/>
        </w:tabs>
        <w:numPr>
          <w:ilvl w:val="0"/>
          <w:numId w:val="2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Representations And Warranties Of Purchasers</w:t>
      </w:r>
      <w:r>
        <w:rPr>
          <w:rFonts w:ascii="Times New Roman" w:cs="Times New Roman" w:eastAsia="Times New Roman" w:hAnsi="Times New Roman"/>
          <w:sz w:val="22"/>
          <w:szCs w:val="22"/>
          <w:color w:val="auto"/>
        </w:rPr>
        <w:t>. Each Purchaser hereby, severally and not jointly, represents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warrants to Axsome as of the SPA Effective Date and as of the Closing Date as follows as to itself:</w:t>
      </w:r>
    </w:p>
    <w:p>
      <w:pPr>
        <w:spacing w:after="0" w:line="154"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 xml:space="preserve">5.1 </w:t>
      </w:r>
      <w:r>
        <w:rPr>
          <w:rFonts w:ascii="Times New Roman" w:cs="Times New Roman" w:eastAsia="Times New Roman" w:hAnsi="Times New Roman"/>
          <w:sz w:val="22"/>
          <w:szCs w:val="22"/>
          <w:u w:val="single" w:color="auto"/>
          <w:color w:val="auto"/>
        </w:rPr>
        <w:t>Legal Power</w:t>
      </w:r>
      <w:r>
        <w:rPr>
          <w:rFonts w:ascii="Times New Roman" w:cs="Times New Roman" w:eastAsia="Times New Roman" w:hAnsi="Times New Roman"/>
          <w:sz w:val="22"/>
          <w:szCs w:val="22"/>
          <w:color w:val="auto"/>
        </w:rPr>
        <w:t>. Purchaser has the requisite corporate power to enter into this Agreement, and to carry out and perform its obligations under the terms of this Agreement.</w:t>
      </w:r>
    </w:p>
    <w:p>
      <w:pPr>
        <w:spacing w:after="0" w:line="145"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 xml:space="preserve">5.2 </w:t>
      </w:r>
      <w:r>
        <w:rPr>
          <w:rFonts w:ascii="Times New Roman" w:cs="Times New Roman" w:eastAsia="Times New Roman" w:hAnsi="Times New Roman"/>
          <w:sz w:val="22"/>
          <w:szCs w:val="22"/>
          <w:u w:val="single" w:color="auto"/>
          <w:color w:val="auto"/>
        </w:rPr>
        <w:t>Due Execution</w:t>
      </w:r>
      <w:r>
        <w:rPr>
          <w:rFonts w:ascii="Times New Roman" w:cs="Times New Roman" w:eastAsia="Times New Roman" w:hAnsi="Times New Roman"/>
          <w:sz w:val="22"/>
          <w:szCs w:val="22"/>
          <w:color w:val="auto"/>
        </w:rPr>
        <w:t>. This Agreement has been duly authorized, executed and delivered by Purchaser, and, upon due execution and delivery by Axsome, this Agreement will be a valid and binding agreement of Purchaser, except as enforceability may be limited by bankruptcy, insolvency, reorganization, moratorium or similar laws affecting creditors’ rights generally or by equitable principles.</w:t>
      </w:r>
    </w:p>
    <w:p>
      <w:pPr>
        <w:spacing w:after="0" w:line="194" w:lineRule="exact"/>
        <w:rPr>
          <w:sz w:val="20"/>
          <w:szCs w:val="20"/>
          <w:color w:val="auto"/>
        </w:rPr>
      </w:pPr>
    </w:p>
    <w:p>
      <w:pPr>
        <w:jc w:val="both"/>
        <w:ind w:right="20" w:firstLine="749"/>
        <w:spacing w:after="0" w:line="258" w:lineRule="auto"/>
        <w:rPr>
          <w:sz w:val="20"/>
          <w:szCs w:val="20"/>
          <w:color w:val="auto"/>
        </w:rPr>
      </w:pPr>
      <w:r>
        <w:rPr>
          <w:rFonts w:ascii="Times New Roman" w:cs="Times New Roman" w:eastAsia="Times New Roman" w:hAnsi="Times New Roman"/>
          <w:sz w:val="22"/>
          <w:szCs w:val="22"/>
          <w:color w:val="auto"/>
        </w:rPr>
        <w:t xml:space="preserve">5.3 </w:t>
      </w:r>
      <w:r>
        <w:rPr>
          <w:rFonts w:ascii="Times New Roman" w:cs="Times New Roman" w:eastAsia="Times New Roman" w:hAnsi="Times New Roman"/>
          <w:sz w:val="22"/>
          <w:szCs w:val="22"/>
          <w:u w:val="single" w:color="auto"/>
          <w:color w:val="auto"/>
        </w:rPr>
        <w:t>Investment Representations</w:t>
      </w:r>
      <w:r>
        <w:rPr>
          <w:rFonts w:ascii="Times New Roman" w:cs="Times New Roman" w:eastAsia="Times New Roman" w:hAnsi="Times New Roman"/>
          <w:sz w:val="22"/>
          <w:szCs w:val="22"/>
          <w:color w:val="auto"/>
        </w:rPr>
        <w:t>. In connection with the offer, purchase and sale of the Shares, Purchaser makes the following representations:</w:t>
      </w:r>
    </w:p>
    <w:p>
      <w:pPr>
        <w:spacing w:after="0" w:line="158" w:lineRule="exact"/>
        <w:rPr>
          <w:sz w:val="20"/>
          <w:szCs w:val="20"/>
          <w:color w:val="auto"/>
        </w:rPr>
      </w:pPr>
    </w:p>
    <w:p>
      <w:pPr>
        <w:ind w:firstLine="1505"/>
        <w:spacing w:after="0" w:line="258" w:lineRule="auto"/>
        <w:tabs>
          <w:tab w:leader="none" w:pos="2036" w:val="left"/>
        </w:tabs>
        <w:numPr>
          <w:ilvl w:val="0"/>
          <w:numId w:val="2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Purchaser is acquiring the Shares for its own account, not as nominee or agent, for investment and not with a view to, or for resale in connection with, any distribution or public offering thereof in violation of the Securities Act.</w:t>
      </w:r>
    </w:p>
    <w:p>
      <w:pPr>
        <w:spacing w:after="0" w:line="158" w:lineRule="exact"/>
        <w:rPr>
          <w:rFonts w:ascii="Times New Roman" w:cs="Times New Roman" w:eastAsia="Times New Roman" w:hAnsi="Times New Roman"/>
          <w:sz w:val="22"/>
          <w:szCs w:val="22"/>
          <w:color w:val="auto"/>
        </w:rPr>
      </w:pPr>
    </w:p>
    <w:p>
      <w:pPr>
        <w:ind w:left="2040" w:hanging="535"/>
        <w:spacing w:after="0"/>
        <w:tabs>
          <w:tab w:leader="none" w:pos="2040" w:val="left"/>
        </w:tabs>
        <w:numPr>
          <w:ilvl w:val="0"/>
          <w:numId w:val="2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Purchaser understands that:</w:t>
      </w:r>
    </w:p>
    <w:p>
      <w:pPr>
        <w:spacing w:after="0" w:line="206" w:lineRule="exact"/>
        <w:rPr>
          <w:rFonts w:ascii="Times New Roman" w:cs="Times New Roman" w:eastAsia="Times New Roman" w:hAnsi="Times New Roman"/>
          <w:sz w:val="22"/>
          <w:szCs w:val="22"/>
          <w:color w:val="auto"/>
        </w:rPr>
      </w:pPr>
    </w:p>
    <w:p>
      <w:pPr>
        <w:jc w:val="both"/>
        <w:ind w:firstLine="2254"/>
        <w:spacing w:after="0" w:line="239" w:lineRule="auto"/>
        <w:tabs>
          <w:tab w:leader="none" w:pos="2546" w:val="left"/>
        </w:tabs>
        <w:numPr>
          <w:ilvl w:val="1"/>
          <w:numId w:val="2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Shares have not been Registered under the Securities Act by reason of a specific exemption therefrom, that such securities may be required to be held by it indefinitely under applicable securities laws, and that each Purchaser must, therefore, bear the economic risk of such investment indefinitely, unless a subsequent disposition thereof is Registered under the Securities Act or is exempt from such registration.</w:t>
      </w:r>
    </w:p>
    <w:p>
      <w:pPr>
        <w:spacing w:after="0" w:line="180" w:lineRule="exact"/>
        <w:rPr>
          <w:rFonts w:ascii="Times New Roman" w:cs="Times New Roman" w:eastAsia="Times New Roman" w:hAnsi="Times New Roman"/>
          <w:sz w:val="22"/>
          <w:szCs w:val="22"/>
          <w:color w:val="auto"/>
        </w:rPr>
      </w:pPr>
    </w:p>
    <w:p>
      <w:pPr>
        <w:ind w:left="2560" w:hanging="306"/>
        <w:spacing w:after="0"/>
        <w:tabs>
          <w:tab w:leader="none" w:pos="2560" w:val="left"/>
        </w:tabs>
        <w:numPr>
          <w:ilvl w:val="1"/>
          <w:numId w:val="2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book entry position representing Shares will be endorsed with the following legend:</w:t>
      </w:r>
    </w:p>
    <w:p>
      <w:pPr>
        <w:spacing w:after="0" w:line="193" w:lineRule="exact"/>
        <w:rPr>
          <w:sz w:val="20"/>
          <w:szCs w:val="20"/>
          <w:color w:val="auto"/>
        </w:rPr>
      </w:pPr>
    </w:p>
    <w:p>
      <w:pPr>
        <w:jc w:val="both"/>
        <w:ind w:left="1500"/>
        <w:spacing w:after="0" w:line="235" w:lineRule="auto"/>
        <w:rPr>
          <w:sz w:val="20"/>
          <w:szCs w:val="20"/>
          <w:color w:val="auto"/>
        </w:rPr>
      </w:pPr>
      <w:r>
        <w:rPr>
          <w:rFonts w:ascii="Times New Roman" w:cs="Times New Roman" w:eastAsia="Times New Roman" w:hAnsi="Times New Roman"/>
          <w:sz w:val="22"/>
          <w:szCs w:val="22"/>
          <w:color w:val="auto"/>
        </w:rPr>
        <w:t>THE SECURITIES REPRESENTED HEREBY HAVE NOT BEEN REGISTERED UNDER THE SECURITIES ACT OF 1933, AS AMENDED (THE “ACT”), OR UNDER THE SECURITIES LAWS OF CERTAIN STATES. THESE SECURITIES ARE SUBJECT TO RESTRICTIONS ON TRANSFERABILITY AND RESALE AND MAY NOT BE TRANSFERRED OR RESOLD EXCEPT AS PERMITTED UNDER THE ACT AND ANY APPLICABLE STATE SECURITIES LAWS, PURSUANT TO REGISTRATION OR EXEMPTION THEREFROM OR UNLESS THE COMPANY HAS RECEIVED AN OPINION OF COUNSEL SATISFACTORY TO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1390015</wp:posOffset>
            </wp:positionV>
            <wp:extent cx="7157720" cy="42545"/>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486" w:name="page487"/>
    <w:bookmarkEnd w:id="486"/>
    <w:p>
      <w:pPr>
        <w:jc w:val="center"/>
        <w:ind w:right="19"/>
        <w:spacing w:after="0"/>
        <w:rPr>
          <w:sz w:val="20"/>
          <w:szCs w:val="20"/>
          <w:color w:val="auto"/>
        </w:rPr>
      </w:pPr>
      <w:r>
        <w:rPr>
          <w:rFonts w:ascii="Times New Roman" w:cs="Times New Roman" w:eastAsia="Times New Roman" w:hAnsi="Times New Roman"/>
          <w:sz w:val="21"/>
          <w:szCs w:val="21"/>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622935</wp:posOffset>
            </wp:positionV>
            <wp:extent cx="7157720" cy="42545"/>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08" w:right="1440" w:bottom="1440" w:gutter="0" w:footer="0" w:header="0"/>
        </w:sectPr>
      </w:pPr>
    </w:p>
    <w:bookmarkStart w:id="487" w:name="page488"/>
    <w:bookmarkEnd w:id="487"/>
    <w:p>
      <w:pPr>
        <w:ind w:left="1500"/>
        <w:spacing w:after="0"/>
        <w:rPr>
          <w:sz w:val="20"/>
          <w:szCs w:val="20"/>
          <w:color w:val="auto"/>
        </w:rPr>
      </w:pPr>
      <w:r>
        <w:rPr>
          <w:rFonts w:ascii="Times New Roman" w:cs="Times New Roman" w:eastAsia="Times New Roman" w:hAnsi="Times New Roman"/>
          <w:sz w:val="22"/>
          <w:szCs w:val="22"/>
          <w:color w:val="auto"/>
        </w:rPr>
        <w:t>COMPANY AND ITS COUNSEL THAT SUCH REGISTRATION IS NOT REQUIRED.</w:t>
      </w:r>
    </w:p>
    <w:p>
      <w:pPr>
        <w:spacing w:after="0" w:line="206"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2"/>
          <w:szCs w:val="22"/>
          <w:color w:val="auto"/>
        </w:rPr>
        <w:t>(iii) Axsome will instruct the Transfer Agent not to register the transfer</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of the Shares or any portion thereof, unless the conditions specified in the foregoing legend are satisfied.</w:t>
      </w:r>
    </w:p>
    <w:p>
      <w:pPr>
        <w:spacing w:after="0" w:line="196" w:lineRule="exact"/>
        <w:rPr>
          <w:sz w:val="20"/>
          <w:szCs w:val="20"/>
          <w:color w:val="auto"/>
        </w:rPr>
      </w:pPr>
    </w:p>
    <w:p>
      <w:pPr>
        <w:ind w:firstLine="1505"/>
        <w:spacing w:after="0" w:line="258" w:lineRule="auto"/>
        <w:tabs>
          <w:tab w:leader="none" w:pos="2036" w:val="left"/>
        </w:tabs>
        <w:numPr>
          <w:ilvl w:val="1"/>
          <w:numId w:val="2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Purchaser has such knowledge and experience in financial or business matters that it is capable of evaluating the merits and risks of the investment in the Shares to be purchased hereunder.</w:t>
      </w:r>
    </w:p>
    <w:p>
      <w:pPr>
        <w:spacing w:after="0" w:line="158" w:lineRule="exact"/>
        <w:rPr>
          <w:rFonts w:ascii="Times New Roman" w:cs="Times New Roman" w:eastAsia="Times New Roman" w:hAnsi="Times New Roman"/>
          <w:sz w:val="22"/>
          <w:szCs w:val="22"/>
          <w:color w:val="auto"/>
        </w:rPr>
      </w:pPr>
    </w:p>
    <w:p>
      <w:pPr>
        <w:jc w:val="both"/>
        <w:ind w:firstLine="1505"/>
        <w:spacing w:after="0" w:line="236" w:lineRule="auto"/>
        <w:tabs>
          <w:tab w:leader="none" w:pos="2036" w:val="left"/>
        </w:tabs>
        <w:numPr>
          <w:ilvl w:val="1"/>
          <w:numId w:val="2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Purchaser acknowledges and agrees that it is purchasing the Shares from Axsome. Purchaser further acknowledges that there have been no representations, warranties, covenants and agreements made to the Purchaser in connection with the issuance of the Shares pursuant to this Agreement by or on behalf of Axsome or any of its respective affiliates or any control persons, officers, directors, employees, partners, agents or representatives of any of the foregoing or any other person or entity, expressly or by implication, other than those representations, warranties, covenants and agreements of Axsome expressly set forth in this Agreement or the Loan Agreement.</w:t>
      </w:r>
    </w:p>
    <w:p>
      <w:pPr>
        <w:spacing w:after="0" w:line="181" w:lineRule="exact"/>
        <w:rPr>
          <w:rFonts w:ascii="Times New Roman" w:cs="Times New Roman" w:eastAsia="Times New Roman" w:hAnsi="Times New Roman"/>
          <w:sz w:val="22"/>
          <w:szCs w:val="22"/>
          <w:color w:val="auto"/>
        </w:rPr>
      </w:pPr>
    </w:p>
    <w:p>
      <w:pPr>
        <w:jc w:val="both"/>
        <w:ind w:firstLine="1505"/>
        <w:spacing w:after="0" w:line="244" w:lineRule="auto"/>
        <w:tabs>
          <w:tab w:leader="none" w:pos="2036" w:val="left"/>
        </w:tabs>
        <w:numPr>
          <w:ilvl w:val="1"/>
          <w:numId w:val="2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Purchaser is an “accredited investor” as such term is defined in Rule 501(a) of the rules and regulations promulgated under the Securities Act. Each Purchaser acknowledges that it is aware that there are substantial risks incident to the purchase and ownership of the Shares, including those set forth in the SEC Documents.</w:t>
      </w:r>
    </w:p>
    <w:p>
      <w:pPr>
        <w:spacing w:after="0" w:line="186" w:lineRule="exact"/>
        <w:rPr>
          <w:rFonts w:ascii="Times New Roman" w:cs="Times New Roman" w:eastAsia="Times New Roman" w:hAnsi="Times New Roman"/>
          <w:sz w:val="22"/>
          <w:szCs w:val="22"/>
          <w:color w:val="auto"/>
        </w:rPr>
      </w:pPr>
    </w:p>
    <w:p>
      <w:pPr>
        <w:jc w:val="both"/>
        <w:ind w:firstLine="1505"/>
        <w:spacing w:after="0" w:line="239" w:lineRule="auto"/>
        <w:tabs>
          <w:tab w:leader="none" w:pos="2036" w:val="left"/>
        </w:tabs>
        <w:numPr>
          <w:ilvl w:val="1"/>
          <w:numId w:val="2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Purchaser became aware of this Offering of the Shares solely by means of direct contact between the Purchaser and Axsome or a representative of Axsome, and the Shares were offered to the Purchaser solely by direct contact between the Purchaser and Axsome or a representative of Axsome. The Purchaser did not become aware of this Offering of the Shares, nor were the Shares offered to the Purchaser, by any other means.</w:t>
      </w:r>
    </w:p>
    <w:p>
      <w:pPr>
        <w:spacing w:after="0" w:line="176" w:lineRule="exact"/>
        <w:rPr>
          <w:rFonts w:ascii="Times New Roman" w:cs="Times New Roman" w:eastAsia="Times New Roman" w:hAnsi="Times New Roman"/>
          <w:sz w:val="22"/>
          <w:szCs w:val="22"/>
          <w:color w:val="auto"/>
        </w:rPr>
      </w:pPr>
    </w:p>
    <w:p>
      <w:pPr>
        <w:ind w:left="440" w:hanging="432"/>
        <w:spacing w:after="0"/>
        <w:tabs>
          <w:tab w:leader="none" w:pos="440" w:val="left"/>
        </w:tabs>
        <w:numPr>
          <w:ilvl w:val="0"/>
          <w:numId w:val="2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Conditions to Closing</w:t>
      </w:r>
      <w:r>
        <w:rPr>
          <w:rFonts w:ascii="Times New Roman" w:cs="Times New Roman" w:eastAsia="Times New Roman" w:hAnsi="Times New Roman"/>
          <w:sz w:val="22"/>
          <w:szCs w:val="22"/>
          <w:color w:val="auto"/>
        </w:rPr>
        <w:t>.</w:t>
      </w:r>
    </w:p>
    <w:p>
      <w:pPr>
        <w:spacing w:after="0" w:line="22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 xml:space="preserve">6.1  </w:t>
      </w:r>
      <w:r>
        <w:rPr>
          <w:rFonts w:ascii="Times New Roman" w:cs="Times New Roman" w:eastAsia="Times New Roman" w:hAnsi="Times New Roman"/>
          <w:sz w:val="22"/>
          <w:szCs w:val="22"/>
          <w:u w:val="single" w:color="auto"/>
          <w:color w:val="auto"/>
        </w:rPr>
        <w:t>Conditions to Obligations of Purchasers at the Closing</w:t>
      </w:r>
      <w:r>
        <w:rPr>
          <w:rFonts w:ascii="Times New Roman" w:cs="Times New Roman" w:eastAsia="Times New Roman" w:hAnsi="Times New Roman"/>
          <w:sz w:val="22"/>
          <w:szCs w:val="22"/>
          <w:color w:val="auto"/>
        </w:rPr>
        <w:t>. Each Purchaser’s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obligation to purchase the Shares at the Closing is subject to the fulfillment to its reasonable satisfaction, on or prior to the</w:t>
      </w:r>
    </w:p>
    <w:p>
      <w:pPr>
        <w:spacing w:after="0"/>
        <w:rPr>
          <w:sz w:val="20"/>
          <w:szCs w:val="20"/>
          <w:color w:val="auto"/>
        </w:rPr>
      </w:pPr>
      <w:r>
        <w:rPr>
          <w:rFonts w:ascii="Times New Roman" w:cs="Times New Roman" w:eastAsia="Times New Roman" w:hAnsi="Times New Roman"/>
          <w:sz w:val="22"/>
          <w:szCs w:val="22"/>
          <w:color w:val="auto"/>
        </w:rPr>
        <w:t>Closing, of all of the following conditions:</w:t>
      </w:r>
    </w:p>
    <w:p>
      <w:pPr>
        <w:spacing w:after="0" w:line="182" w:lineRule="exact"/>
        <w:rPr>
          <w:sz w:val="20"/>
          <w:szCs w:val="20"/>
          <w:color w:val="auto"/>
        </w:rPr>
      </w:pPr>
    </w:p>
    <w:p>
      <w:pPr>
        <w:ind w:left="1500"/>
        <w:spacing w:after="0"/>
        <w:tabs>
          <w:tab w:leader="none" w:pos="1920" w:val="left"/>
        </w:tabs>
        <w:rPr>
          <w:sz w:val="20"/>
          <w:szCs w:val="20"/>
          <w:color w:val="auto"/>
        </w:rPr>
      </w:pPr>
      <w:r>
        <w:rPr>
          <w:rFonts w:ascii="Times New Roman" w:cs="Times New Roman" w:eastAsia="Times New Roman" w:hAnsi="Times New Roman"/>
          <w:sz w:val="22"/>
          <w:szCs w:val="22"/>
          <w:color w:val="auto"/>
        </w:rPr>
        <w:t>(a)</w:t>
      </w:r>
      <w:r>
        <w:rPr>
          <w:sz w:val="20"/>
          <w:szCs w:val="20"/>
          <w:color w:val="auto"/>
        </w:rPr>
        <w:tab/>
      </w:r>
      <w:r>
        <w:rPr>
          <w:rFonts w:ascii="Times New Roman" w:cs="Times New Roman" w:eastAsia="Times New Roman" w:hAnsi="Times New Roman"/>
          <w:sz w:val="21"/>
          <w:szCs w:val="21"/>
          <w:u w:val="single" w:color="auto"/>
          <w:color w:val="auto"/>
        </w:rPr>
        <w:t>Representations and Warranties</w:t>
      </w:r>
      <w:r>
        <w:rPr>
          <w:rFonts w:ascii="Times New Roman" w:cs="Times New Roman" w:eastAsia="Times New Roman" w:hAnsi="Times New Roman"/>
          <w:sz w:val="21"/>
          <w:szCs w:val="21"/>
          <w:color w:val="auto"/>
        </w:rPr>
        <w:t>. The representations and warranties made</w:t>
      </w:r>
    </w:p>
    <w:p>
      <w:pPr>
        <w:spacing w:after="0" w:line="14"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2"/>
          <w:szCs w:val="22"/>
          <w:color w:val="auto"/>
        </w:rPr>
        <w:t xml:space="preserve">by Axsome (i) in </w:t>
      </w:r>
      <w:r>
        <w:rPr>
          <w:rFonts w:ascii="Times New Roman" w:cs="Times New Roman" w:eastAsia="Times New Roman" w:hAnsi="Times New Roman"/>
          <w:sz w:val="22"/>
          <w:szCs w:val="22"/>
          <w:u w:val="single" w:color="auto"/>
          <w:color w:val="auto"/>
        </w:rPr>
        <w:t>Section 4.1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4.3</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4.4</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4.11</w:t>
      </w:r>
      <w:r>
        <w:rPr>
          <w:rFonts w:ascii="Times New Roman" w:cs="Times New Roman" w:eastAsia="Times New Roman" w:hAnsi="Times New Roman"/>
          <w:sz w:val="22"/>
          <w:szCs w:val="22"/>
          <w:color w:val="auto"/>
        </w:rPr>
        <w:t xml:space="preserve"> shall be true and correct on the Closing Date, and (ii) in </w:t>
      </w:r>
      <w:r>
        <w:rPr>
          <w:rFonts w:ascii="Times New Roman" w:cs="Times New Roman" w:eastAsia="Times New Roman" w:hAnsi="Times New Roman"/>
          <w:sz w:val="22"/>
          <w:szCs w:val="22"/>
          <w:u w:val="single" w:color="auto"/>
          <w:color w:val="auto"/>
        </w:rPr>
        <w:t>Section 4</w:t>
      </w:r>
      <w:r>
        <w:rPr>
          <w:rFonts w:ascii="Times New Roman" w:cs="Times New Roman" w:eastAsia="Times New Roman" w:hAnsi="Times New Roman"/>
          <w:sz w:val="22"/>
          <w:szCs w:val="22"/>
          <w:color w:val="auto"/>
        </w:rPr>
        <w:t xml:space="preserve"> (other than in </w:t>
      </w:r>
      <w:r>
        <w:rPr>
          <w:rFonts w:ascii="Times New Roman" w:cs="Times New Roman" w:eastAsia="Times New Roman" w:hAnsi="Times New Roman"/>
          <w:sz w:val="22"/>
          <w:szCs w:val="22"/>
          <w:u w:val="single" w:color="auto"/>
          <w:color w:val="auto"/>
        </w:rPr>
        <w:t>Section 4.1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4.3</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4.4</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4.11</w:t>
      </w:r>
      <w:r>
        <w:rPr>
          <w:rFonts w:ascii="Times New Roman" w:cs="Times New Roman" w:eastAsia="Times New Roman" w:hAnsi="Times New Roman"/>
          <w:sz w:val="22"/>
          <w:szCs w:val="22"/>
          <w:color w:val="auto"/>
        </w:rPr>
        <w:t>) (disregarding the qualifications using the word “material” or “Material Adverse Effect” and words of similar import therein), shall be true and correct on the Closing Date (other than representations and warranties made as of a particular date, in which case such representations and warranties shall be true and correct as of such particular date), except to the extent the failures of such representations and warranties to be so true and correct as of such dates has not, individually or in the aggregate, had a Material Adverse Effect, and a certificate duly executed by an officer of Axsome, to the effect of the foregoing, shall be delivered to each Purchaser.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1345565</wp:posOffset>
            </wp:positionV>
            <wp:extent cx="7157720" cy="42545"/>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488" w:name="page489"/>
    <w:bookmarkEnd w:id="488"/>
    <w:p>
      <w:pPr>
        <w:jc w:val="center"/>
        <w:ind w:right="19"/>
        <w:spacing w:after="0"/>
        <w:rPr>
          <w:sz w:val="20"/>
          <w:szCs w:val="20"/>
          <w:color w:val="auto"/>
        </w:rPr>
      </w:pPr>
      <w:r>
        <w:rPr>
          <w:rFonts w:ascii="Times New Roman" w:cs="Times New Roman" w:eastAsia="Times New Roman" w:hAnsi="Times New Roman"/>
          <w:sz w:val="21"/>
          <w:szCs w:val="21"/>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622935</wp:posOffset>
            </wp:positionV>
            <wp:extent cx="7157720" cy="42545"/>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08" w:right="1440" w:bottom="1440" w:gutter="0" w:footer="0" w:header="0"/>
        </w:sectPr>
      </w:pPr>
    </w:p>
    <w:bookmarkStart w:id="489" w:name="page490"/>
    <w:bookmarkEnd w:id="489"/>
    <w:p>
      <w:pPr>
        <w:jc w:val="both"/>
        <w:ind w:firstLine="1505"/>
        <w:spacing w:after="0" w:line="261" w:lineRule="auto"/>
        <w:tabs>
          <w:tab w:leader="none" w:pos="2036" w:val="left"/>
        </w:tabs>
        <w:numPr>
          <w:ilvl w:val="0"/>
          <w:numId w:val="218"/>
        </w:numPr>
        <w:rPr>
          <w:rFonts w:ascii="Times New Roman" w:cs="Times New Roman" w:eastAsia="Times New Roman" w:hAnsi="Times New Roman"/>
          <w:sz w:val="21"/>
          <w:szCs w:val="21"/>
          <w:u w:val="single" w:color="auto"/>
          <w:color w:val="auto"/>
        </w:rPr>
      </w:pPr>
      <w:r>
        <w:rPr>
          <w:rFonts w:ascii="Times New Roman" w:cs="Times New Roman" w:eastAsia="Times New Roman" w:hAnsi="Times New Roman"/>
          <w:sz w:val="21"/>
          <w:szCs w:val="21"/>
          <w:u w:val="single" w:color="auto"/>
          <w:color w:val="auto"/>
        </w:rPr>
        <w:t>Performance of Obligations</w:t>
      </w:r>
      <w:r>
        <w:rPr>
          <w:rFonts w:ascii="Times New Roman" w:cs="Times New Roman" w:eastAsia="Times New Roman" w:hAnsi="Times New Roman"/>
          <w:sz w:val="21"/>
          <w:szCs w:val="21"/>
          <w:color w:val="auto"/>
        </w:rPr>
        <w:t>. Axsome shall have performed and complied in all material respects with all obligations and conditions herein required to be performed or complied with by it by this Agreement on or prior to the Closing and a certificate duly executed by an officer of Axsome, to the effect of the foregoing, shall be delivered to each Purchaser.</w:t>
      </w:r>
    </w:p>
    <w:p>
      <w:pPr>
        <w:spacing w:after="0" w:line="157" w:lineRule="exact"/>
        <w:rPr>
          <w:rFonts w:ascii="Times New Roman" w:cs="Times New Roman" w:eastAsia="Times New Roman" w:hAnsi="Times New Roman"/>
          <w:sz w:val="21"/>
          <w:szCs w:val="21"/>
          <w:u w:val="single" w:color="auto"/>
          <w:color w:val="auto"/>
        </w:rPr>
      </w:pPr>
    </w:p>
    <w:p>
      <w:pPr>
        <w:ind w:firstLine="1505"/>
        <w:spacing w:after="0" w:line="258" w:lineRule="auto"/>
        <w:tabs>
          <w:tab w:leader="none" w:pos="2036" w:val="left"/>
        </w:tabs>
        <w:numPr>
          <w:ilvl w:val="0"/>
          <w:numId w:val="218"/>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Legal Investment</w:t>
      </w:r>
      <w:r>
        <w:rPr>
          <w:rFonts w:ascii="Times New Roman" w:cs="Times New Roman" w:eastAsia="Times New Roman" w:hAnsi="Times New Roman"/>
          <w:sz w:val="22"/>
          <w:szCs w:val="22"/>
          <w:color w:val="auto"/>
        </w:rPr>
        <w:t>. No stop order or other order enjoining the sale of the Shares shall have been issued and no proceedings for such purpose shall be pending or, to the Knowledge of Axsome, threatened by the SEC.</w:t>
      </w:r>
    </w:p>
    <w:p>
      <w:pPr>
        <w:spacing w:after="0" w:line="144" w:lineRule="exact"/>
        <w:rPr>
          <w:rFonts w:ascii="Times New Roman" w:cs="Times New Roman" w:eastAsia="Times New Roman" w:hAnsi="Times New Roman"/>
          <w:sz w:val="22"/>
          <w:szCs w:val="22"/>
          <w:u w:val="single" w:color="auto"/>
          <w:color w:val="auto"/>
        </w:rPr>
      </w:pPr>
    </w:p>
    <w:p>
      <w:pPr>
        <w:jc w:val="both"/>
        <w:ind w:firstLine="1505"/>
        <w:spacing w:after="0" w:line="244" w:lineRule="auto"/>
        <w:tabs>
          <w:tab w:leader="none" w:pos="2036" w:val="left"/>
        </w:tabs>
        <w:numPr>
          <w:ilvl w:val="0"/>
          <w:numId w:val="218"/>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Nasdaq Listing</w:t>
      </w:r>
      <w:r>
        <w:rPr>
          <w:rFonts w:ascii="Times New Roman" w:cs="Times New Roman" w:eastAsia="Times New Roman" w:hAnsi="Times New Roman"/>
          <w:sz w:val="22"/>
          <w:szCs w:val="22"/>
          <w:color w:val="auto"/>
        </w:rPr>
        <w:t>. If required by Nasdaq, Axsome shall have filed with Nasdaq a Listing of Additional Shares notification form for the listing of the Shares. No objection shall have been raised by Nasdaq with respect to the consummation of the transaction contemplated by this Agreement.</w:t>
      </w:r>
    </w:p>
    <w:p>
      <w:pPr>
        <w:spacing w:after="0" w:line="173" w:lineRule="exact"/>
        <w:rPr>
          <w:rFonts w:ascii="Times New Roman" w:cs="Times New Roman" w:eastAsia="Times New Roman" w:hAnsi="Times New Roman"/>
          <w:sz w:val="22"/>
          <w:szCs w:val="22"/>
          <w:u w:val="single" w:color="auto"/>
          <w:color w:val="auto"/>
        </w:rPr>
      </w:pPr>
    </w:p>
    <w:p>
      <w:pPr>
        <w:jc w:val="both"/>
        <w:ind w:firstLine="1505"/>
        <w:spacing w:after="0" w:line="239" w:lineRule="auto"/>
        <w:tabs>
          <w:tab w:leader="none" w:pos="2036" w:val="left"/>
        </w:tabs>
        <w:numPr>
          <w:ilvl w:val="0"/>
          <w:numId w:val="218"/>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Loan Agreement Funding</w:t>
      </w:r>
      <w:r>
        <w:rPr>
          <w:rFonts w:ascii="Times New Roman" w:cs="Times New Roman" w:eastAsia="Times New Roman" w:hAnsi="Times New Roman"/>
          <w:sz w:val="22"/>
          <w:szCs w:val="22"/>
          <w:color w:val="auto"/>
        </w:rPr>
        <w:t>. The funding of the Initial Term Loan (as defined in the Loan Agreement) on the Funding Date (as defined in the Loan Agreement) shall contemporaneously occur and all conditions to the funding of the Initial Term Loan under Section 3.1 and 3.2 of the Loan Agreement shall have been satisfied or waived by the Lenders (as defined in the Loan Agreement).</w:t>
      </w:r>
    </w:p>
    <w:p>
      <w:pPr>
        <w:spacing w:after="0" w:line="194"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22"/>
          <w:szCs w:val="22"/>
          <w:color w:val="auto"/>
        </w:rPr>
        <w:t xml:space="preserve">6.2  </w:t>
      </w:r>
      <w:r>
        <w:rPr>
          <w:rFonts w:ascii="Times New Roman" w:cs="Times New Roman" w:eastAsia="Times New Roman" w:hAnsi="Times New Roman"/>
          <w:sz w:val="22"/>
          <w:szCs w:val="22"/>
          <w:u w:val="single" w:color="auto"/>
          <w:color w:val="auto"/>
        </w:rPr>
        <w:t>Conditions to Obligations of Axsome at the Closing</w:t>
      </w:r>
      <w:r>
        <w:rPr>
          <w:rFonts w:ascii="Times New Roman" w:cs="Times New Roman" w:eastAsia="Times New Roman" w:hAnsi="Times New Roman"/>
          <w:sz w:val="22"/>
          <w:szCs w:val="22"/>
          <w:color w:val="auto"/>
        </w:rPr>
        <w:t>. Axsome’s obligation to issue</w:t>
      </w:r>
    </w:p>
    <w:p>
      <w:pPr>
        <w:spacing w:after="0" w:line="14"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2"/>
          <w:szCs w:val="22"/>
          <w:color w:val="auto"/>
        </w:rPr>
        <w:t>and sell the Shares at the Closing to each respective Purchaser is subject to the fulfillment to its reasonable satisfaction, on or prior to the Closing, of the following conditions:</w:t>
      </w:r>
    </w:p>
    <w:p>
      <w:pPr>
        <w:spacing w:after="0" w:line="178" w:lineRule="exact"/>
        <w:rPr>
          <w:sz w:val="20"/>
          <w:szCs w:val="20"/>
          <w:color w:val="auto"/>
        </w:rPr>
      </w:pPr>
    </w:p>
    <w:p>
      <w:pPr>
        <w:jc w:val="both"/>
        <w:ind w:firstLine="1505"/>
        <w:spacing w:after="0" w:line="235" w:lineRule="auto"/>
        <w:tabs>
          <w:tab w:leader="none" w:pos="2036" w:val="left"/>
        </w:tabs>
        <w:numPr>
          <w:ilvl w:val="0"/>
          <w:numId w:val="219"/>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Representations and Warranties</w:t>
      </w:r>
      <w:r>
        <w:rPr>
          <w:rFonts w:ascii="Times New Roman" w:cs="Times New Roman" w:eastAsia="Times New Roman" w:hAnsi="Times New Roman"/>
          <w:sz w:val="22"/>
          <w:szCs w:val="22"/>
          <w:color w:val="auto"/>
        </w:rPr>
        <w:t xml:space="preserve">. The representations and warranties made by the Purchasers (i) in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5.1</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5.2</w:t>
      </w:r>
      <w:r>
        <w:rPr>
          <w:rFonts w:ascii="Times New Roman" w:cs="Times New Roman" w:eastAsia="Times New Roman" w:hAnsi="Times New Roman"/>
          <w:sz w:val="22"/>
          <w:szCs w:val="22"/>
          <w:color w:val="auto"/>
        </w:rPr>
        <w:t xml:space="preserve"> shall be true and correct on the Closing Date, and (ii) in </w:t>
      </w:r>
      <w:r>
        <w:rPr>
          <w:rFonts w:ascii="Times New Roman" w:cs="Times New Roman" w:eastAsia="Times New Roman" w:hAnsi="Times New Roman"/>
          <w:sz w:val="22"/>
          <w:szCs w:val="22"/>
          <w:u w:val="single" w:color="auto"/>
          <w:color w:val="auto"/>
        </w:rPr>
        <w:t>Section 5</w:t>
      </w:r>
      <w:r>
        <w:rPr>
          <w:rFonts w:ascii="Times New Roman" w:cs="Times New Roman" w:eastAsia="Times New Roman" w:hAnsi="Times New Roman"/>
          <w:sz w:val="22"/>
          <w:szCs w:val="22"/>
          <w:color w:val="auto"/>
        </w:rPr>
        <w:t xml:space="preserve"> (other than in </w:t>
      </w:r>
      <w:r>
        <w:rPr>
          <w:rFonts w:ascii="Times New Roman" w:cs="Times New Roman" w:eastAsia="Times New Roman" w:hAnsi="Times New Roman"/>
          <w:sz w:val="22"/>
          <w:szCs w:val="22"/>
          <w:u w:val="single" w:color="auto"/>
          <w:color w:val="auto"/>
        </w:rPr>
        <w:t>Section 5.1</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5.2</w:t>
      </w:r>
      <w:r>
        <w:rPr>
          <w:rFonts w:ascii="Times New Roman" w:cs="Times New Roman" w:eastAsia="Times New Roman" w:hAnsi="Times New Roman"/>
          <w:sz w:val="22"/>
          <w:szCs w:val="22"/>
          <w:color w:val="auto"/>
        </w:rPr>
        <w:t>) (disregarding the qualifications using the word “material” or “Material Adverse Effect” and words of similar import therein), shall be true and correct on the Closing Date (other than representations and warranties made as of a particular date, in which case such representations and warranties shall be true and correct as of such particular date), except for such failures of such representations and warranties to be so true and correct as would not, individually or in the aggregate, result in a material adverse effect on such Purchaser’s ability to complete the transactions contemplated by this Agreement, and a certificate duly executed by each Purchaser, to the effect of the foregoing, shall be delivered to Axsome.</w:t>
      </w:r>
    </w:p>
    <w:p>
      <w:pPr>
        <w:spacing w:after="0" w:line="178" w:lineRule="exact"/>
        <w:rPr>
          <w:rFonts w:ascii="Times New Roman" w:cs="Times New Roman" w:eastAsia="Times New Roman" w:hAnsi="Times New Roman"/>
          <w:sz w:val="22"/>
          <w:szCs w:val="22"/>
          <w:u w:val="single" w:color="auto"/>
          <w:color w:val="auto"/>
        </w:rPr>
      </w:pPr>
    </w:p>
    <w:p>
      <w:pPr>
        <w:jc w:val="both"/>
        <w:ind w:firstLine="1505"/>
        <w:spacing w:after="0" w:line="244" w:lineRule="auto"/>
        <w:tabs>
          <w:tab w:leader="none" w:pos="2036" w:val="left"/>
        </w:tabs>
        <w:numPr>
          <w:ilvl w:val="0"/>
          <w:numId w:val="219"/>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Performance of Obligations</w:t>
      </w:r>
      <w:r>
        <w:rPr>
          <w:rFonts w:ascii="Times New Roman" w:cs="Times New Roman" w:eastAsia="Times New Roman" w:hAnsi="Times New Roman"/>
          <w:sz w:val="22"/>
          <w:szCs w:val="22"/>
          <w:color w:val="auto"/>
        </w:rPr>
        <w:t>. Each Purchaser shall have performed and complied in all material respects with all agreements and conditions herein required by this Agreement to be performed or complied with by it on or before the Closing, and a certificate duly executed by each Purchaser, to the effect of the foregoing, shall be delivered to Axsome.</w:t>
      </w:r>
    </w:p>
    <w:p>
      <w:pPr>
        <w:spacing w:after="0" w:line="173" w:lineRule="exact"/>
        <w:rPr>
          <w:rFonts w:ascii="Times New Roman" w:cs="Times New Roman" w:eastAsia="Times New Roman" w:hAnsi="Times New Roman"/>
          <w:sz w:val="22"/>
          <w:szCs w:val="22"/>
          <w:u w:val="single" w:color="auto"/>
          <w:color w:val="auto"/>
        </w:rPr>
      </w:pPr>
    </w:p>
    <w:p>
      <w:pPr>
        <w:ind w:firstLine="1505"/>
        <w:spacing w:after="0" w:line="258" w:lineRule="auto"/>
        <w:tabs>
          <w:tab w:leader="none" w:pos="2036" w:val="left"/>
        </w:tabs>
        <w:numPr>
          <w:ilvl w:val="0"/>
          <w:numId w:val="219"/>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Legal Investment</w:t>
      </w:r>
      <w:r>
        <w:rPr>
          <w:rFonts w:ascii="Times New Roman" w:cs="Times New Roman" w:eastAsia="Times New Roman" w:hAnsi="Times New Roman"/>
          <w:sz w:val="22"/>
          <w:szCs w:val="22"/>
          <w:color w:val="auto"/>
        </w:rPr>
        <w:t>. No stop order or other order enjoining the sale of the Shares shall have been issued and no proceedings for such purpose shall be pending or, to the knowledge of each Purchaser, threatened by the SEC.</w:t>
      </w:r>
    </w:p>
    <w:p>
      <w:pPr>
        <w:spacing w:after="0" w:line="158"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22"/>
          <w:szCs w:val="22"/>
          <w:color w:val="auto"/>
        </w:rPr>
        <w:t xml:space="preserve">6.3  </w:t>
      </w:r>
      <w:r>
        <w:rPr>
          <w:rFonts w:ascii="Times New Roman" w:cs="Times New Roman" w:eastAsia="Times New Roman" w:hAnsi="Times New Roman"/>
          <w:sz w:val="22"/>
          <w:szCs w:val="22"/>
          <w:u w:val="single" w:color="auto"/>
          <w:color w:val="auto"/>
        </w:rPr>
        <w:t>Condition to Obligations of each Party at the Closing</w:t>
      </w:r>
      <w:r>
        <w:rPr>
          <w:rFonts w:ascii="Times New Roman" w:cs="Times New Roman" w:eastAsia="Times New Roman" w:hAnsi="Times New Roman"/>
          <w:sz w:val="22"/>
          <w:szCs w:val="22"/>
          <w:color w:val="auto"/>
        </w:rPr>
        <w:t>. The obligations of Axsome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615315</wp:posOffset>
            </wp:positionV>
            <wp:extent cx="7157720" cy="42545"/>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490" w:name="page491"/>
    <w:bookmarkEnd w:id="490"/>
    <w:p>
      <w:pPr>
        <w:spacing w:after="0" w:line="258" w:lineRule="auto"/>
        <w:rPr>
          <w:sz w:val="20"/>
          <w:szCs w:val="20"/>
          <w:color w:val="auto"/>
        </w:rPr>
      </w:pPr>
      <w:r>
        <w:rPr>
          <w:rFonts w:ascii="Times New Roman" w:cs="Times New Roman" w:eastAsia="Times New Roman" w:hAnsi="Times New Roman"/>
          <w:sz w:val="22"/>
          <w:szCs w:val="22"/>
          <w:color w:val="auto"/>
        </w:rPr>
        <w:t>and each Purchaser to consummate the transactions contemplated to occur at the Closing shall be subject there being no statute, rule, regulation, executive order, decree, temporary restraining</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615315</wp:posOffset>
            </wp:positionV>
            <wp:extent cx="7157720" cy="42545"/>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491" w:name="page492"/>
    <w:bookmarkEnd w:id="491"/>
    <w:p>
      <w:pPr>
        <w:jc w:val="both"/>
        <w:spacing w:after="0" w:line="244" w:lineRule="auto"/>
        <w:rPr>
          <w:sz w:val="20"/>
          <w:szCs w:val="20"/>
          <w:color w:val="auto"/>
        </w:rPr>
      </w:pPr>
      <w:r>
        <w:rPr>
          <w:rFonts w:ascii="Times New Roman" w:cs="Times New Roman" w:eastAsia="Times New Roman" w:hAnsi="Times New Roman"/>
          <w:sz w:val="22"/>
          <w:szCs w:val="22"/>
          <w:color w:val="auto"/>
        </w:rPr>
        <w:t>order, preliminary or permanent injunction or other order enacted, entered, promulgated, enforced or issued by any governmental entity or other legal restraint or prohibition preventing the consummation of the transactions contemplated by this Agreement shall be in effect.</w:t>
      </w:r>
    </w:p>
    <w:p>
      <w:pPr>
        <w:spacing w:after="0" w:line="156" w:lineRule="exact"/>
        <w:rPr>
          <w:sz w:val="20"/>
          <w:szCs w:val="20"/>
          <w:color w:val="auto"/>
        </w:rPr>
      </w:pPr>
    </w:p>
    <w:p>
      <w:pPr>
        <w:ind w:left="440" w:hanging="437"/>
        <w:spacing w:after="0"/>
        <w:tabs>
          <w:tab w:leader="none" w:pos="440" w:val="left"/>
        </w:tabs>
        <w:numPr>
          <w:ilvl w:val="0"/>
          <w:numId w:val="220"/>
        </w:numPr>
        <w:rPr>
          <w:rFonts w:ascii="Times New Roman" w:cs="Times New Roman" w:eastAsia="Times New Roman" w:hAnsi="Times New Roman"/>
          <w:sz w:val="22"/>
          <w:szCs w:val="22"/>
          <w:b w:val="1"/>
          <w:bCs w:val="1"/>
          <w:u w:val="single" w:color="auto"/>
          <w:color w:val="auto"/>
        </w:rPr>
      </w:pPr>
      <w:r>
        <w:rPr>
          <w:rFonts w:ascii="Times New Roman" w:cs="Times New Roman" w:eastAsia="Times New Roman" w:hAnsi="Times New Roman"/>
          <w:sz w:val="22"/>
          <w:szCs w:val="22"/>
          <w:b w:val="1"/>
          <w:bCs w:val="1"/>
          <w:u w:val="single" w:color="auto"/>
          <w:color w:val="auto"/>
        </w:rPr>
        <w:t>Stock Ownership Governance</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22"/>
          <w:szCs w:val="22"/>
          <w:color w:val="auto"/>
        </w:rPr>
        <w:t xml:space="preserve">7.1  </w:t>
      </w:r>
      <w:r>
        <w:rPr>
          <w:rFonts w:ascii="Times New Roman" w:cs="Times New Roman" w:eastAsia="Times New Roman" w:hAnsi="Times New Roman"/>
          <w:sz w:val="22"/>
          <w:szCs w:val="22"/>
          <w:u w:val="single" w:color="auto"/>
          <w:color w:val="auto"/>
        </w:rPr>
        <w:t>Lock-Up Period</w:t>
      </w:r>
      <w:r>
        <w:rPr>
          <w:rFonts w:ascii="Times New Roman" w:cs="Times New Roman" w:eastAsia="Times New Roman" w:hAnsi="Times New Roman"/>
          <w:sz w:val="22"/>
          <w:szCs w:val="22"/>
          <w:color w:val="auto"/>
        </w:rPr>
        <w:t>. Excluding any transfers or intra-company disposal of the Shares</w:t>
      </w:r>
    </w:p>
    <w:p>
      <w:pPr>
        <w:spacing w:after="0" w:line="14"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2"/>
          <w:szCs w:val="22"/>
          <w:color w:val="auto"/>
        </w:rPr>
        <w:t>between a Purchaser and any of its Affiliates, for a period of one hundred twenty (120) days beginning on and including the Closing Date (the “</w:t>
      </w:r>
      <w:r>
        <w:rPr>
          <w:rFonts w:ascii="Times New Roman" w:cs="Times New Roman" w:eastAsia="Times New Roman" w:hAnsi="Times New Roman"/>
          <w:sz w:val="22"/>
          <w:szCs w:val="22"/>
          <w:b w:val="1"/>
          <w:bCs w:val="1"/>
          <w:i w:val="1"/>
          <w:iCs w:val="1"/>
          <w:color w:val="auto"/>
        </w:rPr>
        <w:t>Lock-Up Period</w:t>
      </w:r>
      <w:r>
        <w:rPr>
          <w:rFonts w:ascii="Times New Roman" w:cs="Times New Roman" w:eastAsia="Times New Roman" w:hAnsi="Times New Roman"/>
          <w:sz w:val="22"/>
          <w:szCs w:val="22"/>
          <w:color w:val="auto"/>
        </w:rPr>
        <w:t xml:space="preserve">”), each Purchaser shall not, without the prior written consent of Axsome, sell, contract to sell, pledge or otherwise dispose of, directly or indirectly, any Shares or enter into a transaction which would have the same effect;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xml:space="preserve">, that the foregoing shall not prohibit a Purchaser from distributions of Shares to general or limited partners, members, shareholders, Affiliates or wholly-owned subsidiaries of such Purchaser or any investment fund or other entity controlled or managed by such Purchaser;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in each case, that following any such transfer such Shares will remain subject to the provisions of this </w:t>
      </w:r>
      <w:r>
        <w:rPr>
          <w:rFonts w:ascii="Times New Roman" w:cs="Times New Roman" w:eastAsia="Times New Roman" w:hAnsi="Times New Roman"/>
          <w:sz w:val="22"/>
          <w:szCs w:val="22"/>
          <w:u w:val="single" w:color="auto"/>
          <w:color w:val="auto"/>
        </w:rPr>
        <w:t>Section 7.1</w:t>
      </w:r>
      <w:r>
        <w:rPr>
          <w:rFonts w:ascii="Times New Roman" w:cs="Times New Roman" w:eastAsia="Times New Roman" w:hAnsi="Times New Roman"/>
          <w:sz w:val="22"/>
          <w:szCs w:val="22"/>
          <w:color w:val="auto"/>
        </w:rPr>
        <w:t xml:space="preserve">. Any discretionary waiver or termination of the restrictions of any or all of this </w:t>
      </w:r>
      <w:r>
        <w:rPr>
          <w:rFonts w:ascii="Times New Roman" w:cs="Times New Roman" w:eastAsia="Times New Roman" w:hAnsi="Times New Roman"/>
          <w:sz w:val="22"/>
          <w:szCs w:val="22"/>
          <w:u w:val="single" w:color="auto"/>
          <w:color w:val="auto"/>
        </w:rPr>
        <w:t>Section 7.1</w:t>
      </w:r>
      <w:r>
        <w:rPr>
          <w:rFonts w:ascii="Times New Roman" w:cs="Times New Roman" w:eastAsia="Times New Roman" w:hAnsi="Times New Roman"/>
          <w:sz w:val="22"/>
          <w:szCs w:val="22"/>
          <w:color w:val="auto"/>
        </w:rPr>
        <w:t xml:space="preserve"> by Axsome shall apply pro rata to all Purchasers, based on the number of Shares held by each such Purchasers. For the avoidance of doubt, this </w:t>
      </w:r>
      <w:r>
        <w:rPr>
          <w:rFonts w:ascii="Times New Roman" w:cs="Times New Roman" w:eastAsia="Times New Roman" w:hAnsi="Times New Roman"/>
          <w:sz w:val="22"/>
          <w:szCs w:val="22"/>
          <w:u w:val="single" w:color="auto"/>
          <w:color w:val="auto"/>
        </w:rPr>
        <w:t>Section 7.1</w:t>
      </w:r>
      <w:r>
        <w:rPr>
          <w:rFonts w:ascii="Times New Roman" w:cs="Times New Roman" w:eastAsia="Times New Roman" w:hAnsi="Times New Roman"/>
          <w:sz w:val="22"/>
          <w:szCs w:val="22"/>
          <w:color w:val="auto"/>
        </w:rPr>
        <w:t xml:space="preserve"> shall only apply to Shares purchased pursuant to this Agreement and shall not impose any restrictions on any other securities of Axsome owned by any Purchasers.</w:t>
      </w:r>
    </w:p>
    <w:p>
      <w:pPr>
        <w:spacing w:after="0" w:line="17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22"/>
          <w:szCs w:val="22"/>
          <w:color w:val="auto"/>
        </w:rPr>
        <w:t xml:space="preserve">7.2  </w:t>
      </w:r>
      <w:r>
        <w:rPr>
          <w:rFonts w:ascii="Times New Roman" w:cs="Times New Roman" w:eastAsia="Times New Roman" w:hAnsi="Times New Roman"/>
          <w:sz w:val="22"/>
          <w:szCs w:val="22"/>
          <w:u w:val="single" w:color="auto"/>
          <w:color w:val="auto"/>
        </w:rPr>
        <w:t>Remedies</w:t>
      </w:r>
      <w:r>
        <w:rPr>
          <w:rFonts w:ascii="Times New Roman" w:cs="Times New Roman" w:eastAsia="Times New Roman" w:hAnsi="Times New Roman"/>
          <w:sz w:val="22"/>
          <w:szCs w:val="22"/>
          <w:color w:val="auto"/>
        </w:rPr>
        <w:t>. Without prejudice to the rights and remedies otherwise available to the</w:t>
      </w:r>
    </w:p>
    <w:p>
      <w:pPr>
        <w:spacing w:after="0" w:line="14" w:lineRule="exact"/>
        <w:rPr>
          <w:sz w:val="20"/>
          <w:szCs w:val="20"/>
          <w:color w:val="auto"/>
        </w:rPr>
      </w:pPr>
    </w:p>
    <w:p>
      <w:pPr>
        <w:jc w:val="both"/>
        <w:ind w:right="20"/>
        <w:spacing w:after="0" w:line="237" w:lineRule="auto"/>
        <w:rPr>
          <w:sz w:val="20"/>
          <w:szCs w:val="20"/>
          <w:color w:val="auto"/>
        </w:rPr>
      </w:pPr>
      <w:r>
        <w:rPr>
          <w:rFonts w:ascii="Times New Roman" w:cs="Times New Roman" w:eastAsia="Times New Roman" w:hAnsi="Times New Roman"/>
          <w:sz w:val="22"/>
          <w:szCs w:val="22"/>
          <w:color w:val="auto"/>
        </w:rPr>
        <w:t xml:space="preserve">parties, Axsome shall be entitled to equitable relief by way of injunction if any Purchaser breaches or threatens to breach any of the provisions of this </w:t>
      </w:r>
      <w:r>
        <w:rPr>
          <w:rFonts w:ascii="Times New Roman" w:cs="Times New Roman" w:eastAsia="Times New Roman" w:hAnsi="Times New Roman"/>
          <w:sz w:val="22"/>
          <w:szCs w:val="22"/>
          <w:u w:val="single" w:color="auto"/>
          <w:color w:val="auto"/>
        </w:rPr>
        <w:t>Section 7</w:t>
      </w:r>
      <w:r>
        <w:rPr>
          <w:rFonts w:ascii="Times New Roman" w:cs="Times New Roman" w:eastAsia="Times New Roman" w:hAnsi="Times New Roman"/>
          <w:sz w:val="22"/>
          <w:szCs w:val="22"/>
          <w:color w:val="auto"/>
        </w:rPr>
        <w:t>.</w:t>
      </w:r>
    </w:p>
    <w:p>
      <w:pPr>
        <w:spacing w:after="0" w:line="174" w:lineRule="exact"/>
        <w:rPr>
          <w:sz w:val="20"/>
          <w:szCs w:val="20"/>
          <w:color w:val="auto"/>
        </w:rPr>
      </w:pPr>
    </w:p>
    <w:p>
      <w:pPr>
        <w:ind w:left="440" w:hanging="437"/>
        <w:spacing w:after="0"/>
        <w:tabs>
          <w:tab w:leader="none" w:pos="440" w:val="left"/>
        </w:tabs>
        <w:numPr>
          <w:ilvl w:val="0"/>
          <w:numId w:val="221"/>
        </w:numPr>
        <w:rPr>
          <w:rFonts w:ascii="Times New Roman" w:cs="Times New Roman" w:eastAsia="Times New Roman" w:hAnsi="Times New Roman"/>
          <w:sz w:val="22"/>
          <w:szCs w:val="22"/>
          <w:b w:val="1"/>
          <w:bCs w:val="1"/>
          <w:u w:val="single" w:color="auto"/>
          <w:color w:val="auto"/>
        </w:rPr>
      </w:pPr>
      <w:r>
        <w:rPr>
          <w:rFonts w:ascii="Times New Roman" w:cs="Times New Roman" w:eastAsia="Times New Roman" w:hAnsi="Times New Roman"/>
          <w:sz w:val="22"/>
          <w:szCs w:val="22"/>
          <w:b w:val="1"/>
          <w:bCs w:val="1"/>
          <w:u w:val="single" w:color="auto"/>
          <w:color w:val="auto"/>
        </w:rPr>
        <w:t>Covenants</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22"/>
          <w:szCs w:val="22"/>
          <w:color w:val="auto"/>
        </w:rPr>
        <w:t xml:space="preserve">8.1  </w:t>
      </w:r>
      <w:r>
        <w:rPr>
          <w:rFonts w:ascii="Times New Roman" w:cs="Times New Roman" w:eastAsia="Times New Roman" w:hAnsi="Times New Roman"/>
          <w:sz w:val="22"/>
          <w:szCs w:val="22"/>
          <w:u w:val="single" w:color="auto"/>
          <w:color w:val="auto"/>
        </w:rPr>
        <w:t>Covenant of Axsome</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500"/>
        <w:spacing w:after="0" w:line="244" w:lineRule="auto"/>
        <w:tabs>
          <w:tab w:leader="none" w:pos="1962" w:val="left"/>
        </w:tabs>
        <w:numPr>
          <w:ilvl w:val="0"/>
          <w:numId w:val="2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Axsome hereby covenants and agrees that it shall take all necessary and appropriate actions to ensure that it shall have available under its certificate of incorporation as in effect at the Closing sufficient authorized but unissued shares of its Common Stock to issue and sell to Purchasers all of the Shares.</w:t>
      </w:r>
    </w:p>
    <w:p>
      <w:pPr>
        <w:spacing w:after="0" w:line="159" w:lineRule="exact"/>
        <w:rPr>
          <w:rFonts w:ascii="Times New Roman" w:cs="Times New Roman" w:eastAsia="Times New Roman" w:hAnsi="Times New Roman"/>
          <w:sz w:val="22"/>
          <w:szCs w:val="22"/>
          <w:color w:val="auto"/>
        </w:rPr>
      </w:pPr>
    </w:p>
    <w:p>
      <w:pPr>
        <w:jc w:val="both"/>
        <w:ind w:firstLine="1500"/>
        <w:spacing w:after="0" w:line="239" w:lineRule="auto"/>
        <w:tabs>
          <w:tab w:leader="none" w:pos="1962" w:val="left"/>
        </w:tabs>
        <w:numPr>
          <w:ilvl w:val="0"/>
          <w:numId w:val="2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From the date hereof until such time as each Purchaser has sold all of the Shares purchased by it pursuant to this Agreement, Axsome will use commercially reasonable efforts to continue the listing and trading of its Common Stock on Nasdaq and, in accordance, therewith, will use commercially reasonable efforts to comply in all respects with Axsome’s reporting, filing and other obligations under the bylaws or rules of such market or exchange, as applicable.</w:t>
      </w:r>
    </w:p>
    <w:p>
      <w:pPr>
        <w:spacing w:after="0" w:line="180" w:lineRule="exact"/>
        <w:rPr>
          <w:rFonts w:ascii="Times New Roman" w:cs="Times New Roman" w:eastAsia="Times New Roman" w:hAnsi="Times New Roman"/>
          <w:sz w:val="22"/>
          <w:szCs w:val="22"/>
          <w:color w:val="auto"/>
        </w:rPr>
      </w:pPr>
    </w:p>
    <w:p>
      <w:pPr>
        <w:jc w:val="both"/>
        <w:ind w:firstLine="1500"/>
        <w:spacing w:after="0" w:line="238" w:lineRule="auto"/>
        <w:tabs>
          <w:tab w:leader="none" w:pos="1962" w:val="left"/>
        </w:tabs>
        <w:numPr>
          <w:ilvl w:val="0"/>
          <w:numId w:val="2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Axsome shall not, and shall use its commercially reasonable efforts to ensure that no controlled Affiliate of Axsome shall, sell, offer for sale or solicit offers to buy or otherwise negotiate in respect of any security (as defined in Section 2 of the Securities Act) that will be integrated with the offer or sale of the Shares in a manner that would require the Registration under the Securities Act of the sale of the Shares to the Purchasers. Axsome shall not take any action or steps that would adversely affect reliance by Axsome in any material respect 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1334135</wp:posOffset>
            </wp:positionV>
            <wp:extent cx="7157720" cy="42545"/>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400" w:top="1421" w:right="339" w:bottom="1440" w:gutter="0" w:footer="0" w:header="0"/>
        </w:sectPr>
      </w:pPr>
    </w:p>
    <w:bookmarkStart w:id="492" w:name="page493"/>
    <w:bookmarkEnd w:id="492"/>
    <w:p>
      <w:pPr>
        <w:jc w:val="center"/>
        <w:ind w:right="19"/>
        <w:spacing w:after="0"/>
        <w:rPr>
          <w:sz w:val="20"/>
          <w:szCs w:val="20"/>
          <w:color w:val="auto"/>
        </w:rPr>
      </w:pPr>
      <w:r>
        <w:rPr>
          <w:rFonts w:ascii="Times New Roman" w:cs="Times New Roman" w:eastAsia="Times New Roman" w:hAnsi="Times New Roman"/>
          <w:sz w:val="21"/>
          <w:szCs w:val="21"/>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622935</wp:posOffset>
            </wp:positionV>
            <wp:extent cx="7157720" cy="42545"/>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08" w:right="1440" w:bottom="1440" w:gutter="0" w:footer="0" w:header="0"/>
        </w:sectPr>
      </w:pPr>
    </w:p>
    <w:bookmarkStart w:id="493" w:name="page494"/>
    <w:bookmarkEnd w:id="493"/>
    <w:p>
      <w:pPr>
        <w:jc w:val="both"/>
        <w:spacing w:after="0" w:line="258" w:lineRule="auto"/>
        <w:rPr>
          <w:sz w:val="20"/>
          <w:szCs w:val="20"/>
          <w:color w:val="auto"/>
        </w:rPr>
      </w:pPr>
      <w:r>
        <w:rPr>
          <w:rFonts w:ascii="Times New Roman" w:cs="Times New Roman" w:eastAsia="Times New Roman" w:hAnsi="Times New Roman"/>
          <w:sz w:val="22"/>
          <w:szCs w:val="22"/>
          <w:color w:val="auto"/>
        </w:rPr>
        <w:t>Section 4(a)(2) for the exemption from Registration for the transactions contemplated hereby or require Registration of the Shares under the Securities Act.</w:t>
      </w:r>
    </w:p>
    <w:p>
      <w:pPr>
        <w:spacing w:after="0" w:line="145" w:lineRule="exact"/>
        <w:rPr>
          <w:sz w:val="20"/>
          <w:szCs w:val="20"/>
          <w:color w:val="auto"/>
        </w:rPr>
      </w:pPr>
    </w:p>
    <w:p>
      <w:pPr>
        <w:jc w:val="both"/>
        <w:ind w:firstLine="749"/>
        <w:spacing w:after="0" w:line="233" w:lineRule="auto"/>
        <w:rPr>
          <w:sz w:val="20"/>
          <w:szCs w:val="20"/>
          <w:color w:val="auto"/>
        </w:rPr>
      </w:pPr>
      <w:r>
        <w:rPr>
          <w:rFonts w:ascii="Times New Roman" w:cs="Times New Roman" w:eastAsia="Times New Roman" w:hAnsi="Times New Roman"/>
          <w:sz w:val="22"/>
          <w:szCs w:val="22"/>
          <w:color w:val="auto"/>
        </w:rPr>
        <w:t xml:space="preserve">8.2 </w:t>
      </w:r>
      <w:r>
        <w:rPr>
          <w:rFonts w:ascii="Times New Roman" w:cs="Times New Roman" w:eastAsia="Times New Roman" w:hAnsi="Times New Roman"/>
          <w:sz w:val="22"/>
          <w:szCs w:val="22"/>
          <w:u w:val="single" w:color="auto"/>
          <w:color w:val="auto"/>
        </w:rPr>
        <w:t>Removal of Legends</w:t>
      </w:r>
      <w:r>
        <w:rPr>
          <w:rFonts w:ascii="Times New Roman" w:cs="Times New Roman" w:eastAsia="Times New Roman" w:hAnsi="Times New Roman"/>
          <w:sz w:val="22"/>
          <w:szCs w:val="22"/>
          <w:color w:val="auto"/>
        </w:rPr>
        <w:t>. In connection with any sale or disposition of the Shares by a Purchaser pursuant to Rule 144 or pursuant to any other exemption under the Securities Act such that the transferee acquires freely tradable shares and upon compliance by the Purchaser with the requirements of this Agreement, if requested in writing by the Purchaser, Axsome shall use its commercially reasonable efforts to request that the Transfer Agent for the Common Stock remove any restrictive legends related to the book entry account holding such Shares and make a new, unlegended entry for such book entry Shares sold or disposed of without restrictive legends within two (2) Trading Days of receipt of such request from the Purchaser. Upon the earliest of such time as the Shares (i) have been Registered for resale pursuant to an effective Registration Statement, (ii) have been sold pursuant to Rule 144 or (iii) are eligible for resale under Rule 144(b)(1) without any current information requests or any successor provision, Axsome shall (A) deliver to the Transfer Agent irrevocable instructions that the Transfer Agent shall make a new, unlegended entry for such book entry Shares, and (B) cause its counsel to deliver to the Transfer Agent one or more opinions to the effect that the removal of such legends in such circumstances may be effected under the Securities Act. Axsome shall be responsible for the fees of its Transfer Agent and the Depository Trust Company (or its nominee), as depositary for the Common Stock, associated with such issuance.</w:t>
      </w:r>
    </w:p>
    <w:p>
      <w:pPr>
        <w:spacing w:after="0" w:line="192" w:lineRule="exact"/>
        <w:rPr>
          <w:sz w:val="20"/>
          <w:szCs w:val="20"/>
          <w:color w:val="auto"/>
        </w:rPr>
      </w:pPr>
    </w:p>
    <w:p>
      <w:pPr>
        <w:ind w:left="440" w:hanging="432"/>
        <w:spacing w:after="0"/>
        <w:tabs>
          <w:tab w:leader="none" w:pos="440" w:val="left"/>
        </w:tabs>
        <w:numPr>
          <w:ilvl w:val="0"/>
          <w:numId w:val="2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Miscellaneous</w:t>
      </w:r>
      <w:r>
        <w:rPr>
          <w:rFonts w:ascii="Times New Roman" w:cs="Times New Roman" w:eastAsia="Times New Roman" w:hAnsi="Times New Roman"/>
          <w:sz w:val="22"/>
          <w:szCs w:val="22"/>
          <w:color w:val="auto"/>
        </w:rPr>
        <w:t>.</w:t>
      </w:r>
    </w:p>
    <w:p>
      <w:pPr>
        <w:spacing w:after="0" w:line="197"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 xml:space="preserve">9.1 </w:t>
      </w:r>
      <w:r>
        <w:rPr>
          <w:rFonts w:ascii="Times New Roman" w:cs="Times New Roman" w:eastAsia="Times New Roman" w:hAnsi="Times New Roman"/>
          <w:sz w:val="22"/>
          <w:szCs w:val="22"/>
          <w:u w:val="single" w:color="auto"/>
          <w:color w:val="auto"/>
        </w:rPr>
        <w:t>Termination</w:t>
      </w:r>
      <w:r>
        <w:rPr>
          <w:rFonts w:ascii="Times New Roman" w:cs="Times New Roman" w:eastAsia="Times New Roman" w:hAnsi="Times New Roman"/>
          <w:sz w:val="22"/>
          <w:szCs w:val="22"/>
          <w:color w:val="auto"/>
        </w:rPr>
        <w:t xml:space="preserve">. This Agreement may be terminated by any Purchaser, as to such Purchaser’s obligations hereunder only and without any effect whatsoever on the obligations between Axsome and the other Purchasers, by written notice to the other parties, if the Closing has not been consummated on or before the third business day after the SPA Effective Date;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 xml:space="preserve"> however</w:t>
      </w:r>
      <w:r>
        <w:rPr>
          <w:rFonts w:ascii="Times New Roman" w:cs="Times New Roman" w:eastAsia="Times New Roman" w:hAnsi="Times New Roman"/>
          <w:sz w:val="22"/>
          <w:szCs w:val="22"/>
          <w:color w:val="auto"/>
        </w:rPr>
        <w:t>, that no such termination will affect the right of any Party to sue for any breach by the other Party (or Parties).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In the event of termination of this Agreement by the Purchasers, this Agreement shall forthwith become void and have no effect, without any liability or obligation on the part of the Purchasers or Axsome, other than as provided in the immediately preceding sentence.</w:t>
      </w:r>
    </w:p>
    <w:p>
      <w:pPr>
        <w:spacing w:after="0" w:line="197"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 xml:space="preserve">9.2 </w:t>
      </w:r>
      <w:r>
        <w:rPr>
          <w:rFonts w:ascii="Times New Roman" w:cs="Times New Roman" w:eastAsia="Times New Roman" w:hAnsi="Times New Roman"/>
          <w:sz w:val="22"/>
          <w:szCs w:val="22"/>
          <w:u w:val="single" w:color="auto"/>
          <w:color w:val="auto"/>
        </w:rPr>
        <w:t>Governing Law</w:t>
      </w:r>
      <w:r>
        <w:rPr>
          <w:rFonts w:ascii="Times New Roman" w:cs="Times New Roman" w:eastAsia="Times New Roman" w:hAnsi="Times New Roman"/>
          <w:sz w:val="22"/>
          <w:szCs w:val="22"/>
          <w:color w:val="auto"/>
        </w:rPr>
        <w:t>. All questions concerning the construction, validity, enforcement and interpretation of this Agreement shall be governed by and construed and enforced in accordance with the internal laws of the State of Delaware, without regard to the principles of conflicts of law thereof. Each Party hereby irrevocably waives personal service of process and consents to process being served in any such suit, action or proceeding by mailing a copy thereof via registered or certified mail or overnight delivery (with evidence of delivery) to such Party at the address in effect for notices to it under this Agreement and agrees that such service shall constitute good and sufficient service of process and notice thereof. Nothing contained herein shall be deemed to limit in any way any right to serve process in any other manner permitted by law.</w:t>
      </w:r>
    </w:p>
    <w:p>
      <w:pPr>
        <w:spacing w:after="0" w:line="183"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 xml:space="preserve">9.3 </w:t>
      </w:r>
      <w:r>
        <w:rPr>
          <w:rFonts w:ascii="Times New Roman" w:cs="Times New Roman" w:eastAsia="Times New Roman" w:hAnsi="Times New Roman"/>
          <w:sz w:val="22"/>
          <w:szCs w:val="22"/>
          <w:u w:val="single" w:color="auto"/>
          <w:color w:val="auto"/>
        </w:rPr>
        <w:t>WAIVER OF JURY TRIAL</w:t>
      </w:r>
      <w:r>
        <w:rPr>
          <w:rFonts w:ascii="Times New Roman" w:cs="Times New Roman" w:eastAsia="Times New Roman" w:hAnsi="Times New Roman"/>
          <w:sz w:val="22"/>
          <w:szCs w:val="22"/>
          <w:color w:val="auto"/>
        </w:rPr>
        <w:t>. IN ANY ACTION, SUIT, OR PROCEEDING IN ANY JURISDICTION BROUGHT BY ANY PARTY AGAINST ANY OTHER PARTY, THE PARTIES EACH KNOWINGLY AND INTENTIONALLY, TO THE GREATEST EXTENT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615315</wp:posOffset>
            </wp:positionV>
            <wp:extent cx="7157720" cy="42545"/>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494" w:name="page495"/>
    <w:bookmarkEnd w:id="494"/>
    <w:p>
      <w:pPr>
        <w:jc w:val="both"/>
        <w:spacing w:after="0" w:line="258" w:lineRule="auto"/>
        <w:rPr>
          <w:sz w:val="20"/>
          <w:szCs w:val="20"/>
          <w:color w:val="auto"/>
        </w:rPr>
      </w:pPr>
      <w:r>
        <w:rPr>
          <w:rFonts w:ascii="Times New Roman" w:cs="Times New Roman" w:eastAsia="Times New Roman" w:hAnsi="Times New Roman"/>
          <w:sz w:val="22"/>
          <w:szCs w:val="22"/>
          <w:color w:val="auto"/>
        </w:rPr>
        <w:t>PERMITTED BY APPLICABLE LAW, HEREBY ABSOLUTELY, UNCONDITIONALLY, IRREVOCABLY AND EXPRESSLY WAIVES FOREVER TRIAL BY JURY.</w:t>
      </w:r>
    </w:p>
    <w:p>
      <w:pPr>
        <w:spacing w:after="0" w:line="172"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22"/>
          <w:szCs w:val="22"/>
          <w:color w:val="auto"/>
        </w:rPr>
        <w:t xml:space="preserve">9.4  </w:t>
      </w:r>
      <w:r>
        <w:rPr>
          <w:rFonts w:ascii="Times New Roman" w:cs="Times New Roman" w:eastAsia="Times New Roman" w:hAnsi="Times New Roman"/>
          <w:sz w:val="22"/>
          <w:szCs w:val="22"/>
          <w:u w:val="single" w:color="auto"/>
          <w:color w:val="auto"/>
        </w:rPr>
        <w:t>Public Statements</w:t>
      </w:r>
      <w:r>
        <w:rPr>
          <w:rFonts w:ascii="Times New Roman" w:cs="Times New Roman" w:eastAsia="Times New Roman" w:hAnsi="Times New Roman"/>
          <w:sz w:val="22"/>
          <w:szCs w:val="22"/>
          <w:color w:val="auto"/>
        </w:rPr>
        <w:t>. Axsome shall no later than the opening of business on the</w:t>
      </w:r>
    </w:p>
    <w:p>
      <w:pPr>
        <w:spacing w:after="0" w:line="14"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2"/>
          <w:szCs w:val="22"/>
          <w:color w:val="auto"/>
        </w:rPr>
        <w:t>second business day following the date hereof, either issue a press release or file a Current Report on Form 8-K disclosing the material terms of the transactions contemplated hereby and any other material, nonpublic information that Axsome may have provided to any Purchaser at any time prior thereto promptly following the execution and delivery hereof, which shall have been previously reviewed by counsel for the Purchasers (the “</w:t>
      </w:r>
      <w:r>
        <w:rPr>
          <w:rFonts w:ascii="Times New Roman" w:cs="Times New Roman" w:eastAsia="Times New Roman" w:hAnsi="Times New Roman"/>
          <w:sz w:val="22"/>
          <w:szCs w:val="22"/>
          <w:b w:val="1"/>
          <w:bCs w:val="1"/>
          <w:i w:val="1"/>
          <w:iCs w:val="1"/>
          <w:color w:val="auto"/>
        </w:rPr>
        <w:t>Press Release</w:t>
      </w:r>
      <w:r>
        <w:rPr>
          <w:rFonts w:ascii="Times New Roman" w:cs="Times New Roman" w:eastAsia="Times New Roman" w:hAnsi="Times New Roman"/>
          <w:sz w:val="22"/>
          <w:szCs w:val="22"/>
          <w:color w:val="auto"/>
        </w:rPr>
        <w:t>”). Axsome shall not include the name of any Purchaser in the Press Release or any other public announcement without the prior written consent of such Purchaser. Subject to the foregoing, any statement to the public regarding this Agreement shall be approved in advance by Axsome and the Purchasers, except as otherwise required by law, rule, regulation, legal process or applicable SEC Guidance.</w:t>
      </w:r>
    </w:p>
    <w:p>
      <w:pPr>
        <w:spacing w:after="0" w:line="181"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22"/>
          <w:szCs w:val="22"/>
          <w:color w:val="auto"/>
        </w:rPr>
        <w:t xml:space="preserve">9.5  </w:t>
      </w:r>
      <w:r>
        <w:rPr>
          <w:rFonts w:ascii="Times New Roman" w:cs="Times New Roman" w:eastAsia="Times New Roman" w:hAnsi="Times New Roman"/>
          <w:sz w:val="22"/>
          <w:szCs w:val="22"/>
          <w:u w:val="single" w:color="auto"/>
          <w:color w:val="auto"/>
        </w:rPr>
        <w:t>Successors and Assigns</w:t>
      </w:r>
      <w:r>
        <w:rPr>
          <w:rFonts w:ascii="Times New Roman" w:cs="Times New Roman" w:eastAsia="Times New Roman" w:hAnsi="Times New Roman"/>
          <w:sz w:val="22"/>
          <w:szCs w:val="22"/>
          <w:color w:val="auto"/>
        </w:rPr>
        <w:t>. This Agreement shall be binding upon and inure to the</w:t>
      </w:r>
    </w:p>
    <w:p>
      <w:pPr>
        <w:spacing w:after="0" w:line="14"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 xml:space="preserve">benefit of the Parties and their successors and permitted assigns. Axsome may not assign this Agreement or any rights or obligations hereunder without the prior written consent of Purchasers purchasing at least 85% of the Shares issuable hereunder. Any Purchaser may assign any or all of its rights under this Agreement to any Person to whom such Purchaser assigns or transfers any Shares,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such transferee agrees in writing to be bound, with respect to the transferred Shares, by the provisions of this Agreement that apply to the “Purchasers.”</w:t>
      </w:r>
    </w:p>
    <w:p>
      <w:pPr>
        <w:spacing w:after="0" w:line="179"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22"/>
          <w:szCs w:val="22"/>
          <w:color w:val="auto"/>
        </w:rPr>
        <w:t xml:space="preserve">9.6  </w:t>
      </w:r>
      <w:r>
        <w:rPr>
          <w:rFonts w:ascii="Times New Roman" w:cs="Times New Roman" w:eastAsia="Times New Roman" w:hAnsi="Times New Roman"/>
          <w:sz w:val="22"/>
          <w:szCs w:val="22"/>
          <w:u w:val="single" w:color="auto"/>
          <w:color w:val="auto"/>
        </w:rPr>
        <w:t>Entire Agreement</w:t>
      </w:r>
      <w:r>
        <w:rPr>
          <w:rFonts w:ascii="Times New Roman" w:cs="Times New Roman" w:eastAsia="Times New Roman" w:hAnsi="Times New Roman"/>
          <w:sz w:val="22"/>
          <w:szCs w:val="22"/>
          <w:color w:val="auto"/>
        </w:rPr>
        <w:t>. This Agreement, together with the exhibits and schedules</w:t>
      </w:r>
    </w:p>
    <w:p>
      <w:pPr>
        <w:spacing w:after="0" w:line="14"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hereto, contains the entire understanding of the Parties with respect to the subject matter hereof and thereof and supersede all prior agreements and understandings, oral or written, with respect to such matters (other than confidentiality agreements to which Axsome is a party to with the Purchasers), which the Parties acknowledge have been merged into such documents, exhibits and schedules.</w:t>
      </w:r>
    </w:p>
    <w:p>
      <w:pPr>
        <w:spacing w:after="0" w:line="191"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22"/>
          <w:szCs w:val="22"/>
          <w:color w:val="auto"/>
        </w:rPr>
        <w:t xml:space="preserve">9.7  </w:t>
      </w:r>
      <w:r>
        <w:rPr>
          <w:rFonts w:ascii="Times New Roman" w:cs="Times New Roman" w:eastAsia="Times New Roman" w:hAnsi="Times New Roman"/>
          <w:sz w:val="22"/>
          <w:szCs w:val="22"/>
          <w:u w:val="single" w:color="auto"/>
          <w:color w:val="auto"/>
        </w:rPr>
        <w:t>Separability</w:t>
      </w:r>
      <w:r>
        <w:rPr>
          <w:rFonts w:ascii="Times New Roman" w:cs="Times New Roman" w:eastAsia="Times New Roman" w:hAnsi="Times New Roman"/>
          <w:sz w:val="22"/>
          <w:szCs w:val="22"/>
          <w:color w:val="auto"/>
        </w:rPr>
        <w:t>. If any term, provision, covenant or restriction of this Agreement is</w:t>
      </w:r>
    </w:p>
    <w:p>
      <w:pPr>
        <w:spacing w:after="0" w:line="14"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2"/>
          <w:szCs w:val="22"/>
          <w:color w:val="auto"/>
        </w:rPr>
        <w:t>held by a court of competent jurisdiction to be invalid, illegal, void or unenforceable, the remainder of the terms, provisions, covenants and restrictions set forth herein shall remain in full force and effect and shall in no way be affected, impaired or invalidated, and the Parties hereto shall use their commercially reasonable efforts to find and employ an alternative means to achieve the same or substantially the same result as that contemplated by such term, provision, covenant or restriction. It is hereby stipulated and declared to be the intention of the Parties that they would have executed the remaining terms, provisions, covenants and restrictions without including any of such that may be hereafter declared invalid, illegal, void or unenforceable.</w:t>
      </w:r>
    </w:p>
    <w:p>
      <w:pPr>
        <w:spacing w:after="0" w:line="183"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22"/>
          <w:szCs w:val="22"/>
          <w:color w:val="auto"/>
        </w:rPr>
        <w:t xml:space="preserve">9.8  </w:t>
      </w:r>
      <w:r>
        <w:rPr>
          <w:rFonts w:ascii="Times New Roman" w:cs="Times New Roman" w:eastAsia="Times New Roman" w:hAnsi="Times New Roman"/>
          <w:sz w:val="22"/>
          <w:szCs w:val="22"/>
          <w:u w:val="single" w:color="auto"/>
          <w:color w:val="auto"/>
        </w:rPr>
        <w:t>Rescission and Withdrawal Right</w:t>
      </w:r>
      <w:r>
        <w:rPr>
          <w:rFonts w:ascii="Times New Roman" w:cs="Times New Roman" w:eastAsia="Times New Roman" w:hAnsi="Times New Roman"/>
          <w:sz w:val="22"/>
          <w:szCs w:val="22"/>
          <w:color w:val="auto"/>
        </w:rPr>
        <w:t>. Notwithstanding anything to the contrary</w:t>
      </w:r>
    </w:p>
    <w:p>
      <w:pPr>
        <w:spacing w:after="0" w:line="14"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contained in (and without limiting any similar provisions of) this Agreement, whenever any Purchaser exercises a right, election, demand or option under this Agreement and Axsome does not timely perform its related obligations within the periods therein provided, then such Purchaser may rescind or withdraw, in its sole discretion from time to time upon written notice to Axsome,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991870</wp:posOffset>
            </wp:positionV>
            <wp:extent cx="7157720" cy="42545"/>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495" w:name="page496"/>
    <w:bookmarkEnd w:id="495"/>
    <w:p>
      <w:pPr>
        <w:spacing w:after="0"/>
        <w:rPr>
          <w:sz w:val="20"/>
          <w:szCs w:val="20"/>
          <w:color w:val="auto"/>
        </w:rPr>
      </w:pPr>
      <w:r>
        <w:rPr>
          <w:rFonts w:ascii="Times New Roman" w:cs="Times New Roman" w:eastAsia="Times New Roman" w:hAnsi="Times New Roman"/>
          <w:sz w:val="21"/>
          <w:szCs w:val="21"/>
          <w:color w:val="auto"/>
        </w:rPr>
        <w:t>relevant notice, demand or election in whole or in part without prejudice to its future actions and rights.</w:t>
      </w:r>
    </w:p>
    <w:p>
      <w:pPr>
        <w:sectPr>
          <w:pgSz w:w="11900" w:h="16838" w:orient="portrait"/>
          <w:cols w:equalWidth="0" w:num="1">
            <w:col w:w="10139"/>
          </w:cols>
          <w:pgMar w:left="320" w:top="140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21"/>
          <w:szCs w:val="21"/>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622935</wp:posOffset>
            </wp:positionV>
            <wp:extent cx="7157720" cy="42545"/>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08" w:right="1440" w:bottom="1440" w:gutter="0" w:footer="0" w:header="0"/>
          <w:type w:val="continuous"/>
        </w:sectPr>
      </w:pPr>
    </w:p>
    <w:bookmarkStart w:id="496" w:name="page497"/>
    <w:bookmarkEnd w:id="496"/>
    <w:p>
      <w:pPr>
        <w:ind w:left="760"/>
        <w:spacing w:after="0"/>
        <w:rPr>
          <w:sz w:val="20"/>
          <w:szCs w:val="20"/>
          <w:color w:val="auto"/>
        </w:rPr>
      </w:pPr>
      <w:r>
        <w:rPr>
          <w:rFonts w:ascii="Times New Roman" w:cs="Times New Roman" w:eastAsia="Times New Roman" w:hAnsi="Times New Roman"/>
          <w:sz w:val="22"/>
          <w:szCs w:val="22"/>
          <w:color w:val="auto"/>
        </w:rPr>
        <w:t xml:space="preserve">9.9  </w:t>
      </w:r>
      <w:r>
        <w:rPr>
          <w:rFonts w:ascii="Times New Roman" w:cs="Times New Roman" w:eastAsia="Times New Roman" w:hAnsi="Times New Roman"/>
          <w:sz w:val="22"/>
          <w:szCs w:val="22"/>
          <w:u w:val="single" w:color="auto"/>
          <w:color w:val="auto"/>
        </w:rPr>
        <w:t>Replacement of Shares</w:t>
      </w:r>
      <w:r>
        <w:rPr>
          <w:rFonts w:ascii="Times New Roman" w:cs="Times New Roman" w:eastAsia="Times New Roman" w:hAnsi="Times New Roman"/>
          <w:sz w:val="22"/>
          <w:szCs w:val="22"/>
          <w:color w:val="auto"/>
        </w:rPr>
        <w:t>. If any certificate or instrument evidencing any Shares is</w:t>
      </w:r>
    </w:p>
    <w:p>
      <w:pPr>
        <w:spacing w:after="0" w:line="14"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mutilated, lost, stolen or destroyed, Axsome shall issue or cause to be issued in exchange and substitution for and upon cancellation thereof (in the case of mutilation), or in lieu of and substitution therefor, a new certificate or instrument, but only upon receipt of evidence reasonably satisfactory to Axsome of such loss, theft or destruction. The applicant for a new certificate or instrument under such circumstances may also be required to pay a customary bond and any reasonable third-party costs associated with the issuance of such replacement Shares.</w:t>
      </w:r>
    </w:p>
    <w:p>
      <w:pPr>
        <w:spacing w:after="0" w:line="179"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 xml:space="preserve">9.10 </w:t>
      </w:r>
      <w:r>
        <w:rPr>
          <w:rFonts w:ascii="Times New Roman" w:cs="Times New Roman" w:eastAsia="Times New Roman" w:hAnsi="Times New Roman"/>
          <w:sz w:val="22"/>
          <w:szCs w:val="22"/>
          <w:u w:val="single" w:color="auto"/>
          <w:color w:val="auto"/>
        </w:rPr>
        <w:t>Remedies</w:t>
      </w:r>
      <w:r>
        <w:rPr>
          <w:rFonts w:ascii="Times New Roman" w:cs="Times New Roman" w:eastAsia="Times New Roman" w:hAnsi="Times New Roman"/>
          <w:sz w:val="22"/>
          <w:szCs w:val="22"/>
          <w:color w:val="auto"/>
        </w:rPr>
        <w:t>. In addition to being entitled to exercise all rights provided herein or granted by law, including recovery of damages, each of the Purchasers and Axsome will be entitled to specific performance under this Agreement. The parties agree that monetary damages may not be adequate compensation for any loss incurred by reason of any breach of obligations contained in this Agreement and hereby agrees to waive and not to assert in any action for specific performance of any such obligation the defense that a remedy at law would be adequate.</w:t>
      </w:r>
    </w:p>
    <w:p>
      <w:pPr>
        <w:spacing w:after="0" w:line="177"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 xml:space="preserve">9.11 </w:t>
      </w:r>
      <w:r>
        <w:rPr>
          <w:rFonts w:ascii="Times New Roman" w:cs="Times New Roman" w:eastAsia="Times New Roman" w:hAnsi="Times New Roman"/>
          <w:sz w:val="22"/>
          <w:szCs w:val="22"/>
          <w:u w:val="single" w:color="auto"/>
          <w:color w:val="auto"/>
        </w:rPr>
        <w:t>Independent Nature of Purchasers’ Obligations and Rights</w:t>
      </w:r>
      <w:r>
        <w:rPr>
          <w:rFonts w:ascii="Times New Roman" w:cs="Times New Roman" w:eastAsia="Times New Roman" w:hAnsi="Times New Roman"/>
          <w:sz w:val="22"/>
          <w:szCs w:val="22"/>
          <w:color w:val="auto"/>
        </w:rPr>
        <w:t>. The obligations of each Purchaser under this Agreement are several and not joint with the obligations of any other Purchaser, and no Purchaser shall be responsible in any way for the performance or non performance of the obligations of any other Purchaser under this Agreement. Nothing contained herein, and no action taken by any Purchaser pursuant hereto, shall be deemed to constitute the Purchasers as a partnership, an association, a joint venture or any other kind of entity, or create a presumption that the Purchasers are in any way acting in concert or as a group with respect to such obligations or the transactions contemplated by this Agreement. Each Purchaser shall be entitled to independently protect and enforce its rights, including the rights arising out of this Agreement, and it shall not be necessary for any other Purchaser to be joined as an additional party in any proceeding for such purpose.</w:t>
      </w:r>
    </w:p>
    <w:p>
      <w:pPr>
        <w:spacing w:after="0" w:line="178"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 xml:space="preserve">9.12 </w:t>
      </w:r>
      <w:r>
        <w:rPr>
          <w:rFonts w:ascii="Times New Roman" w:cs="Times New Roman" w:eastAsia="Times New Roman" w:hAnsi="Times New Roman"/>
          <w:sz w:val="22"/>
          <w:szCs w:val="22"/>
          <w:u w:val="single" w:color="auto"/>
          <w:color w:val="auto"/>
        </w:rPr>
        <w:t>Amendment and Waiver</w:t>
      </w:r>
      <w:r>
        <w:rPr>
          <w:rFonts w:ascii="Times New Roman" w:cs="Times New Roman" w:eastAsia="Times New Roman" w:hAnsi="Times New Roman"/>
          <w:sz w:val="22"/>
          <w:szCs w:val="22"/>
          <w:color w:val="auto"/>
        </w:rPr>
        <w:t>. No provision of this Agreement may be waived or amended except in a written instrument signed, in the case of an amendment, by Axsome and the Purchasers or, in the case of a waiver, by the Party against whom enforcement of any such waived provision is sought. No waiver of any default with respect to any provision, condition or requirement of this Agreement shall be deemed to be a continuing waiver in the future or a waiver of any subsequent default or a waiver of any other provision, condition or requirement hereof, nor shall any delay or omission of any party to exercise any right hereunder in any manner impair the exercise of any such right.</w:t>
      </w:r>
    </w:p>
    <w:p>
      <w:pPr>
        <w:spacing w:after="0" w:line="181"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1"/>
          <w:szCs w:val="21"/>
          <w:color w:val="auto"/>
        </w:rPr>
        <w:t xml:space="preserve">9.13 </w:t>
      </w:r>
      <w:r>
        <w:rPr>
          <w:rFonts w:ascii="Times New Roman" w:cs="Times New Roman" w:eastAsia="Times New Roman" w:hAnsi="Times New Roman"/>
          <w:sz w:val="21"/>
          <w:szCs w:val="21"/>
          <w:u w:val="single" w:color="auto"/>
          <w:color w:val="auto"/>
        </w:rPr>
        <w:t>Notices</w:t>
      </w:r>
      <w:r>
        <w:rPr>
          <w:rFonts w:ascii="Times New Roman" w:cs="Times New Roman" w:eastAsia="Times New Roman" w:hAnsi="Times New Roman"/>
          <w:sz w:val="21"/>
          <w:szCs w:val="21"/>
          <w:color w:val="auto"/>
        </w:rPr>
        <w:t>. Any and all notices or other communications or deliveries required or permitted to be provided hereunder shall be in writing and shall be deemed given and effective on the earliest of (a) the date of transmission, if such notice or communication is delivered via email at the email address set forth on the signature pages attached hereto prior to 5:30 p.m. (New York City time) on a Trading Day, (b) the next Trading Day after the date of transmission, if such notice or communication is delivered via email at the email address set forth on the signature pages attached hereto on a day that is not a Trading Day or later than 5:30 p.m. (New York City time) on any Trading Day, (c) the second Trading Day following the date of mailing, if sent by U.S. nationally recognized overnight courier service, or (d) upon actual receipt by the party to whom such notice is required to be given. The address for such notices and communications shall be as set forth on the signature pages attached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1159510</wp:posOffset>
            </wp:positionV>
            <wp:extent cx="7157720" cy="42545"/>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497" w:name="page498"/>
    <w:bookmarkEnd w:id="497"/>
    <w:p>
      <w:pPr>
        <w:jc w:val="center"/>
        <w:ind w:right="19"/>
        <w:spacing w:after="0"/>
        <w:rPr>
          <w:sz w:val="20"/>
          <w:szCs w:val="20"/>
          <w:color w:val="auto"/>
        </w:rPr>
      </w:pPr>
      <w:r>
        <w:rPr>
          <w:rFonts w:ascii="Times New Roman" w:cs="Times New Roman" w:eastAsia="Times New Roman" w:hAnsi="Times New Roman"/>
          <w:sz w:val="21"/>
          <w:szCs w:val="21"/>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622935</wp:posOffset>
            </wp:positionV>
            <wp:extent cx="7157720" cy="42545"/>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08" w:right="1440" w:bottom="1440" w:gutter="0" w:footer="0" w:header="0"/>
        </w:sectPr>
      </w:pPr>
    </w:p>
    <w:bookmarkStart w:id="498" w:name="page499"/>
    <w:bookmarkEnd w:id="498"/>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 xml:space="preserve">9.14 </w:t>
      </w:r>
      <w:r>
        <w:rPr>
          <w:rFonts w:ascii="Times New Roman" w:cs="Times New Roman" w:eastAsia="Times New Roman" w:hAnsi="Times New Roman"/>
          <w:sz w:val="22"/>
          <w:szCs w:val="22"/>
          <w:u w:val="single" w:color="auto"/>
          <w:color w:val="auto"/>
        </w:rPr>
        <w:t>Fees and Expenses</w:t>
      </w:r>
      <w:r>
        <w:rPr>
          <w:rFonts w:ascii="Times New Roman" w:cs="Times New Roman" w:eastAsia="Times New Roman" w:hAnsi="Times New Roman"/>
          <w:sz w:val="22"/>
          <w:szCs w:val="22"/>
          <w:color w:val="auto"/>
        </w:rPr>
        <w:t xml:space="preserve">. Except as expressly set forth in this Agreement to the contrary, each Party shall pay the fees and expenses of its advisers, counsel, accountants and other experts, if any, and all other expenses incurred by such party incident to the negotiation, preparation, execution, delivery and performance of this Agreement. Axsome shall pay (a) all transfer agent fees, stamp taxes and other taxes and duties levied in connection with the delivery of any Shares to the Purchasers and (b) the expenses set forth on </w:t>
      </w:r>
      <w:r>
        <w:rPr>
          <w:rFonts w:ascii="Times New Roman" w:cs="Times New Roman" w:eastAsia="Times New Roman" w:hAnsi="Times New Roman"/>
          <w:sz w:val="22"/>
          <w:szCs w:val="22"/>
          <w:u w:val="single" w:color="auto"/>
          <w:color w:val="auto"/>
        </w:rPr>
        <w:t>Schedule 9.14</w:t>
      </w:r>
      <w:r>
        <w:rPr>
          <w:rFonts w:ascii="Times New Roman" w:cs="Times New Roman" w:eastAsia="Times New Roman" w:hAnsi="Times New Roman"/>
          <w:sz w:val="22"/>
          <w:szCs w:val="22"/>
          <w:color w:val="auto"/>
        </w:rPr>
        <w:t>.</w:t>
      </w:r>
    </w:p>
    <w:p>
      <w:pPr>
        <w:spacing w:after="0" w:line="177"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 xml:space="preserve">9.15 </w:t>
      </w:r>
      <w:r>
        <w:rPr>
          <w:rFonts w:ascii="Times New Roman" w:cs="Times New Roman" w:eastAsia="Times New Roman" w:hAnsi="Times New Roman"/>
          <w:sz w:val="22"/>
          <w:szCs w:val="22"/>
          <w:u w:val="single" w:color="auto"/>
          <w:color w:val="auto"/>
        </w:rPr>
        <w:t>Titles and Subtitles</w:t>
      </w:r>
      <w:r>
        <w:rPr>
          <w:rFonts w:ascii="Times New Roman" w:cs="Times New Roman" w:eastAsia="Times New Roman" w:hAnsi="Times New Roman"/>
          <w:sz w:val="22"/>
          <w:szCs w:val="22"/>
          <w:color w:val="auto"/>
        </w:rPr>
        <w:t>. The headings herein are for convenience only, do not constitute a part of this Agreement and shall not be deemed to limit or affect any of the provisions hereof.</w:t>
      </w:r>
    </w:p>
    <w:p>
      <w:pPr>
        <w:spacing w:after="0" w:line="158"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1"/>
          <w:szCs w:val="21"/>
          <w:color w:val="auto"/>
        </w:rPr>
        <w:t xml:space="preserve">9.16 </w:t>
      </w:r>
      <w:r>
        <w:rPr>
          <w:rFonts w:ascii="Times New Roman" w:cs="Times New Roman" w:eastAsia="Times New Roman" w:hAnsi="Times New Roman"/>
          <w:sz w:val="21"/>
          <w:szCs w:val="21"/>
          <w:u w:val="single" w:color="auto"/>
          <w:color w:val="auto"/>
        </w:rPr>
        <w:t>Counterparts; Effectiveness</w:t>
      </w:r>
      <w:r>
        <w:rPr>
          <w:rFonts w:ascii="Times New Roman" w:cs="Times New Roman" w:eastAsia="Times New Roman" w:hAnsi="Times New Roman"/>
          <w:sz w:val="21"/>
          <w:szCs w:val="21"/>
          <w:color w:val="auto"/>
        </w:rPr>
        <w:t>. This Agreement may be executed in any number of counterparts, each of which shall be deemed an original, but all of which together shall constitute one instrument. This Agreement shall become effective when each Party hereto shall have received counterparts thereof signed and delivered (by telecopy or other electronic means) by the other Parties hereto. Counterparts may be delivered via facsimile, electronic mail (including any electronic signature covered by the U.S. federal ESIGN Act of 2000, Uniform Electronic Transactions Act, the Electronic Signatures and Records Act or other applicable law, e.g., www.docusign.com) or other transmission method and any counterpart so delivered shall be deemed to have been duly and validly delivered and be valid and effective for all purposes. In the event that any signature is delivered by e-mail delivery of a “.pdf” format data file, such signature shall create a valid and binding obligation of the party executing (or on whose behalf such signature is executed) with the same force and effect as if such “.pdf” signature page were an original thereof.</w:t>
      </w:r>
    </w:p>
    <w:p>
      <w:pPr>
        <w:spacing w:after="0" w:line="175" w:lineRule="exact"/>
        <w:rPr>
          <w:sz w:val="20"/>
          <w:szCs w:val="20"/>
          <w:color w:val="auto"/>
        </w:rPr>
      </w:pPr>
    </w:p>
    <w:p>
      <w:pPr>
        <w:jc w:val="both"/>
        <w:ind w:firstLine="749"/>
        <w:spacing w:after="0" w:line="232" w:lineRule="auto"/>
        <w:rPr>
          <w:sz w:val="20"/>
          <w:szCs w:val="20"/>
          <w:color w:val="auto"/>
        </w:rPr>
      </w:pPr>
      <w:r>
        <w:rPr>
          <w:rFonts w:ascii="Times New Roman" w:cs="Times New Roman" w:eastAsia="Times New Roman" w:hAnsi="Times New Roman"/>
          <w:sz w:val="22"/>
          <w:szCs w:val="22"/>
          <w:color w:val="auto"/>
        </w:rPr>
        <w:t xml:space="preserve">9.17 </w:t>
      </w:r>
      <w:r>
        <w:rPr>
          <w:rFonts w:ascii="Times New Roman" w:cs="Times New Roman" w:eastAsia="Times New Roman" w:hAnsi="Times New Roman"/>
          <w:sz w:val="22"/>
          <w:szCs w:val="22"/>
          <w:u w:val="single" w:color="auto"/>
          <w:color w:val="auto"/>
        </w:rPr>
        <w:t>Construction</w:t>
      </w:r>
      <w:r>
        <w:rPr>
          <w:rFonts w:ascii="Times New Roman" w:cs="Times New Roman" w:eastAsia="Times New Roman" w:hAnsi="Times New Roman"/>
          <w:sz w:val="22"/>
          <w:szCs w:val="22"/>
          <w:color w:val="auto"/>
        </w:rPr>
        <w:t>. The Parties agree that each of them and/or their respective counsel has reviewed and had an opportunity to revise this Agreement and, therefore, the normal rule of construction to the effect that any ambiguities are to be resolved against the drafting party shall not be employed in the interpretation of this Agreement or any amendments hereto. Any provision of this Agreement that refers to the words “include,” “includes” or “including” shall be deemed to be followed by the words “without limitation.” All references to this Agreement or any other agreement include, whether or not expressly referenced, the exhibits, annexes, and schedules attached hereto or thereto, and such exhibits, annexes and schedules shall be construed with, and as an integral part of, this Agreement or such other agreement to the same extent as if they were set forth verbatim herein or therein. The words “hereof,” “herein” and “hereunder” and words of similar import when used in this Agreement shall refer to this Agreement as a whole and not to any particular provision of this Agreement. The word “or” when used in this Agreement is not exclusive. The definitions contained in this Agreement are applicable to the singular as well as the plural forms of such terms. Unless otherwise expressly indicated, any agreement, instrument, law or statute defined or referred to herein or in any agreement or instrument that is referred to herein means such agreement, instrument, or statute as from time to time amended, modified or supplemented, including (in the case of agreements or instruments) by waiver or consent and (in the case of statutes) by succession of comparable successor statutes and references to all attachments thereto and instruments incorporated therein. References to a Person are also to its permitted successors and assigns. All references to “dollars” or “$” in this Agreement shall mean United States Dollars.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615315</wp:posOffset>
            </wp:positionV>
            <wp:extent cx="7157720" cy="42545"/>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499" w:name="page500"/>
    <w:bookmarkEnd w:id="499"/>
    <w:p>
      <w:pPr>
        <w:ind w:firstLine="749"/>
        <w:spacing w:after="0" w:line="258" w:lineRule="auto"/>
        <w:rPr>
          <w:sz w:val="20"/>
          <w:szCs w:val="20"/>
          <w:color w:val="auto"/>
        </w:rPr>
      </w:pPr>
      <w:r>
        <w:rPr>
          <w:rFonts w:ascii="Times New Roman" w:cs="Times New Roman" w:eastAsia="Times New Roman" w:hAnsi="Times New Roman"/>
          <w:sz w:val="22"/>
          <w:szCs w:val="22"/>
          <w:color w:val="auto"/>
        </w:rPr>
        <w:t xml:space="preserve">9.18 </w:t>
      </w:r>
      <w:r>
        <w:rPr>
          <w:rFonts w:ascii="Times New Roman" w:cs="Times New Roman" w:eastAsia="Times New Roman" w:hAnsi="Times New Roman"/>
          <w:sz w:val="22"/>
          <w:szCs w:val="22"/>
          <w:u w:val="single" w:color="auto"/>
          <w:color w:val="auto"/>
        </w:rPr>
        <w:t>No Third-Party Beneficiaries</w:t>
      </w:r>
      <w:r>
        <w:rPr>
          <w:rFonts w:ascii="Times New Roman" w:cs="Times New Roman" w:eastAsia="Times New Roman" w:hAnsi="Times New Roman"/>
          <w:sz w:val="22"/>
          <w:szCs w:val="22"/>
          <w:color w:val="auto"/>
        </w:rPr>
        <w:t>. This Agreement is intended for the benefit of the Parties hereto and their respective successors and permitted assigns and is not for the benefit of, nor may any provision hereof be enforced by, any other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615315</wp:posOffset>
            </wp:positionV>
            <wp:extent cx="7157720" cy="42545"/>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500" w:name="page501"/>
    <w:bookmarkEnd w:id="50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782955</wp:posOffset>
            </wp:positionV>
            <wp:extent cx="2837180" cy="85725"/>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47">
                      <a:clrChange>
                        <a:clrFrom>
                          <a:srgbClr val="FFFFFF"/>
                        </a:clrFrom>
                        <a:clrTo>
                          <a:srgbClr val="FFFFFF">
                            <a:alpha val="0"/>
                          </a:srgbClr>
                        </a:clrTo>
                      </a:clrChange>
                      <a:extLst>
                        <a:ext uri="{28A0092B-C50C-407E-A947-70E740481C1C}"/>
                      </a:extLst>
                    </a:blip>
                    <a:srcRect/>
                    <a:stretch>
                      <a:fillRect/>
                    </a:stretch>
                  </pic:blipFill>
                  <pic:spPr bwMode="auto">
                    <a:xfrm>
                      <a:off x="0" y="0"/>
                      <a:ext cx="2837180" cy="85725"/>
                    </a:xfrm>
                    <a:prstGeom prst="rect">
                      <a:avLst/>
                    </a:prstGeom>
                    <a:noFill/>
                  </pic:spPr>
                </pic:pic>
              </a:graphicData>
            </a:graphic>
          </wp:anchor>
        </w:drawing>
      </w:r>
    </w:p>
    <w:p>
      <w:pPr>
        <w:spacing w:after="0" w:line="34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This Securities Purchase Agreement is hereby executed as of the date first above written.</w:t>
      </w:r>
    </w:p>
    <w:p>
      <w:pPr>
        <w:spacing w:after="0" w:line="202" w:lineRule="exact"/>
        <w:rPr>
          <w:sz w:val="20"/>
          <w:szCs w:val="20"/>
          <w:color w:val="auto"/>
        </w:rPr>
      </w:pPr>
    </w:p>
    <w:p>
      <w:pPr>
        <w:ind w:left="6380"/>
        <w:spacing w:after="0"/>
        <w:rPr>
          <w:sz w:val="20"/>
          <w:szCs w:val="20"/>
          <w:color w:val="auto"/>
        </w:rPr>
      </w:pPr>
      <w:r>
        <w:rPr>
          <w:rFonts w:ascii="Times New Roman" w:cs="Times New Roman" w:eastAsia="Times New Roman" w:hAnsi="Times New Roman"/>
          <w:sz w:val="22"/>
          <w:szCs w:val="22"/>
          <w:b w:val="1"/>
          <w:bCs w:val="1"/>
          <w:color w:val="auto"/>
        </w:rPr>
        <w:t>AXSOME:</w:t>
      </w:r>
    </w:p>
    <w:p>
      <w:pPr>
        <w:spacing w:after="0" w:line="220" w:lineRule="exact"/>
        <w:rPr>
          <w:sz w:val="20"/>
          <w:szCs w:val="20"/>
          <w:color w:val="auto"/>
        </w:rPr>
      </w:pPr>
    </w:p>
    <w:p>
      <w:pPr>
        <w:ind w:left="6380"/>
        <w:spacing w:after="0"/>
        <w:rPr>
          <w:sz w:val="20"/>
          <w:szCs w:val="20"/>
          <w:color w:val="auto"/>
        </w:rPr>
      </w:pPr>
      <w:r>
        <w:rPr>
          <w:rFonts w:ascii="Times New Roman" w:cs="Times New Roman" w:eastAsia="Times New Roman" w:hAnsi="Times New Roman"/>
          <w:sz w:val="22"/>
          <w:szCs w:val="22"/>
          <w:b w:val="1"/>
          <w:bCs w:val="1"/>
          <w:color w:val="auto"/>
        </w:rPr>
        <w:t>Axsome Therapeutics,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681990</wp:posOffset>
            </wp:positionH>
            <wp:positionV relativeFrom="paragraph">
              <wp:posOffset>262255</wp:posOffset>
            </wp:positionV>
            <wp:extent cx="1139825" cy="360045"/>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48">
                      <a:extLst>
                        <a:ext uri="{28A0092B-C50C-407E-A947-70E740481C1C}"/>
                      </a:extLst>
                    </a:blip>
                    <a:srcRect/>
                    <a:stretch>
                      <a:fillRect/>
                    </a:stretch>
                  </pic:blipFill>
                  <pic:spPr bwMode="auto">
                    <a:xfrm>
                      <a:off x="0" y="0"/>
                      <a:ext cx="1139825" cy="360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w:t>
      </w:r>
    </w:p>
    <w:p>
      <w:pPr>
        <w:spacing w:after="0" w:line="3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color w:val="auto"/>
        </w:rPr>
        <w:t>Name: Nick Pizzie</w:t>
      </w:r>
    </w:p>
    <w:p>
      <w:pPr>
        <w:spacing w:after="0" w:line="1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color w:val="auto"/>
        </w:rPr>
        <w:t>Title: Chief Financial Officer</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One World Trade Center, 29th Floor New York, NY 10007</w:t>
      </w:r>
    </w:p>
    <w:p>
      <w:pPr>
        <w:spacing w:after="0" w:line="14"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22"/>
          <w:szCs w:val="22"/>
          <w:color w:val="auto"/>
        </w:rPr>
        <w:t>Attn:</w:t>
      </w:r>
      <w:r>
        <w:rPr>
          <w:sz w:val="20"/>
          <w:szCs w:val="20"/>
          <w:color w:val="auto"/>
        </w:rPr>
        <w:tab/>
      </w:r>
      <w:r>
        <w:rPr>
          <w:rFonts w:ascii="Times New Roman" w:cs="Times New Roman" w:eastAsia="Times New Roman" w:hAnsi="Times New Roman"/>
          <w:sz w:val="22"/>
          <w:szCs w:val="22"/>
          <w:color w:val="auto"/>
        </w:rPr>
        <w:t>Nick Pizzie, C.P.A, M.B.A.</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Email: npizzie@axsome.com</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 copies (which shall not constitute notice) to:</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Axsome Therapeutics, Inc.</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One World Trade Center, 29th Floor</w:t>
      </w:r>
    </w:p>
    <w:p>
      <w:pPr>
        <w:spacing w:after="0"/>
        <w:rPr>
          <w:sz w:val="20"/>
          <w:szCs w:val="20"/>
          <w:color w:val="auto"/>
        </w:rPr>
      </w:pPr>
      <w:r>
        <w:rPr>
          <w:rFonts w:ascii="Times New Roman" w:cs="Times New Roman" w:eastAsia="Times New Roman" w:hAnsi="Times New Roman"/>
          <w:sz w:val="22"/>
          <w:szCs w:val="22"/>
          <w:color w:val="auto"/>
        </w:rPr>
        <w:t>New York, NY 10007</w:t>
      </w:r>
    </w:p>
    <w:p>
      <w:pPr>
        <w:spacing w:after="0" w:line="233" w:lineRule="auto"/>
        <w:rPr>
          <w:sz w:val="20"/>
          <w:szCs w:val="20"/>
          <w:color w:val="auto"/>
        </w:rPr>
      </w:pPr>
      <w:r>
        <w:rPr>
          <w:rFonts w:ascii="Times New Roman" w:cs="Times New Roman" w:eastAsia="Times New Roman" w:hAnsi="Times New Roman"/>
          <w:sz w:val="22"/>
          <w:szCs w:val="22"/>
          <w:color w:val="auto"/>
        </w:rPr>
        <w:t>Attn: Hunter Murdock, Esq.</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Email: hmurdock@axsome.com</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DLA Piper LLP</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1251 Avenue of the Americas, 27th Floor New York, NY 10020</w:t>
      </w:r>
    </w:p>
    <w:p>
      <w:pPr>
        <w:spacing w:after="0" w:line="233" w:lineRule="auto"/>
        <w:rPr>
          <w:sz w:val="20"/>
          <w:szCs w:val="20"/>
          <w:color w:val="auto"/>
        </w:rPr>
      </w:pPr>
      <w:r>
        <w:rPr>
          <w:rFonts w:ascii="Times New Roman" w:cs="Times New Roman" w:eastAsia="Times New Roman" w:hAnsi="Times New Roman"/>
          <w:sz w:val="22"/>
          <w:szCs w:val="22"/>
          <w:color w:val="auto"/>
        </w:rPr>
        <w:t>Attn: Emilio Ragosa; Alan Rockwell Email: Emilio.Ragosa@us.dlapiper.com;</w:t>
      </w:r>
    </w:p>
    <w:p>
      <w:pPr>
        <w:spacing w:after="0" w:line="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Alan.Rockwell@us.dlapiper.com</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i w:val="1"/>
          <w:iCs w:val="1"/>
          <w:color w:val="auto"/>
        </w:rPr>
        <w:t>[Signature Page to Securities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617855</wp:posOffset>
            </wp:positionV>
            <wp:extent cx="7157720" cy="42545"/>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501" w:name="page502"/>
    <w:bookmarkEnd w:id="501"/>
    <w:p>
      <w:pPr>
        <w:spacing w:after="0"/>
        <w:rPr>
          <w:sz w:val="20"/>
          <w:szCs w:val="20"/>
          <w:color w:val="auto"/>
        </w:rPr>
      </w:pPr>
      <w:r>
        <w:rPr>
          <w:rFonts w:ascii="Arial" w:cs="Arial" w:eastAsia="Arial" w:hAnsi="Arial"/>
          <w:sz w:val="14"/>
          <w:szCs w:val="14"/>
          <w:color w:val="auto"/>
        </w:rPr>
        <w:t>Docusign Envelope ID: F4EA5401-6E47-460F-A064-B3C13417B0B2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This Securities Purchase Agreement is hereby executed as of the date first above written.</w:t>
      </w:r>
    </w:p>
    <w:p>
      <w:pPr>
        <w:spacing w:after="0" w:line="202"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22"/>
          <w:szCs w:val="22"/>
          <w:b w:val="1"/>
          <w:bCs w:val="1"/>
          <w:color w:val="auto"/>
        </w:rPr>
        <w:t>PURCHASERS:</w:t>
      </w:r>
    </w:p>
    <w:p>
      <w:pPr>
        <w:spacing w:after="0" w:line="22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AXIS AGGREGATOR, L.P.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220"/>
        <w:spacing w:after="0"/>
        <w:rPr>
          <w:sz w:val="20"/>
          <w:szCs w:val="20"/>
          <w:color w:val="auto"/>
        </w:rPr>
      </w:pPr>
      <w:r>
        <w:rPr>
          <w:sz w:val="1"/>
          <w:szCs w:val="1"/>
          <w:color w:val="auto"/>
        </w:rPr>
        <w:drawing>
          <wp:inline distT="0" distB="0" distL="0" distR="0">
            <wp:extent cx="874395" cy="188595"/>
            <wp:effectExtent l="0" t="0" r="0" b="0"/>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50">
                      <a:extLst>
                        <a:ext uri="{28A0092B-C50C-407E-A947-70E740481C1C}"/>
                      </a:extLst>
                    </a:blip>
                    <a:srcRect/>
                    <a:stretch>
                      <a:fillRect/>
                    </a:stretch>
                  </pic:blipFill>
                  <pic:spPr bwMode="auto">
                    <a:xfrm>
                      <a:off x="0" y="0"/>
                      <a:ext cx="874395" cy="18859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19"/>
          <w:szCs w:val="19"/>
          <w:color w:val="auto"/>
        </w:rPr>
        <w:t>_</w:t>
      </w:r>
    </w:p>
    <w:p>
      <w:pPr>
        <w:spacing w:after="0" w:line="73"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22"/>
          <w:szCs w:val="22"/>
          <w:color w:val="auto"/>
        </w:rPr>
        <w:t>Name: Robert Liptak</w:t>
      </w:r>
    </w:p>
    <w:p>
      <w:pPr>
        <w:spacing w:after="0" w:line="14"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22"/>
          <w:szCs w:val="22"/>
          <w:color w:val="auto"/>
        </w:rPr>
        <w:t>Title: Authorized Signatory</w:t>
      </w:r>
    </w:p>
    <w:p>
      <w:pPr>
        <w:spacing w:after="0" w:line="200" w:lineRule="exact"/>
        <w:rPr>
          <w:sz w:val="20"/>
          <w:szCs w:val="20"/>
          <w:color w:val="auto"/>
        </w:rPr>
      </w:pPr>
    </w:p>
    <w:p>
      <w:pPr>
        <w:spacing w:after="0" w:line="270"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20"/>
          <w:szCs w:val="20"/>
          <w:color w:val="auto"/>
        </w:rPr>
        <w:t>If to Axis Aggregator, L.P.:</w:t>
      </w:r>
    </w:p>
    <w:p>
      <w:pPr>
        <w:spacing w:after="0" w:line="243"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20"/>
          <w:szCs w:val="20"/>
          <w:color w:val="auto"/>
        </w:rPr>
        <w:t>Axis Aggregator, L.P.</w:t>
      </w:r>
    </w:p>
    <w:p>
      <w:pPr>
        <w:spacing w:after="0" w:line="22"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20"/>
          <w:szCs w:val="20"/>
          <w:color w:val="auto"/>
        </w:rPr>
        <w:t>c/o Blackstone Life Sciences</w:t>
      </w:r>
    </w:p>
    <w:p>
      <w:pPr>
        <w:ind w:left="3760"/>
        <w:spacing w:after="0" w:line="205" w:lineRule="auto"/>
        <w:rPr>
          <w:sz w:val="20"/>
          <w:szCs w:val="20"/>
          <w:color w:val="auto"/>
        </w:rPr>
      </w:pPr>
      <w:r>
        <w:rPr>
          <w:rFonts w:ascii="Times New Roman" w:cs="Times New Roman" w:eastAsia="Times New Roman" w:hAnsi="Times New Roman"/>
          <w:sz w:val="20"/>
          <w:szCs w:val="20"/>
          <w:color w:val="auto"/>
        </w:rPr>
        <w:t>314 Main Street, 15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20"/>
          <w:szCs w:val="20"/>
          <w:color w:val="auto"/>
        </w:rPr>
        <w:t xml:space="preserve"> Floor</w:t>
      </w:r>
    </w:p>
    <w:p>
      <w:pPr>
        <w:spacing w:after="0" w:line="1"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20"/>
          <w:szCs w:val="20"/>
          <w:color w:val="auto"/>
        </w:rPr>
        <w:t>Cambridge, MA 02142</w:t>
      </w:r>
    </w:p>
    <w:p>
      <w:pPr>
        <w:spacing w:after="0" w:line="6"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20"/>
          <w:szCs w:val="20"/>
          <w:color w:val="auto"/>
        </w:rPr>
        <w:t>Attn: Craig Shepherd, Senior Managing Director</w:t>
      </w:r>
    </w:p>
    <w:p>
      <w:pPr>
        <w:spacing w:after="0" w:line="13"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20"/>
          <w:szCs w:val="20"/>
          <w:color w:val="auto"/>
        </w:rPr>
        <w:t>Email: Craig.Shepherd@Blackstone.com</w:t>
      </w:r>
    </w:p>
    <w:p>
      <w:pPr>
        <w:spacing w:after="0" w:line="214"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20"/>
          <w:szCs w:val="20"/>
          <w:color w:val="auto"/>
        </w:rPr>
        <w:t>With a copy to:</w:t>
      </w:r>
    </w:p>
    <w:p>
      <w:pPr>
        <w:spacing w:after="0" w:line="243"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20"/>
          <w:szCs w:val="20"/>
          <w:color w:val="auto"/>
        </w:rPr>
        <w:t>Blackstone Life Sciences</w:t>
      </w:r>
    </w:p>
    <w:p>
      <w:pPr>
        <w:ind w:left="3760"/>
        <w:spacing w:after="0" w:line="223" w:lineRule="auto"/>
        <w:rPr>
          <w:sz w:val="20"/>
          <w:szCs w:val="20"/>
          <w:color w:val="auto"/>
        </w:rPr>
      </w:pPr>
      <w:r>
        <w:rPr>
          <w:rFonts w:ascii="Times New Roman" w:cs="Times New Roman" w:eastAsia="Times New Roman" w:hAnsi="Times New Roman"/>
          <w:sz w:val="20"/>
          <w:szCs w:val="20"/>
          <w:color w:val="auto"/>
        </w:rPr>
        <w:t>314 Main Street, 15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20"/>
          <w:szCs w:val="20"/>
          <w:color w:val="auto"/>
        </w:rPr>
        <w:t xml:space="preserve"> Floor</w:t>
      </w:r>
    </w:p>
    <w:p>
      <w:pPr>
        <w:ind w:left="3760"/>
        <w:spacing w:after="0"/>
        <w:rPr>
          <w:sz w:val="20"/>
          <w:szCs w:val="20"/>
          <w:color w:val="auto"/>
        </w:rPr>
      </w:pPr>
      <w:r>
        <w:rPr>
          <w:rFonts w:ascii="Times New Roman" w:cs="Times New Roman" w:eastAsia="Times New Roman" w:hAnsi="Times New Roman"/>
          <w:sz w:val="20"/>
          <w:szCs w:val="20"/>
          <w:color w:val="auto"/>
        </w:rPr>
        <w:t>Cambridge, MA 02142</w:t>
      </w:r>
    </w:p>
    <w:p>
      <w:pPr>
        <w:ind w:left="3760"/>
        <w:spacing w:after="0"/>
        <w:rPr>
          <w:sz w:val="20"/>
          <w:szCs w:val="20"/>
          <w:color w:val="auto"/>
        </w:rPr>
      </w:pPr>
      <w:r>
        <w:rPr>
          <w:rFonts w:ascii="Times New Roman" w:cs="Times New Roman" w:eastAsia="Times New Roman" w:hAnsi="Times New Roman"/>
          <w:sz w:val="20"/>
          <w:szCs w:val="20"/>
          <w:color w:val="auto"/>
        </w:rPr>
        <w:t>Attn: Julie Constable</w:t>
      </w:r>
    </w:p>
    <w:p>
      <w:pPr>
        <w:spacing w:after="0" w:line="6"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20"/>
          <w:szCs w:val="20"/>
          <w:color w:val="auto"/>
        </w:rPr>
        <w:t>Email: BXLS-Legal&amp;Compliance@Blackstone.com</w:t>
      </w:r>
    </w:p>
    <w:p>
      <w:pPr>
        <w:spacing w:after="0" w:line="214"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20"/>
          <w:szCs w:val="20"/>
          <w:color w:val="auto"/>
        </w:rPr>
        <w:t>With a copy to:</w:t>
      </w:r>
    </w:p>
    <w:p>
      <w:pPr>
        <w:spacing w:after="0" w:line="243"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20"/>
          <w:szCs w:val="20"/>
          <w:color w:val="auto"/>
        </w:rPr>
        <w:t>Sullivan &amp; Cromwell LLP</w:t>
      </w:r>
    </w:p>
    <w:p>
      <w:pPr>
        <w:spacing w:after="0" w:line="22"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20"/>
          <w:szCs w:val="20"/>
          <w:color w:val="auto"/>
        </w:rPr>
        <w:t>125 Broad Street</w:t>
      </w:r>
    </w:p>
    <w:p>
      <w:pPr>
        <w:spacing w:after="0" w:line="6"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20"/>
          <w:szCs w:val="20"/>
          <w:color w:val="auto"/>
        </w:rPr>
        <w:t>New York, NY 10004</w:t>
      </w:r>
    </w:p>
    <w:p>
      <w:pPr>
        <w:spacing w:after="0" w:line="13"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20"/>
          <w:szCs w:val="20"/>
          <w:color w:val="auto"/>
        </w:rPr>
        <w:t>Attn: Ari B. Blaut; Alan J. Fishman</w:t>
      </w:r>
    </w:p>
    <w:p>
      <w:pPr>
        <w:spacing w:after="0" w:line="6" w:lineRule="exact"/>
        <w:rPr>
          <w:sz w:val="20"/>
          <w:szCs w:val="20"/>
          <w:color w:val="auto"/>
        </w:rPr>
      </w:pPr>
    </w:p>
    <w:p>
      <w:pPr>
        <w:jc w:val="right"/>
        <w:ind w:right="1959"/>
        <w:spacing w:after="0"/>
        <w:rPr>
          <w:sz w:val="20"/>
          <w:szCs w:val="20"/>
          <w:color w:val="auto"/>
        </w:rPr>
      </w:pPr>
      <w:r>
        <w:rPr>
          <w:rFonts w:ascii="Times New Roman" w:cs="Times New Roman" w:eastAsia="Times New Roman" w:hAnsi="Times New Roman"/>
          <w:sz w:val="20"/>
          <w:szCs w:val="20"/>
          <w:color w:val="auto"/>
        </w:rPr>
        <w:t>Email: blauta@sullcrom.com; fishmana@sullcrom.com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2"/>
          <w:szCs w:val="22"/>
          <w:i w:val="1"/>
          <w:iCs w:val="1"/>
          <w:color w:val="auto"/>
        </w:rPr>
        <w:t>[Signature Page to Securities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617855</wp:posOffset>
            </wp:positionV>
            <wp:extent cx="7157720" cy="42545"/>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994" w:right="1440" w:bottom="1440" w:gutter="0" w:footer="0" w:header="0"/>
        </w:sectPr>
      </w:pPr>
    </w:p>
    <w:bookmarkStart w:id="502" w:name="page503"/>
    <w:bookmarkEnd w:id="502"/>
    <w:p>
      <w:pPr>
        <w:ind w:left="960"/>
        <w:spacing w:after="0"/>
        <w:rPr>
          <w:sz w:val="20"/>
          <w:szCs w:val="20"/>
          <w:color w:val="auto"/>
        </w:rPr>
      </w:pPr>
      <w:r>
        <w:rPr>
          <w:rFonts w:ascii="Times New Roman" w:cs="Times New Roman" w:eastAsia="Times New Roman" w:hAnsi="Times New Roman"/>
          <w:sz w:val="21"/>
          <w:szCs w:val="21"/>
          <w:color w:val="auto"/>
        </w:rPr>
        <w:t>This Securities Purchase Agreement is hereby executed as of the date first above written.</w:t>
      </w:r>
    </w:p>
    <w:p>
      <w:pPr>
        <w:sectPr>
          <w:pgSz w:w="11900" w:h="16838" w:orient="portrait"/>
          <w:cols w:equalWidth="0" w:num="1">
            <w:col w:w="9019"/>
          </w:cols>
          <w:pgMar w:left="1440" w:top="1421" w:right="1440" w:bottom="1440" w:gutter="0" w:footer="0" w:header="0"/>
        </w:sectPr>
      </w:pPr>
    </w:p>
    <w:p>
      <w:pPr>
        <w:spacing w:after="0" w:line="214"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22"/>
          <w:szCs w:val="22"/>
          <w:b w:val="1"/>
          <w:bCs w:val="1"/>
          <w:color w:val="auto"/>
        </w:rPr>
        <w:t>PURCHASERS:</w:t>
      </w:r>
    </w:p>
    <w:p>
      <w:pPr>
        <w:spacing w:after="0" w:line="247"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22"/>
          <w:szCs w:val="22"/>
          <w:b w:val="1"/>
          <w:bCs w:val="1"/>
          <w:color w:val="auto"/>
        </w:rPr>
        <w:t>BLACKSTONE PRIVATE CREDIT FUND</w:t>
      </w:r>
    </w:p>
    <w:p>
      <w:pPr>
        <w:spacing w:after="0" w:line="237"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22"/>
          <w:szCs w:val="22"/>
          <w:color w:val="auto"/>
        </w:rPr>
        <w:t>By: Blackstone Private Credit Strategies LLC,</w:t>
      </w:r>
    </w:p>
    <w:p>
      <w:pPr>
        <w:spacing w:after="0" w:line="14"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2"/>
          <w:szCs w:val="22"/>
          <w:color w:val="auto"/>
        </w:rPr>
        <w:t>as Investment Advisor</w:t>
      </w:r>
    </w:p>
    <w:p>
      <w:pPr>
        <w:spacing w:after="0" w:line="209"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22"/>
          <w:szCs w:val="22"/>
          <w:color w:val="auto"/>
        </w:rPr>
        <w:t>By: Blackstone Credit BDC Advisors LLC,</w:t>
      </w:r>
    </w:p>
    <w:p>
      <w:pPr>
        <w:spacing w:after="0" w:line="14"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22"/>
          <w:szCs w:val="22"/>
          <w:color w:val="auto"/>
        </w:rPr>
        <w:t>as Sub-Investment Advisor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3614420</wp:posOffset>
            </wp:positionH>
            <wp:positionV relativeFrom="paragraph">
              <wp:posOffset>-157480</wp:posOffset>
            </wp:positionV>
            <wp:extent cx="805815" cy="805815"/>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52">
                      <a:extLst>
                        <a:ext uri="{28A0092B-C50C-407E-A947-70E740481C1C}"/>
                      </a:extLst>
                    </a:blip>
                    <a:srcRect/>
                    <a:stretch>
                      <a:fillRect/>
                    </a:stretch>
                  </pic:blipFill>
                  <pic:spPr bwMode="auto">
                    <a:xfrm>
                      <a:off x="0" y="0"/>
                      <a:ext cx="805815" cy="805815"/>
                    </a:xfrm>
                    <a:prstGeom prst="rect">
                      <a:avLst/>
                    </a:prstGeom>
                    <a:noFill/>
                  </pic:spPr>
                </pic:pic>
              </a:graphicData>
            </a:graphic>
          </wp:anchor>
        </w:drawing>
      </w:r>
    </w:p>
    <w:p>
      <w:pPr>
        <w:spacing w:after="0" w:line="243" w:lineRule="exact"/>
        <w:rPr>
          <w:sz w:val="20"/>
          <w:szCs w:val="20"/>
          <w:color w:val="auto"/>
        </w:rPr>
      </w:pPr>
    </w:p>
    <w:p>
      <w:pPr>
        <w:ind w:left="4780"/>
        <w:spacing w:after="0"/>
        <w:tabs>
          <w:tab w:leader="none" w:pos="6000" w:val="left"/>
        </w:tabs>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19"/>
          <w:szCs w:val="19"/>
          <w:color w:val="auto"/>
        </w:rPr>
        <w:t>______</w:t>
      </w:r>
      <w:r>
        <w:rPr>
          <w:sz w:val="20"/>
          <w:szCs w:val="20"/>
          <w:color w:val="auto"/>
        </w:rPr>
        <w:tab/>
      </w:r>
      <w:r>
        <w:rPr>
          <w:rFonts w:ascii="Times New Roman" w:cs="Times New Roman" w:eastAsia="Times New Roman" w:hAnsi="Times New Roman"/>
          <w:sz w:val="21"/>
          <w:szCs w:val="21"/>
          <w:color w:val="auto"/>
        </w:rPr>
        <w:t>Name: Marisa</w:t>
      </w:r>
    </w:p>
    <w:p>
      <w:pPr>
        <w:spacing w:after="0" w:line="4"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22"/>
          <w:szCs w:val="22"/>
          <w:color w:val="auto"/>
        </w:rPr>
        <w:t>Beeney</w:t>
      </w:r>
    </w:p>
    <w:p>
      <w:pPr>
        <w:ind w:left="5160"/>
        <w:spacing w:after="0"/>
        <w:rPr>
          <w:sz w:val="20"/>
          <w:szCs w:val="20"/>
          <w:color w:val="auto"/>
        </w:rPr>
      </w:pPr>
      <w:r>
        <w:rPr>
          <w:rFonts w:ascii="Times New Roman" w:cs="Times New Roman" w:eastAsia="Times New Roman" w:hAnsi="Times New Roman"/>
          <w:sz w:val="22"/>
          <w:szCs w:val="22"/>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22"/>
          <w:szCs w:val="22"/>
          <w:color w:val="auto"/>
        </w:rPr>
        <w:t>If to Blackstone Private Credit Fund:</w:t>
      </w:r>
    </w:p>
    <w:p>
      <w:pPr>
        <w:spacing w:after="0" w:line="233"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22"/>
          <w:szCs w:val="22"/>
          <w:color w:val="auto"/>
        </w:rPr>
        <w:t>Blackstone Private Credit Fund</w:t>
      </w:r>
    </w:p>
    <w:p>
      <w:pPr>
        <w:spacing w:after="0" w:line="16"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20"/>
          <w:szCs w:val="20"/>
          <w:color w:val="auto"/>
        </w:rPr>
        <w:t>c/oBlackstone Alternative Credit Advisors</w:t>
      </w:r>
    </w:p>
    <w:p>
      <w:pPr>
        <w:ind w:left="4200"/>
        <w:spacing w:after="0"/>
        <w:rPr>
          <w:sz w:val="20"/>
          <w:szCs w:val="20"/>
          <w:color w:val="auto"/>
        </w:rPr>
      </w:pPr>
      <w:r>
        <w:rPr>
          <w:rFonts w:ascii="Times New Roman" w:cs="Times New Roman" w:eastAsia="Times New Roman" w:hAnsi="Times New Roman"/>
          <w:sz w:val="20"/>
          <w:szCs w:val="20"/>
          <w:color w:val="auto"/>
        </w:rPr>
        <w:t>LP 345 Park Avenue</w:t>
      </w:r>
    </w:p>
    <w:p>
      <w:pPr>
        <w:ind w:left="4200"/>
        <w:spacing w:after="0"/>
        <w:rPr>
          <w:sz w:val="20"/>
          <w:szCs w:val="20"/>
          <w:color w:val="auto"/>
        </w:rPr>
      </w:pPr>
      <w:r>
        <w:rPr>
          <w:rFonts w:ascii="Times New Roman" w:cs="Times New Roman" w:eastAsia="Times New Roman" w:hAnsi="Times New Roman"/>
          <w:sz w:val="20"/>
          <w:szCs w:val="20"/>
          <w:color w:val="auto"/>
        </w:rPr>
        <w:t>New York, NY 10154</w:t>
      </w:r>
    </w:p>
    <w:p>
      <w:pPr>
        <w:ind w:left="4200"/>
        <w:spacing w:after="0"/>
        <w:rPr>
          <w:sz w:val="20"/>
          <w:szCs w:val="20"/>
          <w:color w:val="auto"/>
        </w:rPr>
      </w:pPr>
      <w:r>
        <w:rPr>
          <w:rFonts w:ascii="Times New Roman" w:cs="Times New Roman" w:eastAsia="Times New Roman" w:hAnsi="Times New Roman"/>
          <w:sz w:val="20"/>
          <w:szCs w:val="20"/>
          <w:color w:val="auto"/>
        </w:rPr>
        <w:t>Attn: Jonathan Brayman, Managing Director</w:t>
      </w:r>
    </w:p>
    <w:p>
      <w:pPr>
        <w:ind w:left="4200"/>
        <w:spacing w:after="0"/>
        <w:rPr>
          <w:sz w:val="20"/>
          <w:szCs w:val="20"/>
          <w:color w:val="auto"/>
        </w:rPr>
      </w:pPr>
      <w:r>
        <w:rPr>
          <w:rFonts w:ascii="Times New Roman" w:cs="Times New Roman" w:eastAsia="Times New Roman" w:hAnsi="Times New Roman"/>
          <w:sz w:val="20"/>
          <w:szCs w:val="20"/>
          <w:color w:val="auto"/>
        </w:rPr>
        <w:t>Email: Jonathan.Brayman@Blackstone.com</w:t>
      </w:r>
    </w:p>
    <w:p>
      <w:pPr>
        <w:spacing w:after="0" w:line="207"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20"/>
          <w:szCs w:val="20"/>
          <w:color w:val="auto"/>
        </w:rPr>
        <w:t>With a copy to:</w:t>
      </w:r>
    </w:p>
    <w:p>
      <w:pPr>
        <w:spacing w:after="0" w:line="229"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20"/>
          <w:szCs w:val="20"/>
          <w:color w:val="auto"/>
        </w:rPr>
        <w:t>Sullivan &amp; Cromwell LLP</w:t>
      </w:r>
    </w:p>
    <w:p>
      <w:pPr>
        <w:spacing w:after="0" w:line="21"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20"/>
          <w:szCs w:val="20"/>
          <w:color w:val="auto"/>
        </w:rPr>
        <w:t>125 Broad Street</w:t>
      </w:r>
    </w:p>
    <w:p>
      <w:pPr>
        <w:ind w:left="4200"/>
        <w:spacing w:after="0"/>
        <w:rPr>
          <w:sz w:val="20"/>
          <w:szCs w:val="20"/>
          <w:color w:val="auto"/>
        </w:rPr>
      </w:pPr>
      <w:r>
        <w:rPr>
          <w:rFonts w:ascii="Times New Roman" w:cs="Times New Roman" w:eastAsia="Times New Roman" w:hAnsi="Times New Roman"/>
          <w:sz w:val="20"/>
          <w:szCs w:val="20"/>
          <w:color w:val="auto"/>
        </w:rPr>
        <w:t>New York, NY 10004</w:t>
      </w:r>
    </w:p>
    <w:p>
      <w:pPr>
        <w:ind w:left="4200"/>
        <w:spacing w:after="0"/>
        <w:rPr>
          <w:sz w:val="20"/>
          <w:szCs w:val="20"/>
          <w:color w:val="auto"/>
        </w:rPr>
      </w:pPr>
      <w:r>
        <w:rPr>
          <w:rFonts w:ascii="Times New Roman" w:cs="Times New Roman" w:eastAsia="Times New Roman" w:hAnsi="Times New Roman"/>
          <w:sz w:val="20"/>
          <w:szCs w:val="20"/>
          <w:color w:val="auto"/>
        </w:rPr>
        <w:t>Attn: Ari B. Blaut; Alan J. Fishman</w:t>
      </w:r>
    </w:p>
    <w:p>
      <w:pPr>
        <w:ind w:left="4200"/>
        <w:spacing w:after="0"/>
        <w:rPr>
          <w:sz w:val="20"/>
          <w:szCs w:val="20"/>
          <w:color w:val="auto"/>
        </w:rPr>
      </w:pPr>
      <w:r>
        <w:rPr>
          <w:rFonts w:ascii="Times New Roman" w:cs="Times New Roman" w:eastAsia="Times New Roman" w:hAnsi="Times New Roman"/>
          <w:sz w:val="19"/>
          <w:szCs w:val="19"/>
          <w:color w:val="auto"/>
        </w:rPr>
        <w:t>Email: blauta@sullcrom.com; fishmana@sullcrom.com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1"/>
          <w:szCs w:val="21"/>
          <w:i w:val="1"/>
          <w:iCs w:val="1"/>
          <w:color w:val="auto"/>
        </w:rPr>
        <w:t>[Signature Page to Securities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2073910</wp:posOffset>
            </wp:positionV>
            <wp:extent cx="7037705" cy="42545"/>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53">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21" w:right="1440" w:bottom="1440" w:gutter="0" w:footer="0" w:header="0"/>
          <w:type w:val="continuous"/>
        </w:sectPr>
      </w:pPr>
    </w:p>
    <w:bookmarkStart w:id="503" w:name="page504"/>
    <w:bookmarkEnd w:id="503"/>
    <w:p>
      <w:pPr>
        <w:spacing w:after="0" w:line="225"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1"/>
          <w:szCs w:val="21"/>
          <w:color w:val="auto"/>
        </w:rPr>
        <w:t>This Securities Purchase Agreement is hereby executed as of the date first above written.</w:t>
      </w:r>
    </w:p>
    <w:p>
      <w:pPr>
        <w:sectPr>
          <w:pgSz w:w="11900" w:h="16838" w:orient="portrait"/>
          <w:cols w:equalWidth="0" w:num="1">
            <w:col w:w="9019"/>
          </w:cols>
          <w:pgMar w:left="1440" w:top="1440" w:right="1440" w:bottom="1440" w:gutter="0" w:footer="0" w:header="0"/>
        </w:sectPr>
      </w:pPr>
    </w:p>
    <w:p>
      <w:pPr>
        <w:spacing w:after="0" w:line="214"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22"/>
          <w:szCs w:val="22"/>
          <w:b w:val="1"/>
          <w:bCs w:val="1"/>
          <w:color w:val="auto"/>
        </w:rPr>
        <w:t>PURCHASERS:</w:t>
      </w:r>
    </w:p>
    <w:p>
      <w:pPr>
        <w:spacing w:after="0" w:line="247"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22"/>
          <w:szCs w:val="22"/>
          <w:b w:val="1"/>
          <w:bCs w:val="1"/>
          <w:color w:val="auto"/>
        </w:rPr>
        <w:t>BLACKSTONE SECURED LENDING FUND</w:t>
      </w:r>
    </w:p>
    <w:p>
      <w:pPr>
        <w:spacing w:after="0" w:line="237"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22"/>
          <w:szCs w:val="22"/>
          <w:color w:val="auto"/>
        </w:rPr>
        <w:t>By: Blackstone Private Credit Strategies LLC,</w:t>
      </w:r>
    </w:p>
    <w:p>
      <w:pPr>
        <w:spacing w:after="0" w:line="14"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2"/>
          <w:szCs w:val="22"/>
          <w:color w:val="auto"/>
        </w:rPr>
        <w:t>as Investment Advisor</w:t>
      </w:r>
    </w:p>
    <w:p>
      <w:pPr>
        <w:spacing w:after="0" w:line="223"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22"/>
          <w:szCs w:val="22"/>
          <w:color w:val="auto"/>
        </w:rPr>
        <w:t>By: Blackstone Credit BDC Advisors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-48260</wp:posOffset>
            </wp:positionV>
            <wp:extent cx="796925" cy="522605"/>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54">
                      <a:extLst>
                        <a:ext uri="{28A0092B-C50C-407E-A947-70E740481C1C}"/>
                      </a:extLst>
                    </a:blip>
                    <a:srcRect/>
                    <a:stretch>
                      <a:fillRect/>
                    </a:stretch>
                  </pic:blipFill>
                  <pic:spPr bwMode="auto">
                    <a:xfrm>
                      <a:off x="0" y="0"/>
                      <a:ext cx="796925" cy="522605"/>
                    </a:xfrm>
                    <a:prstGeom prst="rect">
                      <a:avLst/>
                    </a:prstGeom>
                    <a:noFill/>
                  </pic:spPr>
                </pic:pic>
              </a:graphicData>
            </a:graphic>
          </wp:anchor>
        </w:drawing>
      </w:r>
    </w:p>
    <w:p>
      <w:pPr>
        <w:ind w:left="5160"/>
        <w:spacing w:after="0"/>
        <w:rPr>
          <w:sz w:val="20"/>
          <w:szCs w:val="20"/>
          <w:color w:val="auto"/>
        </w:rPr>
      </w:pPr>
      <w:r>
        <w:rPr>
          <w:rFonts w:ascii="Times New Roman" w:cs="Times New Roman" w:eastAsia="Times New Roman" w:hAnsi="Times New Roman"/>
          <w:sz w:val="22"/>
          <w:szCs w:val="22"/>
          <w:color w:val="auto"/>
        </w:rPr>
        <w:t>as Sub-Investment Advisor</w:t>
      </w:r>
    </w:p>
    <w:p>
      <w:pPr>
        <w:spacing w:after="0" w:line="196"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22"/>
          <w:szCs w:val="22"/>
          <w:color w:val="auto"/>
        </w:rPr>
        <w:t>By:</w:t>
      </w:r>
    </w:p>
    <w:p>
      <w:pPr>
        <w:spacing w:after="0" w:line="18"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22"/>
          <w:szCs w:val="22"/>
          <w:color w:val="auto"/>
        </w:rPr>
        <w:t>Name: Marisa Beeney</w:t>
      </w:r>
    </w:p>
    <w:p>
      <w:pPr>
        <w:ind w:left="5160"/>
        <w:spacing w:after="0"/>
        <w:rPr>
          <w:sz w:val="20"/>
          <w:szCs w:val="20"/>
          <w:color w:val="auto"/>
        </w:rPr>
      </w:pPr>
      <w:r>
        <w:rPr>
          <w:rFonts w:ascii="Times New Roman" w:cs="Times New Roman" w:eastAsia="Times New Roman" w:hAnsi="Times New Roman"/>
          <w:sz w:val="22"/>
          <w:szCs w:val="22"/>
          <w:color w:val="auto"/>
        </w:rPr>
        <w:t>Title: Authorized Signatory</w:t>
      </w:r>
    </w:p>
    <w:p>
      <w:pPr>
        <w:spacing w:after="0" w:line="200" w:lineRule="exact"/>
        <w:rPr>
          <w:sz w:val="20"/>
          <w:szCs w:val="20"/>
          <w:color w:val="auto"/>
        </w:rPr>
      </w:pPr>
    </w:p>
    <w:p>
      <w:pPr>
        <w:spacing w:after="0" w:line="266"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22"/>
          <w:szCs w:val="22"/>
          <w:color w:val="auto"/>
        </w:rPr>
        <w:t>If to Blackstone Secured Lending Fund:</w:t>
      </w:r>
    </w:p>
    <w:p>
      <w:pPr>
        <w:spacing w:after="0" w:line="233"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22"/>
          <w:szCs w:val="22"/>
          <w:color w:val="auto"/>
        </w:rPr>
        <w:t>Blackstone Private Credit Fund</w:t>
      </w:r>
    </w:p>
    <w:p>
      <w:pPr>
        <w:spacing w:after="0" w:line="16"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20"/>
          <w:szCs w:val="20"/>
          <w:color w:val="auto"/>
        </w:rPr>
        <w:t>c/oBlackstone Alternative Credit Advisors</w:t>
      </w:r>
    </w:p>
    <w:p>
      <w:pPr>
        <w:ind w:left="4200"/>
        <w:spacing w:after="0"/>
        <w:rPr>
          <w:sz w:val="20"/>
          <w:szCs w:val="20"/>
          <w:color w:val="auto"/>
        </w:rPr>
      </w:pPr>
      <w:r>
        <w:rPr>
          <w:rFonts w:ascii="Times New Roman" w:cs="Times New Roman" w:eastAsia="Times New Roman" w:hAnsi="Times New Roman"/>
          <w:sz w:val="20"/>
          <w:szCs w:val="20"/>
          <w:color w:val="auto"/>
        </w:rPr>
        <w:t>LP 345 Park Avenue</w:t>
      </w:r>
    </w:p>
    <w:p>
      <w:pPr>
        <w:spacing w:after="0" w:line="6"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20"/>
          <w:szCs w:val="20"/>
          <w:color w:val="auto"/>
        </w:rPr>
        <w:t>New York, NY 10154</w:t>
      </w:r>
    </w:p>
    <w:p>
      <w:pPr>
        <w:spacing w:after="0" w:line="6"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20"/>
          <w:szCs w:val="20"/>
          <w:color w:val="auto"/>
        </w:rPr>
        <w:t>Attn: Jonathan Brayman, Managing Director</w:t>
      </w:r>
    </w:p>
    <w:p>
      <w:pPr>
        <w:ind w:left="4200"/>
        <w:spacing w:after="0"/>
        <w:rPr>
          <w:sz w:val="20"/>
          <w:szCs w:val="20"/>
          <w:color w:val="auto"/>
        </w:rPr>
      </w:pPr>
      <w:r>
        <w:rPr>
          <w:rFonts w:ascii="Times New Roman" w:cs="Times New Roman" w:eastAsia="Times New Roman" w:hAnsi="Times New Roman"/>
          <w:sz w:val="20"/>
          <w:szCs w:val="20"/>
          <w:color w:val="auto"/>
        </w:rPr>
        <w:t>Email: Jonathan.Brayman@Blackstone.com</w:t>
      </w:r>
    </w:p>
    <w:p>
      <w:pPr>
        <w:spacing w:after="0" w:line="207"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20"/>
          <w:szCs w:val="20"/>
          <w:color w:val="auto"/>
        </w:rPr>
        <w:t>With a copy to:</w:t>
      </w:r>
    </w:p>
    <w:p>
      <w:pPr>
        <w:spacing w:after="0" w:line="216"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20"/>
          <w:szCs w:val="20"/>
          <w:color w:val="auto"/>
        </w:rPr>
        <w:t>Sullivan &amp; Cromwell LLP</w:t>
      </w:r>
    </w:p>
    <w:p>
      <w:pPr>
        <w:spacing w:after="0" w:line="21"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20"/>
          <w:szCs w:val="20"/>
          <w:color w:val="auto"/>
        </w:rPr>
        <w:t>125 Broad Street</w:t>
      </w:r>
    </w:p>
    <w:p>
      <w:pPr>
        <w:ind w:left="4200"/>
        <w:spacing w:after="0"/>
        <w:rPr>
          <w:sz w:val="20"/>
          <w:szCs w:val="20"/>
          <w:color w:val="auto"/>
        </w:rPr>
      </w:pPr>
      <w:r>
        <w:rPr>
          <w:rFonts w:ascii="Times New Roman" w:cs="Times New Roman" w:eastAsia="Times New Roman" w:hAnsi="Times New Roman"/>
          <w:sz w:val="20"/>
          <w:szCs w:val="20"/>
          <w:color w:val="auto"/>
        </w:rPr>
        <w:t>New York, NY 10004</w:t>
      </w:r>
    </w:p>
    <w:p>
      <w:pPr>
        <w:ind w:left="4200"/>
        <w:spacing w:after="0"/>
        <w:rPr>
          <w:sz w:val="20"/>
          <w:szCs w:val="20"/>
          <w:color w:val="auto"/>
        </w:rPr>
      </w:pPr>
      <w:r>
        <w:rPr>
          <w:rFonts w:ascii="Times New Roman" w:cs="Times New Roman" w:eastAsia="Times New Roman" w:hAnsi="Times New Roman"/>
          <w:sz w:val="20"/>
          <w:szCs w:val="20"/>
          <w:color w:val="auto"/>
        </w:rPr>
        <w:t>Attn: Ari B. Blaut; Alan J. Fishman</w:t>
      </w:r>
    </w:p>
    <w:p>
      <w:pPr>
        <w:spacing w:after="0" w:line="6" w:lineRule="exact"/>
        <w:rPr>
          <w:sz w:val="20"/>
          <w:szCs w:val="20"/>
          <w:color w:val="auto"/>
        </w:rPr>
      </w:pPr>
    </w:p>
    <w:p>
      <w:pPr>
        <w:jc w:val="right"/>
        <w:ind w:right="399"/>
        <w:spacing w:after="0"/>
        <w:rPr>
          <w:sz w:val="20"/>
          <w:szCs w:val="20"/>
          <w:color w:val="auto"/>
        </w:rPr>
      </w:pPr>
      <w:r>
        <w:rPr>
          <w:rFonts w:ascii="Times New Roman" w:cs="Times New Roman" w:eastAsia="Times New Roman" w:hAnsi="Times New Roman"/>
          <w:sz w:val="20"/>
          <w:szCs w:val="20"/>
          <w:color w:val="auto"/>
        </w:rPr>
        <w:t>Email: blauta@sullcrom.com; fishmana@sullcrom.com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i w:val="1"/>
          <w:iCs w:val="1"/>
          <w:color w:val="auto"/>
        </w:rPr>
        <w:t>[Signature Page to Securities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2031365</wp:posOffset>
            </wp:positionV>
            <wp:extent cx="7037705" cy="42545"/>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55">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type w:val="continuous"/>
        </w:sectPr>
      </w:pPr>
    </w:p>
    <w:bookmarkStart w:id="504" w:name="page505"/>
    <w:bookmarkEnd w:id="504"/>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Schedule A</w:t>
      </w:r>
    </w:p>
    <w:p>
      <w:pPr>
        <w:spacing w:after="0" w:line="251" w:lineRule="exact"/>
        <w:rPr>
          <w:sz w:val="20"/>
          <w:szCs w:val="20"/>
          <w:color w:val="auto"/>
        </w:rPr>
      </w:pPr>
    </w:p>
    <w:p>
      <w:pPr>
        <w:ind w:left="1200" w:hanging="1272"/>
        <w:spacing w:after="0" w:line="258" w:lineRule="auto"/>
        <w:rPr>
          <w:sz w:val="20"/>
          <w:szCs w:val="20"/>
          <w:color w:val="auto"/>
        </w:rPr>
      </w:pPr>
      <w:r>
        <w:rPr>
          <w:rFonts w:ascii="Times New Roman" w:cs="Times New Roman" w:eastAsia="Times New Roman" w:hAnsi="Times New Roman"/>
          <w:sz w:val="22"/>
          <w:szCs w:val="22"/>
          <w:color w:val="auto"/>
        </w:rPr>
        <w:t>[CERTAIN PORTIONS OF THIS SCHEDULE HAVE BEEN OMITTED OR REDACTED PURSUANT TO ITEM 601(B)(10) (IV) OF REGULATION 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2505710</wp:posOffset>
            </wp:positionV>
            <wp:extent cx="7157720" cy="42545"/>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400" w:top="1417" w:right="399" w:bottom="1440" w:gutter="0" w:footer="0" w:header="0"/>
        </w:sectPr>
      </w:pPr>
    </w:p>
    <w:bookmarkStart w:id="505" w:name="page506"/>
    <w:bookmarkEnd w:id="505"/>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Schedule 3.2</w:t>
      </w:r>
    </w:p>
    <w:p>
      <w:pPr>
        <w:spacing w:after="0" w:line="210" w:lineRule="exact"/>
        <w:rPr>
          <w:sz w:val="20"/>
          <w:szCs w:val="20"/>
          <w:color w:val="auto"/>
        </w:rPr>
      </w:pPr>
    </w:p>
    <w:p>
      <w:pPr>
        <w:ind w:left="1200" w:hanging="1272"/>
        <w:spacing w:after="0" w:line="258" w:lineRule="auto"/>
        <w:rPr>
          <w:sz w:val="20"/>
          <w:szCs w:val="20"/>
          <w:color w:val="auto"/>
        </w:rPr>
      </w:pPr>
      <w:r>
        <w:rPr>
          <w:rFonts w:ascii="Times New Roman" w:cs="Times New Roman" w:eastAsia="Times New Roman" w:hAnsi="Times New Roman"/>
          <w:sz w:val="22"/>
          <w:szCs w:val="22"/>
          <w:color w:val="auto"/>
        </w:rPr>
        <w:t>[CERTAIN PORTIONS OF THIS SCHEDULE HAVE BEEN OMITTED OR REDACTED PURSUANT TO ITEM 601(B)(10) (IV) OF REGULATION 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2505710</wp:posOffset>
            </wp:positionV>
            <wp:extent cx="7157720" cy="42545"/>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400" w:top="1417" w:right="399" w:bottom="1440" w:gutter="0" w:footer="0" w:header="0"/>
        </w:sectPr>
      </w:pPr>
    </w:p>
    <w:bookmarkStart w:id="506" w:name="page507"/>
    <w:bookmarkEnd w:id="506"/>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Schedule 9.14</w:t>
      </w:r>
    </w:p>
    <w:p>
      <w:pPr>
        <w:spacing w:after="0" w:line="210" w:lineRule="exact"/>
        <w:rPr>
          <w:sz w:val="20"/>
          <w:szCs w:val="20"/>
          <w:color w:val="auto"/>
        </w:rPr>
      </w:pPr>
    </w:p>
    <w:p>
      <w:pPr>
        <w:ind w:left="1200" w:hanging="1272"/>
        <w:spacing w:after="0" w:line="258" w:lineRule="auto"/>
        <w:rPr>
          <w:sz w:val="20"/>
          <w:szCs w:val="20"/>
          <w:color w:val="auto"/>
        </w:rPr>
      </w:pPr>
      <w:r>
        <w:rPr>
          <w:rFonts w:ascii="Times New Roman" w:cs="Times New Roman" w:eastAsia="Times New Roman" w:hAnsi="Times New Roman"/>
          <w:sz w:val="22"/>
          <w:szCs w:val="22"/>
          <w:color w:val="auto"/>
        </w:rPr>
        <w:t>[CERTAIN PORTIONS OF THIS SCHEDULE HAVE BEEN OMITTED OR REDACTED PURSUANT TO ITEM 601(B)(10) (IV) OF REGULATION 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2505710</wp:posOffset>
            </wp:positionV>
            <wp:extent cx="7157720" cy="42545"/>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400" w:top="1417" w:right="399" w:bottom="1440" w:gutter="0" w:footer="0" w:header="0"/>
        </w:sectPr>
      </w:pPr>
    </w:p>
    <w:bookmarkStart w:id="507" w:name="page508"/>
    <w:bookmarkEnd w:id="507"/>
    <w:p>
      <w:pPr>
        <w:jc w:val="right"/>
        <w:spacing w:after="0"/>
        <w:rPr>
          <w:sz w:val="20"/>
          <w:szCs w:val="20"/>
          <w:color w:val="auto"/>
        </w:rPr>
      </w:pPr>
      <w:r>
        <w:rPr>
          <w:rFonts w:ascii="Times New Roman" w:cs="Times New Roman" w:eastAsia="Times New Roman" w:hAnsi="Times New Roman"/>
          <w:sz w:val="18"/>
          <w:szCs w:val="18"/>
          <w:b w:val="1"/>
          <w:bCs w:val="1"/>
          <w:color w:val="auto"/>
        </w:rPr>
        <w:t>Exhibit 10.4</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AXSOME THERAPEUTICS, INC.</w:t>
      </w:r>
    </w:p>
    <w:p>
      <w:pPr>
        <w:spacing w:after="0" w:line="31"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2025 LONG-TERM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1021715</wp:posOffset>
            </wp:positionV>
            <wp:extent cx="7157720" cy="42545"/>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13" w:right="339" w:bottom="1440" w:gutter="0" w:footer="0" w:header="0"/>
        </w:sectPr>
      </w:pPr>
    </w:p>
    <w:bookmarkStart w:id="508" w:name="page509"/>
    <w:bookmarkEnd w:id="508"/>
    <w:tbl>
      <w:tblPr>
        <w:tblLayout w:type="fixed"/>
        <w:tblInd w:w="0" w:type="dxa"/>
        <w:tblCellMar>
          <w:top w:w="0" w:type="dxa"/>
          <w:left w:w="0" w:type="dxa"/>
          <w:bottom w:w="0" w:type="dxa"/>
          <w:right w:w="0" w:type="dxa"/>
        </w:tblCellMar>
      </w:tblPr>
      <w:tr>
        <w:trPr>
          <w:trHeight w:val="238"/>
        </w:trPr>
        <w:tc>
          <w:tcPr>
            <w:tcW w:w="1020" w:type="dxa"/>
            <w:vAlign w:val="bottom"/>
          </w:tcPr>
          <w:p>
            <w:pPr>
              <w:spacing w:after="0"/>
              <w:rPr>
                <w:sz w:val="20"/>
                <w:szCs w:val="20"/>
                <w:color w:val="auto"/>
              </w:rPr>
            </w:pPr>
          </w:p>
        </w:tc>
        <w:tc>
          <w:tcPr>
            <w:tcW w:w="8140" w:type="dxa"/>
            <w:vAlign w:val="bottom"/>
          </w:tcPr>
          <w:p>
            <w:pPr>
              <w:ind w:left="36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080" w:type="dxa"/>
            <w:vAlign w:val="bottom"/>
          </w:tcPr>
          <w:p>
            <w:pPr>
              <w:spacing w:after="0"/>
              <w:rPr>
                <w:sz w:val="20"/>
                <w:szCs w:val="20"/>
                <w:color w:val="auto"/>
              </w:rPr>
            </w:pPr>
          </w:p>
        </w:tc>
      </w:tr>
      <w:tr>
        <w:trPr>
          <w:trHeight w:val="392"/>
        </w:trPr>
        <w:tc>
          <w:tcPr>
            <w:tcW w:w="1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w:t>
            </w:r>
          </w:p>
        </w:tc>
        <w:tc>
          <w:tcPr>
            <w:tcW w:w="8140" w:type="dxa"/>
            <w:vAlign w:val="bottom"/>
          </w:tcPr>
          <w:p>
            <w:pPr>
              <w:ind w:left="680"/>
              <w:spacing w:after="0"/>
              <w:rPr>
                <w:sz w:val="20"/>
                <w:szCs w:val="20"/>
                <w:color w:val="auto"/>
              </w:rPr>
            </w:pPr>
            <w:r>
              <w:rPr>
                <w:rFonts w:ascii="Times New Roman" w:cs="Times New Roman" w:eastAsia="Times New Roman" w:hAnsi="Times New Roman"/>
                <w:sz w:val="18"/>
                <w:szCs w:val="18"/>
                <w:b w:val="1"/>
                <w:bCs w:val="1"/>
                <w:color w:val="auto"/>
              </w:rPr>
              <w:t>History; Existence of the Plan</w:t>
            </w:r>
            <w:r>
              <w:rPr>
                <w:rFonts w:ascii="Times New Roman" w:cs="Times New Roman" w:eastAsia="Times New Roman" w:hAnsi="Times New Roman"/>
                <w:sz w:val="18"/>
                <w:szCs w:val="18"/>
                <w:color w:val="auto"/>
              </w:rPr>
              <w:t>.</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310"/>
        </w:trPr>
        <w:tc>
          <w:tcPr>
            <w:tcW w:w="1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w:t>
            </w:r>
          </w:p>
        </w:tc>
        <w:tc>
          <w:tcPr>
            <w:tcW w:w="8140" w:type="dxa"/>
            <w:vAlign w:val="bottom"/>
          </w:tcPr>
          <w:p>
            <w:pPr>
              <w:ind w:left="680"/>
              <w:spacing w:after="0"/>
              <w:rPr>
                <w:sz w:val="20"/>
                <w:szCs w:val="20"/>
                <w:color w:val="auto"/>
              </w:rPr>
            </w:pPr>
            <w:r>
              <w:rPr>
                <w:rFonts w:ascii="Times New Roman" w:cs="Times New Roman" w:eastAsia="Times New Roman" w:hAnsi="Times New Roman"/>
                <w:sz w:val="18"/>
                <w:szCs w:val="18"/>
                <w:b w:val="1"/>
                <w:bCs w:val="1"/>
                <w:color w:val="auto"/>
              </w:rPr>
              <w:t>Purposes of the Plan</w:t>
            </w:r>
            <w:r>
              <w:rPr>
                <w:rFonts w:ascii="Times New Roman" w:cs="Times New Roman" w:eastAsia="Times New Roman" w:hAnsi="Times New Roman"/>
                <w:sz w:val="18"/>
                <w:szCs w:val="18"/>
                <w:color w:val="auto"/>
              </w:rPr>
              <w:t>.</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311"/>
        </w:trPr>
        <w:tc>
          <w:tcPr>
            <w:tcW w:w="1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3.</w:t>
            </w:r>
          </w:p>
        </w:tc>
        <w:tc>
          <w:tcPr>
            <w:tcW w:w="8140" w:type="dxa"/>
            <w:vAlign w:val="bottom"/>
          </w:tcPr>
          <w:p>
            <w:pPr>
              <w:ind w:left="680"/>
              <w:spacing w:after="0"/>
              <w:rPr>
                <w:sz w:val="20"/>
                <w:szCs w:val="20"/>
                <w:color w:val="auto"/>
              </w:rPr>
            </w:pPr>
            <w:r>
              <w:rPr>
                <w:rFonts w:ascii="Times New Roman" w:cs="Times New Roman" w:eastAsia="Times New Roman" w:hAnsi="Times New Roman"/>
                <w:sz w:val="18"/>
                <w:szCs w:val="18"/>
                <w:b w:val="1"/>
                <w:bCs w:val="1"/>
                <w:color w:val="auto"/>
              </w:rPr>
              <w:t>Terminology</w:t>
            </w:r>
            <w:r>
              <w:rPr>
                <w:rFonts w:ascii="Times New Roman" w:cs="Times New Roman" w:eastAsia="Times New Roman" w:hAnsi="Times New Roman"/>
                <w:sz w:val="18"/>
                <w:szCs w:val="18"/>
                <w:color w:val="auto"/>
              </w:rPr>
              <w:t>.</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310"/>
        </w:trPr>
        <w:tc>
          <w:tcPr>
            <w:tcW w:w="1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4.</w:t>
            </w:r>
          </w:p>
        </w:tc>
        <w:tc>
          <w:tcPr>
            <w:tcW w:w="8140" w:type="dxa"/>
            <w:vAlign w:val="bottom"/>
          </w:tcPr>
          <w:p>
            <w:pPr>
              <w:ind w:left="680"/>
              <w:spacing w:after="0"/>
              <w:rPr>
                <w:sz w:val="20"/>
                <w:szCs w:val="20"/>
                <w:color w:val="auto"/>
              </w:rPr>
            </w:pPr>
            <w:r>
              <w:rPr>
                <w:rFonts w:ascii="Times New Roman" w:cs="Times New Roman" w:eastAsia="Times New Roman" w:hAnsi="Times New Roman"/>
                <w:sz w:val="18"/>
                <w:szCs w:val="18"/>
                <w:b w:val="1"/>
                <w:bCs w:val="1"/>
                <w:color w:val="auto"/>
              </w:rPr>
              <w:t>Administration</w:t>
            </w:r>
            <w:r>
              <w:rPr>
                <w:rFonts w:ascii="Times New Roman" w:cs="Times New Roman" w:eastAsia="Times New Roman" w:hAnsi="Times New Roman"/>
                <w:sz w:val="18"/>
                <w:szCs w:val="18"/>
                <w:color w:val="auto"/>
              </w:rPr>
              <w:t>.</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311"/>
        </w:trPr>
        <w:tc>
          <w:tcPr>
            <w:tcW w:w="1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w:t>
            </w:r>
          </w:p>
        </w:tc>
        <w:tc>
          <w:tcPr>
            <w:tcW w:w="8140" w:type="dxa"/>
            <w:vAlign w:val="bottom"/>
          </w:tcPr>
          <w:p>
            <w:pPr>
              <w:ind w:left="680"/>
              <w:spacing w:after="0"/>
              <w:rPr>
                <w:sz w:val="20"/>
                <w:szCs w:val="20"/>
                <w:color w:val="auto"/>
              </w:rPr>
            </w:pPr>
            <w:r>
              <w:rPr>
                <w:rFonts w:ascii="Times New Roman" w:cs="Times New Roman" w:eastAsia="Times New Roman" w:hAnsi="Times New Roman"/>
                <w:sz w:val="18"/>
                <w:szCs w:val="18"/>
                <w:i w:val="1"/>
                <w:iCs w:val="1"/>
                <w:color w:val="auto"/>
              </w:rPr>
              <w:t>Administration of the Plan</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311"/>
        </w:trPr>
        <w:tc>
          <w:tcPr>
            <w:tcW w:w="1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w:t>
            </w:r>
          </w:p>
        </w:tc>
        <w:tc>
          <w:tcPr>
            <w:tcW w:w="8140" w:type="dxa"/>
            <w:vAlign w:val="bottom"/>
          </w:tcPr>
          <w:p>
            <w:pPr>
              <w:ind w:left="680"/>
              <w:spacing w:after="0"/>
              <w:rPr>
                <w:sz w:val="20"/>
                <w:szCs w:val="20"/>
                <w:color w:val="auto"/>
              </w:rPr>
            </w:pPr>
            <w:r>
              <w:rPr>
                <w:rFonts w:ascii="Times New Roman" w:cs="Times New Roman" w:eastAsia="Times New Roman" w:hAnsi="Times New Roman"/>
                <w:sz w:val="18"/>
                <w:szCs w:val="18"/>
                <w:i w:val="1"/>
                <w:iCs w:val="1"/>
                <w:color w:val="auto"/>
              </w:rPr>
              <w:t>Powers of the Administrator</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310"/>
        </w:trPr>
        <w:tc>
          <w:tcPr>
            <w:tcW w:w="1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w:t>
            </w:r>
          </w:p>
        </w:tc>
        <w:tc>
          <w:tcPr>
            <w:tcW w:w="8140" w:type="dxa"/>
            <w:vAlign w:val="bottom"/>
          </w:tcPr>
          <w:p>
            <w:pPr>
              <w:ind w:left="680"/>
              <w:spacing w:after="0"/>
              <w:rPr>
                <w:sz w:val="20"/>
                <w:szCs w:val="20"/>
                <w:color w:val="auto"/>
              </w:rPr>
            </w:pPr>
            <w:r>
              <w:rPr>
                <w:rFonts w:ascii="Times New Roman" w:cs="Times New Roman" w:eastAsia="Times New Roman" w:hAnsi="Times New Roman"/>
                <w:sz w:val="18"/>
                <w:szCs w:val="18"/>
                <w:i w:val="1"/>
                <w:iCs w:val="1"/>
                <w:color w:val="auto"/>
              </w:rPr>
              <w:t>Delegation of Administrative Authority</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311"/>
        </w:trPr>
        <w:tc>
          <w:tcPr>
            <w:tcW w:w="1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w:t>
            </w:r>
          </w:p>
        </w:tc>
        <w:tc>
          <w:tcPr>
            <w:tcW w:w="8140" w:type="dxa"/>
            <w:vAlign w:val="bottom"/>
          </w:tcPr>
          <w:p>
            <w:pPr>
              <w:ind w:left="680"/>
              <w:spacing w:after="0"/>
              <w:rPr>
                <w:sz w:val="20"/>
                <w:szCs w:val="20"/>
                <w:color w:val="auto"/>
              </w:rPr>
            </w:pPr>
            <w:r>
              <w:rPr>
                <w:rFonts w:ascii="Times New Roman" w:cs="Times New Roman" w:eastAsia="Times New Roman" w:hAnsi="Times New Roman"/>
                <w:sz w:val="18"/>
                <w:szCs w:val="18"/>
                <w:i w:val="1"/>
                <w:iCs w:val="1"/>
                <w:color w:val="auto"/>
              </w:rPr>
              <w:t>Non-Uniform Determinations</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310"/>
        </w:trPr>
        <w:tc>
          <w:tcPr>
            <w:tcW w:w="1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w:t>
            </w:r>
          </w:p>
        </w:tc>
        <w:tc>
          <w:tcPr>
            <w:tcW w:w="8140" w:type="dxa"/>
            <w:vAlign w:val="bottom"/>
          </w:tcPr>
          <w:p>
            <w:pPr>
              <w:ind w:left="680"/>
              <w:spacing w:after="0"/>
              <w:rPr>
                <w:sz w:val="20"/>
                <w:szCs w:val="20"/>
                <w:color w:val="auto"/>
              </w:rPr>
            </w:pPr>
            <w:r>
              <w:rPr>
                <w:rFonts w:ascii="Times New Roman" w:cs="Times New Roman" w:eastAsia="Times New Roman" w:hAnsi="Times New Roman"/>
                <w:sz w:val="18"/>
                <w:szCs w:val="18"/>
                <w:i w:val="1"/>
                <w:iCs w:val="1"/>
                <w:color w:val="auto"/>
              </w:rPr>
              <w:t>Limited Liability; Advisors</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311"/>
        </w:trPr>
        <w:tc>
          <w:tcPr>
            <w:tcW w:w="1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w:t>
            </w:r>
          </w:p>
        </w:tc>
        <w:tc>
          <w:tcPr>
            <w:tcW w:w="8140" w:type="dxa"/>
            <w:vAlign w:val="bottom"/>
          </w:tcPr>
          <w:p>
            <w:pPr>
              <w:ind w:left="680"/>
              <w:spacing w:after="0"/>
              <w:rPr>
                <w:sz w:val="20"/>
                <w:szCs w:val="20"/>
                <w:color w:val="auto"/>
              </w:rPr>
            </w:pPr>
            <w:r>
              <w:rPr>
                <w:rFonts w:ascii="Times New Roman" w:cs="Times New Roman" w:eastAsia="Times New Roman" w:hAnsi="Times New Roman"/>
                <w:sz w:val="18"/>
                <w:szCs w:val="18"/>
                <w:i w:val="1"/>
                <w:iCs w:val="1"/>
                <w:color w:val="auto"/>
              </w:rPr>
              <w:t>Indemnification</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310"/>
        </w:trPr>
        <w:tc>
          <w:tcPr>
            <w:tcW w:w="1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w:t>
            </w:r>
          </w:p>
        </w:tc>
        <w:tc>
          <w:tcPr>
            <w:tcW w:w="8140" w:type="dxa"/>
            <w:vAlign w:val="bottom"/>
          </w:tcPr>
          <w:p>
            <w:pPr>
              <w:ind w:left="680"/>
              <w:spacing w:after="0"/>
              <w:rPr>
                <w:sz w:val="20"/>
                <w:szCs w:val="20"/>
                <w:color w:val="auto"/>
              </w:rPr>
            </w:pPr>
            <w:r>
              <w:rPr>
                <w:rFonts w:ascii="Times New Roman" w:cs="Times New Roman" w:eastAsia="Times New Roman" w:hAnsi="Times New Roman"/>
                <w:sz w:val="18"/>
                <w:szCs w:val="18"/>
                <w:i w:val="1"/>
                <w:iCs w:val="1"/>
                <w:color w:val="auto"/>
              </w:rPr>
              <w:t>Effect of Administrator’s Decision</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311"/>
        </w:trPr>
        <w:tc>
          <w:tcPr>
            <w:tcW w:w="1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5.</w:t>
            </w:r>
          </w:p>
        </w:tc>
        <w:tc>
          <w:tcPr>
            <w:tcW w:w="8140" w:type="dxa"/>
            <w:vAlign w:val="bottom"/>
          </w:tcPr>
          <w:p>
            <w:pPr>
              <w:ind w:left="680"/>
              <w:spacing w:after="0"/>
              <w:rPr>
                <w:sz w:val="20"/>
                <w:szCs w:val="20"/>
                <w:color w:val="auto"/>
              </w:rPr>
            </w:pPr>
            <w:r>
              <w:rPr>
                <w:rFonts w:ascii="Times New Roman" w:cs="Times New Roman" w:eastAsia="Times New Roman" w:hAnsi="Times New Roman"/>
                <w:sz w:val="18"/>
                <w:szCs w:val="18"/>
                <w:b w:val="1"/>
                <w:bCs w:val="1"/>
                <w:color w:val="auto"/>
              </w:rPr>
              <w:t>Shares Issuable Pursuant to Awards.</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311"/>
        </w:trPr>
        <w:tc>
          <w:tcPr>
            <w:tcW w:w="1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w:t>
            </w:r>
          </w:p>
        </w:tc>
        <w:tc>
          <w:tcPr>
            <w:tcW w:w="8140" w:type="dxa"/>
            <w:vAlign w:val="bottom"/>
          </w:tcPr>
          <w:p>
            <w:pPr>
              <w:ind w:left="680"/>
              <w:spacing w:after="0"/>
              <w:rPr>
                <w:sz w:val="20"/>
                <w:szCs w:val="20"/>
                <w:color w:val="auto"/>
              </w:rPr>
            </w:pPr>
            <w:r>
              <w:rPr>
                <w:rFonts w:ascii="Times New Roman" w:cs="Times New Roman" w:eastAsia="Times New Roman" w:hAnsi="Times New Roman"/>
                <w:sz w:val="18"/>
                <w:szCs w:val="18"/>
                <w:i w:val="1"/>
                <w:iCs w:val="1"/>
                <w:color w:val="auto"/>
              </w:rPr>
              <w:t>Initial Share Pool</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310"/>
        </w:trPr>
        <w:tc>
          <w:tcPr>
            <w:tcW w:w="1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w:t>
            </w:r>
          </w:p>
        </w:tc>
        <w:tc>
          <w:tcPr>
            <w:tcW w:w="8140" w:type="dxa"/>
            <w:vAlign w:val="bottom"/>
          </w:tcPr>
          <w:p>
            <w:pPr>
              <w:ind w:left="680"/>
              <w:spacing w:after="0"/>
              <w:rPr>
                <w:sz w:val="20"/>
                <w:szCs w:val="20"/>
                <w:color w:val="auto"/>
              </w:rPr>
            </w:pPr>
            <w:r>
              <w:rPr>
                <w:rFonts w:ascii="Times New Roman" w:cs="Times New Roman" w:eastAsia="Times New Roman" w:hAnsi="Times New Roman"/>
                <w:sz w:val="18"/>
                <w:szCs w:val="18"/>
                <w:i w:val="1"/>
                <w:iCs w:val="1"/>
                <w:color w:val="auto"/>
              </w:rPr>
              <w:t>Adjustments to Share Pool</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311"/>
        </w:trPr>
        <w:tc>
          <w:tcPr>
            <w:tcW w:w="1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w:t>
            </w:r>
          </w:p>
        </w:tc>
        <w:tc>
          <w:tcPr>
            <w:tcW w:w="8140" w:type="dxa"/>
            <w:vAlign w:val="bottom"/>
          </w:tcPr>
          <w:p>
            <w:pPr>
              <w:ind w:left="680"/>
              <w:spacing w:after="0"/>
              <w:rPr>
                <w:sz w:val="20"/>
                <w:szCs w:val="20"/>
                <w:color w:val="auto"/>
              </w:rPr>
            </w:pPr>
            <w:r>
              <w:rPr>
                <w:rFonts w:ascii="Times New Roman" w:cs="Times New Roman" w:eastAsia="Times New Roman" w:hAnsi="Times New Roman"/>
                <w:sz w:val="18"/>
                <w:szCs w:val="18"/>
                <w:i w:val="1"/>
                <w:iCs w:val="1"/>
                <w:color w:val="auto"/>
              </w:rPr>
              <w:t>ISO Limit</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310"/>
        </w:trPr>
        <w:tc>
          <w:tcPr>
            <w:tcW w:w="1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w:t>
            </w:r>
          </w:p>
        </w:tc>
        <w:tc>
          <w:tcPr>
            <w:tcW w:w="8140" w:type="dxa"/>
            <w:vAlign w:val="bottom"/>
          </w:tcPr>
          <w:p>
            <w:pPr>
              <w:ind w:left="680"/>
              <w:spacing w:after="0"/>
              <w:rPr>
                <w:sz w:val="20"/>
                <w:szCs w:val="20"/>
                <w:color w:val="auto"/>
              </w:rPr>
            </w:pPr>
            <w:r>
              <w:rPr>
                <w:rFonts w:ascii="Times New Roman" w:cs="Times New Roman" w:eastAsia="Times New Roman" w:hAnsi="Times New Roman"/>
                <w:sz w:val="18"/>
                <w:szCs w:val="18"/>
                <w:i w:val="1"/>
                <w:iCs w:val="1"/>
                <w:color w:val="auto"/>
              </w:rPr>
              <w:t>Source of Shares</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310"/>
        </w:trPr>
        <w:tc>
          <w:tcPr>
            <w:tcW w:w="1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w:t>
            </w:r>
          </w:p>
        </w:tc>
        <w:tc>
          <w:tcPr>
            <w:tcW w:w="8140" w:type="dxa"/>
            <w:vAlign w:val="bottom"/>
          </w:tcPr>
          <w:p>
            <w:pPr>
              <w:ind w:left="680"/>
              <w:spacing w:after="0"/>
              <w:rPr>
                <w:sz w:val="20"/>
                <w:szCs w:val="20"/>
                <w:color w:val="auto"/>
              </w:rPr>
            </w:pPr>
            <w:r>
              <w:rPr>
                <w:rFonts w:ascii="Times New Roman" w:cs="Times New Roman" w:eastAsia="Times New Roman" w:hAnsi="Times New Roman"/>
                <w:sz w:val="18"/>
                <w:szCs w:val="18"/>
                <w:i w:val="1"/>
                <w:iCs w:val="1"/>
                <w:color w:val="auto"/>
              </w:rPr>
              <w:t>Non-Employee Director Award Limit</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310"/>
        </w:trPr>
        <w:tc>
          <w:tcPr>
            <w:tcW w:w="1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6.</w:t>
            </w:r>
          </w:p>
        </w:tc>
        <w:tc>
          <w:tcPr>
            <w:tcW w:w="8140" w:type="dxa"/>
            <w:vAlign w:val="bottom"/>
          </w:tcPr>
          <w:p>
            <w:pPr>
              <w:ind w:left="680"/>
              <w:spacing w:after="0"/>
              <w:rPr>
                <w:sz w:val="20"/>
                <w:szCs w:val="20"/>
                <w:color w:val="auto"/>
              </w:rPr>
            </w:pPr>
            <w:r>
              <w:rPr>
                <w:rFonts w:ascii="Times New Roman" w:cs="Times New Roman" w:eastAsia="Times New Roman" w:hAnsi="Times New Roman"/>
                <w:sz w:val="18"/>
                <w:szCs w:val="18"/>
                <w:b w:val="1"/>
                <w:bCs w:val="1"/>
                <w:color w:val="auto"/>
              </w:rPr>
              <w:t>Participation</w:t>
            </w:r>
            <w:r>
              <w:rPr>
                <w:rFonts w:ascii="Times New Roman" w:cs="Times New Roman" w:eastAsia="Times New Roman" w:hAnsi="Times New Roman"/>
                <w:sz w:val="18"/>
                <w:szCs w:val="18"/>
                <w:color w:val="auto"/>
              </w:rPr>
              <w:t>.</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310"/>
        </w:trPr>
        <w:tc>
          <w:tcPr>
            <w:tcW w:w="1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7.</w:t>
            </w:r>
          </w:p>
        </w:tc>
        <w:tc>
          <w:tcPr>
            <w:tcW w:w="8140" w:type="dxa"/>
            <w:vAlign w:val="bottom"/>
          </w:tcPr>
          <w:p>
            <w:pPr>
              <w:ind w:left="680"/>
              <w:spacing w:after="0"/>
              <w:rPr>
                <w:sz w:val="20"/>
                <w:szCs w:val="20"/>
                <w:color w:val="auto"/>
              </w:rPr>
            </w:pPr>
            <w:r>
              <w:rPr>
                <w:rFonts w:ascii="Times New Roman" w:cs="Times New Roman" w:eastAsia="Times New Roman" w:hAnsi="Times New Roman"/>
                <w:sz w:val="18"/>
                <w:szCs w:val="18"/>
                <w:b w:val="1"/>
                <w:bCs w:val="1"/>
                <w:color w:val="auto"/>
              </w:rPr>
              <w:t>Awards</w:t>
            </w:r>
            <w:r>
              <w:rPr>
                <w:rFonts w:ascii="Times New Roman" w:cs="Times New Roman" w:eastAsia="Times New Roman" w:hAnsi="Times New Roman"/>
                <w:sz w:val="18"/>
                <w:szCs w:val="18"/>
                <w:color w:val="auto"/>
              </w:rPr>
              <w:t>.</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310"/>
        </w:trPr>
        <w:tc>
          <w:tcPr>
            <w:tcW w:w="1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w:t>
            </w:r>
          </w:p>
        </w:tc>
        <w:tc>
          <w:tcPr>
            <w:tcW w:w="8140" w:type="dxa"/>
            <w:vAlign w:val="bottom"/>
          </w:tcPr>
          <w:p>
            <w:pPr>
              <w:ind w:left="680"/>
              <w:spacing w:after="0"/>
              <w:rPr>
                <w:sz w:val="20"/>
                <w:szCs w:val="20"/>
                <w:color w:val="auto"/>
              </w:rPr>
            </w:pPr>
            <w:r>
              <w:rPr>
                <w:rFonts w:ascii="Times New Roman" w:cs="Times New Roman" w:eastAsia="Times New Roman" w:hAnsi="Times New Roman"/>
                <w:sz w:val="18"/>
                <w:szCs w:val="18"/>
                <w:i w:val="1"/>
                <w:iCs w:val="1"/>
                <w:color w:val="auto"/>
              </w:rPr>
              <w:t>Awards, In General</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310"/>
        </w:trPr>
        <w:tc>
          <w:tcPr>
            <w:tcW w:w="1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w:t>
            </w:r>
          </w:p>
        </w:tc>
        <w:tc>
          <w:tcPr>
            <w:tcW w:w="8140" w:type="dxa"/>
            <w:vAlign w:val="bottom"/>
          </w:tcPr>
          <w:p>
            <w:pPr>
              <w:ind w:left="680"/>
              <w:spacing w:after="0"/>
              <w:rPr>
                <w:sz w:val="20"/>
                <w:szCs w:val="20"/>
                <w:color w:val="auto"/>
              </w:rPr>
            </w:pPr>
            <w:r>
              <w:rPr>
                <w:rFonts w:ascii="Times New Roman" w:cs="Times New Roman" w:eastAsia="Times New Roman" w:hAnsi="Times New Roman"/>
                <w:sz w:val="18"/>
                <w:szCs w:val="18"/>
                <w:i w:val="1"/>
                <w:iCs w:val="1"/>
                <w:color w:val="auto"/>
              </w:rPr>
              <w:t>Stock Options</w:t>
            </w:r>
            <w:r>
              <w:rPr>
                <w:rFonts w:ascii="Times New Roman" w:cs="Times New Roman" w:eastAsia="Times New Roman" w:hAnsi="Times New Roman"/>
                <w:sz w:val="18"/>
                <w:szCs w:val="18"/>
                <w:color w:val="auto"/>
              </w:rPr>
              <w:t>.</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310"/>
        </w:trPr>
        <w:tc>
          <w:tcPr>
            <w:tcW w:w="1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w:t>
            </w:r>
          </w:p>
        </w:tc>
        <w:tc>
          <w:tcPr>
            <w:tcW w:w="8140" w:type="dxa"/>
            <w:vAlign w:val="bottom"/>
          </w:tcPr>
          <w:p>
            <w:pPr>
              <w:ind w:left="680"/>
              <w:spacing w:after="0"/>
              <w:rPr>
                <w:sz w:val="20"/>
                <w:szCs w:val="20"/>
                <w:color w:val="auto"/>
              </w:rPr>
            </w:pPr>
            <w:r>
              <w:rPr>
                <w:rFonts w:ascii="Times New Roman" w:cs="Times New Roman" w:eastAsia="Times New Roman" w:hAnsi="Times New Roman"/>
                <w:sz w:val="18"/>
                <w:szCs w:val="18"/>
                <w:i w:val="1"/>
                <w:iCs w:val="1"/>
                <w:color w:val="auto"/>
              </w:rPr>
              <w:t>Limitation on Reload Options</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311"/>
        </w:trPr>
        <w:tc>
          <w:tcPr>
            <w:tcW w:w="1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w:t>
            </w:r>
          </w:p>
        </w:tc>
        <w:tc>
          <w:tcPr>
            <w:tcW w:w="8140" w:type="dxa"/>
            <w:vAlign w:val="bottom"/>
          </w:tcPr>
          <w:p>
            <w:pPr>
              <w:ind w:left="680"/>
              <w:spacing w:after="0"/>
              <w:rPr>
                <w:sz w:val="20"/>
                <w:szCs w:val="20"/>
                <w:color w:val="auto"/>
              </w:rPr>
            </w:pPr>
            <w:r>
              <w:rPr>
                <w:rFonts w:ascii="Times New Roman" w:cs="Times New Roman" w:eastAsia="Times New Roman" w:hAnsi="Times New Roman"/>
                <w:sz w:val="18"/>
                <w:szCs w:val="18"/>
                <w:i w:val="1"/>
                <w:iCs w:val="1"/>
                <w:color w:val="auto"/>
              </w:rPr>
              <w:t>Stock Appreciation Rights</w:t>
            </w:r>
            <w:r>
              <w:rPr>
                <w:rFonts w:ascii="Times New Roman" w:cs="Times New Roman" w:eastAsia="Times New Roman" w:hAnsi="Times New Roman"/>
                <w:sz w:val="18"/>
                <w:szCs w:val="18"/>
                <w:color w:val="auto"/>
              </w:rPr>
              <w:t>.</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310"/>
        </w:trPr>
        <w:tc>
          <w:tcPr>
            <w:tcW w:w="1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w:t>
            </w:r>
          </w:p>
        </w:tc>
        <w:tc>
          <w:tcPr>
            <w:tcW w:w="8140" w:type="dxa"/>
            <w:vAlign w:val="bottom"/>
          </w:tcPr>
          <w:p>
            <w:pPr>
              <w:ind w:left="680"/>
              <w:spacing w:after="0"/>
              <w:rPr>
                <w:sz w:val="20"/>
                <w:szCs w:val="20"/>
                <w:color w:val="auto"/>
              </w:rPr>
            </w:pPr>
            <w:r>
              <w:rPr>
                <w:rFonts w:ascii="Times New Roman" w:cs="Times New Roman" w:eastAsia="Times New Roman" w:hAnsi="Times New Roman"/>
                <w:sz w:val="18"/>
                <w:szCs w:val="18"/>
                <w:i w:val="1"/>
                <w:iCs w:val="1"/>
                <w:color w:val="auto"/>
              </w:rPr>
              <w:t>Repricing</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310"/>
        </w:trPr>
        <w:tc>
          <w:tcPr>
            <w:tcW w:w="1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w:t>
            </w:r>
          </w:p>
        </w:tc>
        <w:tc>
          <w:tcPr>
            <w:tcW w:w="8140" w:type="dxa"/>
            <w:vAlign w:val="bottom"/>
          </w:tcPr>
          <w:p>
            <w:pPr>
              <w:ind w:left="680"/>
              <w:spacing w:after="0"/>
              <w:rPr>
                <w:sz w:val="20"/>
                <w:szCs w:val="20"/>
                <w:color w:val="auto"/>
              </w:rPr>
            </w:pPr>
            <w:r>
              <w:rPr>
                <w:rFonts w:ascii="Times New Roman" w:cs="Times New Roman" w:eastAsia="Times New Roman" w:hAnsi="Times New Roman"/>
                <w:sz w:val="18"/>
                <w:szCs w:val="18"/>
                <w:i w:val="1"/>
                <w:iCs w:val="1"/>
                <w:color w:val="auto"/>
              </w:rPr>
              <w:t>Stock Awards</w:t>
            </w:r>
            <w:r>
              <w:rPr>
                <w:rFonts w:ascii="Times New Roman" w:cs="Times New Roman" w:eastAsia="Times New Roman" w:hAnsi="Times New Roman"/>
                <w:sz w:val="18"/>
                <w:szCs w:val="18"/>
                <w:color w:val="auto"/>
              </w:rPr>
              <w:t>.</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310"/>
        </w:trPr>
        <w:tc>
          <w:tcPr>
            <w:tcW w:w="1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w:t>
            </w:r>
          </w:p>
        </w:tc>
        <w:tc>
          <w:tcPr>
            <w:tcW w:w="8140" w:type="dxa"/>
            <w:vAlign w:val="bottom"/>
          </w:tcPr>
          <w:p>
            <w:pPr>
              <w:ind w:left="680"/>
              <w:spacing w:after="0"/>
              <w:rPr>
                <w:sz w:val="20"/>
                <w:szCs w:val="20"/>
                <w:color w:val="auto"/>
              </w:rPr>
            </w:pPr>
            <w:r>
              <w:rPr>
                <w:rFonts w:ascii="Times New Roman" w:cs="Times New Roman" w:eastAsia="Times New Roman" w:hAnsi="Times New Roman"/>
                <w:sz w:val="18"/>
                <w:szCs w:val="18"/>
                <w:i w:val="1"/>
                <w:iCs w:val="1"/>
                <w:color w:val="auto"/>
              </w:rPr>
              <w:t>Stock Units</w:t>
            </w:r>
            <w:r>
              <w:rPr>
                <w:rFonts w:ascii="Times New Roman" w:cs="Times New Roman" w:eastAsia="Times New Roman" w:hAnsi="Times New Roman"/>
                <w:sz w:val="18"/>
                <w:szCs w:val="18"/>
                <w:color w:val="auto"/>
              </w:rPr>
              <w:t>.</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310"/>
        </w:trPr>
        <w:tc>
          <w:tcPr>
            <w:tcW w:w="1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(h)</w:t>
            </w:r>
          </w:p>
        </w:tc>
        <w:tc>
          <w:tcPr>
            <w:tcW w:w="8140" w:type="dxa"/>
            <w:vAlign w:val="bottom"/>
          </w:tcPr>
          <w:p>
            <w:pPr>
              <w:ind w:left="680"/>
              <w:spacing w:after="0"/>
              <w:rPr>
                <w:sz w:val="20"/>
                <w:szCs w:val="20"/>
                <w:color w:val="auto"/>
              </w:rPr>
            </w:pPr>
            <w:r>
              <w:rPr>
                <w:rFonts w:ascii="Times New Roman" w:cs="Times New Roman" w:eastAsia="Times New Roman" w:hAnsi="Times New Roman"/>
                <w:sz w:val="18"/>
                <w:szCs w:val="18"/>
                <w:i w:val="1"/>
                <w:iCs w:val="1"/>
                <w:color w:val="auto"/>
              </w:rPr>
              <w:t>Performance Shares, Performance Stock Units and Performance Cash Units</w:t>
            </w:r>
            <w:r>
              <w:rPr>
                <w:rFonts w:ascii="Times New Roman" w:cs="Times New Roman" w:eastAsia="Times New Roman" w:hAnsi="Times New Roman"/>
                <w:sz w:val="18"/>
                <w:szCs w:val="18"/>
                <w:color w:val="auto"/>
              </w:rPr>
              <w:t>.</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310"/>
        </w:trPr>
        <w:tc>
          <w:tcPr>
            <w:tcW w:w="1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w:t>
            </w:r>
          </w:p>
        </w:tc>
        <w:tc>
          <w:tcPr>
            <w:tcW w:w="8140" w:type="dxa"/>
            <w:vAlign w:val="bottom"/>
          </w:tcPr>
          <w:p>
            <w:pPr>
              <w:ind w:left="680"/>
              <w:spacing w:after="0"/>
              <w:rPr>
                <w:sz w:val="20"/>
                <w:szCs w:val="20"/>
                <w:color w:val="auto"/>
              </w:rPr>
            </w:pPr>
            <w:r>
              <w:rPr>
                <w:rFonts w:ascii="Times New Roman" w:cs="Times New Roman" w:eastAsia="Times New Roman" w:hAnsi="Times New Roman"/>
                <w:sz w:val="18"/>
                <w:szCs w:val="18"/>
                <w:i w:val="1"/>
                <w:iCs w:val="1"/>
                <w:color w:val="auto"/>
              </w:rPr>
              <w:t>Other Stock-Based Awards</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310"/>
        </w:trPr>
        <w:tc>
          <w:tcPr>
            <w:tcW w:w="1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(j)</w:t>
            </w:r>
          </w:p>
        </w:tc>
        <w:tc>
          <w:tcPr>
            <w:tcW w:w="8140" w:type="dxa"/>
            <w:vAlign w:val="bottom"/>
          </w:tcPr>
          <w:p>
            <w:pPr>
              <w:ind w:left="680"/>
              <w:spacing w:after="0"/>
              <w:rPr>
                <w:sz w:val="20"/>
                <w:szCs w:val="20"/>
                <w:color w:val="auto"/>
              </w:rPr>
            </w:pPr>
            <w:r>
              <w:rPr>
                <w:rFonts w:ascii="Times New Roman" w:cs="Times New Roman" w:eastAsia="Times New Roman" w:hAnsi="Times New Roman"/>
                <w:sz w:val="18"/>
                <w:szCs w:val="18"/>
                <w:i w:val="1"/>
                <w:iCs w:val="1"/>
                <w:color w:val="auto"/>
              </w:rPr>
              <w:t>Awards to Participants Outside the United States</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311"/>
        </w:trPr>
        <w:tc>
          <w:tcPr>
            <w:tcW w:w="1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(k)</w:t>
            </w:r>
          </w:p>
        </w:tc>
        <w:tc>
          <w:tcPr>
            <w:tcW w:w="8140" w:type="dxa"/>
            <w:vAlign w:val="bottom"/>
          </w:tcPr>
          <w:p>
            <w:pPr>
              <w:ind w:left="680"/>
              <w:spacing w:after="0"/>
              <w:rPr>
                <w:sz w:val="20"/>
                <w:szCs w:val="20"/>
                <w:color w:val="auto"/>
              </w:rPr>
            </w:pPr>
            <w:r>
              <w:rPr>
                <w:rFonts w:ascii="Times New Roman" w:cs="Times New Roman" w:eastAsia="Times New Roman" w:hAnsi="Times New Roman"/>
                <w:sz w:val="18"/>
                <w:szCs w:val="18"/>
                <w:i w:val="1"/>
                <w:iCs w:val="1"/>
                <w:color w:val="auto"/>
              </w:rPr>
              <w:t>Limitation on Dividend Reinvestment and Dividend Equivalents</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310"/>
        </w:trPr>
        <w:tc>
          <w:tcPr>
            <w:tcW w:w="1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w:t>
            </w:r>
          </w:p>
        </w:tc>
        <w:tc>
          <w:tcPr>
            <w:tcW w:w="8140" w:type="dxa"/>
            <w:vAlign w:val="bottom"/>
          </w:tcPr>
          <w:p>
            <w:pPr>
              <w:ind w:left="680"/>
              <w:spacing w:after="0"/>
              <w:rPr>
                <w:sz w:val="20"/>
                <w:szCs w:val="20"/>
                <w:color w:val="auto"/>
              </w:rPr>
            </w:pPr>
            <w:r>
              <w:rPr>
                <w:rFonts w:ascii="Times New Roman" w:cs="Times New Roman" w:eastAsia="Times New Roman" w:hAnsi="Times New Roman"/>
                <w:sz w:val="18"/>
                <w:szCs w:val="18"/>
                <w:i w:val="1"/>
                <w:iCs w:val="1"/>
                <w:color w:val="auto"/>
              </w:rPr>
              <w:t>Dividends and Dividend Equivalents</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310"/>
        </w:trPr>
        <w:tc>
          <w:tcPr>
            <w:tcW w:w="1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8.</w:t>
            </w:r>
          </w:p>
        </w:tc>
        <w:tc>
          <w:tcPr>
            <w:tcW w:w="8140" w:type="dxa"/>
            <w:vAlign w:val="bottom"/>
          </w:tcPr>
          <w:p>
            <w:pPr>
              <w:ind w:left="680"/>
              <w:spacing w:after="0"/>
              <w:rPr>
                <w:sz w:val="20"/>
                <w:szCs w:val="20"/>
                <w:color w:val="auto"/>
              </w:rPr>
            </w:pPr>
            <w:r>
              <w:rPr>
                <w:rFonts w:ascii="Times New Roman" w:cs="Times New Roman" w:eastAsia="Times New Roman" w:hAnsi="Times New Roman"/>
                <w:sz w:val="18"/>
                <w:szCs w:val="18"/>
                <w:b w:val="1"/>
                <w:bCs w:val="1"/>
                <w:color w:val="auto"/>
              </w:rPr>
              <w:t>Withholding of Taxes</w:t>
            </w:r>
            <w:r>
              <w:rPr>
                <w:rFonts w:ascii="Times New Roman" w:cs="Times New Roman" w:eastAsia="Times New Roman" w:hAnsi="Times New Roman"/>
                <w:sz w:val="18"/>
                <w:szCs w:val="18"/>
                <w:color w:val="auto"/>
              </w:rPr>
              <w:t>.</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310"/>
        </w:trPr>
        <w:tc>
          <w:tcPr>
            <w:tcW w:w="1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9.</w:t>
            </w:r>
          </w:p>
        </w:tc>
        <w:tc>
          <w:tcPr>
            <w:tcW w:w="8140" w:type="dxa"/>
            <w:vAlign w:val="bottom"/>
          </w:tcPr>
          <w:p>
            <w:pPr>
              <w:ind w:left="680"/>
              <w:spacing w:after="0"/>
              <w:rPr>
                <w:sz w:val="20"/>
                <w:szCs w:val="20"/>
                <w:color w:val="auto"/>
              </w:rPr>
            </w:pPr>
            <w:r>
              <w:rPr>
                <w:rFonts w:ascii="Times New Roman" w:cs="Times New Roman" w:eastAsia="Times New Roman" w:hAnsi="Times New Roman"/>
                <w:sz w:val="18"/>
                <w:szCs w:val="18"/>
                <w:b w:val="1"/>
                <w:bCs w:val="1"/>
                <w:color w:val="auto"/>
              </w:rPr>
              <w:t>Transferability of Awards</w:t>
            </w:r>
            <w:r>
              <w:rPr>
                <w:rFonts w:ascii="Times New Roman" w:cs="Times New Roman" w:eastAsia="Times New Roman" w:hAnsi="Times New Roman"/>
                <w:sz w:val="18"/>
                <w:szCs w:val="18"/>
                <w:color w:val="auto"/>
              </w:rPr>
              <w:t>.</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310"/>
        </w:trPr>
        <w:tc>
          <w:tcPr>
            <w:tcW w:w="1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w:t>
            </w:r>
          </w:p>
        </w:tc>
        <w:tc>
          <w:tcPr>
            <w:tcW w:w="8140" w:type="dxa"/>
            <w:vAlign w:val="bottom"/>
          </w:tcPr>
          <w:p>
            <w:pPr>
              <w:ind w:left="680"/>
              <w:spacing w:after="0"/>
              <w:rPr>
                <w:sz w:val="20"/>
                <w:szCs w:val="20"/>
                <w:color w:val="auto"/>
              </w:rPr>
            </w:pPr>
            <w:r>
              <w:rPr>
                <w:rFonts w:ascii="Times New Roman" w:cs="Times New Roman" w:eastAsia="Times New Roman" w:hAnsi="Times New Roman"/>
                <w:sz w:val="18"/>
                <w:szCs w:val="18"/>
                <w:i w:val="1"/>
                <w:iCs w:val="1"/>
                <w:color w:val="auto"/>
              </w:rPr>
              <w:t>General Nontransferability Absent Administrator Permission</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311"/>
        </w:trPr>
        <w:tc>
          <w:tcPr>
            <w:tcW w:w="1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w:t>
            </w:r>
          </w:p>
        </w:tc>
        <w:tc>
          <w:tcPr>
            <w:tcW w:w="8140" w:type="dxa"/>
            <w:vAlign w:val="bottom"/>
          </w:tcPr>
          <w:p>
            <w:pPr>
              <w:ind w:left="680"/>
              <w:spacing w:after="0"/>
              <w:rPr>
                <w:sz w:val="20"/>
                <w:szCs w:val="20"/>
                <w:color w:val="auto"/>
              </w:rPr>
            </w:pPr>
            <w:r>
              <w:rPr>
                <w:rFonts w:ascii="Times New Roman" w:cs="Times New Roman" w:eastAsia="Times New Roman" w:hAnsi="Times New Roman"/>
                <w:sz w:val="18"/>
                <w:szCs w:val="18"/>
                <w:i w:val="1"/>
                <w:iCs w:val="1"/>
                <w:color w:val="auto"/>
              </w:rPr>
              <w:t>Administrator Discretion to Permit Transfers Other Than For Value</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310"/>
        </w:trPr>
        <w:tc>
          <w:tcPr>
            <w:tcW w:w="1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10.</w:t>
            </w:r>
          </w:p>
        </w:tc>
        <w:tc>
          <w:tcPr>
            <w:tcW w:w="8140" w:type="dxa"/>
            <w:vAlign w:val="bottom"/>
          </w:tcPr>
          <w:p>
            <w:pPr>
              <w:ind w:left="680"/>
              <w:spacing w:after="0"/>
              <w:rPr>
                <w:sz w:val="20"/>
                <w:szCs w:val="20"/>
                <w:color w:val="auto"/>
              </w:rPr>
            </w:pPr>
            <w:r>
              <w:rPr>
                <w:rFonts w:ascii="Times New Roman" w:cs="Times New Roman" w:eastAsia="Times New Roman" w:hAnsi="Times New Roman"/>
                <w:sz w:val="18"/>
                <w:szCs w:val="18"/>
                <w:b w:val="1"/>
                <w:bCs w:val="1"/>
                <w:color w:val="auto"/>
              </w:rPr>
              <w:t>Adjustments for Corporate Transactions and Other Events</w:t>
            </w:r>
            <w:r>
              <w:rPr>
                <w:rFonts w:ascii="Times New Roman" w:cs="Times New Roman" w:eastAsia="Times New Roman" w:hAnsi="Times New Roman"/>
                <w:sz w:val="18"/>
                <w:szCs w:val="18"/>
                <w:color w:val="auto"/>
              </w:rPr>
              <w:t>.</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310"/>
        </w:trPr>
        <w:tc>
          <w:tcPr>
            <w:tcW w:w="1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w:t>
            </w:r>
          </w:p>
        </w:tc>
        <w:tc>
          <w:tcPr>
            <w:tcW w:w="8140" w:type="dxa"/>
            <w:vAlign w:val="bottom"/>
          </w:tcPr>
          <w:p>
            <w:pPr>
              <w:ind w:left="680"/>
              <w:spacing w:after="0"/>
              <w:rPr>
                <w:sz w:val="20"/>
                <w:szCs w:val="20"/>
                <w:color w:val="auto"/>
              </w:rPr>
            </w:pPr>
            <w:r>
              <w:rPr>
                <w:rFonts w:ascii="Times New Roman" w:cs="Times New Roman" w:eastAsia="Times New Roman" w:hAnsi="Times New Roman"/>
                <w:sz w:val="18"/>
                <w:szCs w:val="18"/>
                <w:i w:val="1"/>
                <w:iCs w:val="1"/>
                <w:color w:val="auto"/>
              </w:rPr>
              <w:t>Mandatory Adjustments</w:t>
            </w:r>
            <w:r>
              <w:rPr>
                <w:rFonts w:ascii="Times New Roman" w:cs="Times New Roman" w:eastAsia="Times New Roman" w:hAnsi="Times New Roman"/>
                <w:sz w:val="18"/>
                <w:szCs w:val="18"/>
                <w:color w:val="auto"/>
              </w:rPr>
              <w:t>.</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bl>
    <w:p>
      <w:pPr>
        <w:spacing w:after="0" w:line="200" w:lineRule="exact"/>
        <w:rPr>
          <w:sz w:val="20"/>
          <w:szCs w:val="20"/>
          <w:color w:val="auto"/>
        </w:rPr>
      </w:pPr>
    </w:p>
    <w:p>
      <w:pPr>
        <w:spacing w:after="0" w:line="3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509" w:name="page510"/>
    <w:bookmarkEnd w:id="509"/>
    <w:tbl>
      <w:tblPr>
        <w:tblLayout w:type="fixed"/>
        <w:tblInd w:w="0" w:type="dxa"/>
        <w:tblCellMar>
          <w:top w:w="0" w:type="dxa"/>
          <w:left w:w="0" w:type="dxa"/>
          <w:bottom w:w="0" w:type="dxa"/>
          <w:right w:w="0" w:type="dxa"/>
        </w:tblCellMar>
      </w:tblPr>
      <w:tr>
        <w:trPr>
          <w:trHeight w:val="236"/>
        </w:trPr>
        <w:tc>
          <w:tcPr>
            <w:tcW w:w="1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w:t>
            </w:r>
          </w:p>
        </w:tc>
        <w:tc>
          <w:tcPr>
            <w:tcW w:w="7820" w:type="dxa"/>
            <w:vAlign w:val="bottom"/>
          </w:tcPr>
          <w:p>
            <w:pPr>
              <w:ind w:left="680"/>
              <w:spacing w:after="0"/>
              <w:rPr>
                <w:sz w:val="20"/>
                <w:szCs w:val="20"/>
                <w:color w:val="auto"/>
              </w:rPr>
            </w:pPr>
            <w:r>
              <w:rPr>
                <w:rFonts w:ascii="Times New Roman" w:cs="Times New Roman" w:eastAsia="Times New Roman" w:hAnsi="Times New Roman"/>
                <w:sz w:val="18"/>
                <w:szCs w:val="18"/>
                <w:i w:val="1"/>
                <w:iCs w:val="1"/>
                <w:color w:val="auto"/>
              </w:rPr>
              <w:t>Discretionary Adjustments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310"/>
        </w:trPr>
        <w:tc>
          <w:tcPr>
            <w:tcW w:w="1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w:t>
            </w:r>
          </w:p>
        </w:tc>
        <w:tc>
          <w:tcPr>
            <w:tcW w:w="7820" w:type="dxa"/>
            <w:vAlign w:val="bottom"/>
          </w:tcPr>
          <w:p>
            <w:pPr>
              <w:ind w:left="680"/>
              <w:spacing w:after="0"/>
              <w:rPr>
                <w:sz w:val="20"/>
                <w:szCs w:val="20"/>
                <w:color w:val="auto"/>
              </w:rPr>
            </w:pPr>
            <w:r>
              <w:rPr>
                <w:rFonts w:ascii="Times New Roman" w:cs="Times New Roman" w:eastAsia="Times New Roman" w:hAnsi="Times New Roman"/>
                <w:sz w:val="18"/>
                <w:szCs w:val="18"/>
                <w:i w:val="1"/>
                <w:iCs w:val="1"/>
                <w:color w:val="auto"/>
              </w:rPr>
              <w:t>Adjustments to Performance Goals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311"/>
        </w:trPr>
        <w:tc>
          <w:tcPr>
            <w:tcW w:w="1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w:t>
            </w:r>
          </w:p>
        </w:tc>
        <w:tc>
          <w:tcPr>
            <w:tcW w:w="7820" w:type="dxa"/>
            <w:vAlign w:val="bottom"/>
          </w:tcPr>
          <w:p>
            <w:pPr>
              <w:ind w:left="680"/>
              <w:spacing w:after="0"/>
              <w:rPr>
                <w:sz w:val="20"/>
                <w:szCs w:val="20"/>
                <w:color w:val="auto"/>
              </w:rPr>
            </w:pPr>
            <w:r>
              <w:rPr>
                <w:rFonts w:ascii="Times New Roman" w:cs="Times New Roman" w:eastAsia="Times New Roman" w:hAnsi="Times New Roman"/>
                <w:sz w:val="18"/>
                <w:szCs w:val="18"/>
                <w:i w:val="1"/>
                <w:iCs w:val="1"/>
                <w:color w:val="auto"/>
              </w:rPr>
              <w:t>Statutory Requirements Affecting Adjustments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310"/>
        </w:trPr>
        <w:tc>
          <w:tcPr>
            <w:tcW w:w="1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w:t>
            </w:r>
          </w:p>
        </w:tc>
        <w:tc>
          <w:tcPr>
            <w:tcW w:w="7820" w:type="dxa"/>
            <w:vAlign w:val="bottom"/>
          </w:tcPr>
          <w:p>
            <w:pPr>
              <w:ind w:left="680"/>
              <w:spacing w:after="0"/>
              <w:rPr>
                <w:sz w:val="20"/>
                <w:szCs w:val="20"/>
                <w:color w:val="auto"/>
              </w:rPr>
            </w:pPr>
            <w:r>
              <w:rPr>
                <w:rFonts w:ascii="Times New Roman" w:cs="Times New Roman" w:eastAsia="Times New Roman" w:hAnsi="Times New Roman"/>
                <w:sz w:val="18"/>
                <w:szCs w:val="18"/>
                <w:i w:val="1"/>
                <w:iCs w:val="1"/>
                <w:color w:val="auto"/>
              </w:rPr>
              <w:t>Dissolution or Liquidation</w:t>
            </w:r>
            <w:r>
              <w:rPr>
                <w:rFonts w:ascii="Times New Roman" w:cs="Times New Roman" w:eastAsia="Times New Roman" w:hAnsi="Times New Roman"/>
                <w:sz w:val="18"/>
                <w:szCs w:val="18"/>
                <w:color w:val="auto"/>
              </w:rPr>
              <w:t>.</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311"/>
        </w:trPr>
        <w:tc>
          <w:tcPr>
            <w:tcW w:w="1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11.</w:t>
            </w:r>
          </w:p>
        </w:tc>
        <w:tc>
          <w:tcPr>
            <w:tcW w:w="7820" w:type="dxa"/>
            <w:vAlign w:val="bottom"/>
          </w:tcPr>
          <w:p>
            <w:pPr>
              <w:ind w:left="680"/>
              <w:spacing w:after="0"/>
              <w:rPr>
                <w:sz w:val="20"/>
                <w:szCs w:val="20"/>
                <w:color w:val="auto"/>
              </w:rPr>
            </w:pPr>
            <w:r>
              <w:rPr>
                <w:rFonts w:ascii="Times New Roman" w:cs="Times New Roman" w:eastAsia="Times New Roman" w:hAnsi="Times New Roman"/>
                <w:sz w:val="18"/>
                <w:szCs w:val="18"/>
                <w:b w:val="1"/>
                <w:bCs w:val="1"/>
                <w:color w:val="auto"/>
              </w:rPr>
              <w:t>Change in Control Provisions.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310"/>
        </w:trPr>
        <w:tc>
          <w:tcPr>
            <w:tcW w:w="1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w:t>
            </w:r>
          </w:p>
        </w:tc>
        <w:tc>
          <w:tcPr>
            <w:tcW w:w="7820" w:type="dxa"/>
            <w:vAlign w:val="bottom"/>
          </w:tcPr>
          <w:p>
            <w:pPr>
              <w:ind w:left="680"/>
              <w:spacing w:after="0"/>
              <w:rPr>
                <w:sz w:val="20"/>
                <w:szCs w:val="20"/>
                <w:color w:val="auto"/>
              </w:rPr>
            </w:pPr>
            <w:r>
              <w:rPr>
                <w:rFonts w:ascii="Times New Roman" w:cs="Times New Roman" w:eastAsia="Times New Roman" w:hAnsi="Times New Roman"/>
                <w:sz w:val="18"/>
                <w:szCs w:val="18"/>
                <w:i w:val="1"/>
                <w:iCs w:val="1"/>
                <w:color w:val="auto"/>
              </w:rPr>
              <w:t>Termination of Awards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311"/>
        </w:trPr>
        <w:tc>
          <w:tcPr>
            <w:tcW w:w="1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w:t>
            </w:r>
          </w:p>
        </w:tc>
        <w:tc>
          <w:tcPr>
            <w:tcW w:w="7820" w:type="dxa"/>
            <w:vAlign w:val="bottom"/>
          </w:tcPr>
          <w:p>
            <w:pPr>
              <w:ind w:left="680"/>
              <w:spacing w:after="0"/>
              <w:rPr>
                <w:sz w:val="20"/>
                <w:szCs w:val="20"/>
                <w:color w:val="auto"/>
              </w:rPr>
            </w:pPr>
            <w:r>
              <w:rPr>
                <w:rFonts w:ascii="Times New Roman" w:cs="Times New Roman" w:eastAsia="Times New Roman" w:hAnsi="Times New Roman"/>
                <w:sz w:val="18"/>
                <w:szCs w:val="18"/>
                <w:i w:val="1"/>
                <w:iCs w:val="1"/>
                <w:color w:val="auto"/>
              </w:rPr>
              <w:t>Continuation, Assumption or Substitution of Awards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311"/>
        </w:trPr>
        <w:tc>
          <w:tcPr>
            <w:tcW w:w="1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w:t>
            </w:r>
          </w:p>
        </w:tc>
        <w:tc>
          <w:tcPr>
            <w:tcW w:w="7820" w:type="dxa"/>
            <w:vAlign w:val="bottom"/>
          </w:tcPr>
          <w:p>
            <w:pPr>
              <w:ind w:left="680"/>
              <w:spacing w:after="0"/>
              <w:rPr>
                <w:sz w:val="20"/>
                <w:szCs w:val="20"/>
                <w:color w:val="auto"/>
              </w:rPr>
            </w:pPr>
            <w:r>
              <w:rPr>
                <w:rFonts w:ascii="Times New Roman" w:cs="Times New Roman" w:eastAsia="Times New Roman" w:hAnsi="Times New Roman"/>
                <w:sz w:val="18"/>
                <w:szCs w:val="18"/>
                <w:i w:val="1"/>
                <w:iCs w:val="1"/>
                <w:color w:val="auto"/>
              </w:rPr>
              <w:t>Other Permitted Actions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310"/>
        </w:trPr>
        <w:tc>
          <w:tcPr>
            <w:tcW w:w="1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w:t>
            </w:r>
          </w:p>
        </w:tc>
        <w:tc>
          <w:tcPr>
            <w:tcW w:w="7820" w:type="dxa"/>
            <w:vAlign w:val="bottom"/>
          </w:tcPr>
          <w:p>
            <w:pPr>
              <w:ind w:left="680"/>
              <w:spacing w:after="0"/>
              <w:rPr>
                <w:sz w:val="20"/>
                <w:szCs w:val="20"/>
                <w:color w:val="auto"/>
              </w:rPr>
            </w:pPr>
            <w:r>
              <w:rPr>
                <w:rFonts w:ascii="Times New Roman" w:cs="Times New Roman" w:eastAsia="Times New Roman" w:hAnsi="Times New Roman"/>
                <w:sz w:val="18"/>
                <w:szCs w:val="18"/>
                <w:i w:val="1"/>
                <w:iCs w:val="1"/>
                <w:color w:val="auto"/>
              </w:rPr>
              <w:t>Section 409A Savings Clause</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311"/>
        </w:trPr>
        <w:tc>
          <w:tcPr>
            <w:tcW w:w="1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12.</w:t>
            </w:r>
          </w:p>
        </w:tc>
        <w:tc>
          <w:tcPr>
            <w:tcW w:w="7820" w:type="dxa"/>
            <w:vAlign w:val="bottom"/>
          </w:tcPr>
          <w:p>
            <w:pPr>
              <w:ind w:left="680"/>
              <w:spacing w:after="0"/>
              <w:rPr>
                <w:sz w:val="20"/>
                <w:szCs w:val="20"/>
                <w:color w:val="auto"/>
              </w:rPr>
            </w:pPr>
            <w:r>
              <w:rPr>
                <w:rFonts w:ascii="Times New Roman" w:cs="Times New Roman" w:eastAsia="Times New Roman" w:hAnsi="Times New Roman"/>
                <w:sz w:val="18"/>
                <w:szCs w:val="18"/>
                <w:b w:val="1"/>
                <w:bCs w:val="1"/>
                <w:color w:val="auto"/>
              </w:rPr>
              <w:t>Substitution of Awards in Mergers and Acquisitions</w:t>
            </w:r>
            <w:r>
              <w:rPr>
                <w:rFonts w:ascii="Times New Roman" w:cs="Times New Roman" w:eastAsia="Times New Roman" w:hAnsi="Times New Roman"/>
                <w:sz w:val="18"/>
                <w:szCs w:val="18"/>
                <w:color w:val="auto"/>
              </w:rPr>
              <w:t>.</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310"/>
        </w:trPr>
        <w:tc>
          <w:tcPr>
            <w:tcW w:w="1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13.</w:t>
            </w:r>
          </w:p>
        </w:tc>
        <w:tc>
          <w:tcPr>
            <w:tcW w:w="7820" w:type="dxa"/>
            <w:vAlign w:val="bottom"/>
          </w:tcPr>
          <w:p>
            <w:pPr>
              <w:ind w:left="680"/>
              <w:spacing w:after="0"/>
              <w:rPr>
                <w:sz w:val="20"/>
                <w:szCs w:val="20"/>
                <w:color w:val="auto"/>
              </w:rPr>
            </w:pPr>
            <w:r>
              <w:rPr>
                <w:rFonts w:ascii="Times New Roman" w:cs="Times New Roman" w:eastAsia="Times New Roman" w:hAnsi="Times New Roman"/>
                <w:sz w:val="18"/>
                <w:szCs w:val="18"/>
                <w:b w:val="1"/>
                <w:bCs w:val="1"/>
                <w:color w:val="auto"/>
              </w:rPr>
              <w:t>Compliance with Securities Laws; Listing and Registration</w:t>
            </w:r>
            <w:r>
              <w:rPr>
                <w:rFonts w:ascii="Times New Roman" w:cs="Times New Roman" w:eastAsia="Times New Roman" w:hAnsi="Times New Roman"/>
                <w:sz w:val="18"/>
                <w:szCs w:val="18"/>
                <w:color w:val="auto"/>
              </w:rPr>
              <w:t>.</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311"/>
        </w:trPr>
        <w:tc>
          <w:tcPr>
            <w:tcW w:w="1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14.</w:t>
            </w:r>
          </w:p>
        </w:tc>
        <w:tc>
          <w:tcPr>
            <w:tcW w:w="7820" w:type="dxa"/>
            <w:vAlign w:val="bottom"/>
          </w:tcPr>
          <w:p>
            <w:pPr>
              <w:ind w:left="680"/>
              <w:spacing w:after="0"/>
              <w:rPr>
                <w:sz w:val="20"/>
                <w:szCs w:val="20"/>
                <w:color w:val="auto"/>
              </w:rPr>
            </w:pPr>
            <w:r>
              <w:rPr>
                <w:rFonts w:ascii="Times New Roman" w:cs="Times New Roman" w:eastAsia="Times New Roman" w:hAnsi="Times New Roman"/>
                <w:sz w:val="18"/>
                <w:szCs w:val="18"/>
                <w:b w:val="1"/>
                <w:bCs w:val="1"/>
                <w:color w:val="auto"/>
              </w:rPr>
              <w:t>Section 409A Compliance</w:t>
            </w:r>
            <w:r>
              <w:rPr>
                <w:rFonts w:ascii="Times New Roman" w:cs="Times New Roman" w:eastAsia="Times New Roman" w:hAnsi="Times New Roman"/>
                <w:sz w:val="18"/>
                <w:szCs w:val="18"/>
                <w:color w:val="auto"/>
              </w:rPr>
              <w:t>.</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310"/>
        </w:trPr>
        <w:tc>
          <w:tcPr>
            <w:tcW w:w="1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15.</w:t>
            </w:r>
          </w:p>
        </w:tc>
        <w:tc>
          <w:tcPr>
            <w:tcW w:w="7820" w:type="dxa"/>
            <w:vAlign w:val="bottom"/>
          </w:tcPr>
          <w:p>
            <w:pPr>
              <w:ind w:left="680"/>
              <w:spacing w:after="0"/>
              <w:rPr>
                <w:sz w:val="20"/>
                <w:szCs w:val="20"/>
                <w:color w:val="auto"/>
              </w:rPr>
            </w:pPr>
            <w:r>
              <w:rPr>
                <w:rFonts w:ascii="Times New Roman" w:cs="Times New Roman" w:eastAsia="Times New Roman" w:hAnsi="Times New Roman"/>
                <w:sz w:val="18"/>
                <w:szCs w:val="18"/>
                <w:b w:val="1"/>
                <w:bCs w:val="1"/>
                <w:color w:val="auto"/>
              </w:rPr>
              <w:t>Effective Date; Plan Duration; Amendment and Discontinuance</w:t>
            </w:r>
            <w:r>
              <w:rPr>
                <w:rFonts w:ascii="Times New Roman" w:cs="Times New Roman" w:eastAsia="Times New Roman" w:hAnsi="Times New Roman"/>
                <w:sz w:val="18"/>
                <w:szCs w:val="18"/>
                <w:color w:val="auto"/>
              </w:rPr>
              <w:t>.</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311"/>
        </w:trPr>
        <w:tc>
          <w:tcPr>
            <w:tcW w:w="1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w:t>
            </w:r>
          </w:p>
        </w:tc>
        <w:tc>
          <w:tcPr>
            <w:tcW w:w="7820" w:type="dxa"/>
            <w:vAlign w:val="bottom"/>
          </w:tcPr>
          <w:p>
            <w:pPr>
              <w:ind w:left="680"/>
              <w:spacing w:after="0"/>
              <w:rPr>
                <w:sz w:val="20"/>
                <w:szCs w:val="20"/>
                <w:color w:val="auto"/>
              </w:rPr>
            </w:pPr>
            <w:r>
              <w:rPr>
                <w:rFonts w:ascii="Times New Roman" w:cs="Times New Roman" w:eastAsia="Times New Roman" w:hAnsi="Times New Roman"/>
                <w:sz w:val="18"/>
                <w:szCs w:val="18"/>
                <w:i w:val="1"/>
                <w:iCs w:val="1"/>
                <w:color w:val="auto"/>
              </w:rPr>
              <w:t>Effective Date</w:t>
            </w:r>
            <w:r>
              <w:rPr>
                <w:rFonts w:ascii="Times New Roman" w:cs="Times New Roman" w:eastAsia="Times New Roman" w:hAnsi="Times New Roman"/>
                <w:sz w:val="18"/>
                <w:szCs w:val="18"/>
                <w:color w:val="auto"/>
              </w:rPr>
              <w:t>.</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311"/>
        </w:trPr>
        <w:tc>
          <w:tcPr>
            <w:tcW w:w="1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w:t>
            </w:r>
          </w:p>
        </w:tc>
        <w:tc>
          <w:tcPr>
            <w:tcW w:w="7820" w:type="dxa"/>
            <w:vAlign w:val="bottom"/>
          </w:tcPr>
          <w:p>
            <w:pPr>
              <w:ind w:left="680"/>
              <w:spacing w:after="0"/>
              <w:rPr>
                <w:sz w:val="20"/>
                <w:szCs w:val="20"/>
                <w:color w:val="auto"/>
              </w:rPr>
            </w:pPr>
            <w:r>
              <w:rPr>
                <w:rFonts w:ascii="Times New Roman" w:cs="Times New Roman" w:eastAsia="Times New Roman" w:hAnsi="Times New Roman"/>
                <w:sz w:val="18"/>
                <w:szCs w:val="18"/>
                <w:i w:val="1"/>
                <w:iCs w:val="1"/>
                <w:color w:val="auto"/>
              </w:rPr>
              <w:t>Plan Duration</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310"/>
        </w:trPr>
        <w:tc>
          <w:tcPr>
            <w:tcW w:w="1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w:t>
            </w:r>
          </w:p>
        </w:tc>
        <w:tc>
          <w:tcPr>
            <w:tcW w:w="7820" w:type="dxa"/>
            <w:vAlign w:val="bottom"/>
          </w:tcPr>
          <w:p>
            <w:pPr>
              <w:ind w:left="680"/>
              <w:spacing w:after="0"/>
              <w:rPr>
                <w:sz w:val="20"/>
                <w:szCs w:val="20"/>
                <w:color w:val="auto"/>
              </w:rPr>
            </w:pPr>
            <w:r>
              <w:rPr>
                <w:rFonts w:ascii="Times New Roman" w:cs="Times New Roman" w:eastAsia="Times New Roman" w:hAnsi="Times New Roman"/>
                <w:sz w:val="18"/>
                <w:szCs w:val="18"/>
                <w:i w:val="1"/>
                <w:iCs w:val="1"/>
                <w:color w:val="auto"/>
              </w:rPr>
              <w:t>Amendment and Discontinuance of the Plan</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311"/>
        </w:trPr>
        <w:tc>
          <w:tcPr>
            <w:tcW w:w="1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w:t>
            </w:r>
          </w:p>
        </w:tc>
        <w:tc>
          <w:tcPr>
            <w:tcW w:w="7820" w:type="dxa"/>
            <w:vAlign w:val="bottom"/>
          </w:tcPr>
          <w:p>
            <w:pPr>
              <w:ind w:left="680"/>
              <w:spacing w:after="0"/>
              <w:rPr>
                <w:sz w:val="20"/>
                <w:szCs w:val="20"/>
                <w:color w:val="auto"/>
              </w:rPr>
            </w:pPr>
            <w:r>
              <w:rPr>
                <w:rFonts w:ascii="Times New Roman" w:cs="Times New Roman" w:eastAsia="Times New Roman" w:hAnsi="Times New Roman"/>
                <w:sz w:val="18"/>
                <w:szCs w:val="18"/>
                <w:i w:val="1"/>
                <w:iCs w:val="1"/>
                <w:color w:val="auto"/>
              </w:rPr>
              <w:t>Amendment of Awards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310"/>
        </w:trPr>
        <w:tc>
          <w:tcPr>
            <w:tcW w:w="1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16.</w:t>
            </w:r>
          </w:p>
        </w:tc>
        <w:tc>
          <w:tcPr>
            <w:tcW w:w="7820" w:type="dxa"/>
            <w:vAlign w:val="bottom"/>
          </w:tcPr>
          <w:p>
            <w:pPr>
              <w:ind w:left="680"/>
              <w:spacing w:after="0"/>
              <w:rPr>
                <w:sz w:val="20"/>
                <w:szCs w:val="20"/>
                <w:color w:val="auto"/>
              </w:rPr>
            </w:pPr>
            <w:r>
              <w:rPr>
                <w:rFonts w:ascii="Times New Roman" w:cs="Times New Roman" w:eastAsia="Times New Roman" w:hAnsi="Times New Roman"/>
                <w:sz w:val="18"/>
                <w:szCs w:val="18"/>
                <w:b w:val="1"/>
                <w:bCs w:val="1"/>
                <w:color w:val="auto"/>
              </w:rPr>
              <w:t>General Provisions</w:t>
            </w:r>
            <w:r>
              <w:rPr>
                <w:rFonts w:ascii="Times New Roman" w:cs="Times New Roman" w:eastAsia="Times New Roman" w:hAnsi="Times New Roman"/>
                <w:sz w:val="18"/>
                <w:szCs w:val="18"/>
                <w:color w:val="auto"/>
              </w:rPr>
              <w:t>.</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310"/>
        </w:trPr>
        <w:tc>
          <w:tcPr>
            <w:tcW w:w="1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w:t>
            </w:r>
          </w:p>
        </w:tc>
        <w:tc>
          <w:tcPr>
            <w:tcW w:w="7820" w:type="dxa"/>
            <w:vAlign w:val="bottom"/>
          </w:tcPr>
          <w:p>
            <w:pPr>
              <w:ind w:left="680"/>
              <w:spacing w:after="0"/>
              <w:rPr>
                <w:sz w:val="20"/>
                <w:szCs w:val="20"/>
                <w:color w:val="auto"/>
              </w:rPr>
            </w:pPr>
            <w:r>
              <w:rPr>
                <w:rFonts w:ascii="Times New Roman" w:cs="Times New Roman" w:eastAsia="Times New Roman" w:hAnsi="Times New Roman"/>
                <w:sz w:val="18"/>
                <w:szCs w:val="18"/>
                <w:i w:val="1"/>
                <w:iCs w:val="1"/>
                <w:color w:val="auto"/>
              </w:rPr>
              <w:t>Non-Guarantee of Employment or Service</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310"/>
        </w:trPr>
        <w:tc>
          <w:tcPr>
            <w:tcW w:w="1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w:t>
            </w:r>
          </w:p>
        </w:tc>
        <w:tc>
          <w:tcPr>
            <w:tcW w:w="7820" w:type="dxa"/>
            <w:vAlign w:val="bottom"/>
          </w:tcPr>
          <w:p>
            <w:pPr>
              <w:ind w:left="680"/>
              <w:spacing w:after="0"/>
              <w:rPr>
                <w:sz w:val="20"/>
                <w:szCs w:val="20"/>
                <w:color w:val="auto"/>
              </w:rPr>
            </w:pPr>
            <w:r>
              <w:rPr>
                <w:rFonts w:ascii="Times New Roman" w:cs="Times New Roman" w:eastAsia="Times New Roman" w:hAnsi="Times New Roman"/>
                <w:sz w:val="18"/>
                <w:szCs w:val="18"/>
                <w:i w:val="1"/>
                <w:iCs w:val="1"/>
                <w:color w:val="auto"/>
              </w:rPr>
              <w:t>No Trust or Fund Created</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310"/>
        </w:trPr>
        <w:tc>
          <w:tcPr>
            <w:tcW w:w="1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w:t>
            </w:r>
          </w:p>
        </w:tc>
        <w:tc>
          <w:tcPr>
            <w:tcW w:w="7820" w:type="dxa"/>
            <w:vAlign w:val="bottom"/>
          </w:tcPr>
          <w:p>
            <w:pPr>
              <w:ind w:left="680"/>
              <w:spacing w:after="0"/>
              <w:rPr>
                <w:sz w:val="20"/>
                <w:szCs w:val="20"/>
                <w:color w:val="auto"/>
              </w:rPr>
            </w:pPr>
            <w:r>
              <w:rPr>
                <w:rFonts w:ascii="Times New Roman" w:cs="Times New Roman" w:eastAsia="Times New Roman" w:hAnsi="Times New Roman"/>
                <w:sz w:val="18"/>
                <w:szCs w:val="18"/>
                <w:i w:val="1"/>
                <w:iCs w:val="1"/>
                <w:color w:val="auto"/>
              </w:rPr>
              <w:t>Status of Awards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310"/>
        </w:trPr>
        <w:tc>
          <w:tcPr>
            <w:tcW w:w="1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w:t>
            </w:r>
          </w:p>
        </w:tc>
        <w:tc>
          <w:tcPr>
            <w:tcW w:w="7820" w:type="dxa"/>
            <w:vAlign w:val="bottom"/>
          </w:tcPr>
          <w:p>
            <w:pPr>
              <w:ind w:left="680"/>
              <w:spacing w:after="0"/>
              <w:rPr>
                <w:sz w:val="20"/>
                <w:szCs w:val="20"/>
                <w:color w:val="auto"/>
              </w:rPr>
            </w:pPr>
            <w:r>
              <w:rPr>
                <w:rFonts w:ascii="Times New Roman" w:cs="Times New Roman" w:eastAsia="Times New Roman" w:hAnsi="Times New Roman"/>
                <w:sz w:val="18"/>
                <w:szCs w:val="18"/>
                <w:i w:val="1"/>
                <w:iCs w:val="1"/>
                <w:color w:val="auto"/>
              </w:rPr>
              <w:t>Subsidiary Employees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310"/>
        </w:trPr>
        <w:tc>
          <w:tcPr>
            <w:tcW w:w="1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w:t>
            </w:r>
          </w:p>
        </w:tc>
        <w:tc>
          <w:tcPr>
            <w:tcW w:w="7820" w:type="dxa"/>
            <w:vAlign w:val="bottom"/>
          </w:tcPr>
          <w:p>
            <w:pPr>
              <w:ind w:left="680"/>
              <w:spacing w:after="0"/>
              <w:rPr>
                <w:sz w:val="20"/>
                <w:szCs w:val="20"/>
                <w:color w:val="auto"/>
              </w:rPr>
            </w:pPr>
            <w:r>
              <w:rPr>
                <w:rFonts w:ascii="Times New Roman" w:cs="Times New Roman" w:eastAsia="Times New Roman" w:hAnsi="Times New Roman"/>
                <w:sz w:val="18"/>
                <w:szCs w:val="18"/>
                <w:i w:val="1"/>
                <w:iCs w:val="1"/>
                <w:color w:val="auto"/>
              </w:rPr>
              <w:t>Governing Law and Interpretation</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311"/>
        </w:trPr>
        <w:tc>
          <w:tcPr>
            <w:tcW w:w="1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w:t>
            </w:r>
          </w:p>
        </w:tc>
        <w:tc>
          <w:tcPr>
            <w:tcW w:w="7820" w:type="dxa"/>
            <w:vAlign w:val="bottom"/>
          </w:tcPr>
          <w:p>
            <w:pPr>
              <w:ind w:left="680"/>
              <w:spacing w:after="0"/>
              <w:rPr>
                <w:sz w:val="20"/>
                <w:szCs w:val="20"/>
                <w:color w:val="auto"/>
              </w:rPr>
            </w:pPr>
            <w:r>
              <w:rPr>
                <w:rFonts w:ascii="Times New Roman" w:cs="Times New Roman" w:eastAsia="Times New Roman" w:hAnsi="Times New Roman"/>
                <w:sz w:val="18"/>
                <w:szCs w:val="18"/>
                <w:i w:val="1"/>
                <w:iCs w:val="1"/>
                <w:color w:val="auto"/>
              </w:rPr>
              <w:t>Use of English Language</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310"/>
        </w:trPr>
        <w:tc>
          <w:tcPr>
            <w:tcW w:w="1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w:t>
            </w:r>
          </w:p>
        </w:tc>
        <w:tc>
          <w:tcPr>
            <w:tcW w:w="7820" w:type="dxa"/>
            <w:vAlign w:val="bottom"/>
          </w:tcPr>
          <w:p>
            <w:pPr>
              <w:ind w:left="680"/>
              <w:spacing w:after="0"/>
              <w:rPr>
                <w:sz w:val="20"/>
                <w:szCs w:val="20"/>
                <w:color w:val="auto"/>
              </w:rPr>
            </w:pPr>
            <w:r>
              <w:rPr>
                <w:rFonts w:ascii="Times New Roman" w:cs="Times New Roman" w:eastAsia="Times New Roman" w:hAnsi="Times New Roman"/>
                <w:sz w:val="18"/>
                <w:szCs w:val="18"/>
                <w:i w:val="1"/>
                <w:iCs w:val="1"/>
                <w:color w:val="auto"/>
              </w:rPr>
              <w:t>Recovery of Amounts Paid</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310"/>
        </w:trPr>
        <w:tc>
          <w:tcPr>
            <w:tcW w:w="1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17.</w:t>
            </w:r>
          </w:p>
        </w:tc>
        <w:tc>
          <w:tcPr>
            <w:tcW w:w="7820" w:type="dxa"/>
            <w:vAlign w:val="bottom"/>
          </w:tcPr>
          <w:p>
            <w:pPr>
              <w:ind w:left="680"/>
              <w:spacing w:after="0"/>
              <w:rPr>
                <w:sz w:val="20"/>
                <w:szCs w:val="20"/>
                <w:color w:val="auto"/>
              </w:rPr>
            </w:pPr>
            <w:r>
              <w:rPr>
                <w:rFonts w:ascii="Times New Roman" w:cs="Times New Roman" w:eastAsia="Times New Roman" w:hAnsi="Times New Roman"/>
                <w:sz w:val="18"/>
                <w:szCs w:val="18"/>
                <w:b w:val="1"/>
                <w:bCs w:val="1"/>
                <w:color w:val="auto"/>
              </w:rPr>
              <w:t>Glossary</w:t>
            </w:r>
            <w:r>
              <w:rPr>
                <w:rFonts w:ascii="Times New Roman" w:cs="Times New Roman" w:eastAsia="Times New Roman" w:hAnsi="Times New Roman"/>
                <w:sz w:val="18"/>
                <w:szCs w:val="18"/>
                <w:color w:val="auto"/>
              </w:rPr>
              <w:t>.</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bl>
    <w:p>
      <w:pPr>
        <w:spacing w:after="0" w:line="200" w:lineRule="exact"/>
        <w:rPr>
          <w:sz w:val="20"/>
          <w:szCs w:val="20"/>
          <w:color w:val="auto"/>
        </w:rPr>
      </w:pPr>
    </w:p>
    <w:p>
      <w:pPr>
        <w:spacing w:after="0" w:line="3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5" w:right="339" w:bottom="1440" w:gutter="0" w:footer="0" w:header="0"/>
        </w:sectPr>
      </w:pPr>
    </w:p>
    <w:bookmarkStart w:id="510" w:name="page511"/>
    <w:bookmarkEnd w:id="510"/>
    <w:p>
      <w:pPr>
        <w:ind w:left="360" w:hanging="352"/>
        <w:spacing w:after="0"/>
        <w:tabs>
          <w:tab w:leader="none" w:pos="360" w:val="left"/>
        </w:tabs>
        <w:numPr>
          <w:ilvl w:val="0"/>
          <w:numId w:val="2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History; Existence of the Plan</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jc w:val="both"/>
        <w:ind w:right="120" w:firstLine="749"/>
        <w:spacing w:after="0" w:line="267" w:lineRule="auto"/>
        <w:rPr>
          <w:sz w:val="20"/>
          <w:szCs w:val="20"/>
          <w:color w:val="auto"/>
        </w:rPr>
      </w:pPr>
      <w:r>
        <w:rPr>
          <w:rFonts w:ascii="Times New Roman" w:cs="Times New Roman" w:eastAsia="Times New Roman" w:hAnsi="Times New Roman"/>
          <w:sz w:val="18"/>
          <w:szCs w:val="18"/>
          <w:color w:val="auto"/>
        </w:rPr>
        <w:t>AXSOME THERAPEUTICS, INC., a Delaware corporation (“</w:t>
      </w:r>
      <w:r>
        <w:rPr>
          <w:rFonts w:ascii="Times New Roman" w:cs="Times New Roman" w:eastAsia="Times New Roman" w:hAnsi="Times New Roman"/>
          <w:sz w:val="18"/>
          <w:szCs w:val="18"/>
          <w:i w:val="1"/>
          <w:iCs w:val="1"/>
          <w:color w:val="auto"/>
        </w:rPr>
        <w:t>Axsome</w:t>
      </w:r>
      <w:r>
        <w:rPr>
          <w:rFonts w:ascii="Times New Roman" w:cs="Times New Roman" w:eastAsia="Times New Roman" w:hAnsi="Times New Roman"/>
          <w:sz w:val="18"/>
          <w:szCs w:val="18"/>
          <w:color w:val="auto"/>
        </w:rPr>
        <w:t>”), has established the AXSOME THERAPEUTICS, INC. 2025 LONG-TERM INCENTIVE PLAN, as set forth herein, and as the same may be amended from time to time (the “</w:t>
      </w:r>
      <w:r>
        <w:rPr>
          <w:rFonts w:ascii="Times New Roman" w:cs="Times New Roman" w:eastAsia="Times New Roman" w:hAnsi="Times New Roman"/>
          <w:sz w:val="18"/>
          <w:szCs w:val="18"/>
          <w:i w:val="1"/>
          <w:iCs w:val="1"/>
          <w:color w:val="auto"/>
        </w:rPr>
        <w:t>Plan</w:t>
      </w:r>
      <w:r>
        <w:rPr>
          <w:rFonts w:ascii="Times New Roman" w:cs="Times New Roman" w:eastAsia="Times New Roman" w:hAnsi="Times New Roman"/>
          <w:sz w:val="18"/>
          <w:szCs w:val="18"/>
          <w:color w:val="auto"/>
        </w:rPr>
        <w:t>”). The Plan was adopted by the Board of Directors of Axsome (the “</w:t>
      </w:r>
      <w:r>
        <w:rPr>
          <w:rFonts w:ascii="Times New Roman" w:cs="Times New Roman" w:eastAsia="Times New Roman" w:hAnsi="Times New Roman"/>
          <w:sz w:val="18"/>
          <w:szCs w:val="18"/>
          <w:i w:val="1"/>
          <w:iCs w:val="1"/>
          <w:color w:val="auto"/>
        </w:rPr>
        <w:t>Board</w:t>
      </w:r>
      <w:r>
        <w:rPr>
          <w:rFonts w:ascii="Times New Roman" w:cs="Times New Roman" w:eastAsia="Times New Roman" w:hAnsi="Times New Roman"/>
          <w:sz w:val="18"/>
          <w:szCs w:val="18"/>
          <w:color w:val="auto"/>
        </w:rPr>
        <w:t>”) on the Adoption Date and will become effective on the Effective Date.</w:t>
      </w:r>
    </w:p>
    <w:p>
      <w:pPr>
        <w:spacing w:after="0" w:line="14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Plan is the successor to the Axsome Therapeutics, Inc. 2015 Omnibus Incentive Compensation Plan (the “Prior Plan”). As of the Effective</w:t>
      </w:r>
    </w:p>
    <w:p>
      <w:pPr>
        <w:spacing w:after="0" w:line="27" w:lineRule="exact"/>
        <w:rPr>
          <w:sz w:val="20"/>
          <w:szCs w:val="20"/>
          <w:color w:val="auto"/>
        </w:rPr>
      </w:pPr>
    </w:p>
    <w:p>
      <w:pPr>
        <w:ind w:right="200"/>
        <w:spacing w:after="0" w:line="253" w:lineRule="auto"/>
        <w:rPr>
          <w:sz w:val="20"/>
          <w:szCs w:val="20"/>
          <w:color w:val="auto"/>
        </w:rPr>
      </w:pPr>
      <w:r>
        <w:rPr>
          <w:rFonts w:ascii="Times New Roman" w:cs="Times New Roman" w:eastAsia="Times New Roman" w:hAnsi="Times New Roman"/>
          <w:sz w:val="18"/>
          <w:szCs w:val="18"/>
          <w:color w:val="auto"/>
        </w:rPr>
        <w:t>Date: (i) no additional awards may be granted under the Prior Plan; (ii) any Prior Plan’s Returning Shares will become available for issuance pursuant to Awards granted under this Plan in accordance with Sections 5(b); and (iii) all outstanding awards granted under the Prior Plan will remain subject to the terms of the Prior Plan (except to the extent such outstanding awards result in Returning Shares that become available for issuance pursuant to Awards granted under this Plan). All Awards granted under this Plan will be subject to the terms of this Plan.</w:t>
      </w:r>
    </w:p>
    <w:p>
      <w:pPr>
        <w:spacing w:after="0" w:line="144" w:lineRule="exact"/>
        <w:rPr>
          <w:sz w:val="20"/>
          <w:szCs w:val="20"/>
          <w:color w:val="auto"/>
        </w:rPr>
      </w:pPr>
    </w:p>
    <w:p>
      <w:pPr>
        <w:ind w:left="360" w:hanging="352"/>
        <w:spacing w:after="0"/>
        <w:tabs>
          <w:tab w:leader="none" w:pos="360" w:val="left"/>
        </w:tabs>
        <w:numPr>
          <w:ilvl w:val="0"/>
          <w:numId w:val="2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Purposes of the Plan</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Plan is designed to:</w:t>
      </w:r>
    </w:p>
    <w:p>
      <w:pPr>
        <w:spacing w:after="0" w:line="198" w:lineRule="exact"/>
        <w:rPr>
          <w:sz w:val="20"/>
          <w:szCs w:val="20"/>
          <w:color w:val="auto"/>
        </w:rPr>
      </w:pPr>
    </w:p>
    <w:p>
      <w:pPr>
        <w:ind w:right="260" w:firstLine="757"/>
        <w:spacing w:after="0" w:line="282" w:lineRule="auto"/>
        <w:tabs>
          <w:tab w:leader="none" w:pos="1109"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promote the long-term financial interests and growth of the Company by attracting and retaining management and other personnel of the Company and other Eligible Individuals.</w:t>
      </w:r>
    </w:p>
    <w:p>
      <w:pPr>
        <w:spacing w:after="0" w:line="121" w:lineRule="exact"/>
        <w:rPr>
          <w:rFonts w:ascii="Times New Roman" w:cs="Times New Roman" w:eastAsia="Times New Roman" w:hAnsi="Times New Roman"/>
          <w:sz w:val="18"/>
          <w:szCs w:val="18"/>
          <w:color w:val="auto"/>
        </w:rPr>
      </w:pPr>
    </w:p>
    <w:p>
      <w:pPr>
        <w:ind w:left="1120" w:hanging="363"/>
        <w:spacing w:after="0"/>
        <w:tabs>
          <w:tab w:leader="none" w:pos="1120"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motivate management personnel by means of growth-related incentives to achieve long-range goals; and</w:t>
      </w:r>
    </w:p>
    <w:p>
      <w:pPr>
        <w:spacing w:after="0" w:line="184" w:lineRule="exact"/>
        <w:rPr>
          <w:rFonts w:ascii="Times New Roman" w:cs="Times New Roman" w:eastAsia="Times New Roman" w:hAnsi="Times New Roman"/>
          <w:sz w:val="18"/>
          <w:szCs w:val="18"/>
          <w:color w:val="auto"/>
        </w:rPr>
      </w:pPr>
    </w:p>
    <w:p>
      <w:pPr>
        <w:ind w:right="400" w:firstLine="757"/>
        <w:spacing w:after="0" w:line="282" w:lineRule="auto"/>
        <w:tabs>
          <w:tab w:leader="none" w:pos="1109"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further the alignment of interests of Participants with those of the stockholders of Axsome through opportunities for increased stock or stock-based ownership in Axsome.</w:t>
      </w:r>
    </w:p>
    <w:p>
      <w:pPr>
        <w:spacing w:after="0" w:line="135" w:lineRule="exact"/>
        <w:rPr>
          <w:sz w:val="20"/>
          <w:szCs w:val="20"/>
          <w:color w:val="auto"/>
        </w:rPr>
      </w:pPr>
    </w:p>
    <w:p>
      <w:pPr>
        <w:ind w:right="280" w:firstLine="749"/>
        <w:spacing w:after="0" w:line="282" w:lineRule="auto"/>
        <w:rPr>
          <w:sz w:val="20"/>
          <w:szCs w:val="20"/>
          <w:color w:val="auto"/>
        </w:rPr>
      </w:pPr>
      <w:r>
        <w:rPr>
          <w:rFonts w:ascii="Times New Roman" w:cs="Times New Roman" w:eastAsia="Times New Roman" w:hAnsi="Times New Roman"/>
          <w:sz w:val="18"/>
          <w:szCs w:val="18"/>
          <w:color w:val="auto"/>
        </w:rPr>
        <w:t>Toward these objectives, the Administrator may grant stock options, stock appreciation rights, stock awards, stock units, performance shares, performance units, and other stock-based awards to eligible individuals on the terms and subject to the conditions set forth in the Plan.</w:t>
      </w:r>
    </w:p>
    <w:p>
      <w:pPr>
        <w:spacing w:after="0" w:line="117" w:lineRule="exact"/>
        <w:rPr>
          <w:sz w:val="20"/>
          <w:szCs w:val="20"/>
          <w:color w:val="auto"/>
        </w:rPr>
      </w:pPr>
    </w:p>
    <w:p>
      <w:pPr>
        <w:ind w:left="360" w:hanging="352"/>
        <w:spacing w:after="0"/>
        <w:tabs>
          <w:tab w:leader="none" w:pos="360" w:val="left"/>
        </w:tabs>
        <w:numPr>
          <w:ilvl w:val="0"/>
          <w:numId w:val="2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Terminology</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ind w:right="60" w:firstLine="749"/>
        <w:spacing w:after="0" w:line="282" w:lineRule="auto"/>
        <w:rPr>
          <w:sz w:val="20"/>
          <w:szCs w:val="20"/>
          <w:color w:val="auto"/>
        </w:rPr>
      </w:pPr>
      <w:r>
        <w:rPr>
          <w:rFonts w:ascii="Times New Roman" w:cs="Times New Roman" w:eastAsia="Times New Roman" w:hAnsi="Times New Roman"/>
          <w:sz w:val="18"/>
          <w:szCs w:val="18"/>
          <w:color w:val="auto"/>
        </w:rPr>
        <w:t>Except as otherwise specifically provided in an Award Agreement, capitalized words and phrases used in the Plan or an Award Agreement shall have the meaning set forth in the glossary at Section 17 of the Plan or as defined the first place such word or phrase appears in the Plan.</w:t>
      </w:r>
    </w:p>
    <w:p>
      <w:pPr>
        <w:spacing w:after="0" w:line="131" w:lineRule="exact"/>
        <w:rPr>
          <w:sz w:val="20"/>
          <w:szCs w:val="20"/>
          <w:color w:val="auto"/>
        </w:rPr>
      </w:pPr>
    </w:p>
    <w:p>
      <w:pPr>
        <w:ind w:left="360" w:hanging="352"/>
        <w:spacing w:after="0"/>
        <w:tabs>
          <w:tab w:leader="none" w:pos="360" w:val="left"/>
        </w:tabs>
        <w:numPr>
          <w:ilvl w:val="0"/>
          <w:numId w:val="2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Administration</w:t>
      </w:r>
      <w:r>
        <w:rPr>
          <w:rFonts w:ascii="Times New Roman" w:cs="Times New Roman" w:eastAsia="Times New Roman" w:hAnsi="Times New Roman"/>
          <w:sz w:val="18"/>
          <w:szCs w:val="18"/>
          <w:color w:val="auto"/>
        </w:rPr>
        <w:t>.</w:t>
      </w:r>
    </w:p>
    <w:p>
      <w:pPr>
        <w:spacing w:after="0" w:line="186" w:lineRule="exact"/>
        <w:rPr>
          <w:rFonts w:ascii="Times New Roman" w:cs="Times New Roman" w:eastAsia="Times New Roman" w:hAnsi="Times New Roman"/>
          <w:sz w:val="18"/>
          <w:szCs w:val="18"/>
          <w:b w:val="1"/>
          <w:bCs w:val="1"/>
          <w:color w:val="auto"/>
        </w:rPr>
      </w:pPr>
    </w:p>
    <w:p>
      <w:pPr>
        <w:ind w:left="1120" w:hanging="363"/>
        <w:spacing w:after="0"/>
        <w:tabs>
          <w:tab w:leader="none" w:pos="1120" w:val="left"/>
        </w:tabs>
        <w:numPr>
          <w:ilvl w:val="1"/>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Administration of the Plan</w:t>
      </w:r>
      <w:r>
        <w:rPr>
          <w:rFonts w:ascii="Times New Roman" w:cs="Times New Roman" w:eastAsia="Times New Roman" w:hAnsi="Times New Roman"/>
          <w:sz w:val="18"/>
          <w:szCs w:val="18"/>
          <w:color w:val="auto"/>
        </w:rPr>
        <w:t>. The Plan shall be administered by the Administrator.</w:t>
      </w:r>
    </w:p>
    <w:p>
      <w:pPr>
        <w:spacing w:after="0" w:line="184" w:lineRule="exact"/>
        <w:rPr>
          <w:rFonts w:ascii="Times New Roman" w:cs="Times New Roman" w:eastAsia="Times New Roman" w:hAnsi="Times New Roman"/>
          <w:sz w:val="18"/>
          <w:szCs w:val="18"/>
          <w:color w:val="auto"/>
        </w:rPr>
      </w:pPr>
    </w:p>
    <w:p>
      <w:pPr>
        <w:ind w:right="20" w:firstLine="757"/>
        <w:spacing w:after="0" w:line="261" w:lineRule="auto"/>
        <w:tabs>
          <w:tab w:leader="none" w:pos="1109" w:val="left"/>
        </w:tabs>
        <w:numPr>
          <w:ilvl w:val="1"/>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Powers of the Administrator</w:t>
      </w:r>
      <w:r>
        <w:rPr>
          <w:rFonts w:ascii="Times New Roman" w:cs="Times New Roman" w:eastAsia="Times New Roman" w:hAnsi="Times New Roman"/>
          <w:sz w:val="18"/>
          <w:szCs w:val="18"/>
          <w:color w:val="auto"/>
        </w:rPr>
        <w:t>. The Administrator shall, except as otherwise provided under the Plan, have plenary authority, in its sole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absolute discretion, to grant Awards pursuant to the terms of the Plan to Eligible Individuals and to take all other actions necessary or desirable to carry out the purpose and intent of the Plan. Among other things, the Administrator shall have the authority, in its sole and absolute discretion, subject to the terms and conditions of the Plan to:</w:t>
      </w:r>
    </w:p>
    <w:p>
      <w:pPr>
        <w:spacing w:after="0" w:line="154" w:lineRule="exact"/>
        <w:rPr>
          <w:rFonts w:ascii="Times New Roman" w:cs="Times New Roman" w:eastAsia="Times New Roman" w:hAnsi="Times New Roman"/>
          <w:sz w:val="18"/>
          <w:szCs w:val="18"/>
          <w:color w:val="auto"/>
        </w:rPr>
      </w:pPr>
    </w:p>
    <w:p>
      <w:pPr>
        <w:ind w:left="1860" w:hanging="355"/>
        <w:spacing w:after="0"/>
        <w:tabs>
          <w:tab w:leader="none" w:pos="1860" w:val="left"/>
        </w:tabs>
        <w:numPr>
          <w:ilvl w:val="2"/>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the Eligible Individuals to whom, and the time or times at which, Awards shall be granted;</w:t>
      </w:r>
    </w:p>
    <w:p>
      <w:pPr>
        <w:spacing w:after="0" w:line="225" w:lineRule="exact"/>
        <w:rPr>
          <w:rFonts w:ascii="Times New Roman" w:cs="Times New Roman" w:eastAsia="Times New Roman" w:hAnsi="Times New Roman"/>
          <w:sz w:val="18"/>
          <w:szCs w:val="18"/>
          <w:color w:val="auto"/>
        </w:rPr>
      </w:pPr>
    </w:p>
    <w:p>
      <w:pPr>
        <w:ind w:left="1860" w:hanging="355"/>
        <w:spacing w:after="0"/>
        <w:tabs>
          <w:tab w:leader="none" w:pos="1860" w:val="left"/>
        </w:tabs>
        <w:numPr>
          <w:ilvl w:val="2"/>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the types of Awards to be granted to any Eligible Individual;</w:t>
      </w:r>
    </w:p>
    <w:p>
      <w:pPr>
        <w:spacing w:after="0" w:line="225" w:lineRule="exact"/>
        <w:rPr>
          <w:rFonts w:ascii="Times New Roman" w:cs="Times New Roman" w:eastAsia="Times New Roman" w:hAnsi="Times New Roman"/>
          <w:sz w:val="18"/>
          <w:szCs w:val="18"/>
          <w:color w:val="auto"/>
        </w:rPr>
      </w:pPr>
    </w:p>
    <w:p>
      <w:pPr>
        <w:ind w:firstLine="1505"/>
        <w:spacing w:after="0" w:line="282" w:lineRule="auto"/>
        <w:tabs>
          <w:tab w:leader="none" w:pos="1857" w:val="left"/>
        </w:tabs>
        <w:numPr>
          <w:ilvl w:val="2"/>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the number of shares of Common Stock to be covered by or used for reference purposes for each Award or the value to be transferred pursuant to any Award;</w:t>
      </w:r>
    </w:p>
    <w:p>
      <w:pPr>
        <w:spacing w:after="0" w:line="161" w:lineRule="exact"/>
        <w:rPr>
          <w:rFonts w:ascii="Times New Roman" w:cs="Times New Roman" w:eastAsia="Times New Roman" w:hAnsi="Times New Roman"/>
          <w:sz w:val="18"/>
          <w:szCs w:val="18"/>
          <w:color w:val="auto"/>
        </w:rPr>
      </w:pPr>
    </w:p>
    <w:p>
      <w:pPr>
        <w:ind w:right="120" w:firstLine="1505"/>
        <w:spacing w:after="0" w:line="282" w:lineRule="auto"/>
        <w:tabs>
          <w:tab w:leader="none" w:pos="1857" w:val="left"/>
        </w:tabs>
        <w:numPr>
          <w:ilvl w:val="2"/>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the terms, conditions and restrictions applicable to each Award (which need not be identical) and any shares acquired pursuant thereto, including, without limitation, (A) the purchase price of</w:t>
      </w: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3" w:right="379" w:bottom="1440" w:gutter="0" w:footer="0" w:header="0"/>
        </w:sectPr>
      </w:pPr>
    </w:p>
    <w:bookmarkStart w:id="511" w:name="page512"/>
    <w:bookmarkEnd w:id="511"/>
    <w:p>
      <w:pPr>
        <w:ind w:right="140"/>
        <w:spacing w:after="0" w:line="256" w:lineRule="auto"/>
        <w:rPr>
          <w:sz w:val="20"/>
          <w:szCs w:val="20"/>
          <w:color w:val="auto"/>
        </w:rPr>
      </w:pPr>
      <w:r>
        <w:rPr>
          <w:rFonts w:ascii="Times New Roman" w:cs="Times New Roman" w:eastAsia="Times New Roman" w:hAnsi="Times New Roman"/>
          <w:sz w:val="18"/>
          <w:szCs w:val="18"/>
          <w:color w:val="auto"/>
        </w:rPr>
        <w:t>any shares of Common Stock, (B) the method of payment for shares purchased pursuant to any Award, (C) the method for satisfying any tax withholding obligation arising in connection with any Award, including by the withholding or delivery of shares of Common Stock, (D) the timing, terms and conditions of the exercisability, vesting or payout of any Award or any shares acquired pursuant thereto, (E) the Performance Goals applicable to any Award and the extent to which such Performance Goals have been attained, (F) the time of the expiration of any Award, (G) the effect of the Participant’s Termination of Service on any of the foregoing, and (H) all other terms, conditions and restrictions applicable to any Award or shares acquired pursuant thereto as the Administrator shall consider to be appropriate and not inconsistent with the terms of the Plan;</w:t>
      </w:r>
    </w:p>
    <w:p>
      <w:pPr>
        <w:spacing w:after="0" w:line="187" w:lineRule="exact"/>
        <w:rPr>
          <w:sz w:val="20"/>
          <w:szCs w:val="20"/>
          <w:color w:val="auto"/>
        </w:rPr>
      </w:pPr>
    </w:p>
    <w:p>
      <w:pPr>
        <w:ind w:left="1860" w:hanging="355"/>
        <w:spacing w:after="0"/>
        <w:tabs>
          <w:tab w:leader="none" w:pos="1860" w:val="left"/>
        </w:tabs>
        <w:numPr>
          <w:ilvl w:val="1"/>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Sections 7(e), 10 and 15, modify, amend or adjust the terms and conditions of any Award;</w:t>
      </w:r>
    </w:p>
    <w:p>
      <w:pPr>
        <w:spacing w:after="0" w:line="225" w:lineRule="exact"/>
        <w:rPr>
          <w:rFonts w:ascii="Times New Roman" w:cs="Times New Roman" w:eastAsia="Times New Roman" w:hAnsi="Times New Roman"/>
          <w:sz w:val="18"/>
          <w:szCs w:val="18"/>
          <w:color w:val="auto"/>
        </w:rPr>
      </w:pPr>
    </w:p>
    <w:p>
      <w:pPr>
        <w:ind w:right="100" w:firstLine="1505"/>
        <w:spacing w:after="0" w:line="261" w:lineRule="auto"/>
        <w:tabs>
          <w:tab w:leader="none" w:pos="1857" w:val="left"/>
        </w:tabs>
        <w:numPr>
          <w:ilvl w:val="1"/>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accelerate or otherwise change the time at or during which an Award may be exercised or becomes payable and waive or accelerate the lapse, in whole or in part, of any restriction, condition or risk of forfeiture with respect to such Award;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except in connection with death, disability or a Change in Control, no such change, waiver or acceleration to any Award that is considered “deferred compensation” within the meaning of Section 409A of the Code if the effect of such action is inconsistent with Section 409A of the Code;</w:t>
      </w:r>
    </w:p>
    <w:p>
      <w:pPr>
        <w:spacing w:after="0" w:line="179" w:lineRule="exact"/>
        <w:rPr>
          <w:rFonts w:ascii="Times New Roman" w:cs="Times New Roman" w:eastAsia="Times New Roman" w:hAnsi="Times New Roman"/>
          <w:sz w:val="18"/>
          <w:szCs w:val="18"/>
          <w:color w:val="auto"/>
        </w:rPr>
      </w:pPr>
    </w:p>
    <w:p>
      <w:pPr>
        <w:jc w:val="both"/>
        <w:ind w:firstLine="1505"/>
        <w:spacing w:after="0" w:line="266" w:lineRule="auto"/>
        <w:tabs>
          <w:tab w:leader="none" w:pos="1857" w:val="left"/>
        </w:tabs>
        <w:numPr>
          <w:ilvl w:val="1"/>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whether an Award will be paid or settled in cash, shares of Common Stock, or in any combination thereof and whether, to what extent and under what circumstances cash or shares of Common Stock payable with respect to an Award shall be deferred either automatically or at the election of the Participant;</w:t>
      </w:r>
    </w:p>
    <w:p>
      <w:pPr>
        <w:spacing w:after="0" w:line="175" w:lineRule="exact"/>
        <w:rPr>
          <w:rFonts w:ascii="Times New Roman" w:cs="Times New Roman" w:eastAsia="Times New Roman" w:hAnsi="Times New Roman"/>
          <w:sz w:val="18"/>
          <w:szCs w:val="18"/>
          <w:color w:val="auto"/>
        </w:rPr>
      </w:pPr>
    </w:p>
    <w:p>
      <w:pPr>
        <w:ind w:firstLine="1505"/>
        <w:spacing w:after="0" w:line="258" w:lineRule="auto"/>
        <w:tabs>
          <w:tab w:leader="none" w:pos="2217" w:val="left"/>
        </w:tabs>
        <w:numPr>
          <w:ilvl w:val="1"/>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purpose, including but not limited to, qualifying for preferred or beneficial tax treatment, accommodating the customs or administrative challenges or otherwise complying with the tax, accounting or regulatory requirements of one or more jurisdictions, adopt, amend, modify, administer or terminate sub-plans, appendices, special provisions or supplements applicable to Awards regulated by the laws of a particular jurisdiction, which sub-plans, appendices, supplements and special provisions may take precedence over other provisions of the Plan, and prescribe, amend and rescind rules and regulations relating to such sub-plans, supplements and special provisions;</w:t>
      </w:r>
    </w:p>
    <w:p>
      <w:pPr>
        <w:spacing w:after="0" w:line="183" w:lineRule="exact"/>
        <w:rPr>
          <w:rFonts w:ascii="Times New Roman" w:cs="Times New Roman" w:eastAsia="Times New Roman" w:hAnsi="Times New Roman"/>
          <w:sz w:val="18"/>
          <w:szCs w:val="18"/>
          <w:color w:val="auto"/>
        </w:rPr>
      </w:pPr>
    </w:p>
    <w:p>
      <w:pPr>
        <w:ind w:right="80" w:firstLine="1505"/>
        <w:spacing w:after="0" w:line="282" w:lineRule="auto"/>
        <w:tabs>
          <w:tab w:leader="none" w:pos="1857" w:val="left"/>
        </w:tabs>
        <w:numPr>
          <w:ilvl w:val="1"/>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any “blackout” period, during which transactions affecting Awards may not be effectuated, that the Administrator in its sole discretion deems necessary or advisable;</w:t>
      </w:r>
    </w:p>
    <w:p>
      <w:pPr>
        <w:spacing w:after="0" w:line="161" w:lineRule="exact"/>
        <w:rPr>
          <w:rFonts w:ascii="Times New Roman" w:cs="Times New Roman" w:eastAsia="Times New Roman" w:hAnsi="Times New Roman"/>
          <w:sz w:val="18"/>
          <w:szCs w:val="18"/>
          <w:color w:val="auto"/>
        </w:rPr>
      </w:pPr>
    </w:p>
    <w:p>
      <w:pPr>
        <w:ind w:left="1860" w:hanging="355"/>
        <w:spacing w:after="0"/>
        <w:tabs>
          <w:tab w:leader="none" w:pos="1860" w:val="left"/>
        </w:tabs>
        <w:numPr>
          <w:ilvl w:val="1"/>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the Fair Market Value of shares of Common Stock or other property for any purpose under the Plan or any Award;</w:t>
      </w:r>
    </w:p>
    <w:p>
      <w:pPr>
        <w:spacing w:after="0" w:line="225" w:lineRule="exact"/>
        <w:rPr>
          <w:rFonts w:ascii="Times New Roman" w:cs="Times New Roman" w:eastAsia="Times New Roman" w:hAnsi="Times New Roman"/>
          <w:sz w:val="18"/>
          <w:szCs w:val="18"/>
          <w:color w:val="auto"/>
        </w:rPr>
      </w:pPr>
    </w:p>
    <w:p>
      <w:pPr>
        <w:ind w:right="200" w:firstLine="1505"/>
        <w:spacing w:after="0" w:line="282" w:lineRule="auto"/>
        <w:tabs>
          <w:tab w:leader="none" w:pos="1857" w:val="left"/>
        </w:tabs>
        <w:numPr>
          <w:ilvl w:val="1"/>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administer, construe and interpret the Plan, Award Agreements and all other documents relevant to the Plan and Awards issued thereunder, and decide all other matters to be determined in connection with an Award;</w:t>
      </w:r>
    </w:p>
    <w:p>
      <w:pPr>
        <w:spacing w:after="0" w:line="161" w:lineRule="exact"/>
        <w:rPr>
          <w:rFonts w:ascii="Times New Roman" w:cs="Times New Roman" w:eastAsia="Times New Roman" w:hAnsi="Times New Roman"/>
          <w:sz w:val="18"/>
          <w:szCs w:val="18"/>
          <w:color w:val="auto"/>
        </w:rPr>
      </w:pPr>
    </w:p>
    <w:p>
      <w:pPr>
        <w:ind w:right="200" w:firstLine="1505"/>
        <w:spacing w:after="0" w:line="282" w:lineRule="auto"/>
        <w:tabs>
          <w:tab w:leader="none" w:pos="1857" w:val="left"/>
        </w:tabs>
        <w:numPr>
          <w:ilvl w:val="1"/>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amend, rescind and interpret such administrative rules, regulations, agreements, guidelines, instruments and practices for the administration of the Plan and for the conduct of its business as the Administrator deems necessary or advisable;</w:t>
      </w:r>
    </w:p>
    <w:p>
      <w:pPr>
        <w:spacing w:after="0" w:line="161" w:lineRule="exact"/>
        <w:rPr>
          <w:rFonts w:ascii="Times New Roman" w:cs="Times New Roman" w:eastAsia="Times New Roman" w:hAnsi="Times New Roman"/>
          <w:sz w:val="18"/>
          <w:szCs w:val="18"/>
          <w:color w:val="auto"/>
        </w:rPr>
      </w:pPr>
    </w:p>
    <w:p>
      <w:pPr>
        <w:ind w:right="120" w:firstLine="1505"/>
        <w:spacing w:after="0" w:line="282" w:lineRule="auto"/>
        <w:tabs>
          <w:tab w:leader="none" w:pos="2217" w:val="left"/>
        </w:tabs>
        <w:numPr>
          <w:ilvl w:val="1"/>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correct any defect, supply any omission or reconcile any inconsistency in the Plan or in any Award or Award Agreement in the manner and to the extent the Administrator shall consider it desirable to carry it into effect; and</w:t>
      </w:r>
    </w:p>
    <w:p>
      <w:pPr>
        <w:spacing w:after="0" w:line="161" w:lineRule="exact"/>
        <w:rPr>
          <w:rFonts w:ascii="Times New Roman" w:cs="Times New Roman" w:eastAsia="Times New Roman" w:hAnsi="Times New Roman"/>
          <w:sz w:val="18"/>
          <w:szCs w:val="18"/>
          <w:color w:val="auto"/>
        </w:rPr>
      </w:pPr>
    </w:p>
    <w:p>
      <w:pPr>
        <w:ind w:left="2220" w:hanging="715"/>
        <w:spacing w:after="0"/>
        <w:tabs>
          <w:tab w:leader="none" w:pos="2220" w:val="left"/>
        </w:tabs>
        <w:numPr>
          <w:ilvl w:val="1"/>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administer the Plan and all Awards granted under the Plan.</w:t>
      </w:r>
    </w:p>
    <w:p>
      <w:pPr>
        <w:spacing w:after="0" w:line="223" w:lineRule="exact"/>
        <w:rPr>
          <w:rFonts w:ascii="Times New Roman" w:cs="Times New Roman" w:eastAsia="Times New Roman" w:hAnsi="Times New Roman"/>
          <w:sz w:val="18"/>
          <w:szCs w:val="18"/>
          <w:color w:val="auto"/>
        </w:rPr>
      </w:pPr>
    </w:p>
    <w:p>
      <w:pPr>
        <w:ind w:firstLine="757"/>
        <w:spacing w:after="0" w:line="267" w:lineRule="auto"/>
        <w:tabs>
          <w:tab w:leader="none" w:pos="1109"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Delegation of Administrative Authority. </w:t>
      </w:r>
      <w:r>
        <w:rPr>
          <w:rFonts w:ascii="Times New Roman" w:cs="Times New Roman" w:eastAsia="Times New Roman" w:hAnsi="Times New Roman"/>
          <w:sz w:val="18"/>
          <w:szCs w:val="18"/>
          <w:color w:val="auto"/>
        </w:rPr>
        <w:t>The Administrator may designate officers or employees of the Company to assist the Administrator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the administration of the Plan and, to the extent permitted by applicable law and stock exchange rules, the Administrator may delegate to officers or other employees of the Company the Administrator’s duties and powers under the Plan, subject to such conditions and limitations as the</w:t>
      </w: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512" w:name="page513"/>
    <w:bookmarkEnd w:id="512"/>
    <w:p>
      <w:pPr>
        <w:jc w:val="both"/>
        <w:ind w:right="600"/>
        <w:spacing w:after="0" w:line="266" w:lineRule="auto"/>
        <w:rPr>
          <w:sz w:val="20"/>
          <w:szCs w:val="20"/>
          <w:color w:val="auto"/>
        </w:rPr>
      </w:pPr>
      <w:r>
        <w:rPr>
          <w:rFonts w:ascii="Times New Roman" w:cs="Times New Roman" w:eastAsia="Times New Roman" w:hAnsi="Times New Roman"/>
          <w:sz w:val="18"/>
          <w:szCs w:val="18"/>
          <w:color w:val="auto"/>
        </w:rPr>
        <w:t>Administrator shall prescribe, including without limitation the authority to execute agreements or other documents on behalf of the Administrator; provided, however, that such delegation of authority shall not extend to the granting of, or exercise of discretion with respect to, Awards to Eligible Individuals who are officers under Section 16 of the Exchange Act.</w:t>
      </w:r>
    </w:p>
    <w:p>
      <w:pPr>
        <w:spacing w:after="0" w:line="133" w:lineRule="exact"/>
        <w:rPr>
          <w:sz w:val="20"/>
          <w:szCs w:val="20"/>
          <w:color w:val="auto"/>
        </w:rPr>
      </w:pPr>
    </w:p>
    <w:p>
      <w:pPr>
        <w:ind w:right="100" w:firstLine="757"/>
        <w:spacing w:after="0" w:line="261" w:lineRule="auto"/>
        <w:tabs>
          <w:tab w:leader="none" w:pos="1109" w:val="left"/>
        </w:tabs>
        <w:numPr>
          <w:ilvl w:val="1"/>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Non-Uniform Determinations</w:t>
      </w:r>
      <w:r>
        <w:rPr>
          <w:rFonts w:ascii="Times New Roman" w:cs="Times New Roman" w:eastAsia="Times New Roman" w:hAnsi="Times New Roman"/>
          <w:sz w:val="18"/>
          <w:szCs w:val="18"/>
          <w:color w:val="auto"/>
        </w:rPr>
        <w:t>. The Administrator’s determinations under the Plan (including without limitation, determinations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persons to receive Awards, the form, amount and timing of such Awards, the terms and provisions of such Awards and the Award Agreements evidencing such Awards, and the ramifications of a Change in Control upon outstanding Awards) need not be uniform and may be made by the Administrator selectively among Awards or persons who receive, or are eligible to receive, Awards under the Plan, whether or not such persons are similarly situated.</w:t>
      </w:r>
    </w:p>
    <w:p>
      <w:pPr>
        <w:spacing w:after="0" w:line="152" w:lineRule="exact"/>
        <w:rPr>
          <w:rFonts w:ascii="Times New Roman" w:cs="Times New Roman" w:eastAsia="Times New Roman" w:hAnsi="Times New Roman"/>
          <w:sz w:val="18"/>
          <w:szCs w:val="18"/>
          <w:color w:val="auto"/>
        </w:rPr>
      </w:pPr>
    </w:p>
    <w:p>
      <w:pPr>
        <w:ind w:right="20" w:firstLine="757"/>
        <w:spacing w:after="0" w:line="261" w:lineRule="auto"/>
        <w:tabs>
          <w:tab w:leader="none" w:pos="1109" w:val="left"/>
        </w:tabs>
        <w:numPr>
          <w:ilvl w:val="1"/>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Limited Liability; Advisors. </w:t>
      </w:r>
      <w:r>
        <w:rPr>
          <w:rFonts w:ascii="Times New Roman" w:cs="Times New Roman" w:eastAsia="Times New Roman" w:hAnsi="Times New Roman"/>
          <w:sz w:val="18"/>
          <w:szCs w:val="18"/>
          <w:color w:val="auto"/>
        </w:rPr>
        <w:t>To the maximum extent permitted by law, no member of the Administrator, nor any director, officer, employee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representative of the Company shall be liable for any action taken or decision made in good faith relating to the Plan or any Award thereunder. The Administrator may employ counsel, consultants, accountants, appraisers, brokers or other persons. The Administrator, the Company and the officers and directors the Company shall be entitled to rely upon the advice, opinions or valuations of any such persons.</w:t>
      </w:r>
    </w:p>
    <w:p>
      <w:pPr>
        <w:spacing w:after="0" w:line="139" w:lineRule="exact"/>
        <w:rPr>
          <w:rFonts w:ascii="Times New Roman" w:cs="Times New Roman" w:eastAsia="Times New Roman" w:hAnsi="Times New Roman"/>
          <w:sz w:val="18"/>
          <w:szCs w:val="18"/>
          <w:color w:val="auto"/>
        </w:rPr>
      </w:pPr>
    </w:p>
    <w:p>
      <w:pPr>
        <w:ind w:firstLine="757"/>
        <w:spacing w:after="0" w:line="261" w:lineRule="auto"/>
        <w:tabs>
          <w:tab w:leader="none" w:pos="1109" w:val="left"/>
        </w:tabs>
        <w:numPr>
          <w:ilvl w:val="1"/>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Indemnification</w:t>
      </w:r>
      <w:r>
        <w:rPr>
          <w:rFonts w:ascii="Times New Roman" w:cs="Times New Roman" w:eastAsia="Times New Roman" w:hAnsi="Times New Roman"/>
          <w:sz w:val="18"/>
          <w:szCs w:val="18"/>
          <w:color w:val="auto"/>
        </w:rPr>
        <w:t>. To the maximum extent permitted by law, by Axsome’s charter and by-laws, and by any directors’ and officers’ liability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insurance coverage which may be in effect from time to time, the members of the Administrator and any agent or delegate of the Administrator who is a director, officer or employee of the Company or an Affiliate shall be indemnified by Axsome against any and all liabilities and expenses to which they may be subjected by reason of any act or failure to act with respect to their duties on behalf of the Plan.</w:t>
      </w:r>
    </w:p>
    <w:p>
      <w:pPr>
        <w:spacing w:after="0" w:line="139" w:lineRule="exact"/>
        <w:rPr>
          <w:rFonts w:ascii="Times New Roman" w:cs="Times New Roman" w:eastAsia="Times New Roman" w:hAnsi="Times New Roman"/>
          <w:sz w:val="18"/>
          <w:szCs w:val="18"/>
          <w:color w:val="auto"/>
        </w:rPr>
      </w:pPr>
    </w:p>
    <w:p>
      <w:pPr>
        <w:ind w:firstLine="757"/>
        <w:spacing w:after="0" w:line="256" w:lineRule="auto"/>
        <w:tabs>
          <w:tab w:leader="none" w:pos="1109" w:val="left"/>
        </w:tabs>
        <w:numPr>
          <w:ilvl w:val="1"/>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Effect of Administrator’s Decision</w:t>
      </w:r>
      <w:r>
        <w:rPr>
          <w:rFonts w:ascii="Times New Roman" w:cs="Times New Roman" w:eastAsia="Times New Roman" w:hAnsi="Times New Roman"/>
          <w:sz w:val="18"/>
          <w:szCs w:val="18"/>
          <w:color w:val="auto"/>
        </w:rPr>
        <w:t>. All actions taken and determinations made by the Administrator on all matters relating to the Plan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any Award pursuant to the powers vested in it hereunder shall be in the Administrator’s sole and absolute discretion, unless in contravention of any express term of the Plan, including, without limitation, any determination involving the appropriateness or equitableness of any action. All determinations made by the Administrator shall be conclusive, final and binding on all parties concerned, including the Company, any Participants and any other employee, or director of Axsome and its Affiliates, and their respective successors in interest. No member of the Administrator, nor any director, officer, employee or representative of the Company shall be personally liable for any action, determination or interpretation made in good faith with respect to the Plan or Awards.</w:t>
      </w:r>
    </w:p>
    <w:p>
      <w:pPr>
        <w:spacing w:after="0" w:line="153" w:lineRule="exact"/>
        <w:rPr>
          <w:rFonts w:ascii="Times New Roman" w:cs="Times New Roman" w:eastAsia="Times New Roman" w:hAnsi="Times New Roman"/>
          <w:sz w:val="18"/>
          <w:szCs w:val="18"/>
          <w:color w:val="auto"/>
        </w:rPr>
      </w:pPr>
    </w:p>
    <w:p>
      <w:pPr>
        <w:ind w:left="360" w:hanging="352"/>
        <w:spacing w:after="0"/>
        <w:tabs>
          <w:tab w:leader="none" w:pos="360" w:val="left"/>
        </w:tabs>
        <w:numPr>
          <w:ilvl w:val="0"/>
          <w:numId w:val="2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Shares Issuable Pursuant to Awards.</w:t>
      </w:r>
    </w:p>
    <w:p>
      <w:pPr>
        <w:spacing w:after="0" w:line="186" w:lineRule="exact"/>
        <w:rPr>
          <w:rFonts w:ascii="Times New Roman" w:cs="Times New Roman" w:eastAsia="Times New Roman" w:hAnsi="Times New Roman"/>
          <w:sz w:val="18"/>
          <w:szCs w:val="18"/>
          <w:b w:val="1"/>
          <w:bCs w:val="1"/>
          <w:color w:val="auto"/>
        </w:rPr>
      </w:pPr>
    </w:p>
    <w:p>
      <w:pPr>
        <w:ind w:right="20" w:firstLine="757"/>
        <w:spacing w:after="0" w:line="257" w:lineRule="auto"/>
        <w:tabs>
          <w:tab w:leader="none" w:pos="1109" w:val="left"/>
        </w:tabs>
        <w:numPr>
          <w:ilvl w:val="1"/>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Initial Share Pool. </w:t>
      </w:r>
      <w:r>
        <w:rPr>
          <w:rFonts w:ascii="Times New Roman" w:cs="Times New Roman" w:eastAsia="Times New Roman" w:hAnsi="Times New Roman"/>
          <w:sz w:val="18"/>
          <w:szCs w:val="18"/>
          <w:color w:val="auto"/>
        </w:rPr>
        <w:t>Subject to adjustments as provided in Section 10 of the Plan and the following provisions of Section 5(b), as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Effective Date, the number of shares of Common Stock issuable pursuant to Awards that may be granted under the Plan may not exceed 2,500,000 shares (the “</w:t>
      </w:r>
      <w:r>
        <w:rPr>
          <w:rFonts w:ascii="Times New Roman" w:cs="Times New Roman" w:eastAsia="Times New Roman" w:hAnsi="Times New Roman"/>
          <w:sz w:val="18"/>
          <w:szCs w:val="18"/>
          <w:i w:val="1"/>
          <w:iCs w:val="1"/>
          <w:color w:val="auto"/>
        </w:rPr>
        <w:t>Share Pool</w:t>
      </w:r>
      <w:r>
        <w:rPr>
          <w:rFonts w:ascii="Times New Roman" w:cs="Times New Roman" w:eastAsia="Times New Roman" w:hAnsi="Times New Roman"/>
          <w:sz w:val="18"/>
          <w:szCs w:val="18"/>
          <w:color w:val="auto"/>
        </w:rPr>
        <w:t>”). For clarity, the Share Pool in this Section 5(a) is a limitation on the number of shares of Common Stock that may be issued pursuant to the Plan. Accordingly, this Section 5(a) does not limit the granting of Awards. Shares of Common Stock may be issued in connection with a merger or acquisition as permitted by Nasdaq Listing Rule 5635(c) or, if applicable, NYSE Listed Company Manual Section 303A.08, AMEX Company Guide Section 711 or other applicable rule, and such issuance will not reduce the number of shares available for issuance under the Plan.</w:t>
      </w:r>
    </w:p>
    <w:p>
      <w:pPr>
        <w:spacing w:after="0" w:line="141" w:lineRule="exact"/>
        <w:rPr>
          <w:rFonts w:ascii="Times New Roman" w:cs="Times New Roman" w:eastAsia="Times New Roman" w:hAnsi="Times New Roman"/>
          <w:sz w:val="18"/>
          <w:szCs w:val="18"/>
          <w:color w:val="auto"/>
        </w:rPr>
      </w:pPr>
    </w:p>
    <w:p>
      <w:pPr>
        <w:ind w:left="1120" w:hanging="363"/>
        <w:spacing w:after="0"/>
        <w:tabs>
          <w:tab w:leader="none" w:pos="1120" w:val="left"/>
        </w:tabs>
        <w:numPr>
          <w:ilvl w:val="1"/>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Adjustments to Share Pool</w:t>
      </w:r>
      <w:r>
        <w:rPr>
          <w:rFonts w:ascii="Times New Roman" w:cs="Times New Roman" w:eastAsia="Times New Roman" w:hAnsi="Times New Roman"/>
          <w:sz w:val="18"/>
          <w:szCs w:val="18"/>
          <w:color w:val="auto"/>
        </w:rPr>
        <w:t>. The Share Pool shall be adjusted, in addition to any adjustments to be made pursuant to Section 10 of the Plan,</w:t>
      </w:r>
    </w:p>
    <w:p>
      <w:pPr>
        <w:spacing w:after="0" w:line="2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follows:</w:t>
      </w:r>
    </w:p>
    <w:p>
      <w:pPr>
        <w:spacing w:after="0" w:line="179" w:lineRule="exact"/>
        <w:rPr>
          <w:rFonts w:ascii="Times New Roman" w:cs="Times New Roman" w:eastAsia="Times New Roman" w:hAnsi="Times New Roman"/>
          <w:sz w:val="18"/>
          <w:szCs w:val="18"/>
          <w:color w:val="auto"/>
        </w:rPr>
      </w:pPr>
    </w:p>
    <w:p>
      <w:pPr>
        <w:ind w:left="1860" w:hanging="355"/>
        <w:spacing w:after="0"/>
        <w:tabs>
          <w:tab w:leader="none" w:pos="1860" w:val="left"/>
        </w:tabs>
        <w:numPr>
          <w:ilvl w:val="2"/>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 Pool shall be reduced, on the date of grant, by one share for each share of Common Stock made subject to an Award</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granted under the Plan;</w:t>
      </w:r>
    </w:p>
    <w:p>
      <w:pPr>
        <w:spacing w:after="0" w:line="206" w:lineRule="exact"/>
        <w:rPr>
          <w:rFonts w:ascii="Times New Roman" w:cs="Times New Roman" w:eastAsia="Times New Roman" w:hAnsi="Times New Roman"/>
          <w:sz w:val="18"/>
          <w:szCs w:val="18"/>
          <w:color w:val="auto"/>
        </w:rPr>
      </w:pPr>
    </w:p>
    <w:p>
      <w:pPr>
        <w:ind w:right="160" w:firstLine="1505"/>
        <w:spacing w:after="0" w:line="261" w:lineRule="auto"/>
        <w:tabs>
          <w:tab w:leader="none" w:pos="1857" w:val="left"/>
        </w:tabs>
        <w:numPr>
          <w:ilvl w:val="2"/>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 Pool shall be increased, on the relevant date, by the number of unissued shares of Common Stock underlying or used as a reference measure for any Award or portion of an Award (or, after the Effective Date, any Prior Plan’s Returning Shares, as applicable) that is cancelled, forfeited, expired, terminated unearned or settled in cash, in any such case without the issuance of shares and by the number of shares of Common Stock used as a reference measure for any Award (or, after the Effective Date, any Prior Plan’s Returning Shares, as</w:t>
      </w: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513" w:name="page514"/>
    <w:bookmarkEnd w:id="513"/>
    <w:p>
      <w:pPr>
        <w:ind w:right="80"/>
        <w:spacing w:after="0" w:line="282" w:lineRule="auto"/>
        <w:rPr>
          <w:sz w:val="20"/>
          <w:szCs w:val="20"/>
          <w:color w:val="auto"/>
        </w:rPr>
      </w:pPr>
      <w:r>
        <w:rPr>
          <w:rFonts w:ascii="Times New Roman" w:cs="Times New Roman" w:eastAsia="Times New Roman" w:hAnsi="Times New Roman"/>
          <w:sz w:val="18"/>
          <w:szCs w:val="18"/>
          <w:color w:val="auto"/>
        </w:rPr>
        <w:t>applicable) that are not issued upon settlement of such Award (or, after the Effective Date, any Prior Plan’s Returning Shares, as applicable) either due to a net settlement or otherwise;</w:t>
      </w:r>
    </w:p>
    <w:p>
      <w:pPr>
        <w:spacing w:after="0" w:line="162" w:lineRule="exact"/>
        <w:rPr>
          <w:sz w:val="20"/>
          <w:szCs w:val="20"/>
          <w:color w:val="auto"/>
        </w:rPr>
      </w:pPr>
    </w:p>
    <w:p>
      <w:pPr>
        <w:jc w:val="both"/>
        <w:ind w:right="340" w:firstLine="1505"/>
        <w:spacing w:after="0" w:line="266" w:lineRule="auto"/>
        <w:tabs>
          <w:tab w:leader="none" w:pos="1857" w:val="left"/>
        </w:tabs>
        <w:numPr>
          <w:ilvl w:val="2"/>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 Pool shall be increased, on the forfeiture date, by the number of shares of Common Stock that are forfeited back to Axsome after issuance due to a failure to meet an Award (or, after the Effective Date, any Prior Plan’s Returning Shares, as applicable) contingency or condition with respect to any Award or portion of an Award (or, after the Effective Date, any Prior Plan’s Returning Shares, as applicable);</w:t>
      </w:r>
    </w:p>
    <w:p>
      <w:pPr>
        <w:spacing w:after="0" w:line="175" w:lineRule="exact"/>
        <w:rPr>
          <w:rFonts w:ascii="Times New Roman" w:cs="Times New Roman" w:eastAsia="Times New Roman" w:hAnsi="Times New Roman"/>
          <w:sz w:val="18"/>
          <w:szCs w:val="18"/>
          <w:color w:val="auto"/>
        </w:rPr>
      </w:pPr>
    </w:p>
    <w:p>
      <w:pPr>
        <w:jc w:val="both"/>
        <w:ind w:right="260" w:firstLine="1505"/>
        <w:spacing w:after="0" w:line="266" w:lineRule="auto"/>
        <w:tabs>
          <w:tab w:leader="none" w:pos="1857" w:val="left"/>
        </w:tabs>
        <w:numPr>
          <w:ilvl w:val="2"/>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 Pool shall be increased on the exercise date, by the number of shares of Common Stock withheld by or surrendered (either actually or through attestation) to Axsome in payment of the exercise price of any Award (or, after the Effective Date, any Prior Plan’s Returning Shares, as applicable);</w:t>
      </w:r>
    </w:p>
    <w:p>
      <w:pPr>
        <w:spacing w:after="0" w:line="175" w:lineRule="exact"/>
        <w:rPr>
          <w:rFonts w:ascii="Times New Roman" w:cs="Times New Roman" w:eastAsia="Times New Roman" w:hAnsi="Times New Roman"/>
          <w:sz w:val="18"/>
          <w:szCs w:val="18"/>
          <w:color w:val="auto"/>
        </w:rPr>
      </w:pPr>
    </w:p>
    <w:p>
      <w:pPr>
        <w:ind w:right="260" w:firstLine="1505"/>
        <w:spacing w:after="0" w:line="266" w:lineRule="auto"/>
        <w:tabs>
          <w:tab w:leader="none" w:pos="1857" w:val="left"/>
        </w:tabs>
        <w:numPr>
          <w:ilvl w:val="2"/>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 Pool shall be increased, on the relevant date, by the number of shares of Common Stock withheld by or surrendered (either actually or through attestation) to Axsome in payment of the Tax Withholding Obligation that arises in connection with any Award (or, after the Effective Date, any Prior Plan’s Returning Shares, as applicable);</w:t>
      </w:r>
    </w:p>
    <w:p>
      <w:pPr>
        <w:spacing w:after="0" w:line="175" w:lineRule="exact"/>
        <w:rPr>
          <w:rFonts w:ascii="Times New Roman" w:cs="Times New Roman" w:eastAsia="Times New Roman" w:hAnsi="Times New Roman"/>
          <w:sz w:val="18"/>
          <w:szCs w:val="18"/>
          <w:color w:val="auto"/>
        </w:rPr>
      </w:pPr>
    </w:p>
    <w:p>
      <w:pPr>
        <w:jc w:val="both"/>
        <w:ind w:firstLine="1505"/>
        <w:spacing w:after="0" w:line="266" w:lineRule="auto"/>
        <w:tabs>
          <w:tab w:leader="none" w:pos="1857" w:val="left"/>
        </w:tabs>
        <w:numPr>
          <w:ilvl w:val="2"/>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 Pool shall be increased, on the relevant date, by the number of shares of Common Stock subject to a stock appreciation right (or, after the Effective Date, a Prior Plan’s Returning Share that is a stock appreciation right) that are not issued in connection with its stock settlement on exercise thereof; and</w:t>
      </w:r>
    </w:p>
    <w:p>
      <w:pPr>
        <w:spacing w:after="0" w:line="175" w:lineRule="exact"/>
        <w:rPr>
          <w:rFonts w:ascii="Times New Roman" w:cs="Times New Roman" w:eastAsia="Times New Roman" w:hAnsi="Times New Roman"/>
          <w:sz w:val="18"/>
          <w:szCs w:val="18"/>
          <w:color w:val="auto"/>
        </w:rPr>
      </w:pPr>
    </w:p>
    <w:p>
      <w:pPr>
        <w:ind w:right="100" w:firstLine="1505"/>
        <w:spacing w:after="0" w:line="266" w:lineRule="auto"/>
        <w:tabs>
          <w:tab w:leader="none" w:pos="1857" w:val="left"/>
        </w:tabs>
        <w:numPr>
          <w:ilvl w:val="2"/>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 Pool shall be increased, on the relevant date, by the number of shares of Common Stock reacquired by the Company on the open market or otherwise using cash proceeds from the exercise of stock options (or, after the Effective Date, Prior Plan’s Returning Shares that are stock options).</w:t>
      </w:r>
    </w:p>
    <w:p>
      <w:pPr>
        <w:spacing w:after="0" w:line="173" w:lineRule="exact"/>
        <w:rPr>
          <w:rFonts w:ascii="Times New Roman" w:cs="Times New Roman" w:eastAsia="Times New Roman" w:hAnsi="Times New Roman"/>
          <w:sz w:val="18"/>
          <w:szCs w:val="18"/>
          <w:color w:val="auto"/>
        </w:rPr>
      </w:pPr>
    </w:p>
    <w:p>
      <w:pPr>
        <w:ind w:right="120" w:firstLine="757"/>
        <w:spacing w:after="0" w:line="267" w:lineRule="auto"/>
        <w:tabs>
          <w:tab w:leader="none" w:pos="1109" w:val="left"/>
        </w:tabs>
        <w:numPr>
          <w:ilvl w:val="1"/>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ISO Limit</w:t>
      </w:r>
      <w:r>
        <w:rPr>
          <w:rFonts w:ascii="Times New Roman" w:cs="Times New Roman" w:eastAsia="Times New Roman" w:hAnsi="Times New Roman"/>
          <w:sz w:val="18"/>
          <w:szCs w:val="18"/>
          <w:color w:val="auto"/>
        </w:rPr>
        <w:t>. Subject to adjustment pursuant to Section 10 of the Plan, the maximum number of shares of Common Stock that may be issued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pursuant to stock options granted under the Plan that are intended to qualify as Incentive Stock Options within the meaning of Section 422 of the Code shall be equal to 2,500,000.</w:t>
      </w:r>
    </w:p>
    <w:p>
      <w:pPr>
        <w:spacing w:after="0" w:line="132" w:lineRule="exact"/>
        <w:rPr>
          <w:rFonts w:ascii="Times New Roman" w:cs="Times New Roman" w:eastAsia="Times New Roman" w:hAnsi="Times New Roman"/>
          <w:sz w:val="18"/>
          <w:szCs w:val="18"/>
          <w:color w:val="auto"/>
        </w:rPr>
      </w:pPr>
    </w:p>
    <w:p>
      <w:pPr>
        <w:ind w:right="200" w:firstLine="757"/>
        <w:spacing w:after="0" w:line="267" w:lineRule="auto"/>
        <w:tabs>
          <w:tab w:leader="none" w:pos="1109" w:val="left"/>
        </w:tabs>
        <w:numPr>
          <w:ilvl w:val="1"/>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Source of Shares</w:t>
      </w:r>
      <w:r>
        <w:rPr>
          <w:rFonts w:ascii="Times New Roman" w:cs="Times New Roman" w:eastAsia="Times New Roman" w:hAnsi="Times New Roman"/>
          <w:sz w:val="18"/>
          <w:szCs w:val="18"/>
          <w:color w:val="auto"/>
        </w:rPr>
        <w:t>. The shares of Common Stock with respect to which Awards may be made under the Plan shall be shares authorized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issuance under Axsome’s charter but unissued, or issued and reacquired, including without limitation shares purchased in the open market or in private transactions.</w:t>
      </w:r>
    </w:p>
    <w:p>
      <w:pPr>
        <w:spacing w:after="0" w:line="146" w:lineRule="exact"/>
        <w:rPr>
          <w:rFonts w:ascii="Times New Roman" w:cs="Times New Roman" w:eastAsia="Times New Roman" w:hAnsi="Times New Roman"/>
          <w:sz w:val="18"/>
          <w:szCs w:val="18"/>
          <w:color w:val="auto"/>
        </w:rPr>
      </w:pPr>
    </w:p>
    <w:p>
      <w:pPr>
        <w:ind w:right="20" w:firstLine="757"/>
        <w:spacing w:after="0" w:line="254" w:lineRule="auto"/>
        <w:tabs>
          <w:tab w:leader="none" w:pos="1109" w:val="left"/>
        </w:tabs>
        <w:numPr>
          <w:ilvl w:val="1"/>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Non-Employee Director Award Limit</w:t>
      </w:r>
      <w:r>
        <w:rPr>
          <w:rFonts w:ascii="Times New Roman" w:cs="Times New Roman" w:eastAsia="Times New Roman" w:hAnsi="Times New Roman"/>
          <w:sz w:val="18"/>
          <w:szCs w:val="18"/>
          <w:color w:val="auto"/>
        </w:rPr>
        <w:t>. In addition, the Administrator may establish compensation for Non-Employee Directors from time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time, subject to the limitations in the Plan. The Administrator will from time to time determine the terms, conditions and amounts of all such Non-Employee Director compensation in its discretion and pursuant to the exercise of its business judgment, taking into account such factors, circumstances and considerations as it shall deem relevant from time to time, provided that the sum of any cash compensation and the grant date fair value of Awards (as determined in accordance with Financial Accounting Standards Board Accounting Standards Codification Topic 718, or any successor thereto) granted under the Plan to a Non-Employee Director as compensation for services as a Non-Employee Director during any calendar year of Axsome may not exceed $750,000,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in a Non-Employee Director’s first year of service compensation for services may not exceed $1,500,000 (such limits, the “</w:t>
      </w:r>
      <w:r>
        <w:rPr>
          <w:rFonts w:ascii="Times New Roman" w:cs="Times New Roman" w:eastAsia="Times New Roman" w:hAnsi="Times New Roman"/>
          <w:sz w:val="18"/>
          <w:szCs w:val="18"/>
          <w:i w:val="1"/>
          <w:iCs w:val="1"/>
          <w:color w:val="auto"/>
        </w:rPr>
        <w:t>Director Limits</w:t>
      </w:r>
      <w:r>
        <w:rPr>
          <w:rFonts w:ascii="Times New Roman" w:cs="Times New Roman" w:eastAsia="Times New Roman" w:hAnsi="Times New Roman"/>
          <w:sz w:val="18"/>
          <w:szCs w:val="18"/>
          <w:color w:val="auto"/>
        </w:rPr>
        <w:t>”). The Administrator may make exceptions to this limit for individual Non-Employee directors in extraordinary circumstances, as the Administrator may determine in its discretion, provided that the Non-Employee Director receiving such additional compensation may not participate in the decision to award such compensation or in other compensation decisions involving Non-Employee Director.</w:t>
      </w:r>
    </w:p>
    <w:p>
      <w:pPr>
        <w:spacing w:after="0" w:line="142" w:lineRule="exact"/>
        <w:rPr>
          <w:rFonts w:ascii="Times New Roman" w:cs="Times New Roman" w:eastAsia="Times New Roman" w:hAnsi="Times New Roman"/>
          <w:sz w:val="18"/>
          <w:szCs w:val="18"/>
          <w:color w:val="auto"/>
        </w:rPr>
      </w:pPr>
    </w:p>
    <w:p>
      <w:pPr>
        <w:ind w:left="360" w:hanging="352"/>
        <w:spacing w:after="0"/>
        <w:tabs>
          <w:tab w:leader="none" w:pos="360" w:val="left"/>
        </w:tabs>
        <w:numPr>
          <w:ilvl w:val="0"/>
          <w:numId w:val="2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Participation</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jc w:val="both"/>
        <w:ind w:right="80" w:firstLine="749"/>
        <w:spacing w:after="0" w:line="261" w:lineRule="auto"/>
        <w:rPr>
          <w:sz w:val="20"/>
          <w:szCs w:val="20"/>
          <w:color w:val="auto"/>
        </w:rPr>
      </w:pPr>
      <w:r>
        <w:rPr>
          <w:rFonts w:ascii="Times New Roman" w:cs="Times New Roman" w:eastAsia="Times New Roman" w:hAnsi="Times New Roman"/>
          <w:sz w:val="18"/>
          <w:szCs w:val="18"/>
          <w:color w:val="auto"/>
        </w:rPr>
        <w:t xml:space="preserve">Participation in the Plan shall be open to all Eligible Individuals, as may be selected by the Administrator from time to time. The Administrator may also grant Awards to Eligible Individuals in connection with hiring, recruiting or otherwise, prior to the date the individual first performs services for Axsome or an Affiliate;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such Awards shall not become vested or exercisable and no shares shall be issued to such individual, prior to the date the individual first commences performance of such services.</w:t>
      </w: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514" w:name="page515"/>
    <w:bookmarkEnd w:id="514"/>
    <w:p>
      <w:pPr>
        <w:ind w:left="352" w:hanging="352"/>
        <w:spacing w:after="0"/>
        <w:tabs>
          <w:tab w:leader="none" w:pos="352" w:val="left"/>
        </w:tabs>
        <w:numPr>
          <w:ilvl w:val="0"/>
          <w:numId w:val="2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Awards</w:t>
      </w:r>
      <w:r>
        <w:rPr>
          <w:rFonts w:ascii="Times New Roman" w:cs="Times New Roman" w:eastAsia="Times New Roman" w:hAnsi="Times New Roman"/>
          <w:sz w:val="18"/>
          <w:szCs w:val="18"/>
          <w:color w:val="auto"/>
        </w:rPr>
        <w:t>.</w:t>
      </w:r>
    </w:p>
    <w:p>
      <w:pPr>
        <w:spacing w:after="0" w:line="186" w:lineRule="exact"/>
        <w:rPr>
          <w:rFonts w:ascii="Times New Roman" w:cs="Times New Roman" w:eastAsia="Times New Roman" w:hAnsi="Times New Roman"/>
          <w:sz w:val="18"/>
          <w:szCs w:val="18"/>
          <w:b w:val="1"/>
          <w:bCs w:val="1"/>
          <w:color w:val="auto"/>
        </w:rPr>
      </w:pPr>
    </w:p>
    <w:p>
      <w:pPr>
        <w:ind w:left="-8" w:firstLine="757"/>
        <w:spacing w:after="0" w:line="257" w:lineRule="auto"/>
        <w:tabs>
          <w:tab w:leader="none" w:pos="1101" w:val="left"/>
        </w:tabs>
        <w:numPr>
          <w:ilvl w:val="1"/>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Awards, In General. </w:t>
      </w:r>
      <w:r>
        <w:rPr>
          <w:rFonts w:ascii="Times New Roman" w:cs="Times New Roman" w:eastAsia="Times New Roman" w:hAnsi="Times New Roman"/>
          <w:sz w:val="18"/>
          <w:szCs w:val="18"/>
          <w:color w:val="auto"/>
        </w:rPr>
        <w:t>The Administrator, in its sole discretion, shall establish the terms of all Awards granted under the Plan consistent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terms of the Plan. Awards may be granted individually or in tandem with other types of Awards, concurrently with or with respect to outstanding Awards. All Awards are subject to the terms and conditions provided in the Award Agreement, which shall be delivered to the Participant receiving such Award upon, or as promptly as is reasonably practicable following, the grant of such Award. Unless otherwise specified by the Administrator, in its sole discretion, or otherwise provided in the Award Agreement, an Award shall not be effective unless the Award Agreement is signed or otherwise accepted by Axsome and the Participant receiving the Award (including by electronic delivery and/or electronic signature).</w:t>
      </w:r>
    </w:p>
    <w:p>
      <w:pPr>
        <w:spacing w:after="0" w:line="155" w:lineRule="exact"/>
        <w:rPr>
          <w:rFonts w:ascii="Times New Roman" w:cs="Times New Roman" w:eastAsia="Times New Roman" w:hAnsi="Times New Roman"/>
          <w:sz w:val="18"/>
          <w:szCs w:val="18"/>
          <w:color w:val="auto"/>
        </w:rPr>
      </w:pPr>
    </w:p>
    <w:p>
      <w:pPr>
        <w:ind w:left="1112" w:hanging="363"/>
        <w:spacing w:after="0"/>
        <w:tabs>
          <w:tab w:leader="none" w:pos="1112" w:val="left"/>
        </w:tabs>
        <w:numPr>
          <w:ilvl w:val="1"/>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Stock Options</w:t>
      </w:r>
      <w:r>
        <w:rPr>
          <w:rFonts w:ascii="Times New Roman" w:cs="Times New Roman" w:eastAsia="Times New Roman" w:hAnsi="Times New Roman"/>
          <w:sz w:val="18"/>
          <w:szCs w:val="18"/>
          <w:color w:val="auto"/>
        </w:rPr>
        <w:t>.</w:t>
      </w:r>
    </w:p>
    <w:p>
      <w:pPr>
        <w:spacing w:after="0" w:line="184" w:lineRule="exact"/>
        <w:rPr>
          <w:rFonts w:ascii="Times New Roman" w:cs="Times New Roman" w:eastAsia="Times New Roman" w:hAnsi="Times New Roman"/>
          <w:sz w:val="18"/>
          <w:szCs w:val="18"/>
          <w:color w:val="auto"/>
        </w:rPr>
      </w:pPr>
    </w:p>
    <w:p>
      <w:pPr>
        <w:ind w:left="-8" w:right="140" w:firstLine="1505"/>
        <w:spacing w:after="0" w:line="254" w:lineRule="auto"/>
        <w:tabs>
          <w:tab w:leader="none" w:pos="1849" w:val="left"/>
        </w:tabs>
        <w:numPr>
          <w:ilvl w:val="2"/>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Grants</w:t>
      </w:r>
      <w:r>
        <w:rPr>
          <w:rFonts w:ascii="Times New Roman" w:cs="Times New Roman" w:eastAsia="Times New Roman" w:hAnsi="Times New Roman"/>
          <w:sz w:val="18"/>
          <w:szCs w:val="18"/>
          <w:color w:val="auto"/>
        </w:rPr>
        <w:t>. A stock option means a right to purchase a specified number of shares of Common Stock from Axsome at a specified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price during a specified period of time. The Administrator may from time to time grant to Eligible Individuals Awards of Incentive Stock Options or Nonqualified Options;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Awards of Incentive Stock Options shall be limited to employees of Axsome or of any current or hereafter existing “parent corporation” or “subsidiary corporation,” as defined in Sections 424(e) and 424(f) of the Code, respectively, of Axsome, and any other Eligible Individuals who are eligible to receive Incentive Stock Options under the provisions of Section 422 of the Code. No stock option shall be an Incentive Stock Option unless so designated by the Administrator at the time of grant or in the applicable Award Agreement. The exercise price per share specified in the Award Agreement shall not be less than the lower of the Fair Market Value on the date of grant, or with respect to stock options that are granted in substitution of similar types of awards of a company acquired by Axsome or a Subsidiary or with which Axsome or a Subsidiary combines (whether in connection with a corporate transaction, such as a merger, combination, consolidation or acquisition of property or stock, or otherwise) such base price as is necessary to preserve the intrinsic value of such awards.</w:t>
      </w:r>
    </w:p>
    <w:p>
      <w:pPr>
        <w:spacing w:after="0" w:line="185" w:lineRule="exact"/>
        <w:rPr>
          <w:rFonts w:ascii="Times New Roman" w:cs="Times New Roman" w:eastAsia="Times New Roman" w:hAnsi="Times New Roman"/>
          <w:sz w:val="18"/>
          <w:szCs w:val="18"/>
          <w:color w:val="auto"/>
        </w:rPr>
      </w:pPr>
    </w:p>
    <w:p>
      <w:pPr>
        <w:ind w:left="-8" w:firstLine="1505"/>
        <w:spacing w:after="0" w:line="267" w:lineRule="auto"/>
        <w:tabs>
          <w:tab w:leader="none" w:pos="1849" w:val="left"/>
        </w:tabs>
        <w:numPr>
          <w:ilvl w:val="2"/>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Exercise</w:t>
      </w:r>
      <w:r>
        <w:rPr>
          <w:rFonts w:ascii="Times New Roman" w:cs="Times New Roman" w:eastAsia="Times New Roman" w:hAnsi="Times New Roman"/>
          <w:sz w:val="18"/>
          <w:szCs w:val="18"/>
          <w:color w:val="auto"/>
        </w:rPr>
        <w:t>. Stock options shall be exercisable at such time or times and subject to such terms and conditions as shall be determined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by the Administrator;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Awards of stock options may not have a term in excess of ten years’ duration unless required otherwise by applicable law.</w:t>
      </w:r>
    </w:p>
    <w:p>
      <w:pPr>
        <w:spacing w:after="0" w:line="173" w:lineRule="exact"/>
        <w:rPr>
          <w:rFonts w:ascii="Times New Roman" w:cs="Times New Roman" w:eastAsia="Times New Roman" w:hAnsi="Times New Roman"/>
          <w:sz w:val="18"/>
          <w:szCs w:val="18"/>
          <w:color w:val="auto"/>
        </w:rPr>
      </w:pPr>
    </w:p>
    <w:p>
      <w:pPr>
        <w:ind w:left="-8" w:right="20" w:firstLine="1505"/>
        <w:spacing w:after="0" w:line="284" w:lineRule="auto"/>
        <w:tabs>
          <w:tab w:leader="none" w:pos="1849" w:val="left"/>
        </w:tabs>
        <w:numPr>
          <w:ilvl w:val="2"/>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Termination of Service</w:t>
      </w:r>
      <w:r>
        <w:rPr>
          <w:rFonts w:ascii="Times New Roman" w:cs="Times New Roman" w:eastAsia="Times New Roman" w:hAnsi="Times New Roman"/>
          <w:sz w:val="18"/>
          <w:szCs w:val="18"/>
          <w:color w:val="auto"/>
        </w:rPr>
        <w:t>. Except as provided in the applicable Award Agreement or otherwise determined by the Administrator,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extent stock options are not vested and exercisable, a Participant’s stock options shall be forfeited upon his or her Termination of Service.</w:t>
      </w:r>
    </w:p>
    <w:p>
      <w:pPr>
        <w:spacing w:after="0" w:line="158" w:lineRule="exact"/>
        <w:rPr>
          <w:rFonts w:ascii="Times New Roman" w:cs="Times New Roman" w:eastAsia="Times New Roman" w:hAnsi="Times New Roman"/>
          <w:sz w:val="18"/>
          <w:szCs w:val="18"/>
          <w:color w:val="auto"/>
        </w:rPr>
      </w:pPr>
    </w:p>
    <w:p>
      <w:pPr>
        <w:ind w:left="-8" w:firstLine="1505"/>
        <w:spacing w:after="0" w:line="267" w:lineRule="auto"/>
        <w:tabs>
          <w:tab w:leader="none" w:pos="1849" w:val="left"/>
        </w:tabs>
        <w:numPr>
          <w:ilvl w:val="2"/>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Additional Terms and Conditions</w:t>
      </w:r>
      <w:r>
        <w:rPr>
          <w:rFonts w:ascii="Times New Roman" w:cs="Times New Roman" w:eastAsia="Times New Roman" w:hAnsi="Times New Roman"/>
          <w:sz w:val="18"/>
          <w:szCs w:val="18"/>
          <w:color w:val="auto"/>
        </w:rPr>
        <w:t>. The Administrator may, by way of the Award Agreement or otherwise, determine such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terms, conditions, restrictions, and/or limitations, if any, of any Award of stock options,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they are not inconsistent with the Plan (including, without limitation, Section 7(l)).</w:t>
      </w:r>
    </w:p>
    <w:p>
      <w:pPr>
        <w:spacing w:after="0" w:line="173" w:lineRule="exact"/>
        <w:rPr>
          <w:rFonts w:ascii="Times New Roman" w:cs="Times New Roman" w:eastAsia="Times New Roman" w:hAnsi="Times New Roman"/>
          <w:sz w:val="18"/>
          <w:szCs w:val="18"/>
          <w:color w:val="auto"/>
        </w:rPr>
      </w:pPr>
    </w:p>
    <w:p>
      <w:pPr>
        <w:ind w:left="-8" w:right="380" w:firstLine="757"/>
        <w:spacing w:after="0" w:line="267" w:lineRule="auto"/>
        <w:tabs>
          <w:tab w:leader="none" w:pos="1101" w:val="left"/>
        </w:tabs>
        <w:numPr>
          <w:ilvl w:val="1"/>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Limitation on Reload Options</w:t>
      </w:r>
      <w:r>
        <w:rPr>
          <w:rFonts w:ascii="Times New Roman" w:cs="Times New Roman" w:eastAsia="Times New Roman" w:hAnsi="Times New Roman"/>
          <w:sz w:val="18"/>
          <w:szCs w:val="18"/>
          <w:color w:val="auto"/>
        </w:rPr>
        <w:t>. The Administrator shall not grant stock options under this Plan that contain a reload or replenishment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feature pursuant to which a new stock option would be granted automatically upon receipt of delivery of Common Stock to Axsome in payment of the exercise price or any tax withholding obligation under any other stock option.</w:t>
      </w:r>
    </w:p>
    <w:p>
      <w:pPr>
        <w:spacing w:after="0" w:line="132" w:lineRule="exact"/>
        <w:rPr>
          <w:rFonts w:ascii="Times New Roman" w:cs="Times New Roman" w:eastAsia="Times New Roman" w:hAnsi="Times New Roman"/>
          <w:sz w:val="18"/>
          <w:szCs w:val="18"/>
          <w:color w:val="auto"/>
        </w:rPr>
      </w:pPr>
    </w:p>
    <w:p>
      <w:pPr>
        <w:ind w:left="1112" w:hanging="363"/>
        <w:spacing w:after="0"/>
        <w:tabs>
          <w:tab w:leader="none" w:pos="1112" w:val="left"/>
        </w:tabs>
        <w:numPr>
          <w:ilvl w:val="1"/>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Stock Appreciation Rights</w:t>
      </w:r>
      <w:r>
        <w:rPr>
          <w:rFonts w:ascii="Times New Roman" w:cs="Times New Roman" w:eastAsia="Times New Roman" w:hAnsi="Times New Roman"/>
          <w:sz w:val="18"/>
          <w:szCs w:val="18"/>
          <w:color w:val="auto"/>
        </w:rPr>
        <w:t>.</w:t>
      </w:r>
    </w:p>
    <w:p>
      <w:pPr>
        <w:spacing w:after="0" w:line="198" w:lineRule="exact"/>
        <w:rPr>
          <w:rFonts w:ascii="Times New Roman" w:cs="Times New Roman" w:eastAsia="Times New Roman" w:hAnsi="Times New Roman"/>
          <w:sz w:val="18"/>
          <w:szCs w:val="18"/>
          <w:color w:val="auto"/>
        </w:rPr>
      </w:pPr>
    </w:p>
    <w:p>
      <w:pPr>
        <w:ind w:left="-8" w:right="40" w:firstLine="1505"/>
        <w:spacing w:after="0" w:line="255" w:lineRule="auto"/>
        <w:tabs>
          <w:tab w:leader="none" w:pos="1849" w:val="left"/>
        </w:tabs>
        <w:numPr>
          <w:ilvl w:val="2"/>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Grants. </w:t>
      </w:r>
      <w:r>
        <w:rPr>
          <w:rFonts w:ascii="Times New Roman" w:cs="Times New Roman" w:eastAsia="Times New Roman" w:hAnsi="Times New Roman"/>
          <w:sz w:val="18"/>
          <w:szCs w:val="18"/>
          <w:color w:val="auto"/>
        </w:rPr>
        <w:t>The Administrator may from time-to-time grant to Eligible Individuals Awards of stock appreciation rights. A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appreciation right entitles the Participant to receive, subject to the provisions of the Plan and the Award Agreement, a payment having an aggregate value equal to the product of (i) the excess of (A) the Fair Market Value on the exercise date of one share of Common Stock over (B) the base price per share specified in the Award Agreement, times (ii) the number of shares specified by the stock appreciation right, or portion thereof, which is exercised. The base price per share specified in the Award Agreement shall not be less than the lower of the Fair Market Value on the date of grant or the exercise price of any tandem stock option to which the stock appreciation right is related, or with respect to stock appreciation rights that are granted in substitution of similar types of awards of a company acquired by Axsome or a Subsidiary or with which Axsome or a Subsidiary combines (whether in connection with a corporate transaction, such as a merger, combination,</w:t>
      </w:r>
    </w:p>
    <w:p>
      <w:pPr>
        <w:spacing w:after="0" w:line="200" w:lineRule="exact"/>
        <w:rPr>
          <w:sz w:val="20"/>
          <w:szCs w:val="20"/>
          <w:color w:val="auto"/>
        </w:rPr>
      </w:pPr>
    </w:p>
    <w:p>
      <w:pPr>
        <w:spacing w:after="0" w:line="203"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621665</wp:posOffset>
            </wp:positionV>
            <wp:extent cx="7157720" cy="42545"/>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12"/>
          </w:cols>
          <w:pgMar w:left="328" w:top="1413" w:right="359" w:bottom="1440" w:gutter="0" w:footer="0" w:header="0"/>
        </w:sectPr>
      </w:pPr>
    </w:p>
    <w:bookmarkStart w:id="515" w:name="page516"/>
    <w:bookmarkEnd w:id="515"/>
    <w:p>
      <w:pPr>
        <w:spacing w:after="0"/>
        <w:rPr>
          <w:sz w:val="20"/>
          <w:szCs w:val="20"/>
          <w:color w:val="auto"/>
        </w:rPr>
      </w:pPr>
      <w:r>
        <w:rPr>
          <w:rFonts w:ascii="Times New Roman" w:cs="Times New Roman" w:eastAsia="Times New Roman" w:hAnsi="Times New Roman"/>
          <w:sz w:val="18"/>
          <w:szCs w:val="18"/>
          <w:color w:val="auto"/>
        </w:rPr>
        <w:t>consolidation or acquisition of property or stock, or otherwise) such base price as is necessary to preserve the intrinsic value of such awards.</w:t>
      </w:r>
    </w:p>
    <w:p>
      <w:pPr>
        <w:spacing w:after="0" w:line="223" w:lineRule="exact"/>
        <w:rPr>
          <w:sz w:val="20"/>
          <w:szCs w:val="20"/>
          <w:color w:val="auto"/>
        </w:rPr>
      </w:pPr>
    </w:p>
    <w:p>
      <w:pPr>
        <w:ind w:firstLine="1505"/>
        <w:spacing w:after="0" w:line="255" w:lineRule="auto"/>
        <w:tabs>
          <w:tab w:leader="none" w:pos="1857" w:val="left"/>
        </w:tabs>
        <w:numPr>
          <w:ilvl w:val="1"/>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Exercise</w:t>
      </w:r>
      <w:r>
        <w:rPr>
          <w:rFonts w:ascii="Times New Roman" w:cs="Times New Roman" w:eastAsia="Times New Roman" w:hAnsi="Times New Roman"/>
          <w:sz w:val="18"/>
          <w:szCs w:val="18"/>
          <w:color w:val="auto"/>
        </w:rPr>
        <w:t>. Stock appreciation rights shall be exercisable at such time or times and subject to such terms and conditions as shall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determined by the Administrator;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stock appreciation rights granted under the Plan may not have a term in excess of ten years’ duration unless required otherwise by applicable law. The applicable Award Agreement shall specify whether payment by Axsome of the amount receivable upon any exercise of a stock appreciation right is to be made in cash or shares of Common Stock or a combination of both, or shall reserve to the Administrator or the Participant the right to make that determination prior to or upon the exercise of the stock appreciation right. If upon the exercise of a stock appreciation right a Participant is to receive a portion of such payment in shares of Common Stock, the number of shares shall be determined by dividing such portion by the Fair Market Value of a share of Common Stock on the exercise date. No fractional shares shall be used for such payment and the Administrator shall determine whether cash shall be given in lieu of such fractional shares or whether such fractional shares shall be eliminated.</w:t>
      </w:r>
    </w:p>
    <w:p>
      <w:pPr>
        <w:spacing w:after="0" w:line="184" w:lineRule="exact"/>
        <w:rPr>
          <w:rFonts w:ascii="Times New Roman" w:cs="Times New Roman" w:eastAsia="Times New Roman" w:hAnsi="Times New Roman"/>
          <w:sz w:val="18"/>
          <w:szCs w:val="18"/>
          <w:color w:val="auto"/>
        </w:rPr>
      </w:pPr>
    </w:p>
    <w:p>
      <w:pPr>
        <w:jc w:val="both"/>
        <w:ind w:right="20" w:firstLine="1505"/>
        <w:spacing w:after="0" w:line="267" w:lineRule="auto"/>
        <w:tabs>
          <w:tab w:leader="none" w:pos="1857" w:val="left"/>
        </w:tabs>
        <w:numPr>
          <w:ilvl w:val="1"/>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Termination of Service</w:t>
      </w:r>
      <w:r>
        <w:rPr>
          <w:rFonts w:ascii="Times New Roman" w:cs="Times New Roman" w:eastAsia="Times New Roman" w:hAnsi="Times New Roman"/>
          <w:sz w:val="18"/>
          <w:szCs w:val="18"/>
          <w:color w:val="auto"/>
        </w:rPr>
        <w:t>. Except as provided in the applicable Award Agreement or otherwise determined by the Administrator,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extent stock appreciation rights are not vested and exercisable, a Participant’s stock appreciation rights shall be forfeited upon his or her Termination of Service.</w:t>
      </w:r>
    </w:p>
    <w:p>
      <w:pPr>
        <w:spacing w:after="0" w:line="173" w:lineRule="exact"/>
        <w:rPr>
          <w:rFonts w:ascii="Times New Roman" w:cs="Times New Roman" w:eastAsia="Times New Roman" w:hAnsi="Times New Roman"/>
          <w:sz w:val="18"/>
          <w:szCs w:val="18"/>
          <w:color w:val="auto"/>
        </w:rPr>
      </w:pPr>
    </w:p>
    <w:p>
      <w:pPr>
        <w:ind w:right="140" w:firstLine="1505"/>
        <w:spacing w:after="0" w:line="267" w:lineRule="auto"/>
        <w:tabs>
          <w:tab w:leader="none" w:pos="1857" w:val="left"/>
        </w:tabs>
        <w:numPr>
          <w:ilvl w:val="1"/>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Additional Terms and Conditions</w:t>
      </w:r>
      <w:r>
        <w:rPr>
          <w:rFonts w:ascii="Times New Roman" w:cs="Times New Roman" w:eastAsia="Times New Roman" w:hAnsi="Times New Roman"/>
          <w:sz w:val="18"/>
          <w:szCs w:val="18"/>
          <w:color w:val="auto"/>
        </w:rPr>
        <w:t>. The Administrator may, by way of the Award Agreement or otherwise, determine such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terms, conditions, restrictions, and/or limitations, if any, of any Award of stock appreciation rights,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they are not inconsistent with the Plan (including, without limitation, Section 7(l)).</w:t>
      </w:r>
    </w:p>
    <w:p>
      <w:pPr>
        <w:spacing w:after="0" w:line="173" w:lineRule="exact"/>
        <w:rPr>
          <w:rFonts w:ascii="Times New Roman" w:cs="Times New Roman" w:eastAsia="Times New Roman" w:hAnsi="Times New Roman"/>
          <w:sz w:val="18"/>
          <w:szCs w:val="18"/>
          <w:color w:val="auto"/>
        </w:rPr>
      </w:pPr>
    </w:p>
    <w:p>
      <w:pPr>
        <w:ind w:right="40" w:firstLine="757"/>
        <w:spacing w:after="0" w:line="256" w:lineRule="auto"/>
        <w:tabs>
          <w:tab w:leader="none" w:pos="1109"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Repricing. </w:t>
      </w:r>
      <w:r>
        <w:rPr>
          <w:rFonts w:ascii="Times New Roman" w:cs="Times New Roman" w:eastAsia="Times New Roman" w:hAnsi="Times New Roman"/>
          <w:sz w:val="18"/>
          <w:szCs w:val="18"/>
          <w:color w:val="auto"/>
        </w:rPr>
        <w:t>Notwithstanding anything herein to the contrary, except in connection with a corporate transaction involving Axsome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without limitation, any stock dividend, stock split, extraordinary cash dividend, recapitalization, reorganization, merger, consolidation, split-up, spin-off, combination, or exchange of shares), the terms of options and stock appreciation rights granted under the Plan may not be amended, after the date of grant, to reduce the exercise price of such options or stock appreciation rights, nor may outstanding options or stock appreciation rights, in each case with an exercise price greater than the Fair Market Value of a share of Common Stock as of such date, be canceled in exchange for (i) cash, (ii) options or stock appreciation rights with an exercise price or base price that is less than the exercise price or base price of the original outstanding options or stock appreciation rights, or (iii) other Awards, unless such action is approved by Axsome’s stockholders.</w:t>
      </w:r>
    </w:p>
    <w:p>
      <w:pPr>
        <w:spacing w:after="0" w:line="142" w:lineRule="exact"/>
        <w:rPr>
          <w:rFonts w:ascii="Times New Roman" w:cs="Times New Roman" w:eastAsia="Times New Roman" w:hAnsi="Times New Roman"/>
          <w:sz w:val="18"/>
          <w:szCs w:val="18"/>
          <w:color w:val="auto"/>
        </w:rPr>
      </w:pPr>
    </w:p>
    <w:p>
      <w:pPr>
        <w:ind w:left="1120" w:hanging="363"/>
        <w:spacing w:after="0"/>
        <w:tabs>
          <w:tab w:leader="none" w:pos="1120"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Stock Awards</w:t>
      </w:r>
      <w:r>
        <w:rPr>
          <w:rFonts w:ascii="Times New Roman" w:cs="Times New Roman" w:eastAsia="Times New Roman" w:hAnsi="Times New Roman"/>
          <w:sz w:val="18"/>
          <w:szCs w:val="18"/>
          <w:color w:val="auto"/>
        </w:rPr>
        <w:t>.</w:t>
      </w:r>
    </w:p>
    <w:p>
      <w:pPr>
        <w:spacing w:after="0" w:line="198" w:lineRule="exact"/>
        <w:rPr>
          <w:rFonts w:ascii="Times New Roman" w:cs="Times New Roman" w:eastAsia="Times New Roman" w:hAnsi="Times New Roman"/>
          <w:sz w:val="18"/>
          <w:szCs w:val="18"/>
          <w:color w:val="auto"/>
        </w:rPr>
      </w:pPr>
    </w:p>
    <w:p>
      <w:pPr>
        <w:ind w:right="320" w:firstLine="1505"/>
        <w:spacing w:after="0" w:line="261" w:lineRule="auto"/>
        <w:tabs>
          <w:tab w:leader="none" w:pos="1857" w:val="left"/>
        </w:tabs>
        <w:numPr>
          <w:ilvl w:val="1"/>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Grants</w:t>
      </w:r>
      <w:r>
        <w:rPr>
          <w:rFonts w:ascii="Times New Roman" w:cs="Times New Roman" w:eastAsia="Times New Roman" w:hAnsi="Times New Roman"/>
          <w:sz w:val="18"/>
          <w:szCs w:val="18"/>
          <w:color w:val="auto"/>
        </w:rPr>
        <w:t>. The Administrator may from time-to-time grant to Eligible Individuals Awards of unrestricted Common Stock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Restricted Stock (collectively, “</w:t>
      </w:r>
      <w:r>
        <w:rPr>
          <w:rFonts w:ascii="Times New Roman" w:cs="Times New Roman" w:eastAsia="Times New Roman" w:hAnsi="Times New Roman"/>
          <w:sz w:val="18"/>
          <w:szCs w:val="18"/>
          <w:i w:val="1"/>
          <w:iCs w:val="1"/>
          <w:color w:val="auto"/>
        </w:rPr>
        <w:t>Stock Awards</w:t>
      </w:r>
      <w:r>
        <w:rPr>
          <w:rFonts w:ascii="Times New Roman" w:cs="Times New Roman" w:eastAsia="Times New Roman" w:hAnsi="Times New Roman"/>
          <w:sz w:val="18"/>
          <w:szCs w:val="18"/>
          <w:color w:val="auto"/>
        </w:rPr>
        <w:t>”) on such terms and conditions, and for such consideration, including no consideration or such minimum consideration as the Administrator shall determine. Stock Awards shall be evidenced in such manner as the Administrator may deem appropriate, including via book-entry registration.</w:t>
      </w:r>
    </w:p>
    <w:p>
      <w:pPr>
        <w:spacing w:after="0" w:line="179" w:lineRule="exact"/>
        <w:rPr>
          <w:rFonts w:ascii="Times New Roman" w:cs="Times New Roman" w:eastAsia="Times New Roman" w:hAnsi="Times New Roman"/>
          <w:sz w:val="18"/>
          <w:szCs w:val="18"/>
          <w:color w:val="auto"/>
        </w:rPr>
      </w:pPr>
    </w:p>
    <w:p>
      <w:pPr>
        <w:ind w:right="120" w:firstLine="1505"/>
        <w:spacing w:after="0" w:line="258" w:lineRule="auto"/>
        <w:tabs>
          <w:tab w:leader="none" w:pos="1857" w:val="left"/>
        </w:tabs>
        <w:numPr>
          <w:ilvl w:val="1"/>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Vesting</w:t>
      </w:r>
      <w:r>
        <w:rPr>
          <w:rFonts w:ascii="Times New Roman" w:cs="Times New Roman" w:eastAsia="Times New Roman" w:hAnsi="Times New Roman"/>
          <w:sz w:val="18"/>
          <w:szCs w:val="18"/>
          <w:color w:val="auto"/>
        </w:rPr>
        <w:t>. Restricted Stock shall be subject to such vesting, restrictions on transferability and other restrictions, if any, and/or risk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forfeiture as the Administrator may impose at the date of grant or thereafter. The Restriction Period to which such vesting, restrictions and/or risk of forfeiture apply may lapse under such circumstances, including without limitation upon the attainment of Performance Goals, in such installments, or otherwise, as the Administrator may determine. Subject to the provisions of the Plan and the applicable Award Agreement, during the Restriction Period, the Participant shall not be permitted to sell, assign, transfer, pledge or otherwise encumber shares of Restricted Stock.</w:t>
      </w:r>
    </w:p>
    <w:p>
      <w:pPr>
        <w:spacing w:after="0" w:line="183" w:lineRule="exact"/>
        <w:rPr>
          <w:rFonts w:ascii="Times New Roman" w:cs="Times New Roman" w:eastAsia="Times New Roman" w:hAnsi="Times New Roman"/>
          <w:sz w:val="18"/>
          <w:szCs w:val="18"/>
          <w:color w:val="auto"/>
        </w:rPr>
      </w:pPr>
    </w:p>
    <w:p>
      <w:pPr>
        <w:ind w:right="20" w:firstLine="1505"/>
        <w:spacing w:after="0" w:line="258" w:lineRule="auto"/>
        <w:tabs>
          <w:tab w:leader="none" w:pos="1857" w:val="left"/>
        </w:tabs>
        <w:numPr>
          <w:ilvl w:val="1"/>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Rights of a Stockholder; Dividends</w:t>
      </w:r>
      <w:r>
        <w:rPr>
          <w:rFonts w:ascii="Times New Roman" w:cs="Times New Roman" w:eastAsia="Times New Roman" w:hAnsi="Times New Roman"/>
          <w:sz w:val="18"/>
          <w:szCs w:val="18"/>
          <w:color w:val="auto"/>
        </w:rPr>
        <w:t>. Except to the extent restricted under the Award Agreement relating to the Restricted Stock,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Participant granted Restricted Stock shall have all of the rights of a stockholder of Common Stock including, without limitation, the right to vote Restricted Stock. Dividends declared payable on Restricted Stock shall be subject to Section 7(m). Stock distributed in connection with a stock split or stock dividend, and other property distributed as a dividend, shall be subject to restrictions and a risk of forfeiture to the same extent as the Restricted Stock with respect to which such Common Stock or other property has been</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516" w:name="page517"/>
    <w:bookmarkEnd w:id="516"/>
    <w:p>
      <w:pPr>
        <w:ind w:right="20"/>
        <w:spacing w:after="0" w:line="261" w:lineRule="auto"/>
        <w:rPr>
          <w:sz w:val="20"/>
          <w:szCs w:val="20"/>
          <w:color w:val="auto"/>
        </w:rPr>
      </w:pPr>
      <w:r>
        <w:rPr>
          <w:rFonts w:ascii="Times New Roman" w:cs="Times New Roman" w:eastAsia="Times New Roman" w:hAnsi="Times New Roman"/>
          <w:sz w:val="18"/>
          <w:szCs w:val="18"/>
          <w:color w:val="auto"/>
        </w:rPr>
        <w:t>distributed. As soon as is practicable following the date on which restrictions on any shares of Restricted Stock lapse, Axsome shall deliver to the Participant the certificates for such shares or shall cause the shares to be registered in the Participant’s name in book-entry form, in either case with the restrictions removed, provided that the Participant shall have complied with all conditions for delivery of such shares contained in the Award Agreement or otherwise reasonably required by Axsome.</w:t>
      </w:r>
    </w:p>
    <w:p>
      <w:pPr>
        <w:spacing w:after="0" w:line="178" w:lineRule="exact"/>
        <w:rPr>
          <w:sz w:val="20"/>
          <w:szCs w:val="20"/>
          <w:color w:val="auto"/>
        </w:rPr>
      </w:pPr>
    </w:p>
    <w:p>
      <w:pPr>
        <w:ind w:right="60" w:firstLine="1505"/>
        <w:spacing w:after="0" w:line="258" w:lineRule="auto"/>
        <w:tabs>
          <w:tab w:leader="none" w:pos="1857" w:val="left"/>
        </w:tabs>
        <w:numPr>
          <w:ilvl w:val="1"/>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Termination of Service</w:t>
      </w:r>
      <w:r>
        <w:rPr>
          <w:rFonts w:ascii="Times New Roman" w:cs="Times New Roman" w:eastAsia="Times New Roman" w:hAnsi="Times New Roman"/>
          <w:sz w:val="18"/>
          <w:szCs w:val="18"/>
          <w:color w:val="auto"/>
        </w:rPr>
        <w:t>. Except as provided in the applicable Award Agreement, upon Termination of Service during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applicable Restriction Period, Restricted Stock and any accrued but unpaid dividends that are at that time subject to restrictions shall be forfeited;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Administrator may provide, by rule or regulation or in any Award Agreement, or may determine in any individual case, that restrictions or forfeiture conditions relating to Restricted Stock will be waived in whole or in part in the event of terminations resulting from specified causes, and the Administrator may in other cases waive in whole or in part the forfeiture of Restricted Stock.</w:t>
      </w:r>
    </w:p>
    <w:p>
      <w:pPr>
        <w:spacing w:after="0" w:line="183" w:lineRule="exact"/>
        <w:rPr>
          <w:rFonts w:ascii="Times New Roman" w:cs="Times New Roman" w:eastAsia="Times New Roman" w:hAnsi="Times New Roman"/>
          <w:sz w:val="18"/>
          <w:szCs w:val="18"/>
          <w:color w:val="auto"/>
        </w:rPr>
      </w:pPr>
    </w:p>
    <w:p>
      <w:pPr>
        <w:ind w:right="140" w:firstLine="1505"/>
        <w:spacing w:after="0" w:line="284" w:lineRule="auto"/>
        <w:tabs>
          <w:tab w:leader="none" w:pos="1857" w:val="left"/>
        </w:tabs>
        <w:numPr>
          <w:ilvl w:val="1"/>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Additional Terms and Conditions</w:t>
      </w:r>
      <w:r>
        <w:rPr>
          <w:rFonts w:ascii="Times New Roman" w:cs="Times New Roman" w:eastAsia="Times New Roman" w:hAnsi="Times New Roman"/>
          <w:sz w:val="18"/>
          <w:szCs w:val="18"/>
          <w:color w:val="auto"/>
        </w:rPr>
        <w:t>. The Administrator may, by way of the Award Agreement or otherwise, determine such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terms, conditions, restrictions, and/or limitations, if any, of any Award of Restricted Stock,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they are not inconsistent with the Plan.</w:t>
      </w:r>
    </w:p>
    <w:p>
      <w:pPr>
        <w:spacing w:after="0" w:line="158" w:lineRule="exact"/>
        <w:rPr>
          <w:rFonts w:ascii="Times New Roman" w:cs="Times New Roman" w:eastAsia="Times New Roman" w:hAnsi="Times New Roman"/>
          <w:sz w:val="18"/>
          <w:szCs w:val="18"/>
          <w:color w:val="auto"/>
        </w:rPr>
      </w:pPr>
    </w:p>
    <w:p>
      <w:pPr>
        <w:ind w:left="1120" w:hanging="363"/>
        <w:spacing w:after="0"/>
        <w:tabs>
          <w:tab w:leader="none" w:pos="1120"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Stock Units</w:t>
      </w:r>
      <w:r>
        <w:rPr>
          <w:rFonts w:ascii="Times New Roman" w:cs="Times New Roman" w:eastAsia="Times New Roman" w:hAnsi="Times New Roman"/>
          <w:sz w:val="18"/>
          <w:szCs w:val="18"/>
          <w:color w:val="auto"/>
        </w:rPr>
        <w:t>.</w:t>
      </w:r>
    </w:p>
    <w:p>
      <w:pPr>
        <w:spacing w:after="0" w:line="184" w:lineRule="exact"/>
        <w:rPr>
          <w:rFonts w:ascii="Times New Roman" w:cs="Times New Roman" w:eastAsia="Times New Roman" w:hAnsi="Times New Roman"/>
          <w:sz w:val="18"/>
          <w:szCs w:val="18"/>
          <w:color w:val="auto"/>
        </w:rPr>
      </w:pPr>
    </w:p>
    <w:p>
      <w:pPr>
        <w:ind w:right="20" w:firstLine="1505"/>
        <w:spacing w:after="0" w:line="257" w:lineRule="auto"/>
        <w:tabs>
          <w:tab w:leader="none" w:pos="1857" w:val="left"/>
        </w:tabs>
        <w:numPr>
          <w:ilvl w:val="1"/>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Grants</w:t>
      </w:r>
      <w:r>
        <w:rPr>
          <w:rFonts w:ascii="Times New Roman" w:cs="Times New Roman" w:eastAsia="Times New Roman" w:hAnsi="Times New Roman"/>
          <w:sz w:val="18"/>
          <w:szCs w:val="18"/>
          <w:color w:val="auto"/>
        </w:rPr>
        <w:t>. The Administrator may from time to time grant to Eligible Individuals Awards of unrestricted stock Units or Restricted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 Units on such terms and conditions, and for such consideration, including no consideration or such minimum consideration as may be required by law, as the Administrator shall determine, subject to the limitations set forth in Section 7(b). Restricted Stock Units represent a contractual obligation by Axsome to deliver a number of shares of Common Stock, an amount in cash equal to the Fair Market Value of the specified number of shares subject to the Award, or a combination of shares of Common Stock and cash, in accordance with the terms and conditions set forth in the Plan and any applicable Award Agreement.</w:t>
      </w:r>
    </w:p>
    <w:p>
      <w:pPr>
        <w:spacing w:after="0" w:line="182" w:lineRule="exact"/>
        <w:rPr>
          <w:rFonts w:ascii="Times New Roman" w:cs="Times New Roman" w:eastAsia="Times New Roman" w:hAnsi="Times New Roman"/>
          <w:sz w:val="18"/>
          <w:szCs w:val="18"/>
          <w:color w:val="auto"/>
        </w:rPr>
      </w:pPr>
    </w:p>
    <w:p>
      <w:pPr>
        <w:ind w:firstLine="1505"/>
        <w:spacing w:after="0" w:line="255" w:lineRule="auto"/>
        <w:tabs>
          <w:tab w:leader="none" w:pos="1857" w:val="left"/>
        </w:tabs>
        <w:numPr>
          <w:ilvl w:val="1"/>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Vesting and Payment</w:t>
      </w:r>
      <w:r>
        <w:rPr>
          <w:rFonts w:ascii="Times New Roman" w:cs="Times New Roman" w:eastAsia="Times New Roman" w:hAnsi="Times New Roman"/>
          <w:sz w:val="18"/>
          <w:szCs w:val="18"/>
          <w:color w:val="auto"/>
        </w:rPr>
        <w:t>. Restricted Stock Units shall be subject to such vesting, risk of forfeiture and/or payment provisions as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Administrator may impose at the date of grant. The Restriction Period to which such vesting and/or risk of forfeiture apply may lapse under such circumstances, including without limitation upon the attainment of Performance Goals, in such installments, or otherwise, as the Administrator may determine. Shares of Common Stock, cash or a combination of shares of Common Stock and cash, as applicable, payable in settlement of Restricted Stock Units shall be delivered to the Participant as soon as administratively practicable, but no later than 30 days, after the date on which payment is due under the terms of the Award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Participant shall have complied with all conditions for delivery of such shares or payment contained in the Award Agreement or otherwise reasonably required by Axsome, or in accordance with an election of the Participant, if the Administrator so permits, that meets the requirements of Section 409A of the Code.</w:t>
      </w:r>
    </w:p>
    <w:p>
      <w:pPr>
        <w:spacing w:after="0" w:line="184" w:lineRule="exact"/>
        <w:rPr>
          <w:rFonts w:ascii="Times New Roman" w:cs="Times New Roman" w:eastAsia="Times New Roman" w:hAnsi="Times New Roman"/>
          <w:sz w:val="18"/>
          <w:szCs w:val="18"/>
          <w:color w:val="auto"/>
        </w:rPr>
      </w:pPr>
    </w:p>
    <w:p>
      <w:pPr>
        <w:ind w:right="200" w:firstLine="1505"/>
        <w:spacing w:after="0" w:line="261" w:lineRule="auto"/>
        <w:tabs>
          <w:tab w:leader="none" w:pos="1857" w:val="left"/>
        </w:tabs>
        <w:numPr>
          <w:ilvl w:val="1"/>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Rights of a Stockholder; Dividend Equivalents</w:t>
      </w:r>
      <w:r>
        <w:rPr>
          <w:rFonts w:ascii="Times New Roman" w:cs="Times New Roman" w:eastAsia="Times New Roman" w:hAnsi="Times New Roman"/>
          <w:sz w:val="18"/>
          <w:szCs w:val="18"/>
          <w:color w:val="auto"/>
        </w:rPr>
        <w:t>. Until shares of Common Stock are issued to the Participant in settlement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 Units, the Participant shall not have any rights of a stockholder of Axsome with respect to the stock Units or the shares issuable thereunder. The Administrator may grant to the Participant the right to receive Dividend Equivalents on stock Units, subject to such terms as the Administrator may determine and subject to Section 7(m).</w:t>
      </w:r>
    </w:p>
    <w:p>
      <w:pPr>
        <w:spacing w:after="0" w:line="179" w:lineRule="exact"/>
        <w:rPr>
          <w:rFonts w:ascii="Times New Roman" w:cs="Times New Roman" w:eastAsia="Times New Roman" w:hAnsi="Times New Roman"/>
          <w:sz w:val="18"/>
          <w:szCs w:val="18"/>
          <w:color w:val="auto"/>
        </w:rPr>
      </w:pPr>
    </w:p>
    <w:p>
      <w:pPr>
        <w:ind w:right="80" w:firstLine="1505"/>
        <w:spacing w:after="0" w:line="257" w:lineRule="auto"/>
        <w:tabs>
          <w:tab w:leader="none" w:pos="1857" w:val="left"/>
        </w:tabs>
        <w:numPr>
          <w:ilvl w:val="1"/>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Termination of Service</w:t>
      </w:r>
      <w:r>
        <w:rPr>
          <w:rFonts w:ascii="Times New Roman" w:cs="Times New Roman" w:eastAsia="Times New Roman" w:hAnsi="Times New Roman"/>
          <w:sz w:val="18"/>
          <w:szCs w:val="18"/>
          <w:color w:val="auto"/>
        </w:rPr>
        <w:t>. Upon Termination of Service during the applicable deferral period or portion thereof to which forfeiture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conditions apply, or upon failure to satisfy any other conditions precedent to the delivery of shares of Common Stock or cash to which such Restricted Stock Units relate, all Restricted Stock Units and any accrued but unpaid Dividend Equivalents with respect to such Restricted Stock Units that are then subject to deferral or restriction shall be forfeited;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Administrator may provide, by rule or regulation or in any Award Agreement, or may determine in any individual case, that restrictions or forfeiture conditions relating to Restricted Stock Units will be waived in whole or in part in the event of termination resulting from specified causes, and the Administrator may in other cases waive in whole or in part the forfeiture of Restricted Stock Units.</w:t>
      </w:r>
    </w:p>
    <w:p>
      <w:pPr>
        <w:spacing w:after="0" w:line="40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517" w:name="page518"/>
    <w:bookmarkEnd w:id="517"/>
    <w:p>
      <w:pPr>
        <w:ind w:left="-20" w:right="160" w:firstLine="1505"/>
        <w:spacing w:after="0" w:line="284" w:lineRule="auto"/>
        <w:tabs>
          <w:tab w:leader="none" w:pos="1837" w:val="left"/>
        </w:tabs>
        <w:numPr>
          <w:ilvl w:val="1"/>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Additional Terms and Conditions</w:t>
      </w:r>
      <w:r>
        <w:rPr>
          <w:rFonts w:ascii="Times New Roman" w:cs="Times New Roman" w:eastAsia="Times New Roman" w:hAnsi="Times New Roman"/>
          <w:sz w:val="18"/>
          <w:szCs w:val="18"/>
          <w:color w:val="auto"/>
        </w:rPr>
        <w:t>. The Administrator may, by way of the Award Agreement or otherwise, determine such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terms, conditions, restrictions, and/or limitations, if any, of any Award of stock Units,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they are not inconsistent with the Plan.</w:t>
      </w:r>
    </w:p>
    <w:p>
      <w:pPr>
        <w:spacing w:after="0" w:line="158" w:lineRule="exact"/>
        <w:rPr>
          <w:rFonts w:ascii="Times New Roman" w:cs="Times New Roman" w:eastAsia="Times New Roman" w:hAnsi="Times New Roman"/>
          <w:sz w:val="18"/>
          <w:szCs w:val="18"/>
          <w:color w:val="auto"/>
        </w:rPr>
      </w:pPr>
    </w:p>
    <w:p>
      <w:pPr>
        <w:ind w:left="1100" w:hanging="363"/>
        <w:spacing w:after="0"/>
        <w:tabs>
          <w:tab w:leader="none" w:pos="1100" w:val="left"/>
        </w:tabs>
        <w:numPr>
          <w:ilvl w:val="0"/>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Performance Shares, Performance Stock Units and Performance Cash Units</w:t>
      </w:r>
      <w:r>
        <w:rPr>
          <w:rFonts w:ascii="Times New Roman" w:cs="Times New Roman" w:eastAsia="Times New Roman" w:hAnsi="Times New Roman"/>
          <w:sz w:val="18"/>
          <w:szCs w:val="18"/>
          <w:color w:val="auto"/>
        </w:rPr>
        <w:t>.</w:t>
      </w:r>
    </w:p>
    <w:p>
      <w:pPr>
        <w:spacing w:after="0" w:line="184" w:lineRule="exact"/>
        <w:rPr>
          <w:rFonts w:ascii="Times New Roman" w:cs="Times New Roman" w:eastAsia="Times New Roman" w:hAnsi="Times New Roman"/>
          <w:sz w:val="18"/>
          <w:szCs w:val="18"/>
          <w:color w:val="auto"/>
        </w:rPr>
      </w:pPr>
    </w:p>
    <w:p>
      <w:pPr>
        <w:ind w:left="-20" w:right="80" w:firstLine="1505"/>
        <w:spacing w:after="0" w:line="270" w:lineRule="auto"/>
        <w:tabs>
          <w:tab w:leader="none" w:pos="1837" w:val="left"/>
        </w:tabs>
        <w:numPr>
          <w:ilvl w:val="1"/>
          <w:numId w:val="2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Grants</w:t>
      </w:r>
      <w:r>
        <w:rPr>
          <w:rFonts w:ascii="Times New Roman" w:cs="Times New Roman" w:eastAsia="Times New Roman" w:hAnsi="Times New Roman"/>
          <w:sz w:val="17"/>
          <w:szCs w:val="17"/>
          <w:color w:val="auto"/>
        </w:rPr>
        <w:t>. The Administrator may from time-to-time grant to Eligible Individuals Awards in the form of Performance Shares,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Performance Stock Units and Performance Cash Units. Performance Shares, as that term is used in this Plan, shall refer to shares of Common Stock, the issuance, vesting, lapse of restrictions on or payment of which is contingent on performance as measured against predetermined objectives over a specified Performance Period. Performance Stock Units, as that term is used in this Plan, shall refer to Units that are expressed in terms of Common Stock, the issuance, vesting, lapse of restrictions on or payment of which is contingent on performance as measured against predetermined objectives over a specified Performance Period. Performance Cash Units, as that term is used in this Plan, shall refer to dollar-denominated Units valued by reference to designated criteria established by the Administrator, other than Common Stock, the issuance, vesting, lapse of restrictions on or payment of which is contingent on performance as measured against predetermined objectives over a specified Performance Period. The applicable Award Agreement shall specify whether Performance Shares, Performance Stock Units and Performance Cash Units will be settled or paid in cash or shares of Common Stock or a combination of both, or shall reserve to the Administrator or the Participant the right to make that determination prior to or at the payment or settlement date.</w:t>
      </w:r>
    </w:p>
    <w:p>
      <w:pPr>
        <w:spacing w:after="0" w:line="177" w:lineRule="exact"/>
        <w:rPr>
          <w:sz w:val="20"/>
          <w:szCs w:val="20"/>
          <w:color w:val="auto"/>
        </w:rPr>
      </w:pPr>
    </w:p>
    <w:p>
      <w:pPr>
        <w:ind w:left="-20" w:firstLine="1505"/>
        <w:spacing w:after="0" w:line="251" w:lineRule="auto"/>
        <w:tabs>
          <w:tab w:leader="none" w:pos="1837"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Performance Criteria</w:t>
      </w:r>
      <w:r>
        <w:rPr>
          <w:rFonts w:ascii="Times New Roman" w:cs="Times New Roman" w:eastAsia="Times New Roman" w:hAnsi="Times New Roman"/>
          <w:sz w:val="18"/>
          <w:szCs w:val="18"/>
          <w:color w:val="auto"/>
        </w:rPr>
        <w:t>. The Administrator shall, prior to or at the time of grant, condition the grant, vesting or payment of,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lapse of restrictions on, an Award of Performance Shares, Performance Stock Units or Performance Cash Units upon (A) the attainment of Performance Goals during a Performance Period or (B) the attainment of Performance Goals and the continued service of the Participant. The length of the Performance Period, the Performance Goals to be achieved during the Performance Period, and the measure of whether and to what degree such Performance Goals have been attained shall be conclusively determined by the Administrator in the exercise of its absolute discretion. Performance Goals may include minimum, maximum and target levels of performance, with the size of the Award or payout of Performance Shares, Performance Stock Units or Performance Cash Units or the vesting or lapse of restrictions with respect thereto based on the level attained. Performance Goals may be applied on a per share or absolute basis and relative to one or more Performance Metrics, or any combination thereof, and may be measured pursuant to U.S. generally accepted accounting principles (“GAAP”), non-GAAP or other objective standards in a manner consistent with Axsome’s or its Subsidiary’s established accounting policies, all as the Administrator shall determine at the time the Performance Goals for a Performance Period are established. The Administrator may, in its sole discretion, provide that one or more objectively determinable adjustments shall be made to the manner in which one or more of the Performance Goals is to be calculated or measured to take into account, or ignore, one or more of the following: (1) items related to a change in accounting principle; (2) items relating to financing activities; (3) expenses for restructuring or productivity initiatives; (4) other non-operating items; (5) items related to acquisitions; (6) items attributable to the business operations of any entity acquired by the Company during the Performance Period; (7) items related to the sale or disposition of a business or segment of a business; (8) items related to discontinued operations that do not qualify as a segment of a business under U.S. generally accepted accounting principles; (9) items attributable to any stock dividend, stock split, combination or exchange of stock occurring during the Performance Period; (10) any other items of significant income or expense which are determined to be appropriate adjustments; (11) items relating to unusual or extraordinary corporate transactions, events or developments, (12) items related to amortization of acquired intangible assets; (13) items that are outside the scope of the Company’s core, on-going business activities; (14) changes in foreign currency exchange rates; (15) items relating to changes in tax laws; (16) certain identified expenses (including, but not limited to, cash bonus expenses, incentive expenses and acquisition-related transaction and integration expenses); (17) items relating to asset impairment charges; (18) items relating to gains or unusual or nonrecurring events or changes in applicable law, accounting principles or business conditions, or (19) or any other items selected by the Administrator. Performance Shares, Performance Stock Units or Performance Cash Units shall be settled as and when the Award vests or at a later time specified in the Award Agreement or in accordance with an election of the Participant, if the Administrator so permits, that meets the requirements of Section 409A of the Code.</w:t>
      </w:r>
    </w:p>
    <w:p>
      <w:pPr>
        <w:spacing w:after="0" w:line="204" w:lineRule="exact"/>
        <w:rPr>
          <w:rFonts w:ascii="Times New Roman" w:cs="Times New Roman" w:eastAsia="Times New Roman" w:hAnsi="Times New Roman"/>
          <w:sz w:val="18"/>
          <w:szCs w:val="18"/>
          <w:color w:val="auto"/>
        </w:rPr>
      </w:pPr>
    </w:p>
    <w:p>
      <w:pPr>
        <w:ind w:left="-20" w:right="160" w:firstLine="1505"/>
        <w:spacing w:after="0" w:line="284" w:lineRule="auto"/>
        <w:tabs>
          <w:tab w:leader="none" w:pos="1837"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Additional Terms and Conditions</w:t>
      </w:r>
      <w:r>
        <w:rPr>
          <w:rFonts w:ascii="Times New Roman" w:cs="Times New Roman" w:eastAsia="Times New Roman" w:hAnsi="Times New Roman"/>
          <w:sz w:val="18"/>
          <w:szCs w:val="18"/>
          <w:color w:val="auto"/>
        </w:rPr>
        <w:t>. The Administrator may, by way of the Award Agreement or otherwise, determine such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terms, conditions, restrictions, and/or limitations, if any, of any</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621665</wp:posOffset>
            </wp:positionV>
            <wp:extent cx="7157720" cy="42545"/>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415" w:right="339" w:bottom="1440" w:gutter="0" w:footer="0" w:header="0"/>
        </w:sectPr>
      </w:pPr>
    </w:p>
    <w:bookmarkStart w:id="518" w:name="page519"/>
    <w:bookmarkEnd w:id="518"/>
    <w:p>
      <w:pPr>
        <w:ind w:right="220"/>
        <w:spacing w:after="0" w:line="284" w:lineRule="auto"/>
        <w:rPr>
          <w:sz w:val="20"/>
          <w:szCs w:val="20"/>
          <w:color w:val="auto"/>
        </w:rPr>
      </w:pPr>
      <w:r>
        <w:rPr>
          <w:rFonts w:ascii="Times New Roman" w:cs="Times New Roman" w:eastAsia="Times New Roman" w:hAnsi="Times New Roman"/>
          <w:sz w:val="18"/>
          <w:szCs w:val="18"/>
          <w:color w:val="auto"/>
        </w:rPr>
        <w:t xml:space="preserve">Award of Performance Shares, Performance Stock Units or Performance Cash Units,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they are not inconsistent with the Plan (including, without limitation, Section 7(l)).</w:t>
      </w:r>
    </w:p>
    <w:p>
      <w:pPr>
        <w:spacing w:after="0" w:line="158" w:lineRule="exact"/>
        <w:rPr>
          <w:sz w:val="20"/>
          <w:szCs w:val="20"/>
          <w:color w:val="auto"/>
        </w:rPr>
      </w:pPr>
    </w:p>
    <w:p>
      <w:pPr>
        <w:ind w:firstLine="757"/>
        <w:spacing w:after="0" w:line="256" w:lineRule="auto"/>
        <w:tabs>
          <w:tab w:leader="none" w:pos="1109" w:val="left"/>
        </w:tabs>
        <w:numPr>
          <w:ilvl w:val="1"/>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Other Stock-Based Awards. </w:t>
      </w:r>
      <w:r>
        <w:rPr>
          <w:rFonts w:ascii="Times New Roman" w:cs="Times New Roman" w:eastAsia="Times New Roman" w:hAnsi="Times New Roman"/>
          <w:sz w:val="18"/>
          <w:szCs w:val="18"/>
          <w:color w:val="auto"/>
        </w:rPr>
        <w:t xml:space="preserve">The Administrator may from time-to-time grant to Eligible Individuals Awards in the form of Other Stock-Based Awards. Other Stock-Based Awards in the form of Dividend Equivalents may be (A) awarded on a free-standing basis or in connection with another Award other than a stock option or stock appreciation right, (B) paid currently or credited to an account for the Participant, including the reinvestment of such credited amounts in Common Stock equivalents, to be paid on a deferred basis, and (C) settled in cash or Common Stock as determined by the Administrator;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Dividend Equivalents payable on Other Stock-Based Awards (or any other Awards, as applicable) shall be subject to Section 7(m). Any such settlements, and any such crediting of Dividend Equivalents, may be subject to such conditions, restrictions and contingencies as the Administrator shall establish.</w:t>
      </w:r>
    </w:p>
    <w:p>
      <w:pPr>
        <w:spacing w:after="0" w:line="142" w:lineRule="exact"/>
        <w:rPr>
          <w:rFonts w:ascii="Times New Roman" w:cs="Times New Roman" w:eastAsia="Times New Roman" w:hAnsi="Times New Roman"/>
          <w:sz w:val="18"/>
          <w:szCs w:val="18"/>
          <w:color w:val="auto"/>
        </w:rPr>
      </w:pPr>
    </w:p>
    <w:p>
      <w:pPr>
        <w:ind w:right="20" w:firstLine="757"/>
        <w:spacing w:after="0" w:line="257" w:lineRule="auto"/>
        <w:tabs>
          <w:tab w:leader="none" w:pos="1109" w:val="left"/>
        </w:tabs>
        <w:numPr>
          <w:ilvl w:val="1"/>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Awards to Participants Outside the United States. </w:t>
      </w:r>
      <w:r>
        <w:rPr>
          <w:rFonts w:ascii="Times New Roman" w:cs="Times New Roman" w:eastAsia="Times New Roman" w:hAnsi="Times New Roman"/>
          <w:sz w:val="18"/>
          <w:szCs w:val="18"/>
          <w:color w:val="auto"/>
        </w:rPr>
        <w:t>The Administrator may grant Awards to Eligible Individuals who are foreign nationals,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who are located outside the United States or who are not compensated from a payroll maintained in the United States, or who are otherwise subject to (or could cause Axsome or a Subsidiary to be subject to) tax, legal or regulatory provisions of countries or jurisdictions outside the United States, on such terms and conditions different from those specified in the Plan as may, in the judgment of the Administrator, be necessary or desirable in order that any such Award shall conform to laws, regulations, and customs of the country or jurisdiction in which the Participant is then resident or primarily employed or to foster and promote achievement of the purposes of the Plan.</w:t>
      </w:r>
    </w:p>
    <w:p>
      <w:pPr>
        <w:spacing w:after="0" w:line="155" w:lineRule="exact"/>
        <w:rPr>
          <w:rFonts w:ascii="Times New Roman" w:cs="Times New Roman" w:eastAsia="Times New Roman" w:hAnsi="Times New Roman"/>
          <w:sz w:val="18"/>
          <w:szCs w:val="18"/>
          <w:color w:val="auto"/>
        </w:rPr>
      </w:pPr>
    </w:p>
    <w:p>
      <w:pPr>
        <w:ind w:right="40" w:firstLine="757"/>
        <w:spacing w:after="0" w:line="256" w:lineRule="auto"/>
        <w:tabs>
          <w:tab w:leader="none" w:pos="1109" w:val="left"/>
        </w:tabs>
        <w:numPr>
          <w:ilvl w:val="1"/>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Limitation on Dividend Reinvestment and Dividend Equivalents</w:t>
      </w:r>
      <w:r>
        <w:rPr>
          <w:rFonts w:ascii="Times New Roman" w:cs="Times New Roman" w:eastAsia="Times New Roman" w:hAnsi="Times New Roman"/>
          <w:sz w:val="18"/>
          <w:szCs w:val="18"/>
          <w:color w:val="auto"/>
        </w:rPr>
        <w:t>. Reinvestment of dividends in additional Restricted Stock at the time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any dividend payment, and the payment of shares of Common Stock with respect to dividends to Participants holding Awards of stock Units, shall only be permissible if sufficient shares are available under the Share Pool for such reinvestment or payment (taking into account then outstanding Awards). In the event that sufficient shares are not available under the Share Pool for such reinvestment or payment, such reinvestment or payment shall be made in the form of a grant of stock Units equal in number to the shares of Common Stock that would have been obtained by such payment or reinvestment, the terms of which stock Units shall provide for settlement in cash and for Dividend Equivalent reinvestment in further stock Units on the terms contemplated by this Section 7(k).</w:t>
      </w:r>
    </w:p>
    <w:p>
      <w:pPr>
        <w:spacing w:after="0" w:line="142" w:lineRule="exact"/>
        <w:rPr>
          <w:rFonts w:ascii="Times New Roman" w:cs="Times New Roman" w:eastAsia="Times New Roman" w:hAnsi="Times New Roman"/>
          <w:sz w:val="18"/>
          <w:szCs w:val="18"/>
          <w:color w:val="auto"/>
        </w:rPr>
      </w:pPr>
    </w:p>
    <w:p>
      <w:pPr>
        <w:ind w:firstLine="757"/>
        <w:spacing w:after="0" w:line="255" w:lineRule="auto"/>
        <w:tabs>
          <w:tab w:leader="none" w:pos="1109" w:val="left"/>
        </w:tabs>
        <w:numPr>
          <w:ilvl w:val="1"/>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Dividends and Dividend Equivalents</w:t>
      </w:r>
      <w:r>
        <w:rPr>
          <w:rFonts w:ascii="Times New Roman" w:cs="Times New Roman" w:eastAsia="Times New Roman" w:hAnsi="Times New Roman"/>
          <w:sz w:val="18"/>
          <w:szCs w:val="18"/>
          <w:color w:val="auto"/>
        </w:rPr>
        <w:t>. Dividends or dividend equivalents may be paid or credited, as applicable, with respect to any shares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Common Stock subject to an Award, as determined by the Board and contained in the applicable Award Agreement; provided, however, that (i) no dividends or dividend equivalents may be paid with respect to any such shares before the date such shares have vested under the terms of such Award Agreement, (ii) any dividends or dividend equivalents that are credited with respect to any such shares will be subject to all of the terms and conditions applicable to such shares under the terms of such Award Agreement (including, but not limited to, any vesting conditions), and (iii) any dividends or dividend equivalents that are credited with respect to any such shares will be forfeited to the Company on the date, if any, such shares are forfeited to or repurchased by the Company due to a failure to meet any vesting conditions under the terms of such Award Agreement. For the avoidance of doubt, no dividends or dividend equivalents may be granted in connection with stock options or stock appreciation rights.</w:t>
      </w:r>
    </w:p>
    <w:p>
      <w:pPr>
        <w:spacing w:after="0" w:line="142" w:lineRule="exact"/>
        <w:rPr>
          <w:rFonts w:ascii="Times New Roman" w:cs="Times New Roman" w:eastAsia="Times New Roman" w:hAnsi="Times New Roman"/>
          <w:sz w:val="18"/>
          <w:szCs w:val="18"/>
          <w:color w:val="auto"/>
        </w:rPr>
      </w:pPr>
    </w:p>
    <w:p>
      <w:pPr>
        <w:ind w:left="360" w:hanging="352"/>
        <w:spacing w:after="0"/>
        <w:tabs>
          <w:tab w:leader="none" w:pos="360" w:val="left"/>
        </w:tabs>
        <w:numPr>
          <w:ilvl w:val="0"/>
          <w:numId w:val="2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Withholding of Taxes</w:t>
      </w:r>
      <w:r>
        <w:rPr>
          <w:rFonts w:ascii="Times New Roman" w:cs="Times New Roman" w:eastAsia="Times New Roman" w:hAnsi="Times New Roman"/>
          <w:sz w:val="18"/>
          <w:szCs w:val="18"/>
          <w:color w:val="auto"/>
        </w:rPr>
        <w:t>.</w:t>
      </w:r>
    </w:p>
    <w:p>
      <w:pPr>
        <w:spacing w:after="0" w:line="202" w:lineRule="exact"/>
        <w:rPr>
          <w:sz w:val="20"/>
          <w:szCs w:val="20"/>
          <w:color w:val="auto"/>
        </w:rPr>
      </w:pPr>
    </w:p>
    <w:p>
      <w:pPr>
        <w:ind w:right="20" w:firstLine="749"/>
        <w:spacing w:after="0" w:line="254" w:lineRule="auto"/>
        <w:rPr>
          <w:sz w:val="20"/>
          <w:szCs w:val="20"/>
          <w:color w:val="auto"/>
        </w:rPr>
      </w:pPr>
      <w:r>
        <w:rPr>
          <w:rFonts w:ascii="Times New Roman" w:cs="Times New Roman" w:eastAsia="Times New Roman" w:hAnsi="Times New Roman"/>
          <w:sz w:val="18"/>
          <w:szCs w:val="18"/>
          <w:color w:val="auto"/>
        </w:rPr>
        <w:t>Participants and holders of Awards shall pay to Axsome or its Affiliate, or make arrangements satisfactory to the Administrator for payment of, any Tax Withholding Obligation in respect of Awards granted under the Plan no later than the date of the event creating the tax or social insurance contribution liability. The obligations of Axsome under the Plan shall be conditional on such payment or arrangements. Unless otherwise determined by the Administrator, Tax Withholding Obligations may be settled in whole or in part with shares of Common Stock, including unrestricted outstanding shares surrendered to Axsome and unrestricted shares that are part of the Award that gives rise to the Tax Withholding Obligation, having a Fair Market Value on the date of surrender or withholding equal to the statutory minimum amount (or such greater amount permitted under FASB Accounting Standards Codification Topic 718, Compensation—Stock Compensation, for equity-classified awards) required to be withheld for tax or social insurance contribution purposes, all in accordance with such procedures as the</w:t>
      </w: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5" w:right="339" w:bottom="1440" w:gutter="0" w:footer="0" w:header="0"/>
        </w:sectPr>
      </w:pPr>
    </w:p>
    <w:bookmarkStart w:id="519" w:name="page520"/>
    <w:bookmarkEnd w:id="519"/>
    <w:p>
      <w:pPr>
        <w:ind w:right="20"/>
        <w:spacing w:after="0" w:line="282" w:lineRule="auto"/>
        <w:rPr>
          <w:sz w:val="20"/>
          <w:szCs w:val="20"/>
          <w:color w:val="auto"/>
        </w:rPr>
      </w:pPr>
      <w:r>
        <w:rPr>
          <w:rFonts w:ascii="Times New Roman" w:cs="Times New Roman" w:eastAsia="Times New Roman" w:hAnsi="Times New Roman"/>
          <w:sz w:val="18"/>
          <w:szCs w:val="18"/>
          <w:color w:val="auto"/>
        </w:rPr>
        <w:t>Administrator establishes. Axsome or its Affiliate may deduct, to the extent permitted by law, any such Tax Withholding Obligations from any payment of any kind otherwise due to the Participant or holder of an Award.</w:t>
      </w:r>
    </w:p>
    <w:p>
      <w:pPr>
        <w:spacing w:after="0" w:line="117" w:lineRule="exact"/>
        <w:rPr>
          <w:sz w:val="20"/>
          <w:szCs w:val="20"/>
          <w:color w:val="auto"/>
        </w:rPr>
      </w:pPr>
    </w:p>
    <w:p>
      <w:pPr>
        <w:ind w:left="360" w:hanging="352"/>
        <w:spacing w:after="0"/>
        <w:tabs>
          <w:tab w:leader="none" w:pos="360" w:val="left"/>
        </w:tabs>
        <w:numPr>
          <w:ilvl w:val="0"/>
          <w:numId w:val="2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Transferability of Awards</w:t>
      </w:r>
      <w:r>
        <w:rPr>
          <w:rFonts w:ascii="Times New Roman" w:cs="Times New Roman" w:eastAsia="Times New Roman" w:hAnsi="Times New Roman"/>
          <w:sz w:val="18"/>
          <w:szCs w:val="18"/>
          <w:color w:val="auto"/>
        </w:rPr>
        <w:t>.</w:t>
      </w:r>
    </w:p>
    <w:p>
      <w:pPr>
        <w:spacing w:after="0" w:line="200" w:lineRule="exact"/>
        <w:rPr>
          <w:rFonts w:ascii="Times New Roman" w:cs="Times New Roman" w:eastAsia="Times New Roman" w:hAnsi="Times New Roman"/>
          <w:sz w:val="18"/>
          <w:szCs w:val="18"/>
          <w:b w:val="1"/>
          <w:bCs w:val="1"/>
          <w:color w:val="auto"/>
        </w:rPr>
      </w:pPr>
    </w:p>
    <w:p>
      <w:pPr>
        <w:ind w:firstLine="757"/>
        <w:spacing w:after="0" w:line="254" w:lineRule="auto"/>
        <w:tabs>
          <w:tab w:leader="none" w:pos="1109" w:val="left"/>
        </w:tabs>
        <w:numPr>
          <w:ilvl w:val="1"/>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General Nontransferability Absent Administrator Permission. </w:t>
      </w:r>
      <w:r>
        <w:rPr>
          <w:rFonts w:ascii="Times New Roman" w:cs="Times New Roman" w:eastAsia="Times New Roman" w:hAnsi="Times New Roman"/>
          <w:sz w:val="18"/>
          <w:szCs w:val="18"/>
          <w:color w:val="auto"/>
        </w:rPr>
        <w:t>Except as otherwise determined by the Administrator, and in any event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case of an Incentive Stock Option or a tandem stock appreciation right granted with respect to an Incentive Stock Option, no Award granted under the Plan shall be transferable by a Participant otherwise than by will or the laws of descent and distribution. The Administrator shall not permit any transfer of an Award for value. An Award may be exercised during the lifetime of the Participant, only by the Participant or, during the period the Participant is under a legal disability, by the Participant’s guardian or legal representative, unless otherwise determined by the Administrator. Awards granted under the Plan shall not be subject in any manner to alienation, anticipation, sale, transfer, assignment, pledge, or encumbrance, except as otherwise determined by the Administrator;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the restrictions in this sentence shall not apply to the shares of Common Stock received in connection with an Award after the date that the restrictions on transferability of such shares set forth in the applicable Award Agreement have lapsed. Nothing in this paragraph shall be interpreted or construed as overriding the terms of any Company stock ownership or retention policy, now or hereafter existing, that may apply to the Participant or shares of Common Stock received under an Award.</w:t>
      </w:r>
    </w:p>
    <w:p>
      <w:pPr>
        <w:spacing w:after="0" w:line="144" w:lineRule="exact"/>
        <w:rPr>
          <w:rFonts w:ascii="Times New Roman" w:cs="Times New Roman" w:eastAsia="Times New Roman" w:hAnsi="Times New Roman"/>
          <w:sz w:val="18"/>
          <w:szCs w:val="18"/>
          <w:color w:val="auto"/>
        </w:rPr>
      </w:pPr>
    </w:p>
    <w:p>
      <w:pPr>
        <w:ind w:right="20" w:firstLine="757"/>
        <w:spacing w:after="0" w:line="253" w:lineRule="auto"/>
        <w:tabs>
          <w:tab w:leader="none" w:pos="1109" w:val="left"/>
        </w:tabs>
        <w:numPr>
          <w:ilvl w:val="1"/>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Administrator Discretion to Permit Transfers Other Than For Value. </w:t>
      </w:r>
      <w:r>
        <w:rPr>
          <w:rFonts w:ascii="Times New Roman" w:cs="Times New Roman" w:eastAsia="Times New Roman" w:hAnsi="Times New Roman"/>
          <w:sz w:val="18"/>
          <w:szCs w:val="18"/>
          <w:color w:val="auto"/>
        </w:rPr>
        <w:t>Except as otherwise restricted by applicable law, the Administrator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may, but need not, permit an Award, other than an Incentive Stock Option or a tandem stock appreciation right granted with respect to an Incentive Stock Option, to be transferred to a Participant’s Family Member (as defined below) as a gift or pursuant to a domestic relations order in settlement of marital property rights. The Administrator shall not permit any transfer of an Award for value. For purposes of this Section 9, “Family Member” means any child, stepchild, grandchild, parent, stepparent, grandparent, spouse, former spouse, sibling, niece, nephew, mother-in-law, father-in-law, son-in-law, daughter-in-law, brother-in-law, or sister-in-law, including adoptive relationships, any person sharing the Participant’s household (other than a tenant or employee), a trust in which these persons have more than fifty percent of the beneficial interest, a foundation in which these persons (or the Participant) control the management of assets, and any other entity in which these persons (or the Participant) own more than fifty percent (50%) of the voting interests. The following transactions are not prohibited transfers for value: (i) a transfer under a domestic relations order in settlement of marital property rights; and (ii) a transfer to an entity in which more than fifty percent of the voting interests are owned by Family Members (or the Participant) in exchange for an interest in that entity.</w:t>
      </w:r>
    </w:p>
    <w:p>
      <w:pPr>
        <w:spacing w:after="0" w:line="149" w:lineRule="exact"/>
        <w:rPr>
          <w:rFonts w:ascii="Times New Roman" w:cs="Times New Roman" w:eastAsia="Times New Roman" w:hAnsi="Times New Roman"/>
          <w:sz w:val="18"/>
          <w:szCs w:val="18"/>
          <w:color w:val="auto"/>
        </w:rPr>
      </w:pPr>
    </w:p>
    <w:p>
      <w:pPr>
        <w:ind w:left="360" w:hanging="352"/>
        <w:spacing w:after="0"/>
        <w:tabs>
          <w:tab w:leader="none" w:pos="360" w:val="left"/>
        </w:tabs>
        <w:numPr>
          <w:ilvl w:val="0"/>
          <w:numId w:val="2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Adjustments for Corporate Transactions and Other Events</w:t>
      </w:r>
      <w:r>
        <w:rPr>
          <w:rFonts w:ascii="Times New Roman" w:cs="Times New Roman" w:eastAsia="Times New Roman" w:hAnsi="Times New Roman"/>
          <w:sz w:val="18"/>
          <w:szCs w:val="18"/>
          <w:color w:val="auto"/>
        </w:rPr>
        <w:t>.</w:t>
      </w:r>
    </w:p>
    <w:p>
      <w:pPr>
        <w:spacing w:after="0" w:line="200" w:lineRule="exact"/>
        <w:rPr>
          <w:rFonts w:ascii="Times New Roman" w:cs="Times New Roman" w:eastAsia="Times New Roman" w:hAnsi="Times New Roman"/>
          <w:sz w:val="18"/>
          <w:szCs w:val="18"/>
          <w:b w:val="1"/>
          <w:bCs w:val="1"/>
          <w:color w:val="auto"/>
        </w:rPr>
      </w:pPr>
    </w:p>
    <w:p>
      <w:pPr>
        <w:ind w:right="80" w:firstLine="757"/>
        <w:spacing w:after="0" w:line="253" w:lineRule="auto"/>
        <w:tabs>
          <w:tab w:leader="none" w:pos="1109" w:val="left"/>
        </w:tabs>
        <w:numPr>
          <w:ilvl w:val="1"/>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Mandatory Adjustments</w:t>
      </w:r>
      <w:r>
        <w:rPr>
          <w:rFonts w:ascii="Times New Roman" w:cs="Times New Roman" w:eastAsia="Times New Roman" w:hAnsi="Times New Roman"/>
          <w:sz w:val="18"/>
          <w:szCs w:val="18"/>
          <w:color w:val="auto"/>
        </w:rPr>
        <w:t>. In the event of a merger, consolidation, stock rights offering, statutory share exchange or similar event affecting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Axsome (each, a “</w:t>
      </w:r>
      <w:r>
        <w:rPr>
          <w:rFonts w:ascii="Times New Roman" w:cs="Times New Roman" w:eastAsia="Times New Roman" w:hAnsi="Times New Roman"/>
          <w:sz w:val="18"/>
          <w:szCs w:val="18"/>
          <w:i w:val="1"/>
          <w:iCs w:val="1"/>
          <w:color w:val="auto"/>
        </w:rPr>
        <w:t>Corporate Event</w:t>
      </w:r>
      <w:r>
        <w:rPr>
          <w:rFonts w:ascii="Times New Roman" w:cs="Times New Roman" w:eastAsia="Times New Roman" w:hAnsi="Times New Roman"/>
          <w:sz w:val="18"/>
          <w:szCs w:val="18"/>
          <w:color w:val="auto"/>
        </w:rPr>
        <w:t>”) or a stock dividend, stock split, reverse stock split, separation, spinoff, reorganization, extraordinary dividend of cash or other property, share combination or subdivision, recapitalization, capital reduction distribution, or similar event affecting the capital structure of Axsome (each, a “</w:t>
      </w:r>
      <w:r>
        <w:rPr>
          <w:rFonts w:ascii="Times New Roman" w:cs="Times New Roman" w:eastAsia="Times New Roman" w:hAnsi="Times New Roman"/>
          <w:sz w:val="18"/>
          <w:szCs w:val="18"/>
          <w:i w:val="1"/>
          <w:iCs w:val="1"/>
          <w:color w:val="auto"/>
        </w:rPr>
        <w:t>Share Change</w:t>
      </w:r>
      <w:r>
        <w:rPr>
          <w:rFonts w:ascii="Times New Roman" w:cs="Times New Roman" w:eastAsia="Times New Roman" w:hAnsi="Times New Roman"/>
          <w:sz w:val="18"/>
          <w:szCs w:val="18"/>
          <w:color w:val="auto"/>
        </w:rPr>
        <w:t xml:space="preserve">”) that occurs at any time after the Effective Date (including any such Corporate Event or Share Change that occurs after such adoption and coincident with or prior to the Effective Date), the Administrator shall make equitable and appropriate substitutions or proportionate adjustments to (i) the aggregate number and kind of shares of Common Stock or other securities on which Awards under the Plan may be granted to Eligible Individuals, (ii) the maximum number of shares of Common Stock or other securities that may be issued with respect to Incentive Stock Options granted under the Plan, (iii) the number of shares of Common Stock or other securities covered by each outstanding Award and the exercise price, base price or other price per share, if any, and other relevant terms of each outstanding Award, and (iv) all other numerical limitations relating to Awards, whether contained in this Plan or in Award Agreements;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any fractional shares resulting from any such adjustment shall be eliminated.</w:t>
      </w:r>
    </w:p>
    <w:p>
      <w:pPr>
        <w:spacing w:after="0" w:line="151" w:lineRule="exact"/>
        <w:rPr>
          <w:rFonts w:ascii="Times New Roman" w:cs="Times New Roman" w:eastAsia="Times New Roman" w:hAnsi="Times New Roman"/>
          <w:sz w:val="18"/>
          <w:szCs w:val="18"/>
          <w:color w:val="auto"/>
        </w:rPr>
      </w:pPr>
    </w:p>
    <w:p>
      <w:pPr>
        <w:ind w:right="80" w:firstLine="757"/>
        <w:spacing w:after="0" w:line="258" w:lineRule="auto"/>
        <w:tabs>
          <w:tab w:leader="none" w:pos="1109" w:val="left"/>
        </w:tabs>
        <w:numPr>
          <w:ilvl w:val="1"/>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Discretionary Adjustments</w:t>
      </w:r>
      <w:r>
        <w:rPr>
          <w:rFonts w:ascii="Times New Roman" w:cs="Times New Roman" w:eastAsia="Times New Roman" w:hAnsi="Times New Roman"/>
          <w:sz w:val="18"/>
          <w:szCs w:val="18"/>
          <w:color w:val="auto"/>
        </w:rPr>
        <w:t>. In the case of Corporate Events, the Administrator may make such other adjustments to outstanding Awards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it determines to be appropriate and desirable, which adjustments may include, without limitation, (i) the cancellation of outstanding Awards in exchange for payments of cash, securities or other property or a combination thereof having an aggregate value equal to the value of such Awards, as determined by the Administrator in its sole discretion (it being understood that in the case of a Corporate Event with respect to which stockholders of Axsome receive consideration other than publicly traded equity securities of the</w:t>
      </w: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520" w:name="page521"/>
    <w:bookmarkEnd w:id="520"/>
    <w:p>
      <w:pPr>
        <w:ind w:right="20"/>
        <w:spacing w:after="0" w:line="254" w:lineRule="auto"/>
        <w:rPr>
          <w:sz w:val="20"/>
          <w:szCs w:val="20"/>
          <w:color w:val="auto"/>
        </w:rPr>
      </w:pPr>
      <w:r>
        <w:rPr>
          <w:rFonts w:ascii="Times New Roman" w:cs="Times New Roman" w:eastAsia="Times New Roman" w:hAnsi="Times New Roman"/>
          <w:sz w:val="18"/>
          <w:szCs w:val="18"/>
          <w:color w:val="auto"/>
        </w:rPr>
        <w:t>ultimate surviving entity, any such determination by the Administrator that the value of a stock option or stock appreciation right shall for this purpose be deemed to equal the excess, if any, of the value of the consideration being paid for each share of Common Stock pursuant to such Corporate Event over the exercise price or base price of such stock option or stock appreciation right shall conclusively be deemed valid and that any stock option or stock appreciation right may be cancelled for no consideration upon a Corporate Event if its exercise price or base price equals or exceeds the value of the consideration being paid for each share of Common Stock pursuant to such Corporate Event), (ii) the substitution of securities or other property (including, without limitation, cash or other securities of Axsome and securities of entities other than Axsome) for the shares of Common Stock subject to outstanding Awards, and (iii) the substitution of equivalent awards, as determined in the sole discretion of the Administrator, of the surviving or successor entity or a parent thereof (“</w:t>
      </w:r>
      <w:r>
        <w:rPr>
          <w:rFonts w:ascii="Times New Roman" w:cs="Times New Roman" w:eastAsia="Times New Roman" w:hAnsi="Times New Roman"/>
          <w:sz w:val="18"/>
          <w:szCs w:val="18"/>
          <w:i w:val="1"/>
          <w:iCs w:val="1"/>
          <w:color w:val="auto"/>
        </w:rPr>
        <w:t>Replacement Awards</w:t>
      </w:r>
      <w:r>
        <w:rPr>
          <w:rFonts w:ascii="Times New Roman" w:cs="Times New Roman" w:eastAsia="Times New Roman" w:hAnsi="Times New Roman"/>
          <w:sz w:val="18"/>
          <w:szCs w:val="18"/>
          <w:color w:val="auto"/>
        </w:rPr>
        <w:t>”).</w:t>
      </w:r>
    </w:p>
    <w:p>
      <w:pPr>
        <w:spacing w:after="0" w:line="149" w:lineRule="exact"/>
        <w:rPr>
          <w:sz w:val="20"/>
          <w:szCs w:val="20"/>
          <w:color w:val="auto"/>
        </w:rPr>
      </w:pPr>
    </w:p>
    <w:p>
      <w:pPr>
        <w:ind w:right="20" w:firstLine="757"/>
        <w:spacing w:after="0" w:line="255" w:lineRule="auto"/>
        <w:tabs>
          <w:tab w:leader="none" w:pos="1109" w:val="left"/>
        </w:tabs>
        <w:numPr>
          <w:ilvl w:val="1"/>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Adjustments to Performance Goals</w:t>
      </w:r>
      <w:r>
        <w:rPr>
          <w:rFonts w:ascii="Times New Roman" w:cs="Times New Roman" w:eastAsia="Times New Roman" w:hAnsi="Times New Roman"/>
          <w:sz w:val="18"/>
          <w:szCs w:val="18"/>
          <w:color w:val="auto"/>
        </w:rPr>
        <w:t>. The Administrator may, in its discretion, adjust the Performance Goals applicable to any Awards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reflect any unusual or non-recurring events and other extraordinary items, impact of charges for restructurings, discontinued operations and the cumulative effects of accounting or tax changes, each as defined by generally accepted accounting principles or as identified in Axsome’s consolidated financial statements, notes to the consolidated financial statements, management’s discussion and analysis or other Axsome filings with the Securities and Exchange Commission. If the Administrator determines that a change in the business, operations, corporate structure or capital structure of Axsome or the applicable subsidiary, business segment or other operational unit of Axsome or any such entity or segment, or the manner in which any of the foregoing conducts its business, or other events or circumstances, render the Performance Goals to be unsuitable, the Administrator may modify such Performance Goals or the related minimum acceptable level of achievement, in whole or in part, as the Administrator deems appropriate and equitable.</w:t>
      </w:r>
    </w:p>
    <w:p>
      <w:pPr>
        <w:spacing w:after="0" w:line="157" w:lineRule="exact"/>
        <w:rPr>
          <w:rFonts w:ascii="Times New Roman" w:cs="Times New Roman" w:eastAsia="Times New Roman" w:hAnsi="Times New Roman"/>
          <w:sz w:val="18"/>
          <w:szCs w:val="18"/>
          <w:color w:val="auto"/>
        </w:rPr>
      </w:pPr>
    </w:p>
    <w:p>
      <w:pPr>
        <w:ind w:right="120" w:firstLine="757"/>
        <w:spacing w:after="0" w:line="255" w:lineRule="auto"/>
        <w:tabs>
          <w:tab w:leader="none" w:pos="1109" w:val="left"/>
        </w:tabs>
        <w:numPr>
          <w:ilvl w:val="1"/>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Statutory Requirements Affecting Adjustments</w:t>
      </w:r>
      <w:r>
        <w:rPr>
          <w:rFonts w:ascii="Times New Roman" w:cs="Times New Roman" w:eastAsia="Times New Roman" w:hAnsi="Times New Roman"/>
          <w:sz w:val="18"/>
          <w:szCs w:val="18"/>
          <w:color w:val="auto"/>
        </w:rPr>
        <w:t>. Notwithstanding the foregoing: (A) any adjustments made pursuant to Section 10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Awards that are considered “deferred compensation” within the meaning of Section 409A of the Code shall be made in compliance with the requirements of Section 409A of the Code; (B) any adjustments made pursuant to Section 10 to Awards that are not considered “deferred compensation” subject to Section 409A of the Code shall be made in such a manner as to ensure that after such adjustment, the Awards either (1) continue not to be subject to Section 409A of the Code or (2) comply with the requirements of Section 409A of the Code; (C) in any event, the Administrator shall not have the authority to make any adjustments pursuant to Section 10 to the extent the existence of such authority would cause an Award that is not intended to be subject to Section 409A of the Code at the date of grant to be subject thereto; and (D) any adjustments made pursuant to Section 10 to Awards that are Incentive Stock Options shall be made in compliance with the requirements of Section 424(a) of the Code.</w:t>
      </w:r>
    </w:p>
    <w:p>
      <w:pPr>
        <w:spacing w:after="0" w:line="144" w:lineRule="exact"/>
        <w:rPr>
          <w:rFonts w:ascii="Times New Roman" w:cs="Times New Roman" w:eastAsia="Times New Roman" w:hAnsi="Times New Roman"/>
          <w:sz w:val="18"/>
          <w:szCs w:val="18"/>
          <w:color w:val="auto"/>
        </w:rPr>
      </w:pPr>
    </w:p>
    <w:p>
      <w:pPr>
        <w:ind w:right="20" w:firstLine="757"/>
        <w:spacing w:after="0" w:line="284" w:lineRule="auto"/>
        <w:tabs>
          <w:tab w:leader="none" w:pos="1109" w:val="left"/>
        </w:tabs>
        <w:numPr>
          <w:ilvl w:val="1"/>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Dissolution or Liquidation. </w:t>
      </w:r>
      <w:r>
        <w:rPr>
          <w:rFonts w:ascii="Times New Roman" w:cs="Times New Roman" w:eastAsia="Times New Roman" w:hAnsi="Times New Roman"/>
          <w:sz w:val="18"/>
          <w:szCs w:val="18"/>
          <w:color w:val="auto"/>
        </w:rPr>
        <w:t>Unless the Administrator determines otherwise, all Awards outstanding under the Plan shall terminate upon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dissolution or liquidation of Axsome.</w:t>
      </w:r>
    </w:p>
    <w:p>
      <w:pPr>
        <w:spacing w:after="0" w:line="115" w:lineRule="exact"/>
        <w:rPr>
          <w:rFonts w:ascii="Times New Roman" w:cs="Times New Roman" w:eastAsia="Times New Roman" w:hAnsi="Times New Roman"/>
          <w:sz w:val="18"/>
          <w:szCs w:val="18"/>
          <w:color w:val="auto"/>
        </w:rPr>
      </w:pPr>
    </w:p>
    <w:p>
      <w:pPr>
        <w:ind w:left="360" w:hanging="352"/>
        <w:spacing w:after="0"/>
        <w:tabs>
          <w:tab w:leader="none" w:pos="360" w:val="left"/>
        </w:tabs>
        <w:numPr>
          <w:ilvl w:val="0"/>
          <w:numId w:val="2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Change in Control Provisions.</w:t>
      </w:r>
    </w:p>
    <w:p>
      <w:pPr>
        <w:spacing w:after="0" w:line="200" w:lineRule="exact"/>
        <w:rPr>
          <w:rFonts w:ascii="Times New Roman" w:cs="Times New Roman" w:eastAsia="Times New Roman" w:hAnsi="Times New Roman"/>
          <w:sz w:val="18"/>
          <w:szCs w:val="18"/>
          <w:b w:val="1"/>
          <w:bCs w:val="1"/>
          <w:color w:val="auto"/>
        </w:rPr>
      </w:pPr>
    </w:p>
    <w:p>
      <w:pPr>
        <w:ind w:right="60" w:firstLine="757"/>
        <w:spacing w:after="0" w:line="258" w:lineRule="auto"/>
        <w:tabs>
          <w:tab w:leader="none" w:pos="1109" w:val="left"/>
        </w:tabs>
        <w:numPr>
          <w:ilvl w:val="1"/>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Termination of Awards</w:t>
      </w:r>
      <w:r>
        <w:rPr>
          <w:rFonts w:ascii="Times New Roman" w:cs="Times New Roman" w:eastAsia="Times New Roman" w:hAnsi="Times New Roman"/>
          <w:sz w:val="18"/>
          <w:szCs w:val="18"/>
          <w:color w:val="auto"/>
        </w:rPr>
        <w:t>. Notwithstanding the provisions of Section 11(b), in the event that any transaction resulting in a Change in Control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occurs, outstanding Awards will terminate upon the effective time of such Change in Control unless provision is made in connection with the transaction for the continuation or assumption of such Awards by, or for the issuance therefor of Replacement Awards of, the surviving or successor entity or a parent thereof. Solely with respect to Awards that will terminate as a result of the immediately preceding sentence and except as otherwise provided in the applicable Award Agreement:</w:t>
      </w:r>
    </w:p>
    <w:p>
      <w:pPr>
        <w:spacing w:after="0" w:line="144" w:lineRule="exact"/>
        <w:rPr>
          <w:rFonts w:ascii="Times New Roman" w:cs="Times New Roman" w:eastAsia="Times New Roman" w:hAnsi="Times New Roman"/>
          <w:sz w:val="18"/>
          <w:szCs w:val="18"/>
          <w:color w:val="auto"/>
        </w:rPr>
      </w:pPr>
    </w:p>
    <w:p>
      <w:pPr>
        <w:ind w:firstLine="1505"/>
        <w:spacing w:after="0" w:line="266" w:lineRule="auto"/>
        <w:tabs>
          <w:tab w:leader="none" w:pos="1857" w:val="left"/>
        </w:tabs>
        <w:numPr>
          <w:ilvl w:val="2"/>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outstanding Awards of stock options and stock appreciation rights that will terminate upon the effective time of the Change in Control shall, immediately before the effective time of the Change in Control, become fully exercisable and the holders of such Awards will be permitted, immediately before the Change in Control, to exercise the Awards;</w:t>
      </w:r>
    </w:p>
    <w:p>
      <w:pPr>
        <w:spacing w:after="0" w:line="175" w:lineRule="exact"/>
        <w:rPr>
          <w:rFonts w:ascii="Times New Roman" w:cs="Times New Roman" w:eastAsia="Times New Roman" w:hAnsi="Times New Roman"/>
          <w:sz w:val="18"/>
          <w:szCs w:val="18"/>
          <w:color w:val="auto"/>
        </w:rPr>
      </w:pPr>
    </w:p>
    <w:p>
      <w:pPr>
        <w:ind w:firstLine="1505"/>
        <w:spacing w:after="0" w:line="266" w:lineRule="auto"/>
        <w:tabs>
          <w:tab w:leader="none" w:pos="1857" w:val="left"/>
        </w:tabs>
        <w:numPr>
          <w:ilvl w:val="2"/>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outstanding shares of Restricted Stock the vesting or restrictions on which are then solely time-based and not subject to achievement of Performance Goals shall, immediately before the effective time of the Change in Control, become fully vested, free of all transfer and lapse restrictions and free of all risks of forfeiture;</w:t>
      </w: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7" w:right="379" w:bottom="1440" w:gutter="0" w:footer="0" w:header="0"/>
        </w:sectPr>
      </w:pPr>
    </w:p>
    <w:bookmarkStart w:id="521" w:name="page522"/>
    <w:bookmarkEnd w:id="521"/>
    <w:p>
      <w:pPr>
        <w:ind w:right="100" w:firstLine="1505"/>
        <w:spacing w:after="0" w:line="258" w:lineRule="auto"/>
        <w:tabs>
          <w:tab w:leader="none" w:pos="1857" w:val="left"/>
        </w:tabs>
        <w:numPr>
          <w:ilvl w:val="0"/>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outstanding shares of Restricted Stock the vesting or restrictions on which are then subject to and pending achievement of Performance Goals shall, immediately before the effective time of the Change in Control and unless the Award Agreement provides for vesting or lapsing of restrictions in a greater amount upon the occurrence of a Change in Control, become vested, free of transfer and lapse restrictions and risks of forfeiture in such amounts as if the applicable Performance Goals for the unexpired Performance Period had been achieved at the target level set forth in the applicable Award Agreement;</w:t>
      </w:r>
    </w:p>
    <w:p>
      <w:pPr>
        <w:spacing w:after="0" w:line="183" w:lineRule="exact"/>
        <w:rPr>
          <w:rFonts w:ascii="Times New Roman" w:cs="Times New Roman" w:eastAsia="Times New Roman" w:hAnsi="Times New Roman"/>
          <w:sz w:val="18"/>
          <w:szCs w:val="18"/>
          <w:color w:val="auto"/>
        </w:rPr>
      </w:pPr>
    </w:p>
    <w:p>
      <w:pPr>
        <w:ind w:firstLine="1505"/>
        <w:spacing w:after="0" w:line="258" w:lineRule="auto"/>
        <w:tabs>
          <w:tab w:leader="none" w:pos="1857" w:val="left"/>
        </w:tabs>
        <w:numPr>
          <w:ilvl w:val="0"/>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outstanding Restricted Stock Units, Performance Shares, Performance Stock Units and Performance Cash Units the vesting, earning or settlement of which is then solely time-based and not subject to or pending achievement of Performance Goals shall, immediately before the effective time of the Change in Control, become fully earned and vested and shall be settled in cash or shares of Common Stock (consistent with the terms of the Award Agreement after taking into account the effect of the Change in Control transaction on the shares) as promptly as is practicable, subject to any applicable limitations imposed thereon by Section 409A of the Code; and</w:t>
      </w:r>
    </w:p>
    <w:p>
      <w:pPr>
        <w:spacing w:after="0" w:line="183" w:lineRule="exact"/>
        <w:rPr>
          <w:rFonts w:ascii="Times New Roman" w:cs="Times New Roman" w:eastAsia="Times New Roman" w:hAnsi="Times New Roman"/>
          <w:sz w:val="18"/>
          <w:szCs w:val="18"/>
          <w:color w:val="auto"/>
        </w:rPr>
      </w:pPr>
    </w:p>
    <w:p>
      <w:pPr>
        <w:ind w:right="20" w:firstLine="1505"/>
        <w:spacing w:after="0" w:line="255" w:lineRule="auto"/>
        <w:tabs>
          <w:tab w:leader="none" w:pos="1857" w:val="left"/>
        </w:tabs>
        <w:numPr>
          <w:ilvl w:val="0"/>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outstanding Restricted Stock Units, Performance Shares, Performance Stock Units and Performance Cash Units the vesting, earning or settlement of which is then subject to and pending achievement of Performance Goals shall, immediately before the effective time of the Change in Control and unless the Award Agreement provides for vesting, earning or settlement in a greater amount upon the occurrence of a Change in Control, become vested and earned in such amounts as if the applicable Performance Goals for the unexpired Performance Period had been achieved at the target level set forth in the applicable Award Agreement and shall be settled in cash or shares of Common Stock (consistent with the terms of the Award Agreement after taking into account the effect of the Change in Control transaction on the shares) as promptly as is practicable, subject to any applicable limitations imposed thereon by Section 409A of the Code.</w:t>
      </w:r>
    </w:p>
    <w:p>
      <w:pPr>
        <w:spacing w:after="0" w:line="18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Implementation of the provisions of this Section 11(a) shall be conditioned upon consummation of the Change in Control.</w:t>
      </w:r>
    </w:p>
    <w:p>
      <w:pPr>
        <w:spacing w:after="0" w:line="183" w:lineRule="exact"/>
        <w:rPr>
          <w:sz w:val="20"/>
          <w:szCs w:val="20"/>
          <w:color w:val="auto"/>
        </w:rPr>
      </w:pPr>
    </w:p>
    <w:p>
      <w:pPr>
        <w:jc w:val="both"/>
        <w:ind w:right="100" w:firstLine="757"/>
        <w:spacing w:after="0" w:line="261" w:lineRule="auto"/>
        <w:tabs>
          <w:tab w:leader="none" w:pos="1109" w:val="left"/>
        </w:tabs>
        <w:numPr>
          <w:ilvl w:val="1"/>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Continuation, Assumption or Substitution of Awards</w:t>
      </w:r>
      <w:r>
        <w:rPr>
          <w:rFonts w:ascii="Times New Roman" w:cs="Times New Roman" w:eastAsia="Times New Roman" w:hAnsi="Times New Roman"/>
          <w:sz w:val="18"/>
          <w:szCs w:val="18"/>
          <w:color w:val="auto"/>
        </w:rPr>
        <w:t>. The Administrator may specify, on or after the date of grant, in an award agreement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amendment thereto, the consequences of a Participant’s Termination of Service that occurs coincident with or following the occurrence of a Change in Control, if a Change in Control occurs under which provision is made in connection with the transaction for the continuation or assumption of outstanding Awards by, or for the issuance therefor of Replacement Awards of, the surviving or successor entity or a parent thereof.</w:t>
      </w:r>
    </w:p>
    <w:p>
      <w:pPr>
        <w:spacing w:after="0" w:line="152" w:lineRule="exact"/>
        <w:rPr>
          <w:rFonts w:ascii="Times New Roman" w:cs="Times New Roman" w:eastAsia="Times New Roman" w:hAnsi="Times New Roman"/>
          <w:sz w:val="18"/>
          <w:szCs w:val="18"/>
          <w:color w:val="auto"/>
        </w:rPr>
      </w:pPr>
    </w:p>
    <w:p>
      <w:pPr>
        <w:ind w:right="200" w:firstLine="757"/>
        <w:spacing w:after="0" w:line="284" w:lineRule="auto"/>
        <w:tabs>
          <w:tab w:leader="none" w:pos="1109" w:val="left"/>
        </w:tabs>
        <w:numPr>
          <w:ilvl w:val="1"/>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Other Permitted Actions</w:t>
      </w:r>
      <w:r>
        <w:rPr>
          <w:rFonts w:ascii="Times New Roman" w:cs="Times New Roman" w:eastAsia="Times New Roman" w:hAnsi="Times New Roman"/>
          <w:sz w:val="18"/>
          <w:szCs w:val="18"/>
          <w:color w:val="auto"/>
        </w:rPr>
        <w:t>. In the event that any transaction resulting in a Change in Control occurs, the Administrator may take any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actions set forth in Section 10 with respect to any or all Awards granted under the Plan.</w:t>
      </w:r>
    </w:p>
    <w:p>
      <w:pPr>
        <w:spacing w:after="0" w:line="117" w:lineRule="exact"/>
        <w:rPr>
          <w:rFonts w:ascii="Times New Roman" w:cs="Times New Roman" w:eastAsia="Times New Roman" w:hAnsi="Times New Roman"/>
          <w:sz w:val="18"/>
          <w:szCs w:val="18"/>
          <w:color w:val="auto"/>
        </w:rPr>
      </w:pPr>
    </w:p>
    <w:p>
      <w:pPr>
        <w:ind w:right="120" w:firstLine="757"/>
        <w:spacing w:after="0" w:line="267" w:lineRule="auto"/>
        <w:tabs>
          <w:tab w:leader="none" w:pos="1109" w:val="left"/>
        </w:tabs>
        <w:numPr>
          <w:ilvl w:val="1"/>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Section 409A Savings Clause</w:t>
      </w:r>
      <w:r>
        <w:rPr>
          <w:rFonts w:ascii="Times New Roman" w:cs="Times New Roman" w:eastAsia="Times New Roman" w:hAnsi="Times New Roman"/>
          <w:sz w:val="18"/>
          <w:szCs w:val="18"/>
          <w:color w:val="auto"/>
        </w:rPr>
        <w:t>. Notwithstanding the foregoing, if any Award is considered to be a “nonqualified deferred compensation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plan” within the meaning of Section 409A of the Code, this Section 11 shall apply to such Award only to the extent that its application would not result in the imposition of any tax or interest or the inclusion of any amount in income under Section 409A of the Code.</w:t>
      </w:r>
    </w:p>
    <w:p>
      <w:pPr>
        <w:spacing w:after="0" w:line="130" w:lineRule="exact"/>
        <w:rPr>
          <w:rFonts w:ascii="Times New Roman" w:cs="Times New Roman" w:eastAsia="Times New Roman" w:hAnsi="Times New Roman"/>
          <w:sz w:val="18"/>
          <w:szCs w:val="18"/>
          <w:color w:val="auto"/>
        </w:rPr>
      </w:pPr>
    </w:p>
    <w:p>
      <w:pPr>
        <w:ind w:left="360" w:hanging="352"/>
        <w:spacing w:after="0"/>
        <w:tabs>
          <w:tab w:leader="none" w:pos="360" w:val="left"/>
        </w:tabs>
        <w:numPr>
          <w:ilvl w:val="0"/>
          <w:numId w:val="2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Substitution of Awards in Mergers and Acquisitions</w:t>
      </w:r>
      <w:r>
        <w:rPr>
          <w:rFonts w:ascii="Times New Roman" w:cs="Times New Roman" w:eastAsia="Times New Roman" w:hAnsi="Times New Roman"/>
          <w:sz w:val="18"/>
          <w:szCs w:val="18"/>
          <w:color w:val="auto"/>
        </w:rPr>
        <w:t>.</w:t>
      </w:r>
    </w:p>
    <w:p>
      <w:pPr>
        <w:spacing w:after="0" w:line="202" w:lineRule="exact"/>
        <w:rPr>
          <w:sz w:val="20"/>
          <w:szCs w:val="20"/>
          <w:color w:val="auto"/>
        </w:rPr>
      </w:pPr>
    </w:p>
    <w:p>
      <w:pPr>
        <w:ind w:right="80" w:firstLine="749"/>
        <w:spacing w:after="0" w:line="254" w:lineRule="auto"/>
        <w:rPr>
          <w:sz w:val="20"/>
          <w:szCs w:val="20"/>
          <w:color w:val="auto"/>
        </w:rPr>
      </w:pPr>
      <w:r>
        <w:rPr>
          <w:rFonts w:ascii="Times New Roman" w:cs="Times New Roman" w:eastAsia="Times New Roman" w:hAnsi="Times New Roman"/>
          <w:sz w:val="18"/>
          <w:szCs w:val="18"/>
          <w:color w:val="auto"/>
        </w:rPr>
        <w:t>Awards may be granted under the Plan from time to time in substitution for assumed awards held by employees, officers, or directors of entities who become employees, officers, or directors of Axsome or a Subsidiary as the result of a merger or consolidation of the entity for which they perform services with Axsome or a Subsidiary, or the acquisition by Axsome or a Subsidiary of the assets or stock of such entity (“</w:t>
      </w:r>
      <w:r>
        <w:rPr>
          <w:rFonts w:ascii="Times New Roman" w:cs="Times New Roman" w:eastAsia="Times New Roman" w:hAnsi="Times New Roman"/>
          <w:sz w:val="18"/>
          <w:szCs w:val="18"/>
          <w:i w:val="1"/>
          <w:iCs w:val="1"/>
          <w:color w:val="auto"/>
        </w:rPr>
        <w:t>Substitute Awards</w:t>
      </w:r>
      <w:r>
        <w:rPr>
          <w:rFonts w:ascii="Times New Roman" w:cs="Times New Roman" w:eastAsia="Times New Roman" w:hAnsi="Times New Roman"/>
          <w:sz w:val="18"/>
          <w:szCs w:val="18"/>
          <w:color w:val="auto"/>
        </w:rPr>
        <w:t>”). The terms and conditions of any Awards so granted may vary from the terms and conditions set forth herein to the extent that the Administrator deems appropriate at the time of grant to conform the Awards to the provisions of the assumed awards for which they are substituted and to preserve their intrinsic value as of the date of the merger, consolidation or acquisition transaction. To the extent permitted by applicable law and marketplace or listing rules of the primary securities market or exchange on which the Common Stock is listed or admitted for trading, any available shares under a stockholder-approved plan of an acquired company (as appropriately adjusted to reflect the transaction) may be used for Awards granted pursuant to this Section 12 and, upon such grant, shall not reduce the Share Pool.</w:t>
      </w:r>
    </w:p>
    <w:p>
      <w:pPr>
        <w:spacing w:after="0" w:line="36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522" w:name="page523"/>
    <w:bookmarkEnd w:id="522"/>
    <w:p>
      <w:pPr>
        <w:ind w:left="360" w:hanging="352"/>
        <w:spacing w:after="0"/>
        <w:tabs>
          <w:tab w:leader="none" w:pos="360" w:val="left"/>
        </w:tabs>
        <w:numPr>
          <w:ilvl w:val="0"/>
          <w:numId w:val="2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Compliance with Securities Laws; Listing and Registration</w:t>
      </w:r>
      <w:r>
        <w:rPr>
          <w:rFonts w:ascii="Times New Roman" w:cs="Times New Roman" w:eastAsia="Times New Roman" w:hAnsi="Times New Roman"/>
          <w:sz w:val="18"/>
          <w:szCs w:val="18"/>
          <w:color w:val="auto"/>
        </w:rPr>
        <w:t>.</w:t>
      </w:r>
    </w:p>
    <w:p>
      <w:pPr>
        <w:spacing w:after="0" w:line="188" w:lineRule="exact"/>
        <w:rPr>
          <w:rFonts w:ascii="Times New Roman" w:cs="Times New Roman" w:eastAsia="Times New Roman" w:hAnsi="Times New Roman"/>
          <w:sz w:val="18"/>
          <w:szCs w:val="18"/>
          <w:b w:val="1"/>
          <w:bCs w:val="1"/>
          <w:color w:val="auto"/>
        </w:rPr>
      </w:pPr>
    </w:p>
    <w:p>
      <w:pPr>
        <w:ind w:right="20" w:firstLine="757"/>
        <w:spacing w:after="0" w:line="253" w:lineRule="auto"/>
        <w:tabs>
          <w:tab w:leader="none" w:pos="1109" w:val="left"/>
        </w:tabs>
        <w:numPr>
          <w:ilvl w:val="1"/>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 of Axsome to sell or deliver Common Stock with respect to any Award granted under the Plan shall be subject to all applicable laws, rules and regulations, including all applicable federal, state securities laws, and the obtaining of all such approvals by governmental agencies as may be deemed necessary or appropriate by the Administrator. If at any time the Administrator determines that the delivery of Common Stock under the Plan is or may be unlawful under the laws of any applicable jurisdiction, or Federal, state or foreign (non-United States) securities laws, the right to exercise an Award or receive shares of Common Stock pursuant to an Award shall be suspended until the Administrator determines that such delivery is lawful. If at any time the Administrator determines that the delivery of Common Stock under the Plan would or may violate the rules of any exchange on which Axsome’s securities are then listed for trade, the right to exercise an Award or receive shares of Common Stock pursuant to an Award shall be suspended until the Administrator determines that such delivery would not violate such rules. If the Administrator determines that the exercise or nonforfeitability of, or delivery of benefits pursuant to, any Award would violate any applicable provision of securities laws or the listing requirements of any stock exchange upon which any of Axsome’s equity securities are listed, then the Administrator may postpone any such exercise, nonforfeitability or delivery, as applicable, but Axsome shall use all reasonable efforts to cause such exercise, nonforfeitability or delivery to comply with all such provisions at the earliest practicable date.</w:t>
      </w:r>
    </w:p>
    <w:p>
      <w:pPr>
        <w:spacing w:after="0" w:line="162" w:lineRule="exact"/>
        <w:rPr>
          <w:rFonts w:ascii="Times New Roman" w:cs="Times New Roman" w:eastAsia="Times New Roman" w:hAnsi="Times New Roman"/>
          <w:sz w:val="18"/>
          <w:szCs w:val="18"/>
          <w:color w:val="auto"/>
        </w:rPr>
      </w:pPr>
    </w:p>
    <w:p>
      <w:pPr>
        <w:ind w:right="80" w:firstLine="757"/>
        <w:spacing w:after="0" w:line="277" w:lineRule="auto"/>
        <w:tabs>
          <w:tab w:leader="none" w:pos="1109" w:val="left"/>
        </w:tabs>
        <w:numPr>
          <w:ilvl w:val="1"/>
          <w:numId w:val="2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Award is subject to the requirement that, if at any time the Administrator determines, in its absolute discretion, that the listing, registration or qualification of Common Stock issuable pursuant to the Plan is required by any securities exchange or under any state, federal or foreign (non-United States) law, or the consent or approval of any governmental regulatory body is necessary or desirable as a condition of, or in connection with, the grant of an Award or the issuance of Common Stock, no such Award shall be granted or payment made or Common Stock issued, in whole or in part, unless listing, registration, qualification, consent or approval has been effected or obtained free of any conditions not acceptable to the Administrator.</w:t>
      </w:r>
    </w:p>
    <w:p>
      <w:pPr>
        <w:spacing w:after="0" w:line="127" w:lineRule="exact"/>
        <w:rPr>
          <w:rFonts w:ascii="Times New Roman" w:cs="Times New Roman" w:eastAsia="Times New Roman" w:hAnsi="Times New Roman"/>
          <w:sz w:val="17"/>
          <w:szCs w:val="17"/>
          <w:color w:val="auto"/>
        </w:rPr>
      </w:pPr>
    </w:p>
    <w:p>
      <w:pPr>
        <w:ind w:right="40" w:firstLine="757"/>
        <w:spacing w:after="0" w:line="255" w:lineRule="auto"/>
        <w:tabs>
          <w:tab w:leader="none" w:pos="1109" w:val="left"/>
        </w:tabs>
        <w:numPr>
          <w:ilvl w:val="1"/>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the disposition of Common Stock acquired pursuant to the Plan is not covered by a then current registration statement under the Securities Act of 1933, as amended (the “</w:t>
      </w:r>
      <w:r>
        <w:rPr>
          <w:rFonts w:ascii="Times New Roman" w:cs="Times New Roman" w:eastAsia="Times New Roman" w:hAnsi="Times New Roman"/>
          <w:sz w:val="18"/>
          <w:szCs w:val="18"/>
          <w:i w:val="1"/>
          <w:iCs w:val="1"/>
          <w:color w:val="auto"/>
        </w:rPr>
        <w:t>Securities Act</w:t>
      </w:r>
      <w:r>
        <w:rPr>
          <w:rFonts w:ascii="Times New Roman" w:cs="Times New Roman" w:eastAsia="Times New Roman" w:hAnsi="Times New Roman"/>
          <w:sz w:val="18"/>
          <w:szCs w:val="18"/>
          <w:color w:val="auto"/>
        </w:rPr>
        <w:t>”), and is not otherwise exempt from such registration, such Common Stock shall be restricted against transfer to the extent required by the Securities Act or regulations thereunder, and the Administrator may require a person receiving Common Stock pursuant to the Plan, as a condition precedent to receipt of such Common Stock, to represent to Axsome in writing that the Common Stock acquired by such person is acquired for investment only and not with a view to distribution and that such person will not dispose of the Common Stock so acquired in violation of Federal, state or foreign securities laws and furnish such information as may, in the opinion of counsel for Axsome, be appropriate to permit Axsome to issue the Common Stock in compliance with applicable Federal, state or foreign securities laws.</w:t>
      </w:r>
    </w:p>
    <w:p>
      <w:pPr>
        <w:spacing w:after="0" w:line="144" w:lineRule="exact"/>
        <w:rPr>
          <w:rFonts w:ascii="Times New Roman" w:cs="Times New Roman" w:eastAsia="Times New Roman" w:hAnsi="Times New Roman"/>
          <w:sz w:val="18"/>
          <w:szCs w:val="18"/>
          <w:color w:val="auto"/>
        </w:rPr>
      </w:pPr>
    </w:p>
    <w:p>
      <w:pPr>
        <w:ind w:left="360" w:hanging="352"/>
        <w:spacing w:after="0"/>
        <w:tabs>
          <w:tab w:leader="none" w:pos="360" w:val="left"/>
        </w:tabs>
        <w:numPr>
          <w:ilvl w:val="0"/>
          <w:numId w:val="2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Section 409A Compliance</w:t>
      </w:r>
      <w:r>
        <w:rPr>
          <w:rFonts w:ascii="Times New Roman" w:cs="Times New Roman" w:eastAsia="Times New Roman" w:hAnsi="Times New Roman"/>
          <w:sz w:val="18"/>
          <w:szCs w:val="18"/>
          <w:color w:val="auto"/>
        </w:rPr>
        <w:t>.</w:t>
      </w:r>
    </w:p>
    <w:p>
      <w:pPr>
        <w:spacing w:after="0" w:line="202"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It is the intention of the Company that any Award that constitutes a “nonqualified deferred compensation plan” within the meaning of Section 409A of the Code shall comply in all respects with the requirements of Section 409A of the Code to avoid the imposition of any tax or interest or the inclusion of any amount in income pursuant to Section 409A of the Code, and the terms of each such Award shall be construed, administered and deemed amended, if applicable, in a manner consistent with this intention. Notwithstanding the foregoing, neither Axsome nor any of its Affiliates nor any of its or their directors, officers, employees, agents or other service providers will be liable for any taxes, penalties or interest imposed on any Participant or other person with respect to any amounts paid or payable (whether in cash, shares of Common Stock or other property) under any Award, including any taxes, penalties or interest imposed under or as a result of Section 409A of the Code. Any payments described in an Award that are due within the “short term deferral period” as defined in Section 409A of the Code shall not be treated as deferred compensation unless applicable law requires otherwise. For purposes of any Award, each amount to be paid or benefit to be provided to a Participant that constitutes deferred compensation subject to Section 409A of the Code shall be construed as a separate identified payment for purposes of Section 409A of the Code. For purposes of Section 409A of the Code, the payment of Dividend Equivalents under any Award shall be construed as earnings and the time and form of payment of such Dividend Equivalents shall be treated separately from the time and form of payment of the underlying Award. Notwithstanding any other provision of the Plan to the contrary, with respect to any Award that constitutes a “nonqualified deferred compensation plan” within the meaning of</w:t>
      </w:r>
    </w:p>
    <w:p>
      <w:pPr>
        <w:spacing w:after="0" w:line="36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7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3" w:right="379" w:bottom="1440" w:gutter="0" w:footer="0" w:header="0"/>
        </w:sectPr>
      </w:pPr>
    </w:p>
    <w:bookmarkStart w:id="523" w:name="page524"/>
    <w:bookmarkEnd w:id="523"/>
    <w:p>
      <w:pPr>
        <w:spacing w:after="0" w:line="253" w:lineRule="auto"/>
        <w:rPr>
          <w:sz w:val="20"/>
          <w:szCs w:val="20"/>
          <w:color w:val="auto"/>
        </w:rPr>
      </w:pPr>
      <w:r>
        <w:rPr>
          <w:rFonts w:ascii="Times New Roman" w:cs="Times New Roman" w:eastAsia="Times New Roman" w:hAnsi="Times New Roman"/>
          <w:sz w:val="18"/>
          <w:szCs w:val="18"/>
          <w:color w:val="auto"/>
        </w:rPr>
        <w:t>Section 409A of the Code, any payments (whether in cash, shares of Common Stock or other property) to be made with respect to the Award that become payable on account of the Participant’s separation from service, within the meaning of Section 409A of the Code, while the Participant is a “specified employee” (as determined in accordance with the uniform policy adopted by the Administrator with respect to all of the arrangements subject to Section 409A of the Code maintained by Axsome and its Affiliates) and which would otherwise be paid within six months after the Participant’s separation from service, to the extent necessary to avoid the imposition of taxes under Section 409A, shall be accumulated (without interest) and paid on the first day of the seventh month following the Participant’s separation from service or, if earlier, within 15 days after the appointment of the personal representative or executor of the Participant’s estate following the Participant’s death. Notwithstanding anything in the Plan or an Award Agreement to the contrary, in no event shall the Administrator exercise its discretion to accelerate the payment or settlement of an Award where such payment or settlement constitutes deferred compensation within the meaning of Code section 409A unless, and solely to the extent that, such accelerated payment or settlement is permissible under Treasury Regulation section 1.409A-3(j)(4).</w:t>
      </w:r>
    </w:p>
    <w:p>
      <w:pPr>
        <w:spacing w:after="0" w:line="150" w:lineRule="exact"/>
        <w:rPr>
          <w:sz w:val="20"/>
          <w:szCs w:val="20"/>
          <w:color w:val="auto"/>
        </w:rPr>
      </w:pPr>
    </w:p>
    <w:p>
      <w:pPr>
        <w:ind w:left="360" w:hanging="352"/>
        <w:spacing w:after="0"/>
        <w:tabs>
          <w:tab w:leader="none" w:pos="360" w:val="left"/>
        </w:tabs>
        <w:numPr>
          <w:ilvl w:val="0"/>
          <w:numId w:val="2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Effective Date; Plan Duration; Amendment and Discontinuance</w:t>
      </w:r>
      <w:r>
        <w:rPr>
          <w:rFonts w:ascii="Times New Roman" w:cs="Times New Roman" w:eastAsia="Times New Roman" w:hAnsi="Times New Roman"/>
          <w:sz w:val="18"/>
          <w:szCs w:val="18"/>
          <w:color w:val="auto"/>
        </w:rPr>
        <w:t>.</w:t>
      </w:r>
    </w:p>
    <w:p>
      <w:pPr>
        <w:spacing w:after="0" w:line="200" w:lineRule="exact"/>
        <w:rPr>
          <w:rFonts w:ascii="Times New Roman" w:cs="Times New Roman" w:eastAsia="Times New Roman" w:hAnsi="Times New Roman"/>
          <w:sz w:val="18"/>
          <w:szCs w:val="18"/>
          <w:b w:val="1"/>
          <w:bCs w:val="1"/>
          <w:color w:val="auto"/>
        </w:rPr>
      </w:pPr>
    </w:p>
    <w:p>
      <w:pPr>
        <w:ind w:right="60" w:firstLine="757"/>
        <w:spacing w:after="0" w:line="284" w:lineRule="auto"/>
        <w:tabs>
          <w:tab w:leader="none" w:pos="1109" w:val="left"/>
        </w:tabs>
        <w:numPr>
          <w:ilvl w:val="1"/>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Effective Date. </w:t>
      </w:r>
      <w:r>
        <w:rPr>
          <w:rFonts w:ascii="Times New Roman" w:cs="Times New Roman" w:eastAsia="Times New Roman" w:hAnsi="Times New Roman"/>
          <w:sz w:val="18"/>
          <w:szCs w:val="18"/>
          <w:color w:val="auto"/>
        </w:rPr>
        <w:t>The Plan shall become effective on the Effective Date, provided the Plan has been approved by the stockholders of Axsome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or before such date.</w:t>
      </w:r>
    </w:p>
    <w:p>
      <w:pPr>
        <w:spacing w:after="0" w:line="117" w:lineRule="exact"/>
        <w:rPr>
          <w:rFonts w:ascii="Times New Roman" w:cs="Times New Roman" w:eastAsia="Times New Roman" w:hAnsi="Times New Roman"/>
          <w:sz w:val="18"/>
          <w:szCs w:val="18"/>
          <w:color w:val="auto"/>
        </w:rPr>
      </w:pPr>
    </w:p>
    <w:p>
      <w:pPr>
        <w:ind w:firstLine="757"/>
        <w:spacing w:after="0" w:line="257" w:lineRule="auto"/>
        <w:tabs>
          <w:tab w:leader="none" w:pos="1109" w:val="left"/>
        </w:tabs>
        <w:numPr>
          <w:ilvl w:val="1"/>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Plan Duration</w:t>
      </w:r>
      <w:r>
        <w:rPr>
          <w:rFonts w:ascii="Times New Roman" w:cs="Times New Roman" w:eastAsia="Times New Roman" w:hAnsi="Times New Roman"/>
          <w:sz w:val="18"/>
          <w:szCs w:val="18"/>
          <w:color w:val="auto"/>
        </w:rPr>
        <w:t>. The Plan shall remain in effect, subject to the right of the Board or the Compensation Committee to amend or terminate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Plan at any time, until the earlier of (a) the earliest date as of which all Awards granted under the Plan have been satisfied in full or terminated and no shares of Common Stock approved for issuance under the Plan remain available to be granted under new Awards or (b) the ten (10) year anniversary of the Effective Date. No Awards shall be granted under the Plan after such termination date. Subject to other applicable provisions of the Plan, all Awards made under the Plan on or before the ten (10) year anniversary of the Effective Date or such earlier termination of the Plan, shall remain in effect until such Awards have been satisfied or terminated in accordance with the Plan and the terms of such Awards.</w:t>
      </w:r>
    </w:p>
    <w:p>
      <w:pPr>
        <w:spacing w:after="0" w:line="141" w:lineRule="exact"/>
        <w:rPr>
          <w:rFonts w:ascii="Times New Roman" w:cs="Times New Roman" w:eastAsia="Times New Roman" w:hAnsi="Times New Roman"/>
          <w:sz w:val="18"/>
          <w:szCs w:val="18"/>
          <w:color w:val="auto"/>
        </w:rPr>
      </w:pPr>
    </w:p>
    <w:p>
      <w:pPr>
        <w:ind w:right="20" w:firstLine="757"/>
        <w:spacing w:after="0" w:line="253" w:lineRule="auto"/>
        <w:tabs>
          <w:tab w:leader="none" w:pos="1109" w:val="left"/>
        </w:tabs>
        <w:numPr>
          <w:ilvl w:val="1"/>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Amendment and Discontinuance of the Plan</w:t>
      </w:r>
      <w:r>
        <w:rPr>
          <w:rFonts w:ascii="Times New Roman" w:cs="Times New Roman" w:eastAsia="Times New Roman" w:hAnsi="Times New Roman"/>
          <w:sz w:val="18"/>
          <w:szCs w:val="18"/>
          <w:color w:val="auto"/>
        </w:rPr>
        <w:t>. The Board or the Compensation Committee may amend, alter or discontinue the Plan, but no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amendment, alteration or discontinuation shall be made which would materially impair the rights of a Participant with respect to a previously granted Award without such Participant’s consent, except such an amendment made to comply with applicable law or rule of any securities exchange or market on which the Common Stock is listed or admitted for trading or to prevent adverse tax or accounting consequences to the Company or the Participant. Notwithstanding the foregoing, no such amendment shall be made without the approval of Axsome’s stockholders to the extent such amendment would (A) materially increase the benefits accruing to Participants under the Plan, (B) materially increase the number of shares of Common Stock which may be issued under the Plan or to a Participant, (C) materially expand the eligibility for participation in the Plan, (D) eliminate or modify the prohibition set forth in Section 7(e) on repricing of stock options and stock appreciation rights, (E) lengthen the maximum term or lower the minimum exercise price or base price permitted for stock options and stock appreciation rights, or (F) modify the prohibition on the issuance of reload or replenishment options. Except as otherwise determined by the Board or Compensation Committee, termination of the Plan shall not affect the Administrator’s ability to exercise the powers granted to it hereunder with respect to Awards granted under the Plan prior to the date of such termination.</w:t>
      </w:r>
    </w:p>
    <w:p>
      <w:pPr>
        <w:spacing w:after="0" w:line="164" w:lineRule="exact"/>
        <w:rPr>
          <w:rFonts w:ascii="Times New Roman" w:cs="Times New Roman" w:eastAsia="Times New Roman" w:hAnsi="Times New Roman"/>
          <w:sz w:val="18"/>
          <w:szCs w:val="18"/>
          <w:color w:val="auto"/>
        </w:rPr>
      </w:pPr>
    </w:p>
    <w:p>
      <w:pPr>
        <w:ind w:right="60" w:firstLine="757"/>
        <w:spacing w:after="0" w:line="257" w:lineRule="auto"/>
        <w:tabs>
          <w:tab w:leader="none" w:pos="1109" w:val="left"/>
        </w:tabs>
        <w:numPr>
          <w:ilvl w:val="1"/>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Amendment of Awards</w:t>
      </w:r>
      <w:r>
        <w:rPr>
          <w:rFonts w:ascii="Times New Roman" w:cs="Times New Roman" w:eastAsia="Times New Roman" w:hAnsi="Times New Roman"/>
          <w:sz w:val="18"/>
          <w:szCs w:val="18"/>
          <w:color w:val="auto"/>
        </w:rPr>
        <w:t>. Subject to Section 7(e), the Administrator may unilaterally amend the terms of any Award theretofore granted, but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 such amendment shall materially impair the rights of any Participant with respect to an Award without the Participant’s consent, except such an amendment made to cause the Plan or Award to comply with applicable law, applicable rule of any securities exchange on which the Common Stock is listed or admitted for trading, or to prevent adverse tax or accounting consequences for the Participant or the Company or any of its Affiliates. For purposes of the foregoing sentence, an amendment to an Award that results in a change in the tax consequences of the Award to the Participant shall not be considered to be a material impairment of the rights of the Participant and shall not require the Participant’s consent.</w:t>
      </w:r>
    </w:p>
    <w:p>
      <w:pPr>
        <w:spacing w:after="0" w:line="139" w:lineRule="exact"/>
        <w:rPr>
          <w:rFonts w:ascii="Times New Roman" w:cs="Times New Roman" w:eastAsia="Times New Roman" w:hAnsi="Times New Roman"/>
          <w:sz w:val="18"/>
          <w:szCs w:val="18"/>
          <w:color w:val="auto"/>
        </w:rPr>
      </w:pPr>
    </w:p>
    <w:p>
      <w:pPr>
        <w:ind w:left="360" w:hanging="352"/>
        <w:spacing w:after="0"/>
        <w:tabs>
          <w:tab w:leader="none" w:pos="360" w:val="left"/>
        </w:tabs>
        <w:numPr>
          <w:ilvl w:val="0"/>
          <w:numId w:val="2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General Provisions</w:t>
      </w:r>
      <w:r>
        <w:rPr>
          <w:rFonts w:ascii="Times New Roman" w:cs="Times New Roman" w:eastAsia="Times New Roman" w:hAnsi="Times New Roman"/>
          <w:sz w:val="18"/>
          <w:szCs w:val="18"/>
          <w:color w:val="auto"/>
        </w:rPr>
        <w:t>.</w:t>
      </w:r>
    </w:p>
    <w:p>
      <w:pPr>
        <w:spacing w:after="0" w:line="186" w:lineRule="exact"/>
        <w:rPr>
          <w:rFonts w:ascii="Times New Roman" w:cs="Times New Roman" w:eastAsia="Times New Roman" w:hAnsi="Times New Roman"/>
          <w:sz w:val="18"/>
          <w:szCs w:val="18"/>
          <w:b w:val="1"/>
          <w:bCs w:val="1"/>
          <w:color w:val="auto"/>
        </w:rPr>
      </w:pPr>
    </w:p>
    <w:p>
      <w:pPr>
        <w:ind w:right="640" w:firstLine="757"/>
        <w:spacing w:after="0" w:line="284" w:lineRule="auto"/>
        <w:tabs>
          <w:tab w:leader="none" w:pos="1109" w:val="left"/>
        </w:tabs>
        <w:numPr>
          <w:ilvl w:val="1"/>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Non-Guarantee of Employment or Service</w:t>
      </w:r>
      <w:r>
        <w:rPr>
          <w:rFonts w:ascii="Times New Roman" w:cs="Times New Roman" w:eastAsia="Times New Roman" w:hAnsi="Times New Roman"/>
          <w:sz w:val="18"/>
          <w:szCs w:val="18"/>
          <w:color w:val="auto"/>
        </w:rPr>
        <w:t>. Nothing in the Plan or in any Award Agreement thereunder shall confer any right on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individual to continue in the service of Axsome or any Affiliate or shall</w:t>
      </w: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7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524" w:name="page525"/>
    <w:bookmarkEnd w:id="524"/>
    <w:p>
      <w:pPr>
        <w:ind w:right="20"/>
        <w:spacing w:after="0" w:line="256" w:lineRule="auto"/>
        <w:rPr>
          <w:sz w:val="20"/>
          <w:szCs w:val="20"/>
          <w:color w:val="auto"/>
        </w:rPr>
      </w:pPr>
      <w:r>
        <w:rPr>
          <w:rFonts w:ascii="Times New Roman" w:cs="Times New Roman" w:eastAsia="Times New Roman" w:hAnsi="Times New Roman"/>
          <w:sz w:val="18"/>
          <w:szCs w:val="18"/>
          <w:color w:val="auto"/>
        </w:rPr>
        <w:t>interfere in any way with the right of Axsome or any Affiliate to terminate such service at any time with or without cause or notice and whether or not such termination results in (i) the failure of any Award to vest or become payable; (ii) the forfeiture of any unvested or vested portion of any Award; and/or (iii) any other adverse effect on the individual’s interests under any Award or the Plan. No person, even though deemed an Eligible Individual, shall have a right to be selected as a Participant, or, having been so selected, to be selected again as a Participant. To the extent that an Eligible Individual who is an employee of a Subsidiary receives an Award under the Plan, that Award shall in no event be understood or interpreted to mean that the Company is the Participant’s employer or that the Participant has an employment relationship with the Company.</w:t>
      </w:r>
    </w:p>
    <w:p>
      <w:pPr>
        <w:spacing w:after="0" w:line="145" w:lineRule="exact"/>
        <w:rPr>
          <w:sz w:val="20"/>
          <w:szCs w:val="20"/>
          <w:color w:val="auto"/>
        </w:rPr>
      </w:pPr>
    </w:p>
    <w:p>
      <w:pPr>
        <w:ind w:right="80" w:firstLine="757"/>
        <w:spacing w:after="0" w:line="290" w:lineRule="auto"/>
        <w:tabs>
          <w:tab w:leader="none" w:pos="1109" w:val="left"/>
        </w:tabs>
        <w:numPr>
          <w:ilvl w:val="0"/>
          <w:numId w:val="2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No Trust or Fund Created</w:t>
      </w:r>
      <w:r>
        <w:rPr>
          <w:rFonts w:ascii="Times New Roman" w:cs="Times New Roman" w:eastAsia="Times New Roman" w:hAnsi="Times New Roman"/>
          <w:sz w:val="17"/>
          <w:szCs w:val="17"/>
          <w:color w:val="auto"/>
        </w:rPr>
        <w:t>. Neither the Plan nor any Award shall create or be construed to create a trust or separate fund of any kind or a</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fiduciary relationship between the Company and a Participant or any other person. To the extent that any Participant or other person acquires a right to receive payments from the Company pursuant to an Award, such right shall be no greater than the right of any unsecured general creditor of the Company.</w:t>
      </w:r>
    </w:p>
    <w:p>
      <w:pPr>
        <w:spacing w:after="0" w:line="128" w:lineRule="exact"/>
        <w:rPr>
          <w:rFonts w:ascii="Times New Roman" w:cs="Times New Roman" w:eastAsia="Times New Roman" w:hAnsi="Times New Roman"/>
          <w:sz w:val="17"/>
          <w:szCs w:val="17"/>
          <w:color w:val="auto"/>
        </w:rPr>
      </w:pPr>
    </w:p>
    <w:p>
      <w:pPr>
        <w:ind w:right="60" w:firstLine="757"/>
        <w:spacing w:after="0" w:line="258" w:lineRule="auto"/>
        <w:tabs>
          <w:tab w:leader="none" w:pos="1109" w:val="left"/>
        </w:tabs>
        <w:numPr>
          <w:ilvl w:val="0"/>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Status of Awards. </w:t>
      </w:r>
      <w:r>
        <w:rPr>
          <w:rFonts w:ascii="Times New Roman" w:cs="Times New Roman" w:eastAsia="Times New Roman" w:hAnsi="Times New Roman"/>
          <w:sz w:val="18"/>
          <w:szCs w:val="18"/>
          <w:color w:val="auto"/>
        </w:rPr>
        <w:t>Awards shall be special incentive payments to the Participant and shall not be taken into account in computing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amount of salary or compensation of the Participant for purposes of determining any pension, retirement, death, severance or other benefit under (a) any pension, retirement, profit-sharing, bonus, insurance, severance or other employee benefit plan of the Company or any Affiliate now or hereafter in effect under which the availability or amount of benefits is related to the level of compensation or (b) any agreement between (i) Axsome or any Affiliate and (ii) the Participant, except as such plan or agreement shall otherwise expressly provide.</w:t>
      </w:r>
    </w:p>
    <w:p>
      <w:pPr>
        <w:spacing w:after="0" w:line="142" w:lineRule="exact"/>
        <w:rPr>
          <w:rFonts w:ascii="Times New Roman" w:cs="Times New Roman" w:eastAsia="Times New Roman" w:hAnsi="Times New Roman"/>
          <w:sz w:val="18"/>
          <w:szCs w:val="18"/>
          <w:color w:val="auto"/>
        </w:rPr>
      </w:pPr>
    </w:p>
    <w:p>
      <w:pPr>
        <w:ind w:right="40" w:firstLine="757"/>
        <w:spacing w:after="0" w:line="258" w:lineRule="auto"/>
        <w:tabs>
          <w:tab w:leader="none" w:pos="1109" w:val="left"/>
        </w:tabs>
        <w:numPr>
          <w:ilvl w:val="0"/>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Subsidiary Employees</w:t>
      </w:r>
      <w:r>
        <w:rPr>
          <w:rFonts w:ascii="Times New Roman" w:cs="Times New Roman" w:eastAsia="Times New Roman" w:hAnsi="Times New Roman"/>
          <w:sz w:val="18"/>
          <w:szCs w:val="18"/>
          <w:color w:val="auto"/>
        </w:rPr>
        <w:t>. In the case of a grant of an Award to an Eligible Individual who provides services to any Subsidiary, Axsome may,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if the Administrator so directs, issue or transfer the shares of Common Stock, if any, covered by the Award to the Subsidiary, for such lawful consideration as the Administrator may specify, upon the condition or understanding that the Subsidiary will transfer the shares of Common Stock to the Eligible Individual in accordance with the terms of the Award specified by the Administrator pursuant to the provisions of the Plan. All shares of Common Stock underlying Awards that are forfeited or canceled after such issue or transfer of shares to the Subsidiary shall revert to Axsome.</w:t>
      </w:r>
    </w:p>
    <w:p>
      <w:pPr>
        <w:spacing w:after="0" w:line="142" w:lineRule="exact"/>
        <w:rPr>
          <w:rFonts w:ascii="Times New Roman" w:cs="Times New Roman" w:eastAsia="Times New Roman" w:hAnsi="Times New Roman"/>
          <w:sz w:val="18"/>
          <w:szCs w:val="18"/>
          <w:color w:val="auto"/>
        </w:rPr>
      </w:pPr>
    </w:p>
    <w:p>
      <w:pPr>
        <w:ind w:firstLine="757"/>
        <w:spacing w:after="0" w:line="255" w:lineRule="auto"/>
        <w:tabs>
          <w:tab w:leader="none" w:pos="1109" w:val="left"/>
        </w:tabs>
        <w:numPr>
          <w:ilvl w:val="0"/>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Governing Law and Interpretation. </w:t>
      </w:r>
      <w:r>
        <w:rPr>
          <w:rFonts w:ascii="Times New Roman" w:cs="Times New Roman" w:eastAsia="Times New Roman" w:hAnsi="Times New Roman"/>
          <w:sz w:val="18"/>
          <w:szCs w:val="18"/>
          <w:color w:val="auto"/>
        </w:rPr>
        <w:t>The validity, construction and effect of the Plan, of Award Agreements entered into pursuant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Plan, and of any rules, regulations, determinations or decisions made by the Administrator relating to the Plan or such Award Agreements, and the rights of any and all persons having or claiming to have any interest therein or thereunder, shall be determined exclusively in accordance with applicable United States federal laws and the laws of the State of Delaware, without regard to its conflict of laws principles. The captions of the Plan are not part of the provisions hereof and shall have no force or effect. Except where the context otherwise requires: (i) the singular includes the plural and vice versa; (ii) a reference to one gender includes other genders; (iii) a reference to a person includes a natural person, partnership, corporation, association, governmental or local authority or agency or other entity; and (iv) a reference to a statute, ordinance, code or other law includes regulations and other instruments under it and consolidations, amendments, re-enactments or replacements of any of them.</w:t>
      </w:r>
    </w:p>
    <w:p>
      <w:pPr>
        <w:spacing w:after="0" w:line="157" w:lineRule="exact"/>
        <w:rPr>
          <w:rFonts w:ascii="Times New Roman" w:cs="Times New Roman" w:eastAsia="Times New Roman" w:hAnsi="Times New Roman"/>
          <w:sz w:val="18"/>
          <w:szCs w:val="18"/>
          <w:color w:val="auto"/>
        </w:rPr>
      </w:pPr>
    </w:p>
    <w:p>
      <w:pPr>
        <w:ind w:right="80" w:firstLine="757"/>
        <w:spacing w:after="0" w:line="261" w:lineRule="auto"/>
        <w:tabs>
          <w:tab w:leader="none" w:pos="1109" w:val="left"/>
        </w:tabs>
        <w:numPr>
          <w:ilvl w:val="0"/>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Use of English Language. </w:t>
      </w:r>
      <w:r>
        <w:rPr>
          <w:rFonts w:ascii="Times New Roman" w:cs="Times New Roman" w:eastAsia="Times New Roman" w:hAnsi="Times New Roman"/>
          <w:sz w:val="18"/>
          <w:szCs w:val="18"/>
          <w:color w:val="auto"/>
        </w:rPr>
        <w:t>The Plan, each Award Agreement, and all other documents, notices and legal proceedings entered into, given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instituted pursuant to an Award shall be written in English, unless otherwise determined by the Administrator. If a Participant receives an Award Agreement, a copy of the Plan or any other documents related to an Award translated into a language other than English, and if the meaning of the translated version is different from the English version, the English version shall control.</w:t>
      </w:r>
    </w:p>
    <w:p>
      <w:pPr>
        <w:spacing w:after="0" w:line="139" w:lineRule="exact"/>
        <w:rPr>
          <w:rFonts w:ascii="Times New Roman" w:cs="Times New Roman" w:eastAsia="Times New Roman" w:hAnsi="Times New Roman"/>
          <w:sz w:val="18"/>
          <w:szCs w:val="18"/>
          <w:color w:val="auto"/>
        </w:rPr>
      </w:pPr>
    </w:p>
    <w:p>
      <w:pPr>
        <w:ind w:right="80" w:firstLine="757"/>
        <w:spacing w:after="0" w:line="257" w:lineRule="auto"/>
        <w:tabs>
          <w:tab w:leader="none" w:pos="1109" w:val="left"/>
        </w:tabs>
        <w:numPr>
          <w:ilvl w:val="0"/>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Recovery of Amounts Paid. </w:t>
      </w:r>
      <w:r>
        <w:rPr>
          <w:rFonts w:ascii="Times New Roman" w:cs="Times New Roman" w:eastAsia="Times New Roman" w:hAnsi="Times New Roman"/>
          <w:sz w:val="18"/>
          <w:szCs w:val="18"/>
          <w:color w:val="auto"/>
        </w:rPr>
        <w:t>Except as otherwise provided by the Administrator, Awards granted under the Plan shall be subject to any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all policies, guidelines, codes of conduct, or other agreement or arrangement adopted by the Board or Compensation Committee with respect to the recoupment, recovery or clawback of compensation (collectively, the “Recoupment Policy”) and/or to any provisions set forth in the applicable Award Agreement under which the Company may recover from current and former Participants any amounts paid or shares of Common Stock issued under an Award and any proceeds therefrom under such circumstances as the Administrator determines appropriate. The Administrator may apply the Recoupment Policy to Awards granted before the policy is adopted to the extent required by applicable law or rule of any securities</w:t>
      </w: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7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525" w:name="page526"/>
    <w:bookmarkEnd w:id="525"/>
    <w:p>
      <w:pPr>
        <w:spacing w:after="0"/>
        <w:rPr>
          <w:sz w:val="20"/>
          <w:szCs w:val="20"/>
          <w:color w:val="auto"/>
        </w:rPr>
      </w:pPr>
      <w:r>
        <w:rPr>
          <w:rFonts w:ascii="Times New Roman" w:cs="Times New Roman" w:eastAsia="Times New Roman" w:hAnsi="Times New Roman"/>
          <w:sz w:val="18"/>
          <w:szCs w:val="18"/>
          <w:color w:val="auto"/>
        </w:rPr>
        <w:t>exchange or market on which shares of Common Stock are listed or admitted for trading, as determined by the Administrator in its sole discretion.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Glossary</w:t>
      </w:r>
      <w:r>
        <w:rPr>
          <w:rFonts w:ascii="Times New Roman" w:cs="Times New Roman" w:eastAsia="Times New Roman" w:hAnsi="Times New Roman"/>
          <w:sz w:val="18"/>
          <w:szCs w:val="18"/>
          <w:color w:val="auto"/>
        </w:rPr>
        <w:t>.</w:t>
      </w:r>
    </w:p>
    <w:p>
      <w:pPr>
        <w:spacing w:after="0" w:line="20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Under this Plan, except where the context otherwise indicates, the following definitions apply:</w:t>
      </w:r>
    </w:p>
    <w:p>
      <w:pPr>
        <w:spacing w:after="0" w:line="183"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i w:val="1"/>
          <w:iCs w:val="1"/>
          <w:color w:val="auto"/>
        </w:rPr>
        <w:t>“Administrator</w:t>
      </w:r>
      <w:r>
        <w:rPr>
          <w:rFonts w:ascii="Times New Roman" w:cs="Times New Roman" w:eastAsia="Times New Roman" w:hAnsi="Times New Roman"/>
          <w:sz w:val="18"/>
          <w:szCs w:val="18"/>
          <w:color w:val="auto"/>
        </w:rPr>
        <w:t>” means the Compensation Committee, or such other committee(s) of director(s) (for the avoidance of doubt, which may include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committee of one director) duly appointed by the Board or the Compensation Committee to administer the Plan or delegated limited authority to perform administrative actions under the Plan, and having such powers as shall be specified by the Board or the Compensation Committee; provided, however, that at any time the Board may serve as the Administrator in lieu of or in addition to the Compensation Committee or such other committee(s) of director(s) to whom administrative authority has been delegated. With respect to any Award to which Section 16 of the Exchange Act applies, the Administrator shall consist of either the Board or a committee of the Board, which committee shall consist of three or more directors, each of whom is intended to be, to the extent required by Rule 16b-3 of the Exchange Act, a “non-employee director” as defined in Rule 16b-3 of the Exchange Act and an “independent director” to the extent required by the rules of the national securities exchange that is the principal trading market for the Common Stock, provided that, with respect to Awards made to a member of the Board who is not an employee of the Company, Administrator means the Board. Any member of the Administrator who does not meet the foregoing requirements shall abstain from any decision regarding an Award and shall not be considered a member of the Administrator to the extent required to comply with Rule 16b-3 of the Exchange Act.</w:t>
      </w:r>
    </w:p>
    <w:p>
      <w:pPr>
        <w:spacing w:after="0" w:line="15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Adoption Date</w:t>
      </w:r>
      <w:r>
        <w:rPr>
          <w:rFonts w:ascii="Times New Roman" w:cs="Times New Roman" w:eastAsia="Times New Roman" w:hAnsi="Times New Roman"/>
          <w:sz w:val="18"/>
          <w:szCs w:val="18"/>
          <w:color w:val="auto"/>
        </w:rPr>
        <w:t>” means the date the Plan is adopted by the Board.</w:t>
      </w:r>
    </w:p>
    <w:p>
      <w:pPr>
        <w:spacing w:after="0" w:line="198" w:lineRule="exact"/>
        <w:rPr>
          <w:sz w:val="20"/>
          <w:szCs w:val="20"/>
          <w:color w:val="auto"/>
        </w:rPr>
      </w:pPr>
    </w:p>
    <w:p>
      <w:pPr>
        <w:ind w:right="100" w:firstLine="749"/>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Affiliate”</w:t>
      </w:r>
      <w:r>
        <w:rPr>
          <w:rFonts w:ascii="Times New Roman" w:cs="Times New Roman" w:eastAsia="Times New Roman" w:hAnsi="Times New Roman"/>
          <w:sz w:val="18"/>
          <w:szCs w:val="18"/>
          <w:color w:val="auto"/>
        </w:rPr>
        <w:t xml:space="preserve"> means any entity, whether now or hereafter existing, which controls, is controlled by, or is under common control with, Axsome or any successor to Axsome. For this purpose, “control” (including the correlative meanings of the terms “controlled by” and “under common control with”) shall mean ownership, directly or indirectly, of 50% or more of the total combined voting power of all classes of voting securities issued by such entity, or the possession, directly or indirectly, of the power to direct the management and policies of such entity, by contract or otherwise.</w:t>
      </w:r>
    </w:p>
    <w:p>
      <w:pPr>
        <w:spacing w:after="0" w:line="139" w:lineRule="exact"/>
        <w:rPr>
          <w:sz w:val="20"/>
          <w:szCs w:val="20"/>
          <w:color w:val="auto"/>
        </w:rPr>
      </w:pPr>
    </w:p>
    <w:p>
      <w:pPr>
        <w:ind w:right="260" w:firstLine="749"/>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Award</w:t>
      </w:r>
      <w:r>
        <w:rPr>
          <w:rFonts w:ascii="Times New Roman" w:cs="Times New Roman" w:eastAsia="Times New Roman" w:hAnsi="Times New Roman"/>
          <w:sz w:val="18"/>
          <w:szCs w:val="18"/>
          <w:color w:val="auto"/>
        </w:rPr>
        <w:t>” means any stock option, stock appreciation right, stock award, stock unit, Performance Share, Performance Stock Unit, Performance Cash Unit, and/or Other Stock-Based Award, whether granted under this Plan.</w:t>
      </w:r>
    </w:p>
    <w:p>
      <w:pPr>
        <w:spacing w:after="0" w:line="118" w:lineRule="exact"/>
        <w:rPr>
          <w:sz w:val="20"/>
          <w:szCs w:val="20"/>
          <w:color w:val="auto"/>
        </w:rPr>
      </w:pPr>
    </w:p>
    <w:p>
      <w:pPr>
        <w:jc w:val="both"/>
        <w:ind w:right="80" w:firstLine="74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“Award Agreement” </w:t>
      </w:r>
      <w:r>
        <w:rPr>
          <w:rFonts w:ascii="Times New Roman" w:cs="Times New Roman" w:eastAsia="Times New Roman" w:hAnsi="Times New Roman"/>
          <w:sz w:val="18"/>
          <w:szCs w:val="18"/>
          <w:color w:val="auto"/>
        </w:rPr>
        <w:t>means the written document(s), including an electronic writing acceptable to the Administrator, and any notice, addendum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supplement thereto, memorializing the terms and conditions of an Award granted pursuant to the Plan and which shall incorporate the terms of the Plan.</w:t>
      </w:r>
    </w:p>
    <w:p>
      <w:pPr>
        <w:spacing w:after="0" w:line="13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Board</w:t>
      </w:r>
      <w:r>
        <w:rPr>
          <w:rFonts w:ascii="Times New Roman" w:cs="Times New Roman" w:eastAsia="Times New Roman" w:hAnsi="Times New Roman"/>
          <w:sz w:val="18"/>
          <w:szCs w:val="18"/>
          <w:color w:val="auto"/>
        </w:rPr>
        <w:t>” means the Board of Directors of Axsome.</w:t>
      </w:r>
    </w:p>
    <w:p>
      <w:pPr>
        <w:spacing w:after="0" w:line="185"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Cause</w:t>
      </w:r>
      <w:r>
        <w:rPr>
          <w:rFonts w:ascii="Times New Roman" w:cs="Times New Roman" w:eastAsia="Times New Roman" w:hAnsi="Times New Roman"/>
          <w:sz w:val="18"/>
          <w:szCs w:val="18"/>
          <w:color w:val="auto"/>
        </w:rPr>
        <w:t>” has the meaning given to that term in any written employment agreement, offer letter or severance agreement between the Company and the Participant, or if no such agreement exists or if such term is not defined therein, and unless otherwise defined in the Award Agreement, Cause shall mean a finding by the Board or the Compensation Committee that the Participant (i) has breached his or her employment or service contract with the Company, (ii) has engaged in disloyalty to the Company, including, without limitation, fraud, embezzlement, theft, commission of a felony or proven dishonesty, (iii) has disclosed trade secrets or confidential information of the Company to persons not entitled to receive such information, (iv) has breached any written non-competition, non-solicitation, invention assignment or confidentiality agreement between the Participant and the Company or (v) has engaged in such other behavior detrimental to the interests of the Company as the Board or the Compensation Committees determines.</w:t>
      </w:r>
    </w:p>
    <w:p>
      <w:pPr>
        <w:spacing w:after="0" w:line="143" w:lineRule="exact"/>
        <w:rPr>
          <w:sz w:val="20"/>
          <w:szCs w:val="20"/>
          <w:color w:val="auto"/>
        </w:rPr>
      </w:pPr>
    </w:p>
    <w:p>
      <w:pPr>
        <w:ind w:right="440" w:firstLine="749"/>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Change in Control</w:t>
      </w:r>
      <w:r>
        <w:rPr>
          <w:rFonts w:ascii="Times New Roman" w:cs="Times New Roman" w:eastAsia="Times New Roman" w:hAnsi="Times New Roman"/>
          <w:sz w:val="18"/>
          <w:szCs w:val="18"/>
          <w:color w:val="auto"/>
        </w:rPr>
        <w:t>” means the first of the following to occur: (i) a Change in Ownership of Axsome, (ii) a Change in Effective Control of Axsome, or (iii) a Change in the Ownership of Assets of Axsome, as described herein and construed in accordance with Code section 409A.</w:t>
      </w: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7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526" w:name="page527"/>
    <w:bookmarkEnd w:id="526"/>
    <w:p>
      <w:pPr>
        <w:ind w:firstLine="1505"/>
        <w:spacing w:after="0" w:line="256" w:lineRule="auto"/>
        <w:tabs>
          <w:tab w:leader="none" w:pos="1857" w:val="left"/>
        </w:tabs>
        <w:numPr>
          <w:ilvl w:val="0"/>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in Ownership of Axsome” shall occur on the date that any one Person acquires, or Persons Acting as a Group acquire, ownership of the capital stock of Axsome that, together with the stock held by such Person or Group, constitutes more than 50% of the total fair market value or total voting power of the capital stock of Axsome. However, if any one Person is, or Persons Acting as a Group are, considered to own more than 50%, on a fully diluted basis, of the total fair market value or total voting power of the capital stock of Axsome, the acquisition of additional stock by the same Person or Persons Acting as a Group is not considered to cause a Change in Ownership of Axsome or to cause a Change in Effective Control of Axsome (as described below).</w:t>
      </w:r>
    </w:p>
    <w:p>
      <w:pPr>
        <w:spacing w:after="0" w:line="146" w:lineRule="exact"/>
        <w:rPr>
          <w:rFonts w:ascii="Times New Roman" w:cs="Times New Roman" w:eastAsia="Times New Roman" w:hAnsi="Times New Roman"/>
          <w:sz w:val="18"/>
          <w:szCs w:val="18"/>
          <w:color w:val="auto"/>
        </w:rPr>
      </w:pPr>
    </w:p>
    <w:p>
      <w:pPr>
        <w:ind w:right="80" w:firstLine="1505"/>
        <w:spacing w:after="0" w:line="258" w:lineRule="auto"/>
        <w:tabs>
          <w:tab w:leader="none" w:pos="1857" w:val="left"/>
        </w:tabs>
        <w:numPr>
          <w:ilvl w:val="0"/>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in Effective Control of Axsome” shall occur on the date either (A) a majority of members of Axsome’s Board is replaced during any 12-month period by directors whose appointment or election is not endorsed by a majority of the members of Axsome’s Board before the date of the appointment or election, or (B) any one Person, or Persons Acting as a Group, acquires (or has acquired during the 12-month period ending on the date of the most recent acquisition by such Person or Persons) ownership of stock of Axsome possessing 50% or more of the total voting power of the stock of Axsome.</w:t>
      </w:r>
    </w:p>
    <w:p>
      <w:pPr>
        <w:spacing w:after="0" w:line="156" w:lineRule="exact"/>
        <w:rPr>
          <w:rFonts w:ascii="Times New Roman" w:cs="Times New Roman" w:eastAsia="Times New Roman" w:hAnsi="Times New Roman"/>
          <w:sz w:val="18"/>
          <w:szCs w:val="18"/>
          <w:color w:val="auto"/>
        </w:rPr>
      </w:pPr>
    </w:p>
    <w:p>
      <w:pPr>
        <w:ind w:right="60" w:firstLine="1505"/>
        <w:spacing w:after="0" w:line="258" w:lineRule="auto"/>
        <w:tabs>
          <w:tab w:leader="none" w:pos="1857" w:val="left"/>
        </w:tabs>
        <w:numPr>
          <w:ilvl w:val="0"/>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in the Ownership of Assets of Axsome” shall occur on the date that any one Person acquires, or Persons Acting as a Group acquire (or has or have acquired during the 12-month period ending on the date of the most recent acquisition by such Person or Persons), assets from Axsome that have a total gross fair market value equal to or more than 50% of the total gross fair market value of all of the assets of Axsome immediately before such acquisition or acquisitions. For this purpose, gross fair market value means the value of the assets of Axsome, or the value of the assets being disposed of, determined without regard to any liabilities associated with such assets.</w:t>
      </w:r>
    </w:p>
    <w:p>
      <w:pPr>
        <w:spacing w:after="0" w:line="14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rules of construction apply in interpreting the definition of Change in Control:</w:t>
      </w:r>
    </w:p>
    <w:p>
      <w:pPr>
        <w:spacing w:after="0" w:line="183" w:lineRule="exact"/>
        <w:rPr>
          <w:sz w:val="20"/>
          <w:szCs w:val="20"/>
          <w:color w:val="auto"/>
        </w:rPr>
      </w:pPr>
    </w:p>
    <w:p>
      <w:pPr>
        <w:jc w:val="both"/>
        <w:ind w:right="80" w:firstLine="1505"/>
        <w:spacing w:after="0" w:line="267" w:lineRule="auto"/>
        <w:tabs>
          <w:tab w:leader="none" w:pos="1857" w:val="left"/>
        </w:tabs>
        <w:numPr>
          <w:ilvl w:val="0"/>
          <w:numId w:val="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i w:val="1"/>
          <w:iCs w:val="1"/>
          <w:color w:val="auto"/>
        </w:rPr>
        <w:t>Person</w:t>
      </w:r>
      <w:r>
        <w:rPr>
          <w:rFonts w:ascii="Times New Roman" w:cs="Times New Roman" w:eastAsia="Times New Roman" w:hAnsi="Times New Roman"/>
          <w:sz w:val="18"/>
          <w:szCs w:val="18"/>
          <w:color w:val="auto"/>
        </w:rPr>
        <w:t>” means any individual, entity or group within the meaning of Section 13(d)(3) or 14(d)(2) of the Securities Exchange Act of 1934, as amended, other than employee benefit plans sponsored or maintained by Axsome and by entities controlled by Axsome or an underwriter, initial purchaser or placement agent temporarily holding the capital stock of Axsome pursuant to a registered public offering.</w:t>
      </w:r>
    </w:p>
    <w:p>
      <w:pPr>
        <w:spacing w:after="0" w:line="148" w:lineRule="exact"/>
        <w:rPr>
          <w:rFonts w:ascii="Times New Roman" w:cs="Times New Roman" w:eastAsia="Times New Roman" w:hAnsi="Times New Roman"/>
          <w:sz w:val="18"/>
          <w:szCs w:val="18"/>
          <w:color w:val="auto"/>
        </w:rPr>
      </w:pPr>
    </w:p>
    <w:p>
      <w:pPr>
        <w:ind w:right="80" w:firstLine="1505"/>
        <w:spacing w:after="0" w:line="256" w:lineRule="auto"/>
        <w:tabs>
          <w:tab w:leader="none" w:pos="1857" w:val="left"/>
        </w:tabs>
        <w:numPr>
          <w:ilvl w:val="0"/>
          <w:numId w:val="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will be considered to be Persons Acting as a Group (or Group) if they are owners of a corporation that enters into a merger, consolidation, purchase or acquisition of stock, or similar business transaction with the corporation. If a Person owns stock in both corporations that enter into a merger, consolidation, purchase or acquisition of stock, or similar transaction, such shareholder is considered to be acting as a Group with other shareholders only with respect to the ownership in that corporation before the transaction giving rise to the change and not with respect to the ownership interest in the other corporation. Persons will not be considered to be acting as a Group solely because they purchase assets of the same corporation at the same time or purchase or own stock of the same corporation at the same time, or as a result of the same public offering.</w:t>
      </w:r>
    </w:p>
    <w:p>
      <w:pPr>
        <w:spacing w:after="0" w:line="146" w:lineRule="exact"/>
        <w:rPr>
          <w:rFonts w:ascii="Times New Roman" w:cs="Times New Roman" w:eastAsia="Times New Roman" w:hAnsi="Times New Roman"/>
          <w:sz w:val="18"/>
          <w:szCs w:val="18"/>
          <w:color w:val="auto"/>
        </w:rPr>
      </w:pPr>
    </w:p>
    <w:p>
      <w:pPr>
        <w:ind w:left="1860" w:hanging="355"/>
        <w:spacing w:after="0"/>
        <w:tabs>
          <w:tab w:leader="none" w:pos="1860" w:val="left"/>
        </w:tabs>
        <w:numPr>
          <w:ilvl w:val="0"/>
          <w:numId w:val="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in Control shall not include a transfer to a related person as described in Code section 409A or a public offering of</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stock of Axsome.</w:t>
      </w:r>
    </w:p>
    <w:p>
      <w:pPr>
        <w:spacing w:after="0" w:line="166" w:lineRule="exact"/>
        <w:rPr>
          <w:rFonts w:ascii="Times New Roman" w:cs="Times New Roman" w:eastAsia="Times New Roman" w:hAnsi="Times New Roman"/>
          <w:sz w:val="18"/>
          <w:szCs w:val="18"/>
          <w:color w:val="auto"/>
        </w:rPr>
      </w:pPr>
    </w:p>
    <w:p>
      <w:pPr>
        <w:ind w:right="60" w:firstLine="1505"/>
        <w:spacing w:after="0" w:line="258" w:lineRule="auto"/>
        <w:tabs>
          <w:tab w:leader="none" w:pos="1857" w:val="left"/>
        </w:tabs>
        <w:numPr>
          <w:ilvl w:val="0"/>
          <w:numId w:val="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the definition of Change in Control, Section 318(a) of the Code applies to determine stock ownership. Stock underlying a vested option is considered owned by the individual who holds the vested option (and the stock underlying an unvested option is not considered owned by the individual who holds the unvested option). For purposes of the preceding sentence, however, if a vested option is exercisable for stock that is not substantially vested (as defined by Treasury Regulation §1.83-3(b) and (j)), the stock underlying the option is not treated as owned by the individual who holds the option.</w:t>
      </w:r>
    </w:p>
    <w:p>
      <w:pPr>
        <w:spacing w:after="0" w:line="154" w:lineRule="exact"/>
        <w:rPr>
          <w:sz w:val="20"/>
          <w:szCs w:val="20"/>
          <w:color w:val="auto"/>
        </w:rPr>
      </w:pPr>
    </w:p>
    <w:p>
      <w:pPr>
        <w:ind w:right="120" w:firstLine="74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“Code” </w:t>
      </w:r>
      <w:r>
        <w:rPr>
          <w:rFonts w:ascii="Times New Roman" w:cs="Times New Roman" w:eastAsia="Times New Roman" w:hAnsi="Times New Roman"/>
          <w:sz w:val="18"/>
          <w:szCs w:val="18"/>
          <w:color w:val="auto"/>
        </w:rPr>
        <w:t>means the Internal Revenue Code of 1986, as amended from time to time, and any successor thereto, the Treasury Regulations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thereunder and other relevant interpretive guidance issued by the Internal Revenue Service or the Treasury Department. Reference to any specific section of the Code shall be deemed to include such regulations and guidance, as well as any successor section, regulations and guidance.</w:t>
      </w:r>
    </w:p>
    <w:p>
      <w:pPr>
        <w:spacing w:after="0" w:line="13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 xml:space="preserve">“Common Stock” </w:t>
      </w:r>
      <w:r>
        <w:rPr>
          <w:rFonts w:ascii="Times New Roman" w:cs="Times New Roman" w:eastAsia="Times New Roman" w:hAnsi="Times New Roman"/>
          <w:sz w:val="18"/>
          <w:szCs w:val="18"/>
          <w:color w:val="auto"/>
        </w:rPr>
        <w:t>means shares of common stock of Axsome Therapeutics, Inc. and any capital securities into which they are converted.</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7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7" w:right="379" w:bottom="1440" w:gutter="0" w:footer="0" w:header="0"/>
        </w:sectPr>
      </w:pPr>
    </w:p>
    <w:bookmarkStart w:id="527" w:name="page528"/>
    <w:bookmarkEnd w:id="527"/>
    <w:p>
      <w:pPr>
        <w:ind w:right="280" w:firstLine="749"/>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 means Axsome Therapeutics, Inc. and its Subsidiaries, except where the context otherwise requires. For purposes of determining whether a Change in Control has occurred, Company shall mean only Axsome Therapeutics, Inc.</w:t>
      </w:r>
    </w:p>
    <w:p>
      <w:pPr>
        <w:spacing w:after="0" w:line="11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 xml:space="preserve">“Compensation Committee” </w:t>
      </w:r>
      <w:r>
        <w:rPr>
          <w:rFonts w:ascii="Times New Roman" w:cs="Times New Roman" w:eastAsia="Times New Roman" w:hAnsi="Times New Roman"/>
          <w:sz w:val="18"/>
          <w:szCs w:val="18"/>
          <w:color w:val="auto"/>
        </w:rPr>
        <w:t>means the Compensation Committee of the Board.</w:t>
      </w:r>
    </w:p>
    <w:p>
      <w:pPr>
        <w:spacing w:after="0" w:line="19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Director Limits</w:t>
      </w:r>
      <w:r>
        <w:rPr>
          <w:rFonts w:ascii="Times New Roman" w:cs="Times New Roman" w:eastAsia="Times New Roman" w:hAnsi="Times New Roman"/>
          <w:sz w:val="18"/>
          <w:szCs w:val="18"/>
          <w:color w:val="auto"/>
        </w:rPr>
        <w:t>” shall have the meaning ascribed to it in Section 5(e) of the Plan.</w:t>
      </w:r>
    </w:p>
    <w:p>
      <w:pPr>
        <w:spacing w:after="0" w:line="185" w:lineRule="exact"/>
        <w:rPr>
          <w:sz w:val="20"/>
          <w:szCs w:val="20"/>
          <w:color w:val="auto"/>
        </w:rPr>
      </w:pPr>
    </w:p>
    <w:p>
      <w:pPr>
        <w:ind w:right="280" w:firstLine="749"/>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Dividend Equivalent</w:t>
      </w:r>
      <w:r>
        <w:rPr>
          <w:rFonts w:ascii="Times New Roman" w:cs="Times New Roman" w:eastAsia="Times New Roman" w:hAnsi="Times New Roman"/>
          <w:sz w:val="18"/>
          <w:szCs w:val="18"/>
          <w:color w:val="auto"/>
        </w:rPr>
        <w:t>” means a right, granted to a Participant, to receive cash, Common Stock, stock Units or other property equal in value to dividends paid with respect to a specified number of shares of Common Stock.</w:t>
      </w:r>
    </w:p>
    <w:p>
      <w:pPr>
        <w:spacing w:after="0" w:line="11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Effective Date</w:t>
      </w:r>
      <w:r>
        <w:rPr>
          <w:rFonts w:ascii="Times New Roman" w:cs="Times New Roman" w:eastAsia="Times New Roman" w:hAnsi="Times New Roman"/>
          <w:sz w:val="17"/>
          <w:szCs w:val="17"/>
          <w:color w:val="auto"/>
        </w:rPr>
        <w:t>” means the effective date of this Plan document, which is the date of the annual meeting of stockholders of Axsome held in 2025.</w:t>
      </w:r>
    </w:p>
    <w:p>
      <w:pPr>
        <w:spacing w:after="0" w:line="210" w:lineRule="exact"/>
        <w:rPr>
          <w:sz w:val="20"/>
          <w:szCs w:val="20"/>
          <w:color w:val="auto"/>
        </w:rPr>
      </w:pPr>
    </w:p>
    <w:p>
      <w:pPr>
        <w:ind w:right="340" w:firstLine="749"/>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Eligible Individuals</w:t>
      </w:r>
      <w:r>
        <w:rPr>
          <w:rFonts w:ascii="Times New Roman" w:cs="Times New Roman" w:eastAsia="Times New Roman" w:hAnsi="Times New Roman"/>
          <w:sz w:val="18"/>
          <w:szCs w:val="18"/>
          <w:color w:val="auto"/>
        </w:rPr>
        <w:t xml:space="preserve">” means (i) officers and employees of, and other individuals, including non-employee directors, who are natural persons providing bona fide services to or for, Axsome or any of its Subsidiaries,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services are not in connection with the offer or sale of securities in a capital-raising transaction and do not directly or indirectly promote or maintain a market for Axsome’s securities, and (ii) prospective officers, employees and service providers who have accepted offers of employment or other service relationship from Axsome or a Subsidiary.</w:t>
      </w:r>
    </w:p>
    <w:p>
      <w:pPr>
        <w:spacing w:after="0" w:line="139" w:lineRule="exact"/>
        <w:rPr>
          <w:sz w:val="20"/>
          <w:szCs w:val="20"/>
          <w:color w:val="auto"/>
        </w:rPr>
      </w:pPr>
    </w:p>
    <w:p>
      <w:pPr>
        <w:ind w:right="20" w:firstLine="749"/>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Exchange Act</w:t>
      </w:r>
      <w:r>
        <w:rPr>
          <w:rFonts w:ascii="Times New Roman" w:cs="Times New Roman" w:eastAsia="Times New Roman" w:hAnsi="Times New Roman"/>
          <w:sz w:val="18"/>
          <w:szCs w:val="18"/>
          <w:color w:val="auto"/>
        </w:rPr>
        <w:t>” means the Securities Exchange Act of 1934, as amended from time to time, and any successor thereto. Reference to any specific section of the Exchange Act shall be deemed to include such regulations and guidance issued thereunder, as well as any successor section, regulations and guidance.</w:t>
      </w:r>
    </w:p>
    <w:p>
      <w:pPr>
        <w:spacing w:after="0" w:line="13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“Fair Market Value</w:t>
      </w:r>
      <w:r>
        <w:rPr>
          <w:rFonts w:ascii="Times New Roman" w:cs="Times New Roman" w:eastAsia="Times New Roman" w:hAnsi="Times New Roman"/>
          <w:sz w:val="18"/>
          <w:szCs w:val="18"/>
          <w:color w:val="auto"/>
        </w:rPr>
        <w:t>” means, on a per share basis as of any date, unless otherwise determined by the Administrator:</w:t>
      </w:r>
    </w:p>
    <w:p>
      <w:pPr>
        <w:spacing w:after="0" w:line="200" w:lineRule="exact"/>
        <w:rPr>
          <w:sz w:val="20"/>
          <w:szCs w:val="20"/>
          <w:color w:val="auto"/>
        </w:rPr>
      </w:pPr>
    </w:p>
    <w:p>
      <w:pPr>
        <w:ind w:right="60" w:firstLine="1505"/>
        <w:spacing w:after="0" w:line="258" w:lineRule="auto"/>
        <w:tabs>
          <w:tab w:leader="none" w:pos="1857" w:val="left"/>
        </w:tabs>
        <w:numPr>
          <w:ilvl w:val="0"/>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principal market for the Common Stock (as determined by the Administrator if the Common Stock is listed or admitted to trading on more than one exchange or market) is a national securities exchange or an established securities market, unless otherwise determined by the Administrator, the official closing price per share of Common Stock for the regular market session on that date on the principal exchange or market on which the Common Stock is then listed or admitted to trading or, if no sale is reported for that date, on the last preceding day on which a sale was reported, all as reported by such source as the Administrator may select;</w:t>
      </w:r>
    </w:p>
    <w:p>
      <w:pPr>
        <w:spacing w:after="0" w:line="142" w:lineRule="exact"/>
        <w:rPr>
          <w:rFonts w:ascii="Times New Roman" w:cs="Times New Roman" w:eastAsia="Times New Roman" w:hAnsi="Times New Roman"/>
          <w:sz w:val="18"/>
          <w:szCs w:val="18"/>
          <w:color w:val="auto"/>
        </w:rPr>
      </w:pPr>
    </w:p>
    <w:p>
      <w:pPr>
        <w:ind w:right="20" w:firstLine="1505"/>
        <w:spacing w:after="0" w:line="261" w:lineRule="auto"/>
        <w:tabs>
          <w:tab w:leader="none" w:pos="1857" w:val="left"/>
        </w:tabs>
        <w:numPr>
          <w:ilvl w:val="0"/>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principal market for the Common Stock is not a national securities exchange or an established securities market, but the Common Stock is quoted by a national quotation system, the average of the highest bid and lowest asked prices for the Common Stock on that date as reported on a national quotation system or, if no prices are reported for that date, on the last preceding day on which prices were reported, all as reported by such source as the Administrator may select; or</w:t>
      </w:r>
    </w:p>
    <w:p>
      <w:pPr>
        <w:spacing w:after="0" w:line="139" w:lineRule="exact"/>
        <w:rPr>
          <w:rFonts w:ascii="Times New Roman" w:cs="Times New Roman" w:eastAsia="Times New Roman" w:hAnsi="Times New Roman"/>
          <w:sz w:val="18"/>
          <w:szCs w:val="18"/>
          <w:color w:val="auto"/>
        </w:rPr>
      </w:pPr>
    </w:p>
    <w:p>
      <w:pPr>
        <w:jc w:val="both"/>
        <w:ind w:right="20" w:firstLine="1505"/>
        <w:spacing w:after="0" w:line="261" w:lineRule="auto"/>
        <w:tabs>
          <w:tab w:leader="none" w:pos="1857" w:val="left"/>
        </w:tabs>
        <w:numPr>
          <w:ilvl w:val="0"/>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Common Stock is neither listed or admitted to trading on a national securities exchange or an established securities market, nor quoted by a national quotation system, the value determined by the Administrator in good faith by the reasonable application of a reasonable valuation method, which method may, but need not, include taking into account an appraisal of the fair market value of the Common Stock conducted by a nationally recognized appraisal firm selected by the Administrator.</w:t>
      </w:r>
    </w:p>
    <w:p>
      <w:pPr>
        <w:spacing w:after="0" w:line="153" w:lineRule="exact"/>
        <w:rPr>
          <w:sz w:val="20"/>
          <w:szCs w:val="20"/>
          <w:color w:val="auto"/>
        </w:rPr>
      </w:pPr>
    </w:p>
    <w:p>
      <w:pPr>
        <w:ind w:right="220" w:firstLine="1497"/>
        <w:spacing w:after="0" w:line="266" w:lineRule="auto"/>
        <w:rPr>
          <w:sz w:val="20"/>
          <w:szCs w:val="20"/>
          <w:color w:val="auto"/>
        </w:rPr>
      </w:pPr>
      <w:r>
        <w:rPr>
          <w:rFonts w:ascii="Times New Roman" w:cs="Times New Roman" w:eastAsia="Times New Roman" w:hAnsi="Times New Roman"/>
          <w:sz w:val="18"/>
          <w:szCs w:val="18"/>
          <w:color w:val="auto"/>
        </w:rPr>
        <w:t>Notwithstanding the preceding, for foreign, federal, state and local income tax reporting purposes and for such other purposes as the Administrator deems appropriate, the Fair Market Value shall be determined by the Administrator in accordance with uniform and nondiscriminatory standards adopted by it from time to time.</w:t>
      </w:r>
    </w:p>
    <w:p>
      <w:pPr>
        <w:spacing w:after="0" w:line="133" w:lineRule="exact"/>
        <w:rPr>
          <w:sz w:val="20"/>
          <w:szCs w:val="20"/>
          <w:color w:val="auto"/>
        </w:rPr>
      </w:pPr>
    </w:p>
    <w:p>
      <w:pPr>
        <w:ind w:right="20" w:firstLine="749"/>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Full Value Award</w:t>
      </w:r>
      <w:r>
        <w:rPr>
          <w:rFonts w:ascii="Times New Roman" w:cs="Times New Roman" w:eastAsia="Times New Roman" w:hAnsi="Times New Roman"/>
          <w:sz w:val="18"/>
          <w:szCs w:val="18"/>
          <w:color w:val="auto"/>
        </w:rPr>
        <w:t>” means an Award that results in Axsome transferring the full value of a share of Common Stock under the Award, whether or not an actual share of stock is issued. Full Value Awards shall include, but are not limited to, stock awards, stock units, Performance Shares, Performance Stock Units, Performance Cash Units that are payable in Common Stock, and Other Stock-Based Awards for which Axsome transfers the full value of a share of Common Stock under the Award, but shall not include Dividend Equivalents.</w:t>
      </w: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7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5" w:right="339" w:bottom="1440" w:gutter="0" w:footer="0" w:header="0"/>
        </w:sectPr>
      </w:pPr>
    </w:p>
    <w:bookmarkStart w:id="528" w:name="page529"/>
    <w:bookmarkEnd w:id="528"/>
    <w:p>
      <w:pPr>
        <w:ind w:right="160" w:firstLine="749"/>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Incentive Stock Option</w:t>
      </w:r>
      <w:r>
        <w:rPr>
          <w:rFonts w:ascii="Times New Roman" w:cs="Times New Roman" w:eastAsia="Times New Roman" w:hAnsi="Times New Roman"/>
          <w:sz w:val="18"/>
          <w:szCs w:val="18"/>
          <w:color w:val="auto"/>
        </w:rPr>
        <w:t>” means any stock option that is designated, in the applicable Award Agreement or the resolutions of the Administrator under which the stock option is granted, as an “incentive stock option” within the meaning of Section 422 of the Code and otherwise meets the requirements to be an “incentive stock option” set forth in Section 422 of the Code.</w:t>
      </w:r>
    </w:p>
    <w:p>
      <w:pPr>
        <w:spacing w:after="0" w:line="13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Non-Employee Director</w:t>
      </w:r>
      <w:r>
        <w:rPr>
          <w:rFonts w:ascii="Times New Roman" w:cs="Times New Roman" w:eastAsia="Times New Roman" w:hAnsi="Times New Roman"/>
          <w:sz w:val="18"/>
          <w:szCs w:val="18"/>
          <w:color w:val="auto"/>
        </w:rPr>
        <w:t>” means a member of the Board who is not an employee of Axsome or any of its Affiliates.</w:t>
      </w:r>
    </w:p>
    <w:p>
      <w:pPr>
        <w:spacing w:after="0" w:line="19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Nonqualified Option</w:t>
      </w:r>
      <w:r>
        <w:rPr>
          <w:rFonts w:ascii="Times New Roman" w:cs="Times New Roman" w:eastAsia="Times New Roman" w:hAnsi="Times New Roman"/>
          <w:sz w:val="18"/>
          <w:szCs w:val="18"/>
          <w:color w:val="auto"/>
        </w:rPr>
        <w:t>” means any stock option that is not an Incentive Stock Option.</w:t>
      </w:r>
    </w:p>
    <w:p>
      <w:pPr>
        <w:spacing w:after="0" w:line="185" w:lineRule="exact"/>
        <w:rPr>
          <w:sz w:val="20"/>
          <w:szCs w:val="20"/>
          <w:color w:val="auto"/>
        </w:rPr>
      </w:pPr>
    </w:p>
    <w:p>
      <w:pPr>
        <w:ind w:right="440" w:firstLine="749"/>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Other Stock-Based Award</w:t>
      </w:r>
      <w:r>
        <w:rPr>
          <w:rFonts w:ascii="Times New Roman" w:cs="Times New Roman" w:eastAsia="Times New Roman" w:hAnsi="Times New Roman"/>
          <w:sz w:val="18"/>
          <w:szCs w:val="18"/>
          <w:color w:val="auto"/>
        </w:rPr>
        <w:t>” means an Award of Common Stock or any other Award that is valued in whole or in part by reference to, or is otherwise based upon, shares of Common Stock, including without limitation Dividend Equivalents and convertible debentures.</w:t>
      </w:r>
    </w:p>
    <w:p>
      <w:pPr>
        <w:spacing w:after="0" w:line="118" w:lineRule="exact"/>
        <w:rPr>
          <w:sz w:val="20"/>
          <w:szCs w:val="20"/>
          <w:color w:val="auto"/>
        </w:rPr>
      </w:pPr>
    </w:p>
    <w:p>
      <w:pPr>
        <w:ind w:right="140" w:firstLine="749"/>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Participant</w:t>
      </w:r>
      <w:r>
        <w:rPr>
          <w:rFonts w:ascii="Times New Roman" w:cs="Times New Roman" w:eastAsia="Times New Roman" w:hAnsi="Times New Roman"/>
          <w:sz w:val="18"/>
          <w:szCs w:val="18"/>
          <w:color w:val="auto"/>
        </w:rPr>
        <w:t>” means an Eligible Individual to whom one or more Awards are or have been granted pursuant to the Plan and have not been fully settled or cancelled and, following the death of any such person, his successors, heirs, executors and administrators, as the case may be.</w:t>
      </w:r>
    </w:p>
    <w:p>
      <w:pPr>
        <w:spacing w:after="0" w:line="131" w:lineRule="exact"/>
        <w:rPr>
          <w:sz w:val="20"/>
          <w:szCs w:val="20"/>
          <w:color w:val="auto"/>
        </w:rPr>
      </w:pPr>
    </w:p>
    <w:p>
      <w:pPr>
        <w:ind w:right="380" w:firstLine="749"/>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Performance Award</w:t>
      </w:r>
      <w:r>
        <w:rPr>
          <w:rFonts w:ascii="Times New Roman" w:cs="Times New Roman" w:eastAsia="Times New Roman" w:hAnsi="Times New Roman"/>
          <w:sz w:val="18"/>
          <w:szCs w:val="18"/>
          <w:color w:val="auto"/>
        </w:rPr>
        <w:t>” means a Full Value Award, the grant, vesting, lapse of restrictions or settlement of which is conditioned upon the achievement of performance objectives over a specified Performance Period and includes, without limitation, Performance Shares, Performance Stock Units and Performance Cash Units.</w:t>
      </w:r>
    </w:p>
    <w:p>
      <w:pPr>
        <w:spacing w:after="0" w:line="133" w:lineRule="exact"/>
        <w:rPr>
          <w:sz w:val="20"/>
          <w:szCs w:val="20"/>
          <w:color w:val="auto"/>
        </w:rPr>
      </w:pPr>
    </w:p>
    <w:p>
      <w:pPr>
        <w:ind w:right="800" w:firstLine="749"/>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Performance Goals</w:t>
      </w:r>
      <w:r>
        <w:rPr>
          <w:rFonts w:ascii="Times New Roman" w:cs="Times New Roman" w:eastAsia="Times New Roman" w:hAnsi="Times New Roman"/>
          <w:sz w:val="18"/>
          <w:szCs w:val="18"/>
          <w:color w:val="auto"/>
        </w:rPr>
        <w:t>” means the performance goals established by the Administrator in connection with the grant of Awards based on Performance Metrics or other performance criteria selected by the Administrator.</w:t>
      </w:r>
    </w:p>
    <w:p>
      <w:pPr>
        <w:spacing w:after="0" w:line="118" w:lineRule="exact"/>
        <w:rPr>
          <w:sz w:val="20"/>
          <w:szCs w:val="20"/>
          <w:color w:val="auto"/>
        </w:rPr>
      </w:pPr>
    </w:p>
    <w:p>
      <w:pPr>
        <w:ind w:right="140" w:firstLine="749"/>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Performance Period</w:t>
      </w:r>
      <w:r>
        <w:rPr>
          <w:rFonts w:ascii="Times New Roman" w:cs="Times New Roman" w:eastAsia="Times New Roman" w:hAnsi="Times New Roman"/>
          <w:sz w:val="18"/>
          <w:szCs w:val="18"/>
          <w:color w:val="auto"/>
        </w:rPr>
        <w:t>” means that period established by the Administrator during which any Performance Goals specified by the Administrator with respect to such Award are to be measured.</w:t>
      </w:r>
    </w:p>
    <w:p>
      <w:pPr>
        <w:spacing w:after="0" w:line="131" w:lineRule="exact"/>
        <w:rPr>
          <w:sz w:val="20"/>
          <w:szCs w:val="20"/>
          <w:color w:val="auto"/>
        </w:rPr>
      </w:pPr>
    </w:p>
    <w:p>
      <w:pPr>
        <w:ind w:right="60" w:firstLine="749"/>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Performance Metrics</w:t>
      </w:r>
      <w:r>
        <w:rPr>
          <w:rFonts w:ascii="Times New Roman" w:cs="Times New Roman" w:eastAsia="Times New Roman" w:hAnsi="Times New Roman"/>
          <w:sz w:val="18"/>
          <w:szCs w:val="18"/>
          <w:color w:val="auto"/>
        </w:rPr>
        <w:t>” means criteria established by the Administrator for purposes of structuring goals under performance-based Awards, which may relate to any of the following, as it may apply to an individual, one or more business units, divisions, or Affiliates, or on a company-wide basis, and in absolute terms, relative to a base period, or relative to the performance of one or more comparable companies, peer groups, or an index covering multiple companies:</w:t>
      </w:r>
    </w:p>
    <w:p>
      <w:pPr>
        <w:spacing w:after="0" w:line="139" w:lineRule="exact"/>
        <w:rPr>
          <w:sz w:val="20"/>
          <w:szCs w:val="20"/>
          <w:color w:val="auto"/>
        </w:rPr>
      </w:pPr>
    </w:p>
    <w:p>
      <w:pPr>
        <w:jc w:val="both"/>
        <w:ind w:right="280" w:firstLine="1505"/>
        <w:spacing w:after="0" w:line="261" w:lineRule="auto"/>
        <w:tabs>
          <w:tab w:leader="none" w:pos="1857" w:val="left"/>
        </w:tabs>
        <w:numPr>
          <w:ilvl w:val="0"/>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Earnings or Profitability Metrics</w:t>
      </w:r>
      <w:r>
        <w:rPr>
          <w:rFonts w:ascii="Times New Roman" w:cs="Times New Roman" w:eastAsia="Times New Roman" w:hAnsi="Times New Roman"/>
          <w:sz w:val="18"/>
          <w:szCs w:val="18"/>
          <w:color w:val="auto"/>
        </w:rPr>
        <w:t>: any derivative of revenue; earnings/loss (gross, operating, net, or adjusted); earnings/loss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before interest and taxes (“EBIT”); earnings/loss before interest, taxes, depreciation and amortization (“EBITDA”); profit margins; operating margins; expense levels or ratios;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of the foregoing metrics may be adjusted to eliminate the effect of any one or more of the following: interest expense, asset impairments or investment losses, early extinguishment of debt or stock-based compensation expense;</w:t>
      </w:r>
    </w:p>
    <w:p>
      <w:pPr>
        <w:spacing w:after="0" w:line="139" w:lineRule="exact"/>
        <w:rPr>
          <w:rFonts w:ascii="Times New Roman" w:cs="Times New Roman" w:eastAsia="Times New Roman" w:hAnsi="Times New Roman"/>
          <w:sz w:val="18"/>
          <w:szCs w:val="18"/>
          <w:color w:val="auto"/>
        </w:rPr>
      </w:pPr>
    </w:p>
    <w:p>
      <w:pPr>
        <w:ind w:left="1860" w:hanging="355"/>
        <w:spacing w:after="0"/>
        <w:tabs>
          <w:tab w:leader="none" w:pos="1860" w:val="left"/>
        </w:tabs>
        <w:numPr>
          <w:ilvl w:val="0"/>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Return Metrics</w:t>
      </w:r>
      <w:r>
        <w:rPr>
          <w:rFonts w:ascii="Times New Roman" w:cs="Times New Roman" w:eastAsia="Times New Roman" w:hAnsi="Times New Roman"/>
          <w:sz w:val="18"/>
          <w:szCs w:val="18"/>
          <w:color w:val="auto"/>
        </w:rPr>
        <w:t>: any derivative of return on investment, assets, equity or capital (total or invested);</w:t>
      </w:r>
    </w:p>
    <w:p>
      <w:pPr>
        <w:spacing w:after="0" w:line="198" w:lineRule="exact"/>
        <w:rPr>
          <w:rFonts w:ascii="Times New Roman" w:cs="Times New Roman" w:eastAsia="Times New Roman" w:hAnsi="Times New Roman"/>
          <w:sz w:val="18"/>
          <w:szCs w:val="18"/>
          <w:color w:val="auto"/>
        </w:rPr>
      </w:pPr>
    </w:p>
    <w:p>
      <w:pPr>
        <w:ind w:left="1860" w:hanging="355"/>
        <w:spacing w:after="0"/>
        <w:tabs>
          <w:tab w:leader="none" w:pos="1860" w:val="left"/>
        </w:tabs>
        <w:numPr>
          <w:ilvl w:val="0"/>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Investment Metrics: </w:t>
      </w:r>
      <w:r>
        <w:rPr>
          <w:rFonts w:ascii="Times New Roman" w:cs="Times New Roman" w:eastAsia="Times New Roman" w:hAnsi="Times New Roman"/>
          <w:sz w:val="18"/>
          <w:szCs w:val="18"/>
          <w:color w:val="auto"/>
        </w:rPr>
        <w:t>relative risk-adjusted investment performance; investment performance of assets under management;</w:t>
      </w:r>
    </w:p>
    <w:p>
      <w:pPr>
        <w:spacing w:after="0" w:line="184" w:lineRule="exact"/>
        <w:rPr>
          <w:rFonts w:ascii="Times New Roman" w:cs="Times New Roman" w:eastAsia="Times New Roman" w:hAnsi="Times New Roman"/>
          <w:sz w:val="18"/>
          <w:szCs w:val="18"/>
          <w:color w:val="auto"/>
        </w:rPr>
      </w:pPr>
    </w:p>
    <w:p>
      <w:pPr>
        <w:ind w:right="360" w:firstLine="1505"/>
        <w:spacing w:after="0" w:line="284" w:lineRule="auto"/>
        <w:tabs>
          <w:tab w:leader="none" w:pos="1857" w:val="left"/>
        </w:tabs>
        <w:numPr>
          <w:ilvl w:val="0"/>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Cash Flow Metrics</w:t>
      </w:r>
      <w:r>
        <w:rPr>
          <w:rFonts w:ascii="Times New Roman" w:cs="Times New Roman" w:eastAsia="Times New Roman" w:hAnsi="Times New Roman"/>
          <w:sz w:val="18"/>
          <w:szCs w:val="18"/>
          <w:color w:val="auto"/>
        </w:rPr>
        <w:t>: any derivative of operating cash flow; cash flow sufficient to achieve financial ratios or a specified cash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balance; free cash flow; cash flow return on capital; net cash provided by operating activities; cash flow per share; working capital;</w:t>
      </w:r>
    </w:p>
    <w:p>
      <w:pPr>
        <w:spacing w:after="0" w:line="117" w:lineRule="exact"/>
        <w:rPr>
          <w:rFonts w:ascii="Times New Roman" w:cs="Times New Roman" w:eastAsia="Times New Roman" w:hAnsi="Times New Roman"/>
          <w:sz w:val="18"/>
          <w:szCs w:val="18"/>
          <w:color w:val="auto"/>
        </w:rPr>
      </w:pPr>
    </w:p>
    <w:p>
      <w:pPr>
        <w:ind w:left="1860" w:hanging="355"/>
        <w:spacing w:after="0"/>
        <w:tabs>
          <w:tab w:leader="none" w:pos="1860" w:val="left"/>
        </w:tabs>
        <w:numPr>
          <w:ilvl w:val="0"/>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Liquidity Metrics</w:t>
      </w:r>
      <w:r>
        <w:rPr>
          <w:rFonts w:ascii="Times New Roman" w:cs="Times New Roman" w:eastAsia="Times New Roman" w:hAnsi="Times New Roman"/>
          <w:sz w:val="18"/>
          <w:szCs w:val="18"/>
          <w:color w:val="auto"/>
        </w:rPr>
        <w:t>: any derivative of debt leverage (including debt to capital, net debt-to-capital, debt-to-EBITDA or other</w:t>
      </w:r>
    </w:p>
    <w:p>
      <w:pPr>
        <w:spacing w:after="0" w:line="2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liquidity ratios);</w:t>
      </w:r>
    </w:p>
    <w:p>
      <w:pPr>
        <w:spacing w:after="0" w:line="177" w:lineRule="exact"/>
        <w:rPr>
          <w:rFonts w:ascii="Times New Roman" w:cs="Times New Roman" w:eastAsia="Times New Roman" w:hAnsi="Times New Roman"/>
          <w:sz w:val="18"/>
          <w:szCs w:val="18"/>
          <w:color w:val="auto"/>
        </w:rPr>
      </w:pPr>
    </w:p>
    <w:p>
      <w:pPr>
        <w:ind w:firstLine="1505"/>
        <w:spacing w:after="0" w:line="284" w:lineRule="auto"/>
        <w:tabs>
          <w:tab w:leader="none" w:pos="1857" w:val="left"/>
        </w:tabs>
        <w:numPr>
          <w:ilvl w:val="0"/>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Stock Price and Equity Metrics</w:t>
      </w:r>
      <w:r>
        <w:rPr>
          <w:rFonts w:ascii="Times New Roman" w:cs="Times New Roman" w:eastAsia="Times New Roman" w:hAnsi="Times New Roman"/>
          <w:sz w:val="18"/>
          <w:szCs w:val="18"/>
          <w:color w:val="auto"/>
        </w:rPr>
        <w:t>: any derivative of return on stockholders’ equity; total stockholder return; stock price; stock price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appreciation; market capitalization; earnings/loss per share (basic or diluted) (before or after taxes);</w:t>
      </w:r>
    </w:p>
    <w:p>
      <w:pPr>
        <w:spacing w:after="0" w:line="33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7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5" w:right="359" w:bottom="1440" w:gutter="0" w:footer="0" w:header="0"/>
        </w:sectPr>
      </w:pPr>
    </w:p>
    <w:bookmarkStart w:id="529" w:name="page530"/>
    <w:bookmarkEnd w:id="529"/>
    <w:p>
      <w:pPr>
        <w:ind w:left="1500"/>
        <w:spacing w:after="0"/>
        <w:rPr>
          <w:sz w:val="20"/>
          <w:szCs w:val="20"/>
          <w:color w:val="auto"/>
        </w:rPr>
      </w:pPr>
      <w:r>
        <w:rPr>
          <w:rFonts w:ascii="Times New Roman" w:cs="Times New Roman" w:eastAsia="Times New Roman" w:hAnsi="Times New Roman"/>
          <w:sz w:val="18"/>
          <w:szCs w:val="18"/>
          <w:color w:val="auto"/>
        </w:rPr>
        <w:t xml:space="preserve">(vii) </w:t>
      </w:r>
      <w:r>
        <w:rPr>
          <w:rFonts w:ascii="Times New Roman" w:cs="Times New Roman" w:eastAsia="Times New Roman" w:hAnsi="Times New Roman"/>
          <w:sz w:val="18"/>
          <w:szCs w:val="18"/>
          <w:i w:val="1"/>
          <w:iCs w:val="1"/>
          <w:color w:val="auto"/>
        </w:rPr>
        <w:t>Other</w:t>
      </w:r>
      <w:r>
        <w:rPr>
          <w:rFonts w:ascii="Times New Roman" w:cs="Times New Roman" w:eastAsia="Times New Roman" w:hAnsi="Times New Roman"/>
          <w:sz w:val="18"/>
          <w:szCs w:val="18"/>
          <w:color w:val="auto"/>
        </w:rPr>
        <w:t>: any other performance goals or metrics selected by the Administrator.</w:t>
      </w:r>
    </w:p>
    <w:p>
      <w:pPr>
        <w:spacing w:after="0" w:line="185" w:lineRule="exact"/>
        <w:rPr>
          <w:sz w:val="20"/>
          <w:szCs w:val="20"/>
          <w:color w:val="auto"/>
        </w:rPr>
      </w:pPr>
    </w:p>
    <w:p>
      <w:pPr>
        <w:ind w:right="480" w:firstLine="749"/>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Performance Shares</w:t>
      </w:r>
      <w:r>
        <w:rPr>
          <w:rFonts w:ascii="Times New Roman" w:cs="Times New Roman" w:eastAsia="Times New Roman" w:hAnsi="Times New Roman"/>
          <w:sz w:val="18"/>
          <w:szCs w:val="18"/>
          <w:color w:val="auto"/>
        </w:rPr>
        <w:t>” means a grant of stock the issuance, vesting or payment of which is contingent on performance as measured against predetermined objectives over a specified Performance Period.</w:t>
      </w:r>
    </w:p>
    <w:p>
      <w:pPr>
        <w:spacing w:after="0" w:line="131" w:lineRule="exact"/>
        <w:rPr>
          <w:sz w:val="20"/>
          <w:szCs w:val="20"/>
          <w:color w:val="auto"/>
        </w:rPr>
      </w:pPr>
    </w:p>
    <w:p>
      <w:pPr>
        <w:ind w:right="400" w:firstLine="749"/>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Performance Cash Units</w:t>
      </w:r>
      <w:r>
        <w:rPr>
          <w:rFonts w:ascii="Times New Roman" w:cs="Times New Roman" w:eastAsia="Times New Roman" w:hAnsi="Times New Roman"/>
          <w:sz w:val="18"/>
          <w:szCs w:val="18"/>
          <w:color w:val="auto"/>
        </w:rPr>
        <w:t>” means a grant of dollar-denominated Units the value, vesting or payment of which is contingent on performance against predetermined objectives over a specified Performance Period.</w:t>
      </w:r>
    </w:p>
    <w:p>
      <w:pPr>
        <w:spacing w:after="0" w:line="118" w:lineRule="exact"/>
        <w:rPr>
          <w:sz w:val="20"/>
          <w:szCs w:val="20"/>
          <w:color w:val="auto"/>
        </w:rPr>
      </w:pPr>
    </w:p>
    <w:p>
      <w:pPr>
        <w:ind w:right="460" w:firstLine="749"/>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Performance Stock Units</w:t>
      </w:r>
      <w:r>
        <w:rPr>
          <w:rFonts w:ascii="Times New Roman" w:cs="Times New Roman" w:eastAsia="Times New Roman" w:hAnsi="Times New Roman"/>
          <w:sz w:val="18"/>
          <w:szCs w:val="18"/>
          <w:color w:val="auto"/>
        </w:rPr>
        <w:t>” means a grant stock Units the issuance, vesting or payment of which is contingent on performance as measured against predetermined objectives over a specified Performance Period.</w:t>
      </w:r>
    </w:p>
    <w:p>
      <w:pPr>
        <w:spacing w:after="0" w:line="118" w:lineRule="exact"/>
        <w:rPr>
          <w:sz w:val="20"/>
          <w:szCs w:val="20"/>
          <w:color w:val="auto"/>
        </w:rPr>
      </w:pPr>
    </w:p>
    <w:p>
      <w:pPr>
        <w:ind w:left="760" w:right="200"/>
        <w:spacing w:after="0" w:line="27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Plan</w:t>
      </w:r>
      <w:r>
        <w:rPr>
          <w:rFonts w:ascii="Times New Roman" w:cs="Times New Roman" w:eastAsia="Times New Roman" w:hAnsi="Times New Roman"/>
          <w:sz w:val="17"/>
          <w:szCs w:val="17"/>
          <w:color w:val="auto"/>
        </w:rPr>
        <w:t>” means this Axsome Therapeutics, Inc. 2025 Long-Term Incentive Plan, as set forth herein and as it may be amended from time to time. “</w:t>
      </w:r>
      <w:r>
        <w:rPr>
          <w:rFonts w:ascii="Times New Roman" w:cs="Times New Roman" w:eastAsia="Times New Roman" w:hAnsi="Times New Roman"/>
          <w:sz w:val="17"/>
          <w:szCs w:val="17"/>
          <w:i w:val="1"/>
          <w:iCs w:val="1"/>
          <w:color w:val="auto"/>
        </w:rPr>
        <w:t>Prior Plan’s Returning Shares</w:t>
      </w:r>
      <w:r>
        <w:rPr>
          <w:rFonts w:ascii="Times New Roman" w:cs="Times New Roman" w:eastAsia="Times New Roman" w:hAnsi="Times New Roman"/>
          <w:sz w:val="17"/>
          <w:szCs w:val="17"/>
          <w:color w:val="auto"/>
        </w:rPr>
        <w:t>” means shares subject to outstanding share awards granted under the Prior Plan, and that: (A) are not issued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because such share award or any portion thereof expires or otherwise terminates without all of the shares covered by such share award having been issued;</w:t>
      </w:r>
    </w:p>
    <w:p>
      <w:pPr>
        <w:spacing w:after="0" w:line="9" w:lineRule="exact"/>
        <w:rPr>
          <w:sz w:val="20"/>
          <w:szCs w:val="20"/>
          <w:color w:val="auto"/>
        </w:rPr>
      </w:pPr>
    </w:p>
    <w:p>
      <w:pPr>
        <w:jc w:val="both"/>
        <w:ind w:firstLine="8"/>
        <w:spacing w:after="0" w:line="253" w:lineRule="auto"/>
        <w:tabs>
          <w:tab w:leader="none" w:pos="285" w:val="left"/>
        </w:tabs>
        <w:numPr>
          <w:ilvl w:val="0"/>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not issued because such award or any portion thereof is settled in cash; (C) are forfeited back to or repurchased by Axsome because of the failure to meet a contingency or condition required for the vesting of such shares; (D) are withheld or surrendered to Axsome in payment of the exercise price of such award; (E) are withheld or surrendered to Axsome in payment of the Tax Withholding Obligation that arises in connection with such award; or (F) are reacquired by Axsome on the open market or otherwise using cash proceeds from the exercise of such award.</w:t>
      </w:r>
    </w:p>
    <w:p>
      <w:pPr>
        <w:spacing w:after="0" w:line="160" w:lineRule="exact"/>
        <w:rPr>
          <w:sz w:val="20"/>
          <w:szCs w:val="20"/>
          <w:color w:val="auto"/>
        </w:rPr>
      </w:pPr>
    </w:p>
    <w:p>
      <w:pPr>
        <w:ind w:right="780" w:firstLine="749"/>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Restricted Stock</w:t>
      </w:r>
      <w:r>
        <w:rPr>
          <w:rFonts w:ascii="Times New Roman" w:cs="Times New Roman" w:eastAsia="Times New Roman" w:hAnsi="Times New Roman"/>
          <w:sz w:val="18"/>
          <w:szCs w:val="18"/>
          <w:color w:val="auto"/>
        </w:rPr>
        <w:t>” means an Award of shares of Common Stock to a Participant that may be subject to certain transferability and other restrictions and to a risk of forfeiture (including by reason of not satisfying certain Performance Goals).</w:t>
      </w:r>
    </w:p>
    <w:p>
      <w:pPr>
        <w:spacing w:after="0" w:line="118" w:lineRule="exact"/>
        <w:rPr>
          <w:sz w:val="20"/>
          <w:szCs w:val="20"/>
          <w:color w:val="auto"/>
        </w:rPr>
      </w:pPr>
    </w:p>
    <w:p>
      <w:pPr>
        <w:ind w:right="540" w:firstLine="749"/>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Restricted Stock Unit</w:t>
      </w:r>
      <w:r>
        <w:rPr>
          <w:rFonts w:ascii="Times New Roman" w:cs="Times New Roman" w:eastAsia="Times New Roman" w:hAnsi="Times New Roman"/>
          <w:sz w:val="18"/>
          <w:szCs w:val="18"/>
          <w:color w:val="auto"/>
        </w:rPr>
        <w:t>” means a right granted to a Participant to receive shares of Common Stock or cash at the end of a specified deferral period, which right may be conditioned on the satisfaction of certain requirements (including the satisfaction of certain Performance Goals).</w:t>
      </w:r>
    </w:p>
    <w:p>
      <w:pPr>
        <w:spacing w:after="0" w:line="118" w:lineRule="exact"/>
        <w:rPr>
          <w:sz w:val="20"/>
          <w:szCs w:val="20"/>
          <w:color w:val="auto"/>
        </w:rPr>
      </w:pPr>
    </w:p>
    <w:p>
      <w:pPr>
        <w:ind w:right="160" w:firstLine="749"/>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Restriction Period</w:t>
      </w:r>
      <w:r>
        <w:rPr>
          <w:rFonts w:ascii="Times New Roman" w:cs="Times New Roman" w:eastAsia="Times New Roman" w:hAnsi="Times New Roman"/>
          <w:sz w:val="18"/>
          <w:szCs w:val="18"/>
          <w:color w:val="auto"/>
        </w:rPr>
        <w:t>” means, with respect to Full Value Awards, the period commencing on the date of grant of such Award to which vesting or transferability and other restrictions and a risk of forfeiture apply and ending upon the expiration of the applicable vesting conditions, transferability and other restrictions and lapse of risk of forfeiture and/or the achievement of the applicable Performance Goals (it being understood that the Administrator may provide that vesting shall occur and/or restrictions shall lapse with respect to portions of the applicable Award during the Restriction Period).</w:t>
      </w:r>
    </w:p>
    <w:p>
      <w:pPr>
        <w:spacing w:after="0" w:line="153" w:lineRule="exact"/>
        <w:rPr>
          <w:sz w:val="20"/>
          <w:szCs w:val="20"/>
          <w:color w:val="auto"/>
        </w:rPr>
      </w:pPr>
    </w:p>
    <w:p>
      <w:pPr>
        <w:ind w:right="60" w:firstLine="749"/>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Subsidiary</w:t>
      </w:r>
      <w:r>
        <w:rPr>
          <w:rFonts w:ascii="Times New Roman" w:cs="Times New Roman" w:eastAsia="Times New Roman" w:hAnsi="Times New Roman"/>
          <w:sz w:val="18"/>
          <w:szCs w:val="18"/>
          <w:color w:val="auto"/>
        </w:rPr>
        <w:t xml:space="preserve">” means any corporation or other entity in an unbroken chain of corporations or other entities beginning with Axsome if each of the corporations or other entities, or group of commonly controlled corporations or other entities, other than the last corporation or other entity in the unbroken chain then owns stock or other equity interests possessing 50% or more of the total combined voting power of all classes of stock or other equity interests in one of the other corporations or other entities in such chain or otherwise has the power to direct the management and policies of the entity by contract or by means of appointing a majority of the members of the board or other body that controls the affairs of the entity;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solely for purposes of determining whether a Participant has a Termination of Service that is a “separation from service” within the meaning of Section 409A of the Code or whether an Eligible Individual is eligible to be granted an Award that in the hands of such Eligible Individual would constitute a “nonqualified deferred compensation plan” within the meaning of Section 409A of the Code , a “Subsidiary” of a corporation or other entity means all other entities with which such corporation or other entity would be considered a single employer under Sections 414(b) or 414(c) of the Code.</w:t>
      </w:r>
    </w:p>
    <w:p>
      <w:pPr>
        <w:spacing w:after="0" w:line="148" w:lineRule="exact"/>
        <w:rPr>
          <w:sz w:val="20"/>
          <w:szCs w:val="20"/>
          <w:color w:val="auto"/>
        </w:rPr>
      </w:pPr>
    </w:p>
    <w:p>
      <w:pPr>
        <w:ind w:right="40" w:firstLine="749"/>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Tax Withholding Obligation</w:t>
      </w:r>
      <w:r>
        <w:rPr>
          <w:rFonts w:ascii="Times New Roman" w:cs="Times New Roman" w:eastAsia="Times New Roman" w:hAnsi="Times New Roman"/>
          <w:sz w:val="18"/>
          <w:szCs w:val="18"/>
          <w:color w:val="auto"/>
        </w:rPr>
        <w:t>” means any federal, state, local or foreign (non-United States) income, employment or other tax or social insurance contribution required by applicable law to be withheld in respect of Awards.</w:t>
      </w:r>
    </w:p>
    <w:p>
      <w:pPr>
        <w:spacing w:after="0" w:line="118" w:lineRule="exact"/>
        <w:rPr>
          <w:sz w:val="20"/>
          <w:szCs w:val="20"/>
          <w:color w:val="auto"/>
        </w:rPr>
      </w:pPr>
    </w:p>
    <w:p>
      <w:pPr>
        <w:ind w:right="60" w:firstLine="749"/>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Termination of Service</w:t>
      </w:r>
      <w:r>
        <w:rPr>
          <w:rFonts w:ascii="Times New Roman" w:cs="Times New Roman" w:eastAsia="Times New Roman" w:hAnsi="Times New Roman"/>
          <w:sz w:val="18"/>
          <w:szCs w:val="18"/>
          <w:color w:val="auto"/>
        </w:rPr>
        <w:t>” means the termination of the Participant’s employment, or performance of services for, Axsome and its Affiliates. A change in the capacity in which the Participant renders service to Axsome and its Affiliates, or a change in the entity for which the Participant renders such service, provided that there is no</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7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5" w:right="339" w:bottom="1440" w:gutter="0" w:footer="0" w:header="0"/>
        </w:sectPr>
      </w:pPr>
    </w:p>
    <w:bookmarkStart w:id="530" w:name="page531"/>
    <w:bookmarkEnd w:id="530"/>
    <w:p>
      <w:pPr>
        <w:spacing w:after="0" w:line="252" w:lineRule="auto"/>
        <w:rPr>
          <w:sz w:val="20"/>
          <w:szCs w:val="20"/>
          <w:color w:val="auto"/>
        </w:rPr>
      </w:pPr>
      <w:r>
        <w:rPr>
          <w:rFonts w:ascii="Times New Roman" w:cs="Times New Roman" w:eastAsia="Times New Roman" w:hAnsi="Times New Roman"/>
          <w:sz w:val="18"/>
          <w:szCs w:val="18"/>
          <w:color w:val="auto"/>
        </w:rPr>
        <w:t xml:space="preserve">interruption or termination of the Participant’s service with Axsome and its Subsidiaries, will not be a Termination of Service; provided, however, that if the entity for which a Participant is rendering services ceases to qualify as an Affiliate, as determined by the Board, in its sole discretion, such Participant will be considered to have a Termination of Service on the date such entity ceases to qualify as an Affiliate. For example, a change in status from an employee of the Company to a consultant of an Affiliate or to a director will not constitute a Termination of Service. Temporary absences from employment because of illness, vacation or leave of absence and transfers among Axsome and its Affiliates shall not be considered Terminations of Service. With respect to any Award that constitutes a “nonqualified deferred compensation plan” within the meaning of Section 409A of the Code, “Termination of Service” shall mean a “separation from service” as defined under Section 409A of the Code to the extent required by Section 409A of the Code to avoid the imposition of any tax or interest or the inclusion of any amount in income pursuant to Section 409A of the Code. A Participant has a separation from service within the meaning of Section 409A of the Code if the Participant terminates employment with Axsome and all Subsidiaries for any reason. A Participant will generally be treated as having terminated employment with Axsome and all Subsidiaries as of a certain date if the Participant and the entity that employs the Participant reasonably anticipate that the Participant will perform no further services for Axsome or any Subsidiary after such date or that the level of bona fide services that the Participant will perform after such date (whether as an employee or an independent contractor) will permanently decrease to no more than 20 percent (20%) of the average level of bona fide services performed (whether as an employee or an independent contractor) over the immediately preceding 36-month period (or the full period of services if the Participant has been providing services for fewer than 36 months);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the employment relationship is treated as continuing while the Participant is on military leave, sick leave or other bona fide leave of absence if the period of leave does not exceed six months or, if longer, so long as the Participant retains the right to reemployment with Axsome or any Subsidiary.</w:t>
      </w:r>
    </w:p>
    <w:p>
      <w:pPr>
        <w:spacing w:after="0" w:line="151" w:lineRule="exact"/>
        <w:rPr>
          <w:sz w:val="20"/>
          <w:szCs w:val="20"/>
          <w:color w:val="auto"/>
        </w:rPr>
      </w:pPr>
    </w:p>
    <w:p>
      <w:pPr>
        <w:ind w:right="180" w:firstLine="749"/>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Total and Permanent Disability</w:t>
      </w:r>
      <w:r>
        <w:rPr>
          <w:rFonts w:ascii="Times New Roman" w:cs="Times New Roman" w:eastAsia="Times New Roman" w:hAnsi="Times New Roman"/>
          <w:sz w:val="18"/>
          <w:szCs w:val="18"/>
          <w:color w:val="auto"/>
        </w:rPr>
        <w:t>” means, with respect to a Participant, except as otherwise provided in the relevant Award Agreement, that a Participant’s inability to engage in any substantial gainful activity by reason of any medically determinable physical or mental impairment as determined by the Company’s long-term disability insurance carrier.</w:t>
      </w:r>
    </w:p>
    <w:p>
      <w:pPr>
        <w:spacing w:after="0" w:line="146" w:lineRule="exact"/>
        <w:rPr>
          <w:sz w:val="20"/>
          <w:szCs w:val="20"/>
          <w:color w:val="auto"/>
        </w:rPr>
      </w:pPr>
    </w:p>
    <w:p>
      <w:pPr>
        <w:ind w:right="60" w:firstLine="749"/>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Unit</w:t>
      </w:r>
      <w:r>
        <w:rPr>
          <w:rFonts w:ascii="Times New Roman" w:cs="Times New Roman" w:eastAsia="Times New Roman" w:hAnsi="Times New Roman"/>
          <w:sz w:val="18"/>
          <w:szCs w:val="18"/>
          <w:color w:val="auto"/>
        </w:rPr>
        <w:t>” means a bookkeeping entry used by Axsome to record and account for the grant of the following types of Awards until such time as the Award is paid, cancelled, forfeited or terminated, as the case may be: stock units, Restricted Stock Units, Performance Stock Units and Performance Cash Units that are expressed in terms of units of Common Stock.</w:t>
      </w:r>
    </w:p>
    <w:p>
      <w:pPr>
        <w:spacing w:after="0" w:line="13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end of document</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7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7" w:right="379" w:bottom="1440" w:gutter="0" w:footer="0" w:header="0"/>
        </w:sectPr>
      </w:pPr>
    </w:p>
    <w:bookmarkStart w:id="531" w:name="page532"/>
    <w:bookmarkEnd w:id="531"/>
    <w:p>
      <w:pPr>
        <w:jc w:val="right"/>
        <w:spacing w:after="0"/>
        <w:rPr>
          <w:sz w:val="20"/>
          <w:szCs w:val="20"/>
          <w:color w:val="auto"/>
        </w:rPr>
      </w:pPr>
      <w:r>
        <w:rPr>
          <w:rFonts w:ascii="Times New Roman" w:cs="Times New Roman" w:eastAsia="Times New Roman" w:hAnsi="Times New Roman"/>
          <w:sz w:val="18"/>
          <w:szCs w:val="18"/>
          <w:b w:val="1"/>
          <w:bCs w:val="1"/>
          <w:color w:val="auto"/>
        </w:rPr>
        <w:t>Exhibit 10.5</w:t>
      </w:r>
    </w:p>
    <w:p>
      <w:pPr>
        <w:spacing w:after="0" w:line="200" w:lineRule="exact"/>
        <w:rPr>
          <w:sz w:val="20"/>
          <w:szCs w:val="20"/>
          <w:color w:val="auto"/>
        </w:rPr>
      </w:pPr>
    </w:p>
    <w:p>
      <w:pPr>
        <w:spacing w:after="0" w:line="241"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8"/>
          <w:szCs w:val="18"/>
          <w:b w:val="1"/>
          <w:bCs w:val="1"/>
          <w:color w:val="auto"/>
        </w:rPr>
        <w:t>AXSOME THERAPEUTICS, INC.</w:t>
      </w:r>
    </w:p>
    <w:p>
      <w:pPr>
        <w:spacing w:after="0" w:line="185"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b w:val="1"/>
          <w:bCs w:val="1"/>
          <w:color w:val="auto"/>
        </w:rPr>
        <w:t>RESTRICTED STOCK UNITS NOTICE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 THE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AXSOME THERAPEUTICS,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2025 LONG-TERM INCENTIVE PLAN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Name of Grantee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This Notice evidences the award of restricted stock units (each, an “</w:t>
      </w:r>
      <w:r>
        <w:rPr>
          <w:rFonts w:ascii="Times New Roman" w:cs="Times New Roman" w:eastAsia="Times New Roman" w:hAnsi="Times New Roman"/>
          <w:sz w:val="18"/>
          <w:szCs w:val="18"/>
          <w:b w:val="1"/>
          <w:bCs w:val="1"/>
          <w:i w:val="1"/>
          <w:iCs w:val="1"/>
          <w:color w:val="auto"/>
        </w:rPr>
        <w:t>RSU</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b w:val="1"/>
          <w:bCs w:val="1"/>
          <w:i w:val="1"/>
          <w:iCs w:val="1"/>
          <w:color w:val="auto"/>
        </w:rPr>
        <w:t>RSUs</w:t>
      </w:r>
      <w:r>
        <w:rPr>
          <w:rFonts w:ascii="Times New Roman" w:cs="Times New Roman" w:eastAsia="Times New Roman" w:hAnsi="Times New Roman"/>
          <w:sz w:val="18"/>
          <w:szCs w:val="18"/>
          <w:color w:val="auto"/>
        </w:rPr>
        <w:t>”) of Axsome Therapeutics, Inc., a Delaware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that have been granted to you pursuant to the Axsome Therapeutics, Inc. 2025 Long-Term Incentive Plan (the “</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 and conditioned upon your agreement to the terms of the attached Restricted Stock Units Agreement (the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This Notice constitutes part of and is subject to the terms and provisions of the Agreement and the Plan, which are incorporated by reference herein. Each RSU is equivalent in value to one share of the Company’s Common Stock and represents the Company’s commitment to issue one share of the Company’s Common Stock at a future date, subject to the terms of the Agreement and the Plan. The RSUs are credited to a separate account maintained for you on the books and records of the Company (the “</w:t>
      </w:r>
      <w:r>
        <w:rPr>
          <w:rFonts w:ascii="Times New Roman" w:cs="Times New Roman" w:eastAsia="Times New Roman" w:hAnsi="Times New Roman"/>
          <w:sz w:val="18"/>
          <w:szCs w:val="18"/>
          <w:b w:val="1"/>
          <w:bCs w:val="1"/>
          <w:i w:val="1"/>
          <w:iCs w:val="1"/>
          <w:color w:val="auto"/>
        </w:rPr>
        <w:t>Account</w:t>
      </w:r>
      <w:r>
        <w:rPr>
          <w:rFonts w:ascii="Times New Roman" w:cs="Times New Roman" w:eastAsia="Times New Roman" w:hAnsi="Times New Roman"/>
          <w:sz w:val="18"/>
          <w:szCs w:val="18"/>
          <w:color w:val="auto"/>
        </w:rPr>
        <w:t>”). All amounts credited to the Account will continue for all purposes to be part of the general assets of the Company.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Grant Date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Number of RSUs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u w:val="single" w:color="auto"/>
          <w:color w:val="auto"/>
        </w:rPr>
        <w:t>Vesting Schedule</w:t>
      </w:r>
      <w:r>
        <w:rPr>
          <w:rFonts w:ascii="Times New Roman" w:cs="Times New Roman" w:eastAsia="Times New Roman" w:hAnsi="Times New Roman"/>
          <w:sz w:val="18"/>
          <w:szCs w:val="18"/>
          <w:color w:val="auto"/>
        </w:rPr>
        <w:t>: All of the RSUs are nonvested and forfeitable as of the Grant Date. So long as your Service (as defined in the Agreement) is continuous from the Grant Date through the applicable date upon which vesting is scheduled to occur:</w:t>
      </w:r>
    </w:p>
    <w:p>
      <w:pPr>
        <w:spacing w:after="0" w:line="200" w:lineRule="exact"/>
        <w:rPr>
          <w:sz w:val="20"/>
          <w:szCs w:val="20"/>
          <w:color w:val="auto"/>
        </w:rPr>
      </w:pPr>
    </w:p>
    <w:p>
      <w:pPr>
        <w:spacing w:after="0" w:line="394" w:lineRule="exact"/>
        <w:rPr>
          <w:sz w:val="20"/>
          <w:szCs w:val="20"/>
          <w:color w:val="auto"/>
        </w:rPr>
      </w:pPr>
    </w:p>
    <w:p>
      <w:pPr>
        <w:ind w:left="120"/>
        <w:spacing w:after="0"/>
        <w:tabs>
          <w:tab w:leader="none" w:pos="5700" w:val="left"/>
        </w:tabs>
        <w:rPr>
          <w:sz w:val="20"/>
          <w:szCs w:val="20"/>
          <w:color w:val="auto"/>
        </w:rPr>
      </w:pPr>
      <w:r>
        <w:rPr>
          <w:rFonts w:ascii="Times New Roman" w:cs="Times New Roman" w:eastAsia="Times New Roman" w:hAnsi="Times New Roman"/>
          <w:sz w:val="18"/>
          <w:szCs w:val="18"/>
          <w:color w:val="auto"/>
        </w:rPr>
        <w:t>Axsome Therapeutics, Inc.</w:t>
      </w:r>
      <w:r>
        <w:rPr>
          <w:sz w:val="20"/>
          <w:szCs w:val="20"/>
          <w:color w:val="auto"/>
        </w:rPr>
        <w:tab/>
      </w:r>
      <w:r>
        <w:rPr>
          <w:rFonts w:ascii="Times New Roman" w:cs="Times New Roman" w:eastAsia="Times New Roman" w:hAnsi="Times New Roman"/>
          <w:sz w:val="18"/>
          <w:szCs w:val="18"/>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 acknowledge that I have carefully read the Agreement and the prospectus for the Plan. I agree to be bound by all of the provisions set forth in those documents. I also consent to electronic delivery of all notices or other information with respect to the RSUs or the Company.</w:t>
      </w:r>
    </w:p>
    <w:p>
      <w:pPr>
        <w:spacing w:after="0" w:line="200" w:lineRule="exact"/>
        <w:rPr>
          <w:sz w:val="20"/>
          <w:szCs w:val="20"/>
          <w:color w:val="auto"/>
        </w:rPr>
      </w:pPr>
    </w:p>
    <w:p>
      <w:pPr>
        <w:spacing w:after="0" w:line="394" w:lineRule="exact"/>
        <w:rPr>
          <w:sz w:val="20"/>
          <w:szCs w:val="20"/>
          <w:color w:val="auto"/>
        </w:rPr>
      </w:pPr>
    </w:p>
    <w:p>
      <w:pPr>
        <w:ind w:left="120"/>
        <w:spacing w:after="0"/>
        <w:tabs>
          <w:tab w:leader="none" w:pos="5700" w:val="left"/>
        </w:tabs>
        <w:rPr>
          <w:sz w:val="20"/>
          <w:szCs w:val="20"/>
          <w:color w:val="auto"/>
        </w:rPr>
      </w:pPr>
      <w:r>
        <w:rPr>
          <w:rFonts w:ascii="Times New Roman" w:cs="Times New Roman" w:eastAsia="Times New Roman" w:hAnsi="Times New Roman"/>
          <w:sz w:val="18"/>
          <w:szCs w:val="18"/>
          <w:color w:val="auto"/>
        </w:rPr>
        <w:t>Signature of Grantee</w:t>
      </w:r>
      <w:r>
        <w:rPr>
          <w:sz w:val="20"/>
          <w:szCs w:val="20"/>
          <w:color w:val="auto"/>
        </w:rPr>
        <w:tab/>
      </w: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1736090</wp:posOffset>
            </wp:positionV>
            <wp:extent cx="7157720" cy="42545"/>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7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15240</wp:posOffset>
            </wp:positionV>
            <wp:extent cx="7134225" cy="706755"/>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784">
                      <a:extLst>
                        <a:ext uri="{28A0092B-C50C-407E-A947-70E740481C1C}"/>
                      </a:extLst>
                    </a:blip>
                    <a:srcRect/>
                    <a:stretch>
                      <a:fillRect/>
                    </a:stretch>
                  </pic:blipFill>
                  <pic:spPr bwMode="auto">
                    <a:xfrm>
                      <a:off x="0" y="0"/>
                      <a:ext cx="7134225" cy="70675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532" w:name="page533"/>
    <w:bookmarkEnd w:id="532"/>
    <w:p>
      <w:pPr>
        <w:ind w:left="4240"/>
        <w:spacing w:after="0"/>
        <w:rPr>
          <w:sz w:val="20"/>
          <w:szCs w:val="20"/>
          <w:color w:val="auto"/>
        </w:rPr>
      </w:pPr>
      <w:r>
        <w:rPr>
          <w:rFonts w:ascii="Times New Roman" w:cs="Times New Roman" w:eastAsia="Times New Roman" w:hAnsi="Times New Roman"/>
          <w:sz w:val="18"/>
          <w:szCs w:val="18"/>
          <w:b w:val="1"/>
          <w:bCs w:val="1"/>
          <w:color w:val="auto"/>
        </w:rPr>
        <w:t>AXSOME THERAPEUTICS, INC.</w:t>
      </w:r>
    </w:p>
    <w:p>
      <w:pPr>
        <w:spacing w:after="0" w:line="185"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b w:val="1"/>
          <w:bCs w:val="1"/>
          <w:color w:val="auto"/>
        </w:rPr>
        <w:t>RESTRICTED STOCK UNITS AGREEMENT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 THE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AXSOME THERAPEUTICS,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2025 LONG-TERM INCENTIVE PLAN</w:t>
      </w:r>
    </w:p>
    <w:p>
      <w:pPr>
        <w:spacing w:after="0" w:line="180" w:lineRule="exact"/>
        <w:rPr>
          <w:sz w:val="20"/>
          <w:szCs w:val="20"/>
          <w:color w:val="auto"/>
        </w:rPr>
      </w:pPr>
    </w:p>
    <w:p>
      <w:pPr>
        <w:ind w:left="-20" w:right="120" w:firstLine="757"/>
        <w:spacing w:after="0" w:line="282" w:lineRule="auto"/>
        <w:tabs>
          <w:tab w:leader="none" w:pos="998" w:val="left"/>
        </w:tabs>
        <w:numPr>
          <w:ilvl w:val="0"/>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Terminology</w:t>
      </w:r>
      <w:r>
        <w:rPr>
          <w:rFonts w:ascii="Times New Roman" w:cs="Times New Roman" w:eastAsia="Times New Roman" w:hAnsi="Times New Roman"/>
          <w:sz w:val="18"/>
          <w:szCs w:val="18"/>
          <w:color w:val="auto"/>
        </w:rPr>
        <w:t>. Unless otherwise provided in this Agreement, capitalized terms used herein or in the Notice are defined in the Glossary at the end of this Agreement, and to the extent not defined therein, have the meaning set forth in the Plan.</w:t>
      </w:r>
    </w:p>
    <w:p>
      <w:pPr>
        <w:spacing w:after="0" w:line="121" w:lineRule="exact"/>
        <w:rPr>
          <w:rFonts w:ascii="Times New Roman" w:cs="Times New Roman" w:eastAsia="Times New Roman" w:hAnsi="Times New Roman"/>
          <w:sz w:val="18"/>
          <w:szCs w:val="18"/>
          <w:color w:val="auto"/>
        </w:rPr>
      </w:pPr>
    </w:p>
    <w:p>
      <w:pPr>
        <w:ind w:left="-20" w:right="340" w:firstLine="757"/>
        <w:spacing w:after="0" w:line="261" w:lineRule="auto"/>
        <w:tabs>
          <w:tab w:leader="none" w:pos="998" w:val="left"/>
        </w:tabs>
        <w:numPr>
          <w:ilvl w:val="0"/>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Vesting</w:t>
      </w:r>
      <w:r>
        <w:rPr>
          <w:rFonts w:ascii="Times New Roman" w:cs="Times New Roman" w:eastAsia="Times New Roman" w:hAnsi="Times New Roman"/>
          <w:sz w:val="18"/>
          <w:szCs w:val="18"/>
          <w:color w:val="auto"/>
        </w:rPr>
        <w:t>. All of the RSUs are nonvested and forfeitable as of the Grant Date. So long as your Service is continuous from the Grant Date through the applicable date upon which vesting is scheduled to occur, the RSUs will become vested and nonforfeitable in accordance with the vesting schedule set forth in the Notice. Except for the circumstances, if any, described in the Notice, none of the RSUs will become vested and nonforfeitable after your Service ceases.</w:t>
      </w:r>
    </w:p>
    <w:p>
      <w:pPr>
        <w:spacing w:after="0" w:line="139" w:lineRule="exact"/>
        <w:rPr>
          <w:rFonts w:ascii="Times New Roman" w:cs="Times New Roman" w:eastAsia="Times New Roman" w:hAnsi="Times New Roman"/>
          <w:sz w:val="18"/>
          <w:szCs w:val="18"/>
          <w:color w:val="auto"/>
        </w:rPr>
      </w:pPr>
    </w:p>
    <w:p>
      <w:pPr>
        <w:ind w:left="-20" w:right="80" w:firstLine="757"/>
        <w:spacing w:after="0" w:line="266" w:lineRule="auto"/>
        <w:tabs>
          <w:tab w:leader="none" w:pos="998" w:val="left"/>
        </w:tabs>
        <w:numPr>
          <w:ilvl w:val="0"/>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of Employment or Service</w:t>
      </w:r>
      <w:r>
        <w:rPr>
          <w:rFonts w:ascii="Times New Roman" w:cs="Times New Roman" w:eastAsia="Times New Roman" w:hAnsi="Times New Roman"/>
          <w:sz w:val="18"/>
          <w:szCs w:val="18"/>
          <w:color w:val="auto"/>
        </w:rPr>
        <w:t>. Unless otherwise provided in the Notice, if your Service with the Company ceases for any reason, all RSUs that are not then vested and nonforfeitable will be forfeited to the Company immediately and automatically upon such cessation without payment of any consideration therefor and you will have no further right, title or interest in or to such RSUs or the underlying shares of Common Stock.</w:t>
      </w:r>
    </w:p>
    <w:p>
      <w:pPr>
        <w:spacing w:after="0" w:line="148" w:lineRule="exact"/>
        <w:rPr>
          <w:rFonts w:ascii="Times New Roman" w:cs="Times New Roman" w:eastAsia="Times New Roman" w:hAnsi="Times New Roman"/>
          <w:sz w:val="18"/>
          <w:szCs w:val="18"/>
          <w:color w:val="auto"/>
        </w:rPr>
      </w:pPr>
    </w:p>
    <w:p>
      <w:pPr>
        <w:ind w:left="-20" w:firstLine="757"/>
        <w:spacing w:after="0" w:line="261" w:lineRule="auto"/>
        <w:tabs>
          <w:tab w:leader="none" w:pos="998" w:val="left"/>
        </w:tabs>
        <w:numPr>
          <w:ilvl w:val="0"/>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Restrictions on Transfer</w:t>
      </w:r>
      <w:r>
        <w:rPr>
          <w:rFonts w:ascii="Times New Roman" w:cs="Times New Roman" w:eastAsia="Times New Roman" w:hAnsi="Times New Roman"/>
          <w:sz w:val="18"/>
          <w:szCs w:val="18"/>
          <w:color w:val="auto"/>
        </w:rPr>
        <w:t>. Neither this Agreement nor any of the RSUs may be assigned, transferred, pledged, hypothecated or disposed of in any way, whether by operation of law or otherwise, and the RSUs shall not be subject to execution, attachment or similar process. All rights with respect to this Agreement and the RSUs shall be exercisable during your lifetime only by you or your guardian or legal representative. Notwithstanding the foregoing, the RSUs may be transferred upon your death by last will and testament or under the laws of descent and distribution.</w:t>
      </w:r>
    </w:p>
    <w:p>
      <w:pPr>
        <w:spacing w:after="0" w:line="139" w:lineRule="exact"/>
        <w:rPr>
          <w:rFonts w:ascii="Times New Roman" w:cs="Times New Roman" w:eastAsia="Times New Roman" w:hAnsi="Times New Roman"/>
          <w:sz w:val="18"/>
          <w:szCs w:val="18"/>
          <w:color w:val="auto"/>
        </w:rPr>
      </w:pPr>
    </w:p>
    <w:p>
      <w:pPr>
        <w:ind w:left="1000" w:hanging="263"/>
        <w:spacing w:after="0"/>
        <w:tabs>
          <w:tab w:leader="none" w:pos="1000" w:val="left"/>
        </w:tabs>
        <w:numPr>
          <w:ilvl w:val="0"/>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Settlement of RSUs</w:t>
      </w:r>
      <w:r>
        <w:rPr>
          <w:rFonts w:ascii="Times New Roman" w:cs="Times New Roman" w:eastAsia="Times New Roman" w:hAnsi="Times New Roman"/>
          <w:sz w:val="18"/>
          <w:szCs w:val="18"/>
          <w:color w:val="auto"/>
        </w:rPr>
        <w:t>.</w:t>
      </w:r>
    </w:p>
    <w:p>
      <w:pPr>
        <w:spacing w:after="0" w:line="184" w:lineRule="exact"/>
        <w:rPr>
          <w:rFonts w:ascii="Times New Roman" w:cs="Times New Roman" w:eastAsia="Times New Roman" w:hAnsi="Times New Roman"/>
          <w:sz w:val="18"/>
          <w:szCs w:val="18"/>
          <w:color w:val="auto"/>
        </w:rPr>
      </w:pPr>
    </w:p>
    <w:p>
      <w:pPr>
        <w:ind w:left="-20" w:right="60" w:firstLine="1505"/>
        <w:spacing w:after="0" w:line="256" w:lineRule="auto"/>
        <w:tabs>
          <w:tab w:leader="none" w:pos="2016" w:val="left"/>
        </w:tabs>
        <w:numPr>
          <w:ilvl w:val="1"/>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Manner of Settlement</w:t>
      </w:r>
      <w:r>
        <w:rPr>
          <w:rFonts w:ascii="Times New Roman" w:cs="Times New Roman" w:eastAsia="Times New Roman" w:hAnsi="Times New Roman"/>
          <w:sz w:val="18"/>
          <w:szCs w:val="18"/>
          <w:color w:val="auto"/>
        </w:rPr>
        <w:t>. You are not required to make any monetary payment (other than applicable tax withholding, if required) as a condition to settlement of the RSUs. The Company will issue to you, in settlement of your RSUs and subject to the provisions of Section 6 below, the number of whole shares of Common Stock that equals the number of whole RSUs that become vested, and such vested RSUs will terminate and cease to be outstanding upon such issuance of the shares. Upon issuance of such shares, the Company will determine the form of delivery (e.g., a stock certificate or electronic entry evidencing such shares) and may deliver such shares on your behalf electronically to the Company’s designated stock plan administrator or such other broker-dealer as the Company may choose at its sole discretion, within reason.</w:t>
      </w:r>
    </w:p>
    <w:p>
      <w:pPr>
        <w:spacing w:after="0" w:line="160" w:lineRule="exact"/>
        <w:rPr>
          <w:rFonts w:ascii="Times New Roman" w:cs="Times New Roman" w:eastAsia="Times New Roman" w:hAnsi="Times New Roman"/>
          <w:sz w:val="18"/>
          <w:szCs w:val="18"/>
          <w:color w:val="auto"/>
        </w:rPr>
      </w:pPr>
    </w:p>
    <w:p>
      <w:pPr>
        <w:ind w:left="-20" w:right="20" w:firstLine="1505"/>
        <w:spacing w:after="0" w:line="253" w:lineRule="auto"/>
        <w:tabs>
          <w:tab w:leader="none" w:pos="2016" w:val="left"/>
        </w:tabs>
        <w:numPr>
          <w:ilvl w:val="1"/>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Timing of Settlement</w:t>
      </w:r>
      <w:r>
        <w:rPr>
          <w:rFonts w:ascii="Times New Roman" w:cs="Times New Roman" w:eastAsia="Times New Roman" w:hAnsi="Times New Roman"/>
          <w:sz w:val="18"/>
          <w:szCs w:val="18"/>
          <w:color w:val="auto"/>
        </w:rPr>
        <w:t>. Your RSUs will be settled by the Company, via the issuance of Common Stock as described herein, on a date determined by the Company that is on or within thirty (30) days following the date that the RSUs become vested and nonforfeitable. However, if a scheduled issuance date falls on a Saturday, Sunday or federal holiday, such issuance date shall instead fall on the next following day that the principal executive offices of the Company are open for business. Notwithstanding the foregoing, in the event that (i) you are subject to the Company’s policy permitting officers and directors to sell shares only during certain “window” periods, in effect from time to time or you are otherwise prohibited from selling shares of the Company’s Common Stock in the public market and any shares covered by your RSUs are scheduled to be issued on a day (the “</w:t>
      </w:r>
      <w:r>
        <w:rPr>
          <w:rFonts w:ascii="Times New Roman" w:cs="Times New Roman" w:eastAsia="Times New Roman" w:hAnsi="Times New Roman"/>
          <w:sz w:val="18"/>
          <w:szCs w:val="18"/>
          <w:b w:val="1"/>
          <w:bCs w:val="1"/>
          <w:i w:val="1"/>
          <w:iCs w:val="1"/>
          <w:color w:val="auto"/>
        </w:rPr>
        <w:t>Original Distribution Date</w:t>
      </w:r>
      <w:r>
        <w:rPr>
          <w:rFonts w:ascii="Times New Roman" w:cs="Times New Roman" w:eastAsia="Times New Roman" w:hAnsi="Times New Roman"/>
          <w:sz w:val="18"/>
          <w:szCs w:val="18"/>
          <w:color w:val="auto"/>
        </w:rPr>
        <w:t>”) that does not occur during an open “window period” applicable to you, as determined by the Company in accordance with such policy, or does not occur on a date when you are otherwise permitted to sell shares of the Company’s Common Stock in the open market, and (ii) the Company elects not to satisfy its tax withholding obligations by withholding shares from your distribution, then such shares shall not be issued and delivered on such Original Distribution Date and shall instead be issued and delivered on the first business day of the next occurring open “window period” applicable to you pursuant to such policy (regardless of whether you are still providing continuous services at such time) or the next business day when you are not prohibited from selling shares of the Company’s Common Stock in the open market, but in no event later than the fifteenth day of the third calendar month of the calendar year following the calendar year in which the RSUs become vested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983615</wp:posOffset>
            </wp:positionV>
            <wp:extent cx="7157720" cy="42545"/>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7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413" w:right="339" w:bottom="1440" w:gutter="0" w:footer="0" w:header="0"/>
        </w:sectPr>
      </w:pPr>
    </w:p>
    <w:bookmarkStart w:id="533" w:name="page534"/>
    <w:bookmarkEnd w:id="533"/>
    <w:p>
      <w:pPr>
        <w:ind w:right="100"/>
        <w:spacing w:after="0" w:line="282" w:lineRule="auto"/>
        <w:rPr>
          <w:sz w:val="20"/>
          <w:szCs w:val="20"/>
          <w:color w:val="auto"/>
        </w:rPr>
      </w:pPr>
      <w:r>
        <w:rPr>
          <w:rFonts w:ascii="Times New Roman" w:cs="Times New Roman" w:eastAsia="Times New Roman" w:hAnsi="Times New Roman"/>
          <w:sz w:val="18"/>
          <w:szCs w:val="18"/>
          <w:color w:val="auto"/>
        </w:rPr>
        <w:t>nonforfeitable. In all cases, the issuance and delivery of shares under this Agreement is intended to comply with Treasury Regulation 1.409A-1(b)(4) and shall be construed and administered in such a manner.</w:t>
      </w:r>
    </w:p>
    <w:p>
      <w:pPr>
        <w:spacing w:after="0" w:line="121" w:lineRule="exact"/>
        <w:rPr>
          <w:sz w:val="20"/>
          <w:szCs w:val="20"/>
          <w:color w:val="auto"/>
        </w:rPr>
      </w:pPr>
    </w:p>
    <w:p>
      <w:pPr>
        <w:ind w:right="80" w:firstLine="757"/>
        <w:spacing w:after="0" w:line="252" w:lineRule="auto"/>
        <w:tabs>
          <w:tab w:leader="none" w:pos="1018" w:val="left"/>
        </w:tabs>
        <w:numPr>
          <w:ilvl w:val="0"/>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Withholding</w:t>
      </w:r>
      <w:r>
        <w:rPr>
          <w:rFonts w:ascii="Times New Roman" w:cs="Times New Roman" w:eastAsia="Times New Roman" w:hAnsi="Times New Roman"/>
          <w:sz w:val="18"/>
          <w:szCs w:val="18"/>
          <w:color w:val="auto"/>
        </w:rPr>
        <w:t>. On or before the time you receive a distribution of the shares subject to your RSUs, or at any time thereafter as requested by the Company, you hereby authorize any required withholding from the Common Stock issuable to you and/or otherwise agree to make adequate provision in cash for any sums required to satisfy the federal, state, local and foreign tax withholding obligations of the Company or any Affiliate which arise in connection with your RSUs (the “</w:t>
      </w:r>
      <w:r>
        <w:rPr>
          <w:rFonts w:ascii="Times New Roman" w:cs="Times New Roman" w:eastAsia="Times New Roman" w:hAnsi="Times New Roman"/>
          <w:sz w:val="18"/>
          <w:szCs w:val="18"/>
          <w:b w:val="1"/>
          <w:bCs w:val="1"/>
          <w:i w:val="1"/>
          <w:iCs w:val="1"/>
          <w:color w:val="auto"/>
        </w:rPr>
        <w:t>Withholding Taxes</w:t>
      </w:r>
      <w:r>
        <w:rPr>
          <w:rFonts w:ascii="Times New Roman" w:cs="Times New Roman" w:eastAsia="Times New Roman" w:hAnsi="Times New Roman"/>
          <w:sz w:val="18"/>
          <w:szCs w:val="18"/>
          <w:color w:val="auto"/>
        </w:rPr>
        <w:t>”). Additionally, the Company may, in its sole discretion, satisfy all or any portion of the Withholding Taxes obligation relating to your RSUs by any of the following means or by a combination of such means: (i) withholding from any compensation otherwise payable to you by the Company; (ii) causing you to tender a cash payment; (iii) permitting you to enter into a “same day sale” commitment with a broker-dealer that is a member of the Financial Industry Regulatory Authority (a “</w:t>
      </w:r>
      <w:r>
        <w:rPr>
          <w:rFonts w:ascii="Times New Roman" w:cs="Times New Roman" w:eastAsia="Times New Roman" w:hAnsi="Times New Roman"/>
          <w:sz w:val="18"/>
          <w:szCs w:val="18"/>
          <w:b w:val="1"/>
          <w:bCs w:val="1"/>
          <w:i w:val="1"/>
          <w:iCs w:val="1"/>
          <w:color w:val="auto"/>
        </w:rPr>
        <w:t>FINRA Dealer</w:t>
      </w:r>
      <w:r>
        <w:rPr>
          <w:rFonts w:ascii="Times New Roman" w:cs="Times New Roman" w:eastAsia="Times New Roman" w:hAnsi="Times New Roman"/>
          <w:sz w:val="18"/>
          <w:szCs w:val="18"/>
          <w:color w:val="auto"/>
        </w:rPr>
        <w:t>”) whereby you irrevocably elect to sell a portion of the shares to be delivered under the Agreement to satisfy the Withholding Taxes and whereby the FINRA Dealer irrevocably commits to forward the proceeds necessary to satisfy the Withholding Taxes directly to the Company; or (iv) withholding shares of Common Stock from the shares of Common Stock issued or otherwise issuable to you in connection with the RSUs with a Fair Market Value (measured as of the date shares of Common Stock are issued to you pursuant to Section 5) equal to the amount of such Withholding Taxes; provided, however, that the number of such shares of Common Stock so withheld shall not exceed the amount necessary to satisfy the Company’s required tax withholding obligations using the minimum statutory withholding rates for federal, state, local and foreign tax purposes, including payroll taxes, that are applicable to supplemental taxable income. Unless the tax withholding obligations of the Company and/or any Affiliate are satisfied, the Company shall have no obligation to deliver to you any Common Stock. In the event the Company’s obligation to withhold arises prior to the delivery to you of Common Stock or it is determined after the delivery of Common Stock to you that the amount of the Company’s withholding obligation was greater than the amount withheld by the Company, you agree to indemnify and hold the Company harmless from any failure by the Company to withhold the proper amount.</w:t>
      </w:r>
    </w:p>
    <w:p>
      <w:pPr>
        <w:spacing w:after="0" w:line="166" w:lineRule="exact"/>
        <w:rPr>
          <w:rFonts w:ascii="Times New Roman" w:cs="Times New Roman" w:eastAsia="Times New Roman" w:hAnsi="Times New Roman"/>
          <w:sz w:val="18"/>
          <w:szCs w:val="18"/>
          <w:color w:val="auto"/>
        </w:rPr>
      </w:pPr>
    </w:p>
    <w:p>
      <w:pPr>
        <w:ind w:left="1020" w:hanging="263"/>
        <w:spacing w:after="0"/>
        <w:tabs>
          <w:tab w:leader="none" w:pos="1020" w:val="left"/>
        </w:tabs>
        <w:numPr>
          <w:ilvl w:val="0"/>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Adjustments for Corporate Transactions and Other Events</w:t>
      </w:r>
      <w:r>
        <w:rPr>
          <w:rFonts w:ascii="Times New Roman" w:cs="Times New Roman" w:eastAsia="Times New Roman" w:hAnsi="Times New Roman"/>
          <w:sz w:val="18"/>
          <w:szCs w:val="18"/>
          <w:color w:val="auto"/>
        </w:rPr>
        <w:t>.</w:t>
      </w:r>
    </w:p>
    <w:p>
      <w:pPr>
        <w:spacing w:after="0" w:line="184" w:lineRule="exact"/>
        <w:rPr>
          <w:rFonts w:ascii="Times New Roman" w:cs="Times New Roman" w:eastAsia="Times New Roman" w:hAnsi="Times New Roman"/>
          <w:sz w:val="18"/>
          <w:szCs w:val="18"/>
          <w:color w:val="auto"/>
        </w:rPr>
      </w:pPr>
    </w:p>
    <w:p>
      <w:pPr>
        <w:ind w:right="140" w:firstLine="1505"/>
        <w:spacing w:after="0" w:line="261" w:lineRule="auto"/>
        <w:tabs>
          <w:tab w:leader="none" w:pos="2036" w:val="left"/>
        </w:tabs>
        <w:numPr>
          <w:ilvl w:val="1"/>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Dividend, Stock Split and Reverse Stock Split</w:t>
      </w:r>
      <w:r>
        <w:rPr>
          <w:rFonts w:ascii="Times New Roman" w:cs="Times New Roman" w:eastAsia="Times New Roman" w:hAnsi="Times New Roman"/>
          <w:sz w:val="18"/>
          <w:szCs w:val="18"/>
          <w:color w:val="auto"/>
        </w:rPr>
        <w:t>. Upon a stock dividend of, or stock split or reverse stock split affecting, the Common Stock, the number of outstanding RSUs shall, without further action of the Administrator, be adjusted to reflect such event; provided, however, that any fractional RSUs resulting from any such adjustment shall be eliminated. Adjustments under this paragraph will be made by the Administrator, whose determination as to what adjustments, if any, will be made and the extent thereof will be final, binding and conclusive.</w:t>
      </w:r>
    </w:p>
    <w:p>
      <w:pPr>
        <w:spacing w:after="0" w:line="139" w:lineRule="exact"/>
        <w:rPr>
          <w:rFonts w:ascii="Times New Roman" w:cs="Times New Roman" w:eastAsia="Times New Roman" w:hAnsi="Times New Roman"/>
          <w:sz w:val="18"/>
          <w:szCs w:val="18"/>
          <w:color w:val="auto"/>
        </w:rPr>
      </w:pPr>
    </w:p>
    <w:p>
      <w:pPr>
        <w:ind w:firstLine="1505"/>
        <w:spacing w:after="0" w:line="255" w:lineRule="auto"/>
        <w:tabs>
          <w:tab w:leader="none" w:pos="2036" w:val="left"/>
        </w:tabs>
        <w:numPr>
          <w:ilvl w:val="1"/>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Merger, Consolidation and Other Events</w:t>
      </w:r>
      <w:r>
        <w:rPr>
          <w:rFonts w:ascii="Times New Roman" w:cs="Times New Roman" w:eastAsia="Times New Roman" w:hAnsi="Times New Roman"/>
          <w:sz w:val="18"/>
          <w:szCs w:val="18"/>
          <w:color w:val="auto"/>
        </w:rPr>
        <w:t>. If the Company shall be the surviving or resulting corporation in any merger or consolidation and the Common Stock shall be converted into other securities, the RSUs shall pertain to and apply to the securities to which a holder of the number of shares of Common Stock subject to the RSUs would have been entitled. If the stockholders of the Company receive by reason of any distribution in total or partial liquidation or pursuant to any merger of the Company or acquisition of its assets, securities of another entity or other property (including cash), then the rights of the Company under this Agreement shall inure to the benefit of the Company’s successor, and this Agreement shall apply to the securities or other property (including cash) to which a holder of the number of shares of Common Stock subject to the RSUs would have been entitled, in the same manner and to the same extent as the RSUs.</w:t>
      </w:r>
    </w:p>
    <w:p>
      <w:pPr>
        <w:spacing w:after="0" w:line="161" w:lineRule="exact"/>
        <w:rPr>
          <w:rFonts w:ascii="Times New Roman" w:cs="Times New Roman" w:eastAsia="Times New Roman" w:hAnsi="Times New Roman"/>
          <w:sz w:val="18"/>
          <w:szCs w:val="18"/>
          <w:color w:val="auto"/>
        </w:rPr>
      </w:pPr>
    </w:p>
    <w:p>
      <w:pPr>
        <w:ind w:right="20" w:firstLine="757"/>
        <w:spacing w:after="0" w:line="258" w:lineRule="auto"/>
        <w:tabs>
          <w:tab w:leader="none" w:pos="1018" w:val="left"/>
        </w:tabs>
        <w:numPr>
          <w:ilvl w:val="0"/>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Non-Guarantee of Employment or Service Relationship</w:t>
      </w:r>
      <w:r>
        <w:rPr>
          <w:rFonts w:ascii="Times New Roman" w:cs="Times New Roman" w:eastAsia="Times New Roman" w:hAnsi="Times New Roman"/>
          <w:sz w:val="18"/>
          <w:szCs w:val="18"/>
          <w:color w:val="auto"/>
        </w:rPr>
        <w:t>. Nothing in the Plan or this Agreement shall alter your at-will or other employment status or other service relationship with the Company, nor be construed as a contract of employment or service relationship between the Company and you, or as a contractual right of you to continue in the employ of, or in a service relationship with, the Company for any period of time, or as a limitation of the right of the Company to discharge you at any time with or without cause or notice and whether or not such discharge results in the forfeiture of any nonvested and forfeitable RSUs or any other adverse effect on your interests under the Plan.</w:t>
      </w:r>
    </w:p>
    <w:p>
      <w:pPr>
        <w:spacing w:after="0" w:line="142" w:lineRule="exact"/>
        <w:rPr>
          <w:rFonts w:ascii="Times New Roman" w:cs="Times New Roman" w:eastAsia="Times New Roman" w:hAnsi="Times New Roman"/>
          <w:sz w:val="18"/>
          <w:szCs w:val="18"/>
          <w:color w:val="auto"/>
        </w:rPr>
      </w:pPr>
    </w:p>
    <w:p>
      <w:pPr>
        <w:ind w:right="40" w:firstLine="757"/>
        <w:spacing w:after="0" w:line="282" w:lineRule="auto"/>
        <w:tabs>
          <w:tab w:leader="none" w:pos="1018" w:val="left"/>
        </w:tabs>
        <w:numPr>
          <w:ilvl w:val="0"/>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Rights as Stockholder</w:t>
      </w:r>
      <w:r>
        <w:rPr>
          <w:rFonts w:ascii="Times New Roman" w:cs="Times New Roman" w:eastAsia="Times New Roman" w:hAnsi="Times New Roman"/>
          <w:sz w:val="18"/>
          <w:szCs w:val="18"/>
          <w:color w:val="auto"/>
        </w:rPr>
        <w:t>. You shall not have any of the rights of a stockholder with respect to any shares of Common Stock that may be issued in settlement of the RSUs until such shares of Common Stock have been issued to you.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967105</wp:posOffset>
            </wp:positionV>
            <wp:extent cx="7157720" cy="42545"/>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7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7" w:right="379" w:bottom="1440" w:gutter="0" w:footer="0" w:header="0"/>
        </w:sectPr>
      </w:pPr>
    </w:p>
    <w:bookmarkStart w:id="534" w:name="page535"/>
    <w:bookmarkEnd w:id="534"/>
    <w:p>
      <w:pPr>
        <w:ind w:left="-757" w:right="20" w:firstLine="757"/>
        <w:spacing w:after="0" w:line="258" w:lineRule="auto"/>
        <w:tabs>
          <w:tab w:leader="none" w:pos="261" w:val="left"/>
        </w:tabs>
        <w:numPr>
          <w:ilvl w:val="0"/>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The Company’s Rights</w:t>
      </w:r>
      <w:r>
        <w:rPr>
          <w:rFonts w:ascii="Times New Roman" w:cs="Times New Roman" w:eastAsia="Times New Roman" w:hAnsi="Times New Roman"/>
          <w:sz w:val="18"/>
          <w:szCs w:val="18"/>
          <w:color w:val="auto"/>
        </w:rPr>
        <w:t>. The existence of the RSUs shall not affect in any way the right or power of the Company or its stockholders to make or authorize any or all adjustments, recapitalizations, reorganizations, or other changes in the Company’s capital structure or its business, or any merger or consolidation of the Company, or any issue of bonds, debentures, preferred or other stocks with preference ahead of or convertible into, or otherwise affecting the Common Stock or the rights thereof, or the dissolution or liquidation of the Company, or any sale or transfer of all or any part of the Company’s assets or business, or any other corporate act or proceeding, whether of a similar character or otherwise.</w:t>
      </w:r>
    </w:p>
    <w:p>
      <w:pPr>
        <w:spacing w:after="0" w:line="142" w:lineRule="exact"/>
        <w:rPr>
          <w:rFonts w:ascii="Times New Roman" w:cs="Times New Roman" w:eastAsia="Times New Roman" w:hAnsi="Times New Roman"/>
          <w:sz w:val="18"/>
          <w:szCs w:val="18"/>
          <w:color w:val="auto"/>
        </w:rPr>
      </w:pPr>
    </w:p>
    <w:p>
      <w:pPr>
        <w:ind w:left="-757" w:right="20" w:firstLine="757"/>
        <w:spacing w:after="0" w:line="254" w:lineRule="auto"/>
        <w:tabs>
          <w:tab w:leader="none" w:pos="261" w:val="left"/>
        </w:tabs>
        <w:numPr>
          <w:ilvl w:val="0"/>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Restrictions on Issuance of Shares</w:t>
      </w:r>
      <w:r>
        <w:rPr>
          <w:rFonts w:ascii="Times New Roman" w:cs="Times New Roman" w:eastAsia="Times New Roman" w:hAnsi="Times New Roman"/>
          <w:sz w:val="18"/>
          <w:szCs w:val="18"/>
          <w:color w:val="auto"/>
        </w:rPr>
        <w:t>. The issuance of shares of Common Stock upon settlement of the RSUs shall be subject to and in compliance with all applicable requirements of federal, state, or foreign law with respect to such securities. No shares of Common Stock may be issued hereunder if the issuance of such shares would constitute a violation of any applicable federal, state, or foreign securities laws or other law or regulations or the requirements of any stock exchange or market system upon which the Common Stock may then be listed. The inability of the Company to obtain from any regulatory body having jurisdiction the authority, if any, deemed by the Company’s legal counsel to be necessary to the lawful issuance of any shares subject to the RSUs shall relieve the Company of any liability in respect of the failure to issue such shares as to which such requisite authority shall not have been obtained. As a condition to the settlement of the RSUs, the Company may require you to satisfy any qualifications that may be necessary or appropriate, to evidence compliance with any applicable law or regulation, and to make any representation or warranty with respect thereto as may be requested by the Company.</w:t>
      </w:r>
    </w:p>
    <w:p>
      <w:pPr>
        <w:spacing w:after="0" w:line="161" w:lineRule="exact"/>
        <w:rPr>
          <w:rFonts w:ascii="Times New Roman" w:cs="Times New Roman" w:eastAsia="Times New Roman" w:hAnsi="Times New Roman"/>
          <w:sz w:val="18"/>
          <w:szCs w:val="18"/>
          <w:color w:val="auto"/>
        </w:rPr>
      </w:pPr>
    </w:p>
    <w:p>
      <w:pPr>
        <w:ind w:left="-757" w:firstLine="757"/>
        <w:spacing w:after="0" w:line="254" w:lineRule="auto"/>
        <w:tabs>
          <w:tab w:leader="none" w:pos="261" w:val="left"/>
        </w:tabs>
        <w:numPr>
          <w:ilvl w:val="0"/>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notices and other communications made or given pursuant to this Agreement shall be given in writing and shall be deemed effectively given upon receipt or, in the case of notices delivered by the Company to you, five (5) days after deposit in the United States mail, postage prepaid, addressed to you at the last address you provided to the Company, or in the case of notices delivered to the Company by you, addressed to the Administrator, care of the Company for the attention of its Secretary at its principal executive office or, in either case, if the receiving party consents in advance, transmitted and received via telecopy or via such other electronic transmission mechanism as may be available to the parties. Notwithstanding the foregoing, the Company may, in its sole discretion, decide to deliver any documents related to participation in the Plan and this award of RSUs by electronic means or to request your consent to participate in the Plan or accept this award of RSUs by electronic means. You hereby consent to receive such documents by electronic delivery and, if requested, to agree to participate in the Plan through an on-line or electronic system established and maintained by the Company or another third party designated by the Company.</w:t>
      </w:r>
    </w:p>
    <w:p>
      <w:pPr>
        <w:spacing w:after="0" w:line="147" w:lineRule="exact"/>
        <w:rPr>
          <w:rFonts w:ascii="Times New Roman" w:cs="Times New Roman" w:eastAsia="Times New Roman" w:hAnsi="Times New Roman"/>
          <w:sz w:val="18"/>
          <w:szCs w:val="18"/>
          <w:color w:val="auto"/>
        </w:rPr>
      </w:pPr>
    </w:p>
    <w:p>
      <w:pPr>
        <w:ind w:left="-757" w:right="180" w:firstLine="757"/>
        <w:spacing w:after="0" w:line="266" w:lineRule="auto"/>
        <w:tabs>
          <w:tab w:leader="none" w:pos="261" w:val="left"/>
        </w:tabs>
        <w:numPr>
          <w:ilvl w:val="0"/>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Agreement, together with the relevant Notice and the Plan, contain the entire agreement between the parties with respect to the RSUs granted hereunder. Any oral or written agreements, representations, warranties, written inducements, or other communications made prior to the execution of this Agreement with respect to the RSUs granted hereunder shall be void and ineffective for all purposes.</w:t>
      </w:r>
    </w:p>
    <w:p>
      <w:pPr>
        <w:spacing w:after="0" w:line="135" w:lineRule="exact"/>
        <w:rPr>
          <w:rFonts w:ascii="Times New Roman" w:cs="Times New Roman" w:eastAsia="Times New Roman" w:hAnsi="Times New Roman"/>
          <w:sz w:val="18"/>
          <w:szCs w:val="18"/>
          <w:color w:val="auto"/>
        </w:rPr>
      </w:pPr>
    </w:p>
    <w:p>
      <w:pPr>
        <w:ind w:left="-757" w:right="80" w:firstLine="757"/>
        <w:spacing w:after="0" w:line="266" w:lineRule="auto"/>
        <w:tabs>
          <w:tab w:leader="none" w:pos="261" w:val="left"/>
        </w:tabs>
        <w:numPr>
          <w:ilvl w:val="0"/>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xml:space="preserve">. This Agreement may be amended from time to time by the Administrator in its discretion;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this Agreement may not be modified in a manner that would have a materially adverse effect on the RSUs as determined in the discretion of the Administrator, except as provided in the Plan or in a written document signed by each of the parties hereto.</w:t>
      </w:r>
    </w:p>
    <w:p>
      <w:pPr>
        <w:spacing w:after="0" w:line="148" w:lineRule="exact"/>
        <w:rPr>
          <w:rFonts w:ascii="Times New Roman" w:cs="Times New Roman" w:eastAsia="Times New Roman" w:hAnsi="Times New Roman"/>
          <w:sz w:val="18"/>
          <w:szCs w:val="18"/>
          <w:color w:val="auto"/>
        </w:rPr>
      </w:pPr>
    </w:p>
    <w:p>
      <w:pPr>
        <w:ind w:left="-757" w:right="40" w:firstLine="757"/>
        <w:spacing w:after="0" w:line="253" w:lineRule="auto"/>
        <w:tabs>
          <w:tab w:leader="none" w:pos="261" w:val="left"/>
        </w:tabs>
        <w:numPr>
          <w:ilvl w:val="0"/>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Recoupment Policy</w:t>
      </w:r>
      <w:r>
        <w:rPr>
          <w:rFonts w:ascii="Times New Roman" w:cs="Times New Roman" w:eastAsia="Times New Roman" w:hAnsi="Times New Roman"/>
          <w:sz w:val="18"/>
          <w:szCs w:val="18"/>
          <w:color w:val="auto"/>
        </w:rPr>
        <w:t>. You agree that, subject to the requirements of applicable law, if you breach any restrictive covenant agreement between you and the Company or any of its Affiliates or you otherwise engage in activities that constitute Cause either while employed by, or providing service to, the Company or any of its Affiliates or within two years thereafter, the RSUs shall terminate, and the Company may rescind any delivery of shares upon vesting or settlement, as applicable on such terms as the Board or Compensation Committee shall determine, including the right to require that in the event of any such rescission, (a) you shall return to the Company the shares received upon settlement of any RSUs or, (b) if you no longer owns the shares, you shall pay to the Company the amount of any gain realized or payment received as a result of any sale or other disposition of the shares (or, in the event you transfer the shares by gift or otherwise without consideration, the Fair Market Value of the shares on the date of the breach of any restrictive covenant agreement or activity constituting Cause). You agree that payment shall be made in such manner and on such terms and conditions as may be required by the Board or Compensation Committee and you shall be entitled to set off against the amount of any such payment any amounts otherwise owed to you by the Company. In addition, you agree that the RSUs shall be subject to any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988060</wp:posOffset>
            </wp:positionV>
            <wp:extent cx="7157720" cy="42545"/>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7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1417" w:right="339" w:bottom="1440" w:gutter="0" w:footer="0" w:header="0"/>
        </w:sectPr>
      </w:pPr>
    </w:p>
    <w:bookmarkStart w:id="535" w:name="page536"/>
    <w:bookmarkEnd w:id="535"/>
    <w:p>
      <w:pPr>
        <w:spacing w:after="0"/>
        <w:rPr>
          <w:sz w:val="20"/>
          <w:szCs w:val="20"/>
          <w:color w:val="auto"/>
        </w:rPr>
      </w:pPr>
      <w:r>
        <w:rPr>
          <w:rFonts w:ascii="Times New Roman" w:cs="Times New Roman" w:eastAsia="Times New Roman" w:hAnsi="Times New Roman"/>
          <w:sz w:val="18"/>
          <w:szCs w:val="18"/>
          <w:color w:val="auto"/>
        </w:rPr>
        <w:t>clawback or recoupment policies, share trading policies and other policies that may be implemented by the Board from time to time.</w:t>
      </w:r>
    </w:p>
    <w:p>
      <w:pPr>
        <w:spacing w:after="0" w:line="185" w:lineRule="exact"/>
        <w:rPr>
          <w:sz w:val="20"/>
          <w:szCs w:val="20"/>
          <w:color w:val="auto"/>
        </w:rPr>
      </w:pPr>
    </w:p>
    <w:p>
      <w:pPr>
        <w:ind w:right="80" w:firstLine="757"/>
        <w:spacing w:after="0" w:line="253" w:lineRule="auto"/>
        <w:tabs>
          <w:tab w:leader="none" w:pos="1018" w:val="left"/>
        </w:tabs>
        <w:numPr>
          <w:ilvl w:val="0"/>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409A</w:t>
      </w:r>
      <w:r>
        <w:rPr>
          <w:rFonts w:ascii="Times New Roman" w:cs="Times New Roman" w:eastAsia="Times New Roman" w:hAnsi="Times New Roman"/>
          <w:sz w:val="18"/>
          <w:szCs w:val="18"/>
          <w:color w:val="auto"/>
        </w:rPr>
        <w:t>. This Agreement and the RSUs granted hereunder are intended to fit within the “short-term deferral” exemption from Section 409A of the Code as set forth in Treasury Regulation Section 1.409A-1(b)(4) or comply with Section 409A of the Code. In administering this Agreement, the Company shall interpret this Agreement in a manner consistent with such exemption or with Section 409A to the extent applicable. Notwithstanding the foregoing, if it is determined that the RSUs fail to satisfy the requirements of the short-term deferral rule and are otherwise deferred compensation subject to Section 409A, and if you are a “Specified Employee” (within the meaning set forth Section 409A(a)(2)(B)(i) of the Code) as of the date of your separation from service (within the meaning of Treasury Regulation Section 1.409A-1(h)), then the issuance of any shares that would otherwise be made upon the date of the separation from service or within the first six (6) months thereafter will not be made on the originally scheduled date(s) and will instead be issued in a lump sum on the date that is six (6) months and one day after the date of the separation from service, but if and only if such delay in the issuance of the shares is necessary to avoid the imposition of additional taxation on you in respect of the shares under Section 409A of the Code. Each installment of shares that vests and is settled is intended to constitute a “separate payment” for purposes of Section 409A of the Code and Treasury Regulation Section 1.409A-2(b)(2).</w:t>
      </w:r>
    </w:p>
    <w:p>
      <w:pPr>
        <w:spacing w:after="0" w:line="164" w:lineRule="exact"/>
        <w:rPr>
          <w:rFonts w:ascii="Times New Roman" w:cs="Times New Roman" w:eastAsia="Times New Roman" w:hAnsi="Times New Roman"/>
          <w:sz w:val="18"/>
          <w:szCs w:val="18"/>
          <w:color w:val="auto"/>
        </w:rPr>
      </w:pPr>
    </w:p>
    <w:p>
      <w:pPr>
        <w:jc w:val="both"/>
        <w:ind w:right="140" w:firstLine="757"/>
        <w:spacing w:after="0" w:line="261" w:lineRule="auto"/>
        <w:tabs>
          <w:tab w:leader="none" w:pos="1018" w:val="left"/>
        </w:tabs>
        <w:numPr>
          <w:ilvl w:val="0"/>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Obligation to Minimize Taxes</w:t>
      </w:r>
      <w:r>
        <w:rPr>
          <w:rFonts w:ascii="Times New Roman" w:cs="Times New Roman" w:eastAsia="Times New Roman" w:hAnsi="Times New Roman"/>
          <w:sz w:val="18"/>
          <w:szCs w:val="18"/>
          <w:color w:val="auto"/>
        </w:rPr>
        <w:t>. The Company has no duty or obligation to minimize the tax consequences to you of this award of RSUs and shall not be liable to you for any adverse tax consequences to you arising in connection with this award. You are hereby advised to consult with your own personal tax, financial and/or legal advisors regarding the tax consequences of this award and by signing the Notice, you have agreed that you have done so or knowingly and voluntarily declined to do so.</w:t>
      </w:r>
    </w:p>
    <w:p>
      <w:pPr>
        <w:spacing w:after="0" w:line="139" w:lineRule="exact"/>
        <w:rPr>
          <w:rFonts w:ascii="Times New Roman" w:cs="Times New Roman" w:eastAsia="Times New Roman" w:hAnsi="Times New Roman"/>
          <w:sz w:val="18"/>
          <w:szCs w:val="18"/>
          <w:color w:val="auto"/>
        </w:rPr>
      </w:pPr>
    </w:p>
    <w:p>
      <w:pPr>
        <w:ind w:right="260" w:firstLine="757"/>
        <w:spacing w:after="0" w:line="266" w:lineRule="auto"/>
        <w:tabs>
          <w:tab w:leader="none" w:pos="1018" w:val="left"/>
        </w:tabs>
        <w:numPr>
          <w:ilvl w:val="0"/>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Conformity with Plan</w:t>
      </w:r>
      <w:r>
        <w:rPr>
          <w:rFonts w:ascii="Times New Roman" w:cs="Times New Roman" w:eastAsia="Times New Roman" w:hAnsi="Times New Roman"/>
          <w:sz w:val="18"/>
          <w:szCs w:val="18"/>
          <w:color w:val="auto"/>
        </w:rPr>
        <w:t>. This Agreement is intended to conform in all respects with, and is subject to all applicable provisions of, the Plan. Inconsistencies between this Agreement and the Plan shall be resolved in accordance with the terms of the Plan. In the event of any ambiguity in this Agreement or any matters as to which this Agreement is silent, the Plan shall govern. A copy of the Plan is available upon request to the Administrator.</w:t>
      </w:r>
    </w:p>
    <w:p>
      <w:pPr>
        <w:spacing w:after="0" w:line="135" w:lineRule="exact"/>
        <w:rPr>
          <w:rFonts w:ascii="Times New Roman" w:cs="Times New Roman" w:eastAsia="Times New Roman" w:hAnsi="Times New Roman"/>
          <w:sz w:val="18"/>
          <w:szCs w:val="18"/>
          <w:color w:val="auto"/>
        </w:rPr>
      </w:pPr>
    </w:p>
    <w:p>
      <w:pPr>
        <w:ind w:right="440" w:firstLine="757"/>
        <w:spacing w:after="0" w:line="282" w:lineRule="auto"/>
        <w:tabs>
          <w:tab w:leader="none" w:pos="1018" w:val="left"/>
        </w:tabs>
        <w:numPr>
          <w:ilvl w:val="0"/>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Funding</w:t>
      </w:r>
      <w:r>
        <w:rPr>
          <w:rFonts w:ascii="Times New Roman" w:cs="Times New Roman" w:eastAsia="Times New Roman" w:hAnsi="Times New Roman"/>
          <w:sz w:val="18"/>
          <w:szCs w:val="18"/>
          <w:color w:val="auto"/>
        </w:rPr>
        <w:t>. This Agreement constitutes an unfunded and unsecured promise by the Company to issue shares of Common Stock in the future in accordance with its terms. You have the status of a general unsecured creditor of the Company as a result of receiving the grant of RSUs.</w:t>
      </w:r>
    </w:p>
    <w:p>
      <w:pPr>
        <w:spacing w:after="0" w:line="134" w:lineRule="exact"/>
        <w:rPr>
          <w:rFonts w:ascii="Times New Roman" w:cs="Times New Roman" w:eastAsia="Times New Roman" w:hAnsi="Times New Roman"/>
          <w:sz w:val="18"/>
          <w:szCs w:val="18"/>
          <w:color w:val="auto"/>
        </w:rPr>
      </w:pPr>
    </w:p>
    <w:p>
      <w:pPr>
        <w:jc w:val="both"/>
        <w:ind w:right="60" w:firstLine="757"/>
        <w:spacing w:after="0" w:line="261" w:lineRule="auto"/>
        <w:tabs>
          <w:tab w:leader="none" w:pos="1018" w:val="left"/>
        </w:tabs>
        <w:numPr>
          <w:ilvl w:val="0"/>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 on Other Employee Benefit Plans</w:t>
      </w:r>
      <w:r>
        <w:rPr>
          <w:rFonts w:ascii="Times New Roman" w:cs="Times New Roman" w:eastAsia="Times New Roman" w:hAnsi="Times New Roman"/>
          <w:sz w:val="18"/>
          <w:szCs w:val="18"/>
          <w:color w:val="auto"/>
        </w:rPr>
        <w:t>. The value of the RSUs subject to this Agreement shall not be included as compensation, earnings, salaries, or other similar terms used when calculating your benefits under any employee benefit plan sponsored by the Company or any Affiliate, except as such plan otherwise expressly provides. The Company expressly reserve its rights to amend, modify, or terminate any of the Company’s or any Affiliate’s employee benefit plans.</w:t>
      </w:r>
    </w:p>
    <w:p>
      <w:pPr>
        <w:spacing w:after="0" w:line="139" w:lineRule="exact"/>
        <w:rPr>
          <w:rFonts w:ascii="Times New Roman" w:cs="Times New Roman" w:eastAsia="Times New Roman" w:hAnsi="Times New Roman"/>
          <w:sz w:val="18"/>
          <w:szCs w:val="18"/>
          <w:color w:val="auto"/>
        </w:rPr>
      </w:pPr>
    </w:p>
    <w:p>
      <w:pPr>
        <w:ind w:firstLine="757"/>
        <w:spacing w:after="0" w:line="255" w:lineRule="auto"/>
        <w:tabs>
          <w:tab w:leader="none" w:pos="1018" w:val="left"/>
        </w:tabs>
        <w:numPr>
          <w:ilvl w:val="0"/>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The validity, construction and effect of this Agreement, and of any determinations or decisions made by the Administrator relating to this Agreement, and the rights of any and all persons having or claiming to have any interest under this Agreement, shall be determined exclusively in accordance with the laws of the State of Delaware, without regard to its provisions concerning the applicability of laws of other jurisdictions. As a condition of this Agreement, you agree that you will not bring any action arising under, as a result of, pursuant to or relating to, this Agreement in any court other than a federal or state court in the districts which include Delaware, and you hereby agree and submit to the personal jurisdiction of any federal court located in the district which includes Delaware or any state court in the district which includes Delaware. You further agree that you will not deny or attempt to defeat such personal jurisdiction or object to venue by motion or other request for leave from any such court.</w:t>
      </w:r>
    </w:p>
    <w:p>
      <w:pPr>
        <w:spacing w:after="0" w:line="148" w:lineRule="exact"/>
        <w:rPr>
          <w:rFonts w:ascii="Times New Roman" w:cs="Times New Roman" w:eastAsia="Times New Roman" w:hAnsi="Times New Roman"/>
          <w:sz w:val="18"/>
          <w:szCs w:val="18"/>
          <w:color w:val="auto"/>
        </w:rPr>
      </w:pPr>
    </w:p>
    <w:p>
      <w:pPr>
        <w:ind w:firstLine="757"/>
        <w:spacing w:after="0" w:line="256" w:lineRule="auto"/>
        <w:tabs>
          <w:tab w:leader="none" w:pos="1018" w:val="left"/>
        </w:tabs>
        <w:numPr>
          <w:ilvl w:val="0"/>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Resolution of Disputes</w:t>
      </w:r>
      <w:r>
        <w:rPr>
          <w:rFonts w:ascii="Times New Roman" w:cs="Times New Roman" w:eastAsia="Times New Roman" w:hAnsi="Times New Roman"/>
          <w:sz w:val="18"/>
          <w:szCs w:val="18"/>
          <w:color w:val="auto"/>
        </w:rPr>
        <w:t>. Any dispute or disagreement which shall arise under, or as a result of, or pursuant to or relating to, this Agreement shall be determined by the Administrator in good faith in its absolute and uncontrolled discretion, and any such determination or any other determination by the Administrator under or pursuant to this Agreement and any interpretation by the Administrator of the terms of this Agreement, will be final, binding and conclusive on all persons affected thereby. You agree that before you may bring any legal action arising under, as a result of, pursuant to or relating to, this Agreement you will first exhaust your administrative remedies before the Administrator. You further agree that in the event that the Administrator does not resolve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992505</wp:posOffset>
            </wp:positionV>
            <wp:extent cx="7157720" cy="42545"/>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7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536" w:name="page537"/>
    <w:bookmarkEnd w:id="536"/>
    <w:p>
      <w:pPr>
        <w:ind w:right="100"/>
        <w:spacing w:after="0" w:line="261" w:lineRule="auto"/>
        <w:rPr>
          <w:sz w:val="20"/>
          <w:szCs w:val="20"/>
          <w:color w:val="auto"/>
        </w:rPr>
      </w:pPr>
      <w:r>
        <w:rPr>
          <w:rFonts w:ascii="Times New Roman" w:cs="Times New Roman" w:eastAsia="Times New Roman" w:hAnsi="Times New Roman"/>
          <w:sz w:val="18"/>
          <w:szCs w:val="18"/>
          <w:color w:val="auto"/>
        </w:rPr>
        <w:t>dispute or disagreement arising under, as a result of, pursuant to or relating to, this Agreement to your satisfaction, no legal action may be commenced or maintained relating to this Agreement more than twenty-four (24) months after the Administrator’s decision, and any such legal action shall be subject to, and must be brought in accordance with, any Dispute Resolution Protocol which you previously entered into in connection with your employment with Company or any of its Affiliates, which agreement is incorporated herein by reference as if fully restated herein.</w:t>
      </w:r>
    </w:p>
    <w:p>
      <w:pPr>
        <w:spacing w:after="0" w:line="139" w:lineRule="exact"/>
        <w:rPr>
          <w:sz w:val="20"/>
          <w:szCs w:val="20"/>
          <w:color w:val="auto"/>
        </w:rPr>
      </w:pPr>
    </w:p>
    <w:p>
      <w:pPr>
        <w:ind w:left="1020" w:hanging="263"/>
        <w:spacing w:after="0"/>
        <w:tabs>
          <w:tab w:leader="none" w:pos="1020" w:val="left"/>
        </w:tabs>
        <w:numPr>
          <w:ilvl w:val="1"/>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headings in this Agreement are for reference purposes only and shall not affect the meaning or interpretation of this</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Agreement.</w:t>
      </w:r>
    </w:p>
    <w:p>
      <w:pPr>
        <w:spacing w:after="0" w:line="179" w:lineRule="exact"/>
        <w:rPr>
          <w:rFonts w:ascii="Times New Roman" w:cs="Times New Roman" w:eastAsia="Times New Roman" w:hAnsi="Times New Roman"/>
          <w:sz w:val="18"/>
          <w:szCs w:val="18"/>
          <w:color w:val="auto"/>
        </w:rPr>
      </w:pPr>
    </w:p>
    <w:p>
      <w:pPr>
        <w:jc w:val="both"/>
        <w:ind w:firstLine="757"/>
        <w:spacing w:after="0" w:line="272" w:lineRule="auto"/>
        <w:tabs>
          <w:tab w:leader="none" w:pos="1018" w:val="left"/>
        </w:tabs>
        <w:numPr>
          <w:ilvl w:val="1"/>
          <w:numId w:val="2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Electronic Delivery of Documents</w:t>
      </w:r>
      <w:r>
        <w:rPr>
          <w:rFonts w:ascii="Times New Roman" w:cs="Times New Roman" w:eastAsia="Times New Roman" w:hAnsi="Times New Roman"/>
          <w:sz w:val="17"/>
          <w:szCs w:val="17"/>
          <w:color w:val="auto"/>
        </w:rPr>
        <w:t>. By your signing the Notice, you (i) consent to the electronic delivery of this Agreement, all information with respect to the Plan and the RSUs, and any reports of the Company provided generally to the Company’s stockholders; (ii) acknowledge that you may receive from the Company a paper copy of any documents delivered electronically at no cost to you by contacting the Company by telephone or in writing;</w:t>
      </w:r>
    </w:p>
    <w:p>
      <w:pPr>
        <w:spacing w:after="0" w:line="1" w:lineRule="exact"/>
        <w:rPr>
          <w:rFonts w:ascii="Times New Roman" w:cs="Times New Roman" w:eastAsia="Times New Roman" w:hAnsi="Times New Roman"/>
          <w:sz w:val="17"/>
          <w:szCs w:val="17"/>
          <w:color w:val="auto"/>
        </w:rPr>
      </w:pPr>
    </w:p>
    <w:p>
      <w:pPr>
        <w:jc w:val="both"/>
        <w:ind w:right="40" w:firstLine="8"/>
        <w:spacing w:after="0" w:line="255" w:lineRule="auto"/>
        <w:tabs>
          <w:tab w:leader="none" w:pos="315" w:val="left"/>
        </w:tabs>
        <w:numPr>
          <w:ilvl w:val="0"/>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further acknowledge that you may revoke your consent to the electronic delivery of documents at any time by notifying the Company of such revoked consent by telephone, postal service or electronic mail; and (iv) further acknowledge that you understand that you are not required to consent to electronic delivery of documents.</w:t>
      </w:r>
    </w:p>
    <w:p>
      <w:pPr>
        <w:spacing w:after="0" w:line="145" w:lineRule="exact"/>
        <w:rPr>
          <w:rFonts w:ascii="Times New Roman" w:cs="Times New Roman" w:eastAsia="Times New Roman" w:hAnsi="Times New Roman"/>
          <w:sz w:val="18"/>
          <w:szCs w:val="18"/>
          <w:color w:val="auto"/>
        </w:rPr>
      </w:pPr>
    </w:p>
    <w:p>
      <w:pPr>
        <w:ind w:firstLine="757"/>
        <w:spacing w:after="0" w:line="253" w:lineRule="auto"/>
        <w:tabs>
          <w:tab w:leader="none" w:pos="1018" w:val="left"/>
        </w:tabs>
        <w:numPr>
          <w:ilvl w:val="1"/>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Future Entitlement</w:t>
      </w:r>
      <w:r>
        <w:rPr>
          <w:rFonts w:ascii="Times New Roman" w:cs="Times New Roman" w:eastAsia="Times New Roman" w:hAnsi="Times New Roman"/>
          <w:sz w:val="18"/>
          <w:szCs w:val="18"/>
          <w:color w:val="auto"/>
        </w:rPr>
        <w:t>. By your signing the Notice, you acknowledge and agree that: (i) the grant of a restricted stock unit award is a one-time benefit which does not create any contractual or other right to receive future grants of restricted stock units, or compensation in lieu of restricted stock units, even if restricted stock units have been granted repeatedly in the past; (ii) all determinations with respect to any such future grants and the terms thereof will be at the sole discretion of the Administrator; (iii) the value of the restricted stock units is an extraordinary item of compensation which is outside the scope of your employment contract, if any; (iv) the value of the restricted stock units is not part of normal or expected compensation or salary for any purpose, including, but not limited to, calculating any termination, severance, resignation, redundancy, end of service payments or similar payments, or bonuses, long-service awards, pension or retirement benefits; (v) the vesting of the restricted stock units ceases upon termination of Service with the Company or transfer of employment from the Company, or other cessation of eligibility for any reason, except as may otherwise be explicitly provided in this Agreement; (vi) the Company does not guarantee any future value of the restricted stock units; and (vii) no claim or entitlement to compensation or damages arises if the restricted stock units decrease or do not increase in value and you irrevocably release the Company from any such claim that does arise.</w:t>
      </w:r>
    </w:p>
    <w:p>
      <w:pPr>
        <w:spacing w:after="0" w:line="151" w:lineRule="exact"/>
        <w:rPr>
          <w:rFonts w:ascii="Times New Roman" w:cs="Times New Roman" w:eastAsia="Times New Roman" w:hAnsi="Times New Roman"/>
          <w:sz w:val="18"/>
          <w:szCs w:val="18"/>
          <w:color w:val="auto"/>
        </w:rPr>
      </w:pPr>
    </w:p>
    <w:p>
      <w:pPr>
        <w:ind w:right="40" w:firstLine="757"/>
        <w:spacing w:after="0" w:line="252" w:lineRule="auto"/>
        <w:tabs>
          <w:tab w:leader="none" w:pos="1018" w:val="left"/>
        </w:tabs>
        <w:numPr>
          <w:ilvl w:val="1"/>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Personal Data</w:t>
      </w:r>
      <w:r>
        <w:rPr>
          <w:rFonts w:ascii="Times New Roman" w:cs="Times New Roman" w:eastAsia="Times New Roman" w:hAnsi="Times New Roman"/>
          <w:sz w:val="18"/>
          <w:szCs w:val="18"/>
          <w:color w:val="auto"/>
        </w:rPr>
        <w:t>. For purposes of the implementation, administration and management of the restricted stock units or the effectuation of any acquisition, equity or debt financing, joint venture, merger, reorganization, consolidation, recapitalization, business combination, liquidation, dissolution, share exchange, sale of stock, sale of material assets or other similar corporate transaction involving the Company (a “</w:t>
      </w:r>
      <w:r>
        <w:rPr>
          <w:rFonts w:ascii="Times New Roman" w:cs="Times New Roman" w:eastAsia="Times New Roman" w:hAnsi="Times New Roman"/>
          <w:sz w:val="18"/>
          <w:szCs w:val="18"/>
          <w:b w:val="1"/>
          <w:bCs w:val="1"/>
          <w:i w:val="1"/>
          <w:iCs w:val="1"/>
          <w:color w:val="auto"/>
        </w:rPr>
        <w:t>Corporate Transaction</w:t>
      </w:r>
      <w:r>
        <w:rPr>
          <w:rFonts w:ascii="Times New Roman" w:cs="Times New Roman" w:eastAsia="Times New Roman" w:hAnsi="Times New Roman"/>
          <w:sz w:val="18"/>
          <w:szCs w:val="18"/>
          <w:color w:val="auto"/>
        </w:rPr>
        <w:t>”), you consent, by execution of the Notice, to the collection, receipt, use, retention and transfer, in electronic or other form, of your personal data by and among the Company and its third party vendors or any potential party to a potential Corporate Transaction. You understand that personal data (including but not limited to, name, home address, telephone number, employee number, employment status, social security number, tax identification number, date of birth, nationality, job and payroll location, data for tax withholding purposes and shares awarded, cancelled, vested and unvested) may be transferred to third parties assisting in the implementation, administration and management of the restricted stock units or the effectuation of a Corporate Transaction and you expressly authorize such transfer as well as the retention, use, and the subsequent transfer of the data by the recipient(s). You understand that these recipients may be located in your country or elsewhere, and that the recipient’s country may have different data privacy laws and protections than your country. You understand that data will be held only as long as is necessary to implement, administer and manage the restricted stock units or effect a Corporate Transaction. You understand that you may, at any time, request a list with the names and addresses of any potential recipients of the personal data, view data, request additional information about the storage and processing of data, require any necessary amendments to data or refuse or withdraw the consents herein, in any case without cost, by contacting in writing the Company’s Secretary. You understand, however, that refusing or withdrawing your consent may affect your ability to accept a restricted stock unit award.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1588135</wp:posOffset>
            </wp:positionH>
            <wp:positionV relativeFrom="paragraph">
              <wp:posOffset>-4226560</wp:posOffset>
            </wp:positionV>
            <wp:extent cx="28575" cy="8255"/>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789">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14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Glossary begins on next page</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1009015</wp:posOffset>
            </wp:positionV>
            <wp:extent cx="7157720" cy="42545"/>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7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17" w:right="399" w:bottom="1440" w:gutter="0" w:footer="0" w:header="0"/>
        </w:sectPr>
      </w:pPr>
    </w:p>
    <w:bookmarkStart w:id="537" w:name="page538"/>
    <w:bookmarkEnd w:id="537"/>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GLOSSARY</w:t>
      </w:r>
    </w:p>
    <w:p>
      <w:pPr>
        <w:spacing w:after="0" w:line="185" w:lineRule="exact"/>
        <w:rPr>
          <w:sz w:val="20"/>
          <w:szCs w:val="20"/>
          <w:color w:val="auto"/>
        </w:rPr>
      </w:pPr>
    </w:p>
    <w:p>
      <w:pPr>
        <w:ind w:left="2040" w:hanging="535"/>
        <w:spacing w:after="0"/>
        <w:tabs>
          <w:tab w:leader="none" w:pos="2040" w:val="left"/>
        </w:tabs>
        <w:numPr>
          <w:ilvl w:val="0"/>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Administrator</w:t>
      </w:r>
      <w:r>
        <w:rPr>
          <w:rFonts w:ascii="Times New Roman" w:cs="Times New Roman" w:eastAsia="Times New Roman" w:hAnsi="Times New Roman"/>
          <w:sz w:val="18"/>
          <w:szCs w:val="18"/>
          <w:color w:val="auto"/>
        </w:rPr>
        <w:t>” shall have the meaning set forth in the Plan.</w:t>
      </w:r>
    </w:p>
    <w:p>
      <w:pPr>
        <w:spacing w:after="0" w:line="198" w:lineRule="exact"/>
        <w:rPr>
          <w:rFonts w:ascii="Times New Roman" w:cs="Times New Roman" w:eastAsia="Times New Roman" w:hAnsi="Times New Roman"/>
          <w:sz w:val="18"/>
          <w:szCs w:val="18"/>
          <w:color w:val="auto"/>
        </w:rPr>
      </w:pPr>
    </w:p>
    <w:p>
      <w:pPr>
        <w:ind w:left="2040" w:hanging="535"/>
        <w:spacing w:after="0"/>
        <w:tabs>
          <w:tab w:leader="none" w:pos="2040" w:val="left"/>
        </w:tabs>
        <w:numPr>
          <w:ilvl w:val="0"/>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Affiliate</w:t>
      </w:r>
      <w:r>
        <w:rPr>
          <w:rFonts w:ascii="Times New Roman" w:cs="Times New Roman" w:eastAsia="Times New Roman" w:hAnsi="Times New Roman"/>
          <w:sz w:val="18"/>
          <w:szCs w:val="18"/>
          <w:color w:val="auto"/>
        </w:rPr>
        <w:t>” shall have the meaning set forth in the Plan.</w:t>
      </w:r>
    </w:p>
    <w:p>
      <w:pPr>
        <w:spacing w:after="0" w:line="184" w:lineRule="exact"/>
        <w:rPr>
          <w:rFonts w:ascii="Times New Roman" w:cs="Times New Roman" w:eastAsia="Times New Roman" w:hAnsi="Times New Roman"/>
          <w:sz w:val="18"/>
          <w:szCs w:val="18"/>
          <w:color w:val="auto"/>
        </w:rPr>
      </w:pPr>
    </w:p>
    <w:p>
      <w:pPr>
        <w:ind w:left="2040" w:hanging="535"/>
        <w:spacing w:after="0"/>
        <w:tabs>
          <w:tab w:leader="none" w:pos="2040" w:val="left"/>
        </w:tabs>
        <w:numPr>
          <w:ilvl w:val="0"/>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means this document, as amended from time to time, together with the Plan which is incorporated herein by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reference.</w:t>
      </w:r>
    </w:p>
    <w:p>
      <w:pPr>
        <w:spacing w:after="0" w:line="162" w:lineRule="exact"/>
        <w:rPr>
          <w:sz w:val="20"/>
          <w:szCs w:val="20"/>
          <w:color w:val="auto"/>
        </w:rPr>
      </w:pPr>
    </w:p>
    <w:p>
      <w:pPr>
        <w:ind w:left="2040" w:hanging="535"/>
        <w:spacing w:after="0"/>
        <w:tabs>
          <w:tab w:leader="none" w:pos="2040" w:val="left"/>
        </w:tabs>
        <w:numPr>
          <w:ilvl w:val="0"/>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Cause</w:t>
      </w:r>
      <w:r>
        <w:rPr>
          <w:rFonts w:ascii="Times New Roman" w:cs="Times New Roman" w:eastAsia="Times New Roman" w:hAnsi="Times New Roman"/>
          <w:sz w:val="18"/>
          <w:szCs w:val="18"/>
          <w:color w:val="auto"/>
        </w:rPr>
        <w:t>” shall have the meaning set forth in the Plan.</w:t>
      </w:r>
    </w:p>
    <w:p>
      <w:pPr>
        <w:spacing w:after="0" w:line="198" w:lineRule="exact"/>
        <w:rPr>
          <w:rFonts w:ascii="Times New Roman" w:cs="Times New Roman" w:eastAsia="Times New Roman" w:hAnsi="Times New Roman"/>
          <w:sz w:val="18"/>
          <w:szCs w:val="18"/>
          <w:color w:val="auto"/>
        </w:rPr>
      </w:pPr>
    </w:p>
    <w:p>
      <w:pPr>
        <w:ind w:left="2040" w:hanging="535"/>
        <w:spacing w:after="0"/>
        <w:tabs>
          <w:tab w:leader="none" w:pos="2040" w:val="left"/>
        </w:tabs>
        <w:numPr>
          <w:ilvl w:val="0"/>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Change in Control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shall have the meaning set forth in the Plan.</w:t>
      </w:r>
    </w:p>
    <w:p>
      <w:pPr>
        <w:spacing w:after="0" w:line="184" w:lineRule="exact"/>
        <w:rPr>
          <w:rFonts w:ascii="Times New Roman" w:cs="Times New Roman" w:eastAsia="Times New Roman" w:hAnsi="Times New Roman"/>
          <w:sz w:val="18"/>
          <w:szCs w:val="18"/>
          <w:color w:val="auto"/>
        </w:rPr>
      </w:pPr>
    </w:p>
    <w:p>
      <w:pPr>
        <w:ind w:left="2040" w:hanging="535"/>
        <w:spacing w:after="0"/>
        <w:tabs>
          <w:tab w:leader="none" w:pos="2040" w:val="left"/>
        </w:tabs>
        <w:numPr>
          <w:ilvl w:val="0"/>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Code</w:t>
      </w:r>
      <w:r>
        <w:rPr>
          <w:rFonts w:ascii="Times New Roman" w:cs="Times New Roman" w:eastAsia="Times New Roman" w:hAnsi="Times New Roman"/>
          <w:sz w:val="18"/>
          <w:szCs w:val="18"/>
          <w:color w:val="auto"/>
        </w:rPr>
        <w:t>” means the Internal Revenue Code of 1986, as amended, and the Treasury regulations and other guidance promulgated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thereunder.</w:t>
      </w:r>
    </w:p>
    <w:p>
      <w:pPr>
        <w:spacing w:after="0" w:line="162" w:lineRule="exact"/>
        <w:rPr>
          <w:sz w:val="20"/>
          <w:szCs w:val="20"/>
          <w:color w:val="auto"/>
        </w:rPr>
      </w:pPr>
    </w:p>
    <w:p>
      <w:pPr>
        <w:ind w:left="2040" w:hanging="535"/>
        <w:spacing w:after="0"/>
        <w:tabs>
          <w:tab w:leader="none" w:pos="2040" w:val="left"/>
        </w:tabs>
        <w:numPr>
          <w:ilvl w:val="0"/>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means the common stock of Axsome Therapeutics, Inc.</w:t>
      </w:r>
    </w:p>
    <w:p>
      <w:pPr>
        <w:spacing w:after="0" w:line="198" w:lineRule="exact"/>
        <w:rPr>
          <w:rFonts w:ascii="Times New Roman" w:cs="Times New Roman" w:eastAsia="Times New Roman" w:hAnsi="Times New Roman"/>
          <w:sz w:val="18"/>
          <w:szCs w:val="18"/>
          <w:color w:val="auto"/>
        </w:rPr>
      </w:pPr>
    </w:p>
    <w:p>
      <w:pPr>
        <w:ind w:right="80" w:firstLine="1505"/>
        <w:spacing w:after="0" w:line="286" w:lineRule="auto"/>
        <w:tabs>
          <w:tab w:leader="none" w:pos="2036" w:val="left"/>
        </w:tabs>
        <w:numPr>
          <w:ilvl w:val="0"/>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means Axsome Therapeutics, Inc. and its Subsidiaries, except where the context otherwise requires. For purposes of determining whether a Change in Control has occurred, Company shall mean only Axsome Therapeutics, Inc.</w:t>
      </w:r>
    </w:p>
    <w:p>
      <w:pPr>
        <w:spacing w:after="0" w:line="114" w:lineRule="exact"/>
        <w:rPr>
          <w:rFonts w:ascii="Times New Roman" w:cs="Times New Roman" w:eastAsia="Times New Roman" w:hAnsi="Times New Roman"/>
          <w:sz w:val="18"/>
          <w:szCs w:val="18"/>
          <w:color w:val="auto"/>
        </w:rPr>
      </w:pPr>
    </w:p>
    <w:p>
      <w:pPr>
        <w:ind w:left="2040" w:hanging="535"/>
        <w:spacing w:after="0"/>
        <w:tabs>
          <w:tab w:leader="none" w:pos="2040" w:val="left"/>
        </w:tabs>
        <w:numPr>
          <w:ilvl w:val="0"/>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Fair Market Value</w:t>
      </w:r>
      <w:r>
        <w:rPr>
          <w:rFonts w:ascii="Times New Roman" w:cs="Times New Roman" w:eastAsia="Times New Roman" w:hAnsi="Times New Roman"/>
          <w:sz w:val="18"/>
          <w:szCs w:val="18"/>
          <w:color w:val="auto"/>
        </w:rPr>
        <w:t>” has the meaning set forth in the Plan.</w:t>
      </w:r>
    </w:p>
    <w:p>
      <w:pPr>
        <w:spacing w:after="0" w:line="184" w:lineRule="exact"/>
        <w:rPr>
          <w:rFonts w:ascii="Times New Roman" w:cs="Times New Roman" w:eastAsia="Times New Roman" w:hAnsi="Times New Roman"/>
          <w:sz w:val="18"/>
          <w:szCs w:val="18"/>
          <w:color w:val="auto"/>
        </w:rPr>
      </w:pPr>
    </w:p>
    <w:p>
      <w:pPr>
        <w:ind w:left="2040" w:hanging="535"/>
        <w:spacing w:after="0"/>
        <w:tabs>
          <w:tab w:leader="none" w:pos="2040" w:val="left"/>
        </w:tabs>
        <w:numPr>
          <w:ilvl w:val="0"/>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Grant Date</w:t>
      </w:r>
      <w:r>
        <w:rPr>
          <w:rFonts w:ascii="Times New Roman" w:cs="Times New Roman" w:eastAsia="Times New Roman" w:hAnsi="Times New Roman"/>
          <w:sz w:val="18"/>
          <w:szCs w:val="18"/>
          <w:color w:val="auto"/>
        </w:rPr>
        <w:t>” means the effective date of a grant of RSUs made to you as set forth in the relevant Notice.</w:t>
      </w:r>
    </w:p>
    <w:p>
      <w:pPr>
        <w:spacing w:after="0" w:line="198" w:lineRule="exact"/>
        <w:rPr>
          <w:rFonts w:ascii="Times New Roman" w:cs="Times New Roman" w:eastAsia="Times New Roman" w:hAnsi="Times New Roman"/>
          <w:sz w:val="18"/>
          <w:szCs w:val="18"/>
          <w:color w:val="auto"/>
        </w:rPr>
      </w:pPr>
    </w:p>
    <w:p>
      <w:pPr>
        <w:ind w:left="2040" w:hanging="535"/>
        <w:spacing w:after="0"/>
        <w:tabs>
          <w:tab w:leader="none" w:pos="2040" w:val="left"/>
        </w:tabs>
        <w:numPr>
          <w:ilvl w:val="0"/>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Notice</w:t>
      </w:r>
      <w:r>
        <w:rPr>
          <w:rFonts w:ascii="Times New Roman" w:cs="Times New Roman" w:eastAsia="Times New Roman" w:hAnsi="Times New Roman"/>
          <w:sz w:val="18"/>
          <w:szCs w:val="18"/>
          <w:color w:val="auto"/>
        </w:rPr>
        <w:t>” means the statement, letter or other written notification provided to you by the Company setting forth the terms of a</w:t>
      </w:r>
    </w:p>
    <w:p>
      <w:pPr>
        <w:spacing w:after="0" w:line="3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 of RSUs made to you.</w:t>
      </w:r>
    </w:p>
    <w:p>
      <w:pPr>
        <w:spacing w:after="0" w:line="162" w:lineRule="exact"/>
        <w:rPr>
          <w:rFonts w:ascii="Times New Roman" w:cs="Times New Roman" w:eastAsia="Times New Roman" w:hAnsi="Times New Roman"/>
          <w:sz w:val="18"/>
          <w:szCs w:val="18"/>
          <w:color w:val="auto"/>
        </w:rPr>
      </w:pPr>
    </w:p>
    <w:p>
      <w:pPr>
        <w:ind w:left="2040" w:hanging="535"/>
        <w:spacing w:after="0"/>
        <w:tabs>
          <w:tab w:leader="none" w:pos="2040" w:val="left"/>
        </w:tabs>
        <w:numPr>
          <w:ilvl w:val="0"/>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 means the Axsome Therapeutics, Inc. 2025 Long-Term Incentive Plan, as amended from time to time.</w:t>
      </w:r>
    </w:p>
    <w:p>
      <w:pPr>
        <w:spacing w:after="0" w:line="184" w:lineRule="exact"/>
        <w:rPr>
          <w:rFonts w:ascii="Times New Roman" w:cs="Times New Roman" w:eastAsia="Times New Roman" w:hAnsi="Times New Roman"/>
          <w:sz w:val="18"/>
          <w:szCs w:val="18"/>
          <w:color w:val="auto"/>
        </w:rPr>
      </w:pPr>
    </w:p>
    <w:p>
      <w:pPr>
        <w:ind w:left="2040" w:hanging="535"/>
        <w:spacing w:after="0"/>
        <w:tabs>
          <w:tab w:leader="none" w:pos="2040" w:val="left"/>
        </w:tabs>
        <w:numPr>
          <w:ilvl w:val="0"/>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RSU</w:t>
      </w:r>
      <w:r>
        <w:rPr>
          <w:rFonts w:ascii="Times New Roman" w:cs="Times New Roman" w:eastAsia="Times New Roman" w:hAnsi="Times New Roman"/>
          <w:sz w:val="18"/>
          <w:szCs w:val="18"/>
          <w:color w:val="auto"/>
        </w:rPr>
        <w:t>” means the Company’s commitment to issue one share of Common Stock at a future date, subject to the terms of the</w:t>
      </w:r>
    </w:p>
    <w:p>
      <w:pPr>
        <w:spacing w:after="0" w:line="3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Agreement and the Plan.</w:t>
      </w:r>
    </w:p>
    <w:p>
      <w:pPr>
        <w:spacing w:after="0" w:line="175" w:lineRule="exact"/>
        <w:rPr>
          <w:rFonts w:ascii="Times New Roman" w:cs="Times New Roman" w:eastAsia="Times New Roman" w:hAnsi="Times New Roman"/>
          <w:sz w:val="18"/>
          <w:szCs w:val="18"/>
          <w:color w:val="auto"/>
        </w:rPr>
      </w:pPr>
    </w:p>
    <w:p>
      <w:pPr>
        <w:ind w:right="80" w:firstLine="1505"/>
        <w:spacing w:after="0" w:line="262" w:lineRule="auto"/>
        <w:tabs>
          <w:tab w:leader="none" w:pos="2036" w:val="left"/>
        </w:tabs>
        <w:numPr>
          <w:ilvl w:val="0"/>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Service</w:t>
      </w:r>
      <w:r>
        <w:rPr>
          <w:rFonts w:ascii="Times New Roman" w:cs="Times New Roman" w:eastAsia="Times New Roman" w:hAnsi="Times New Roman"/>
          <w:sz w:val="18"/>
          <w:szCs w:val="18"/>
          <w:color w:val="auto"/>
        </w:rPr>
        <w:t>” means your employment, service as a non-executive director, or other service relationship with the Company and its Affiliates. Your Service will be considered to have ceased with the Company and its Affiliates if, immediately after a sale, merger, or other corporate transaction, the trade, business, or entity with which you are employed or otherwise have a service relationship is not Axsome Therapeutics, Inc. or its successor or an Affiliate of Axsome Therapeutics, Inc. or its successor.</w:t>
      </w:r>
    </w:p>
    <w:p>
      <w:pPr>
        <w:spacing w:after="0" w:line="135" w:lineRule="exact"/>
        <w:rPr>
          <w:rFonts w:ascii="Times New Roman" w:cs="Times New Roman" w:eastAsia="Times New Roman" w:hAnsi="Times New Roman"/>
          <w:sz w:val="18"/>
          <w:szCs w:val="18"/>
          <w:color w:val="auto"/>
        </w:rPr>
      </w:pPr>
    </w:p>
    <w:p>
      <w:pPr>
        <w:ind w:right="80" w:firstLine="1505"/>
        <w:spacing w:after="0" w:line="286" w:lineRule="auto"/>
        <w:tabs>
          <w:tab w:leader="none" w:pos="2036" w:val="left"/>
        </w:tabs>
        <w:numPr>
          <w:ilvl w:val="0"/>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Total and Permanent Disability</w:t>
      </w:r>
      <w:r>
        <w:rPr>
          <w:rFonts w:ascii="Times New Roman" w:cs="Times New Roman" w:eastAsia="Times New Roman" w:hAnsi="Times New Roman"/>
          <w:sz w:val="18"/>
          <w:szCs w:val="18"/>
          <w:color w:val="auto"/>
        </w:rPr>
        <w:t>” has the meaning set forth in the Plan, subject to the requirements of, and provided that such event satisfies the definition of “disability” within the meaning of, Treasury Regulation Section 1.409A-3(i)(4).</w:t>
      </w:r>
    </w:p>
    <w:p>
      <w:pPr>
        <w:spacing w:after="0" w:line="114" w:lineRule="exact"/>
        <w:rPr>
          <w:rFonts w:ascii="Times New Roman" w:cs="Times New Roman" w:eastAsia="Times New Roman" w:hAnsi="Times New Roman"/>
          <w:sz w:val="18"/>
          <w:szCs w:val="18"/>
          <w:color w:val="auto"/>
        </w:rPr>
      </w:pPr>
    </w:p>
    <w:p>
      <w:pPr>
        <w:ind w:firstLine="1505"/>
        <w:spacing w:after="0" w:line="262" w:lineRule="auto"/>
        <w:tabs>
          <w:tab w:leader="none" w:pos="2036" w:val="left"/>
        </w:tabs>
        <w:numPr>
          <w:ilvl w:val="0"/>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You</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Your</w:t>
      </w:r>
      <w:r>
        <w:rPr>
          <w:rFonts w:ascii="Times New Roman" w:cs="Times New Roman" w:eastAsia="Times New Roman" w:hAnsi="Times New Roman"/>
          <w:sz w:val="18"/>
          <w:szCs w:val="18"/>
          <w:color w:val="auto"/>
        </w:rPr>
        <w:t>” means the recipient of the RSUs as reflected on the applicable Notice. Whenever the word “you” or “your” is used in any provision of this Agreement under circumstances where the provision should logically be construed, as determined by the Administrator, to apply to the estate, personal representative, or beneficiary to whom the RSUs may be transferred by will or by the laws of descent and distribution, the words “you” and “your” shall be deemed to include such person.</w:t>
      </w:r>
    </w:p>
    <w:p>
      <w:pPr>
        <w:spacing w:after="0" w:line="1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End of Agreement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1146175</wp:posOffset>
            </wp:positionV>
            <wp:extent cx="7157720" cy="42545"/>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7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538" w:name="page539"/>
    <w:bookmarkEnd w:id="538"/>
    <w:p>
      <w:pPr>
        <w:jc w:val="right"/>
        <w:spacing w:after="0"/>
        <w:rPr>
          <w:sz w:val="20"/>
          <w:szCs w:val="20"/>
          <w:color w:val="auto"/>
        </w:rPr>
      </w:pPr>
      <w:r>
        <w:rPr>
          <w:rFonts w:ascii="Times New Roman" w:cs="Times New Roman" w:eastAsia="Times New Roman" w:hAnsi="Times New Roman"/>
          <w:sz w:val="18"/>
          <w:szCs w:val="18"/>
          <w:b w:val="1"/>
          <w:bCs w:val="1"/>
          <w:color w:val="auto"/>
        </w:rPr>
        <w:t>Exhibit 10.6</w:t>
      </w:r>
    </w:p>
    <w:p>
      <w:pPr>
        <w:spacing w:after="0" w:line="200" w:lineRule="exact"/>
        <w:rPr>
          <w:sz w:val="20"/>
          <w:szCs w:val="20"/>
          <w:color w:val="auto"/>
        </w:rPr>
      </w:pPr>
    </w:p>
    <w:p>
      <w:pPr>
        <w:spacing w:after="0" w:line="241"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8"/>
          <w:szCs w:val="18"/>
          <w:b w:val="1"/>
          <w:bCs w:val="1"/>
          <w:color w:val="auto"/>
        </w:rPr>
        <w:t>AXSOME THERAPEUTICS, INC.</w:t>
      </w:r>
    </w:p>
    <w:p>
      <w:pPr>
        <w:spacing w:after="0" w:line="185"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b w:val="1"/>
          <w:bCs w:val="1"/>
          <w:color w:val="auto"/>
        </w:rPr>
        <w:t>RESTRICTED STOCK UNITS NOTICE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 THE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AXSOME THERAPEUTICS,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2025 LONG-TERM INCENTIVE PLAN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Name of Grantee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This Notice evidences the award of restricted stock units (each, an “</w:t>
      </w:r>
      <w:r>
        <w:rPr>
          <w:rFonts w:ascii="Times New Roman" w:cs="Times New Roman" w:eastAsia="Times New Roman" w:hAnsi="Times New Roman"/>
          <w:sz w:val="18"/>
          <w:szCs w:val="18"/>
          <w:b w:val="1"/>
          <w:bCs w:val="1"/>
          <w:i w:val="1"/>
          <w:iCs w:val="1"/>
          <w:color w:val="auto"/>
        </w:rPr>
        <w:t>RSU</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b w:val="1"/>
          <w:bCs w:val="1"/>
          <w:i w:val="1"/>
          <w:iCs w:val="1"/>
          <w:color w:val="auto"/>
        </w:rPr>
        <w:t>RSUs</w:t>
      </w:r>
      <w:r>
        <w:rPr>
          <w:rFonts w:ascii="Times New Roman" w:cs="Times New Roman" w:eastAsia="Times New Roman" w:hAnsi="Times New Roman"/>
          <w:sz w:val="18"/>
          <w:szCs w:val="18"/>
          <w:color w:val="auto"/>
        </w:rPr>
        <w:t>”) of Axsome Therapeutics, Inc., a Delaware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that have been granted to you pursuant to the Axsome Therapeutics, Inc. 2025 Long-Term Incentive Plan (the “</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 and conditioned upon your agreement to the terms of the attached Restricted Stock Units Agreement (the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This Notice constitutes part of and is subject to the terms and provisions of the Agreement and the Plan, which are incorporated by reference herein. Each RSU is equivalent in value to one share of the Company’s Common Stock and represents the Company’s commitment to issue one share of the Company’s Common Stock at a future date, subject to the terms of the Agreement and the Plan. The RSUs are credited to a separate account maintained for you on the books and records of the Company (the “</w:t>
      </w:r>
      <w:r>
        <w:rPr>
          <w:rFonts w:ascii="Times New Roman" w:cs="Times New Roman" w:eastAsia="Times New Roman" w:hAnsi="Times New Roman"/>
          <w:sz w:val="18"/>
          <w:szCs w:val="18"/>
          <w:b w:val="1"/>
          <w:bCs w:val="1"/>
          <w:i w:val="1"/>
          <w:iCs w:val="1"/>
          <w:color w:val="auto"/>
        </w:rPr>
        <w:t>Account</w:t>
      </w:r>
      <w:r>
        <w:rPr>
          <w:rFonts w:ascii="Times New Roman" w:cs="Times New Roman" w:eastAsia="Times New Roman" w:hAnsi="Times New Roman"/>
          <w:sz w:val="18"/>
          <w:szCs w:val="18"/>
          <w:color w:val="auto"/>
        </w:rPr>
        <w:t>”). All amounts credited to the Account will continue for all purposes to be part of the general assets of the Company.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Grant Date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Number of RSUs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u w:val="single" w:color="auto"/>
          <w:color w:val="auto"/>
        </w:rPr>
        <w:t>Vesting Schedule</w:t>
      </w:r>
      <w:r>
        <w:rPr>
          <w:rFonts w:ascii="Times New Roman" w:cs="Times New Roman" w:eastAsia="Times New Roman" w:hAnsi="Times New Roman"/>
          <w:sz w:val="18"/>
          <w:szCs w:val="18"/>
          <w:color w:val="auto"/>
        </w:rPr>
        <w:t>: All of the RSUs are nonvested and forfeitable as of the Grant Date. So long as your Service (as defined in the Agreement) is continuous from the Grant Date through the applicable date upon which vesting is scheduled to occur: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120"/>
        <w:spacing w:after="0"/>
        <w:tabs>
          <w:tab w:leader="none" w:pos="5700" w:val="left"/>
        </w:tabs>
        <w:rPr>
          <w:sz w:val="20"/>
          <w:szCs w:val="20"/>
          <w:color w:val="auto"/>
        </w:rPr>
      </w:pPr>
      <w:r>
        <w:rPr>
          <w:rFonts w:ascii="Times New Roman" w:cs="Times New Roman" w:eastAsia="Times New Roman" w:hAnsi="Times New Roman"/>
          <w:sz w:val="18"/>
          <w:szCs w:val="18"/>
          <w:color w:val="auto"/>
        </w:rPr>
        <w:t>Axsome Therapeutics, Inc.</w:t>
      </w:r>
      <w:r>
        <w:rPr>
          <w:sz w:val="20"/>
          <w:szCs w:val="20"/>
          <w:color w:val="auto"/>
        </w:rPr>
        <w:tab/>
      </w:r>
      <w:r>
        <w:rPr>
          <w:rFonts w:ascii="Times New Roman" w:cs="Times New Roman" w:eastAsia="Times New Roman" w:hAnsi="Times New Roman"/>
          <w:sz w:val="18"/>
          <w:szCs w:val="18"/>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 acknowledge that I have carefully read the Agreement and the prospectus for the Plan. I agree to be bound by all of the provisions set forth in those documents. I also consent to electronic delivery of all notices or other information with respect to the RSUs or the Company.</w:t>
      </w:r>
    </w:p>
    <w:p>
      <w:pPr>
        <w:spacing w:after="0" w:line="37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Signature of Grantee</w:t>
      </w:r>
    </w:p>
    <w:p>
      <w:pPr>
        <w:spacing w:after="0" w:line="27" w:lineRule="exact"/>
        <w:rPr>
          <w:sz w:val="20"/>
          <w:szCs w:val="20"/>
          <w:color w:val="auto"/>
        </w:rPr>
      </w:pPr>
    </w:p>
    <w:p>
      <w:pPr>
        <w:jc w:val="center"/>
        <w:ind w:left="5600"/>
        <w:spacing w:after="0"/>
        <w:rPr>
          <w:sz w:val="20"/>
          <w:szCs w:val="20"/>
          <w:color w:val="auto"/>
        </w:rPr>
      </w:pP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1861820</wp:posOffset>
            </wp:positionV>
            <wp:extent cx="7157720" cy="42545"/>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7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3810</wp:posOffset>
            </wp:positionV>
            <wp:extent cx="7134225" cy="706755"/>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793">
                      <a:extLst>
                        <a:ext uri="{28A0092B-C50C-407E-A947-70E740481C1C}"/>
                      </a:extLst>
                    </a:blip>
                    <a:srcRect/>
                    <a:stretch>
                      <a:fillRect/>
                    </a:stretch>
                  </pic:blipFill>
                  <pic:spPr bwMode="auto">
                    <a:xfrm>
                      <a:off x="0" y="0"/>
                      <a:ext cx="7134225" cy="70675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539" w:name="page540"/>
    <w:bookmarkEnd w:id="539"/>
    <w:p>
      <w:pPr>
        <w:ind w:left="4240"/>
        <w:spacing w:after="0"/>
        <w:rPr>
          <w:sz w:val="20"/>
          <w:szCs w:val="20"/>
          <w:color w:val="auto"/>
        </w:rPr>
      </w:pPr>
      <w:r>
        <w:rPr>
          <w:rFonts w:ascii="Times New Roman" w:cs="Times New Roman" w:eastAsia="Times New Roman" w:hAnsi="Times New Roman"/>
          <w:sz w:val="18"/>
          <w:szCs w:val="18"/>
          <w:b w:val="1"/>
          <w:bCs w:val="1"/>
          <w:color w:val="auto"/>
        </w:rPr>
        <w:t>AXSOME THERAPEUTICS, INC.</w:t>
      </w:r>
    </w:p>
    <w:p>
      <w:pPr>
        <w:spacing w:after="0" w:line="185"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b w:val="1"/>
          <w:bCs w:val="1"/>
          <w:color w:val="auto"/>
        </w:rPr>
        <w:t>RESTRICTED STOCK UNITS AGREEMENT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 THE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AXSOME THERAPEUTICS,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2025 LONG-TERM INCENTIVE PLAN</w:t>
      </w:r>
    </w:p>
    <w:p>
      <w:pPr>
        <w:spacing w:after="0" w:line="180" w:lineRule="exact"/>
        <w:rPr>
          <w:sz w:val="20"/>
          <w:szCs w:val="20"/>
          <w:color w:val="auto"/>
        </w:rPr>
      </w:pPr>
    </w:p>
    <w:p>
      <w:pPr>
        <w:ind w:left="-20" w:right="120" w:firstLine="757"/>
        <w:spacing w:after="0" w:line="282" w:lineRule="auto"/>
        <w:tabs>
          <w:tab w:leader="none" w:pos="998" w:val="left"/>
        </w:tabs>
        <w:numPr>
          <w:ilvl w:val="0"/>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Terminology</w:t>
      </w:r>
      <w:r>
        <w:rPr>
          <w:rFonts w:ascii="Times New Roman" w:cs="Times New Roman" w:eastAsia="Times New Roman" w:hAnsi="Times New Roman"/>
          <w:sz w:val="18"/>
          <w:szCs w:val="18"/>
          <w:color w:val="auto"/>
        </w:rPr>
        <w:t>. Unless otherwise provided in this Agreement, capitalized terms used herein or in the Notice are defined in the Glossary at the end of this Agreement, and to the extent not defined therein, have the meaning set forth in the Plan.</w:t>
      </w:r>
    </w:p>
    <w:p>
      <w:pPr>
        <w:spacing w:after="0" w:line="121" w:lineRule="exact"/>
        <w:rPr>
          <w:rFonts w:ascii="Times New Roman" w:cs="Times New Roman" w:eastAsia="Times New Roman" w:hAnsi="Times New Roman"/>
          <w:sz w:val="18"/>
          <w:szCs w:val="18"/>
          <w:color w:val="auto"/>
        </w:rPr>
      </w:pPr>
    </w:p>
    <w:p>
      <w:pPr>
        <w:ind w:left="-20" w:right="340" w:firstLine="757"/>
        <w:spacing w:after="0" w:line="261" w:lineRule="auto"/>
        <w:tabs>
          <w:tab w:leader="none" w:pos="998" w:val="left"/>
        </w:tabs>
        <w:numPr>
          <w:ilvl w:val="0"/>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Vesting</w:t>
      </w:r>
      <w:r>
        <w:rPr>
          <w:rFonts w:ascii="Times New Roman" w:cs="Times New Roman" w:eastAsia="Times New Roman" w:hAnsi="Times New Roman"/>
          <w:sz w:val="18"/>
          <w:szCs w:val="18"/>
          <w:color w:val="auto"/>
        </w:rPr>
        <w:t>. All of the RSUs are nonvested and forfeitable as of the Grant Date. So long as your Service is continuous from the Grant Date through the applicable date upon which vesting is scheduled to occur, the RSUs will become vested and nonforfeitable in accordance with the vesting schedule set forth in the Notice. Except for the circumstances, if any, described in the Notice, none of the RSUs will become vested and nonforfeitable after your Service ceases.</w:t>
      </w:r>
    </w:p>
    <w:p>
      <w:pPr>
        <w:spacing w:after="0" w:line="139" w:lineRule="exact"/>
        <w:rPr>
          <w:rFonts w:ascii="Times New Roman" w:cs="Times New Roman" w:eastAsia="Times New Roman" w:hAnsi="Times New Roman"/>
          <w:sz w:val="18"/>
          <w:szCs w:val="18"/>
          <w:color w:val="auto"/>
        </w:rPr>
      </w:pPr>
    </w:p>
    <w:p>
      <w:pPr>
        <w:ind w:left="-20" w:right="80" w:firstLine="757"/>
        <w:spacing w:after="0" w:line="266" w:lineRule="auto"/>
        <w:tabs>
          <w:tab w:leader="none" w:pos="998" w:val="left"/>
        </w:tabs>
        <w:numPr>
          <w:ilvl w:val="0"/>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of Employment or Service</w:t>
      </w:r>
      <w:r>
        <w:rPr>
          <w:rFonts w:ascii="Times New Roman" w:cs="Times New Roman" w:eastAsia="Times New Roman" w:hAnsi="Times New Roman"/>
          <w:sz w:val="18"/>
          <w:szCs w:val="18"/>
          <w:color w:val="auto"/>
        </w:rPr>
        <w:t>. Unless otherwise provided in the Notice, if your Service with the Company ceases for any reason, all RSUs that are not then vested and nonforfeitable will be forfeited to the Company immediately and automatically upon such cessation without payment of any consideration therefor and you will have no further right, title or interest in or to such RSUs or the underlying shares of Common Stock.</w:t>
      </w:r>
    </w:p>
    <w:p>
      <w:pPr>
        <w:spacing w:after="0" w:line="148" w:lineRule="exact"/>
        <w:rPr>
          <w:rFonts w:ascii="Times New Roman" w:cs="Times New Roman" w:eastAsia="Times New Roman" w:hAnsi="Times New Roman"/>
          <w:sz w:val="18"/>
          <w:szCs w:val="18"/>
          <w:color w:val="auto"/>
        </w:rPr>
      </w:pPr>
    </w:p>
    <w:p>
      <w:pPr>
        <w:ind w:left="-20" w:firstLine="757"/>
        <w:spacing w:after="0" w:line="261" w:lineRule="auto"/>
        <w:tabs>
          <w:tab w:leader="none" w:pos="998" w:val="left"/>
        </w:tabs>
        <w:numPr>
          <w:ilvl w:val="0"/>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Restrictions on Transfer</w:t>
      </w:r>
      <w:r>
        <w:rPr>
          <w:rFonts w:ascii="Times New Roman" w:cs="Times New Roman" w:eastAsia="Times New Roman" w:hAnsi="Times New Roman"/>
          <w:sz w:val="18"/>
          <w:szCs w:val="18"/>
          <w:color w:val="auto"/>
        </w:rPr>
        <w:t>. Neither this Agreement nor any of the RSUs may be assigned, transferred, pledged, hypothecated or disposed of in any way, whether by operation of law or otherwise, and the RSUs shall not be subject to execution, attachment or similar process. All rights with respect to this Agreement and the RSUs shall be exercisable during your lifetime only by you or your guardian or legal representative. Notwithstanding the foregoing, the RSUs may be transferred upon your death by last will and testament or under the laws of descent and distribution.</w:t>
      </w:r>
    </w:p>
    <w:p>
      <w:pPr>
        <w:spacing w:after="0" w:line="139" w:lineRule="exact"/>
        <w:rPr>
          <w:rFonts w:ascii="Times New Roman" w:cs="Times New Roman" w:eastAsia="Times New Roman" w:hAnsi="Times New Roman"/>
          <w:sz w:val="18"/>
          <w:szCs w:val="18"/>
          <w:color w:val="auto"/>
        </w:rPr>
      </w:pPr>
    </w:p>
    <w:p>
      <w:pPr>
        <w:ind w:left="1000" w:hanging="263"/>
        <w:spacing w:after="0"/>
        <w:tabs>
          <w:tab w:leader="none" w:pos="1000" w:val="left"/>
        </w:tabs>
        <w:numPr>
          <w:ilvl w:val="0"/>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Settlement of RSUs</w:t>
      </w:r>
      <w:r>
        <w:rPr>
          <w:rFonts w:ascii="Times New Roman" w:cs="Times New Roman" w:eastAsia="Times New Roman" w:hAnsi="Times New Roman"/>
          <w:sz w:val="18"/>
          <w:szCs w:val="18"/>
          <w:color w:val="auto"/>
        </w:rPr>
        <w:t>.</w:t>
      </w:r>
    </w:p>
    <w:p>
      <w:pPr>
        <w:spacing w:after="0" w:line="184" w:lineRule="exact"/>
        <w:rPr>
          <w:rFonts w:ascii="Times New Roman" w:cs="Times New Roman" w:eastAsia="Times New Roman" w:hAnsi="Times New Roman"/>
          <w:sz w:val="18"/>
          <w:szCs w:val="18"/>
          <w:color w:val="auto"/>
        </w:rPr>
      </w:pPr>
    </w:p>
    <w:p>
      <w:pPr>
        <w:ind w:left="-20" w:right="60" w:firstLine="1505"/>
        <w:spacing w:after="0" w:line="256" w:lineRule="auto"/>
        <w:tabs>
          <w:tab w:leader="none" w:pos="2016" w:val="left"/>
        </w:tabs>
        <w:numPr>
          <w:ilvl w:val="1"/>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Manner of Settlement</w:t>
      </w:r>
      <w:r>
        <w:rPr>
          <w:rFonts w:ascii="Times New Roman" w:cs="Times New Roman" w:eastAsia="Times New Roman" w:hAnsi="Times New Roman"/>
          <w:sz w:val="18"/>
          <w:szCs w:val="18"/>
          <w:color w:val="auto"/>
        </w:rPr>
        <w:t>. You are not required to make any monetary payment (other than applicable tax withholding, if required) as a condition to settlement of the RSUs. The Company will issue to you, in settlement of your RSUs and subject to the provisions of Section 6 below, the number of whole shares of Common Stock that equals the number of whole RSUs that become vested, and such vested RSUs will terminate and cease to be outstanding upon such issuance of the shares. Upon issuance of such shares, the Company will determine the form of delivery (e.g., a stock certificate or electronic entry evidencing such shares) and may deliver such shares on your behalf electronically to the Company’s designated stock plan administrator or such other broker-dealer as the Company may choose at its sole discretion, within reason.</w:t>
      </w:r>
    </w:p>
    <w:p>
      <w:pPr>
        <w:spacing w:after="0" w:line="160" w:lineRule="exact"/>
        <w:rPr>
          <w:rFonts w:ascii="Times New Roman" w:cs="Times New Roman" w:eastAsia="Times New Roman" w:hAnsi="Times New Roman"/>
          <w:sz w:val="18"/>
          <w:szCs w:val="18"/>
          <w:color w:val="auto"/>
        </w:rPr>
      </w:pPr>
    </w:p>
    <w:p>
      <w:pPr>
        <w:ind w:left="-20" w:right="20" w:firstLine="1505"/>
        <w:spacing w:after="0" w:line="253" w:lineRule="auto"/>
        <w:tabs>
          <w:tab w:leader="none" w:pos="2016" w:val="left"/>
        </w:tabs>
        <w:numPr>
          <w:ilvl w:val="1"/>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Timing of Settlement</w:t>
      </w:r>
      <w:r>
        <w:rPr>
          <w:rFonts w:ascii="Times New Roman" w:cs="Times New Roman" w:eastAsia="Times New Roman" w:hAnsi="Times New Roman"/>
          <w:sz w:val="18"/>
          <w:szCs w:val="18"/>
          <w:color w:val="auto"/>
        </w:rPr>
        <w:t>. Your RSUs will be settled by the Company, via the issuance of Common Stock as described herein, on the date that the RSUs become vested and nonforfeitable. However, if a scheduled issuance date falls on a Saturday, Sunday or federal holiday, such issuance date shall instead fall on the next following day that the principal executive offices of the Company are open for business. Notwithstanding the foregoing, in the event that (i) you are subject to the Company’s policy permitting officers and directors to sell shares only during certain “window” periods, in effect from time to time or you are otherwise prohibited from selling shares of the Company’s Common Stock in the public market and any shares covered by your RSUs are scheduled to be issued on a day (the “</w:t>
      </w:r>
      <w:r>
        <w:rPr>
          <w:rFonts w:ascii="Times New Roman" w:cs="Times New Roman" w:eastAsia="Times New Roman" w:hAnsi="Times New Roman"/>
          <w:sz w:val="18"/>
          <w:szCs w:val="18"/>
          <w:b w:val="1"/>
          <w:bCs w:val="1"/>
          <w:i w:val="1"/>
          <w:iCs w:val="1"/>
          <w:color w:val="auto"/>
        </w:rPr>
        <w:t>Original Distribution Date</w:t>
      </w:r>
      <w:r>
        <w:rPr>
          <w:rFonts w:ascii="Times New Roman" w:cs="Times New Roman" w:eastAsia="Times New Roman" w:hAnsi="Times New Roman"/>
          <w:sz w:val="18"/>
          <w:szCs w:val="18"/>
          <w:color w:val="auto"/>
        </w:rPr>
        <w:t>”) that does not occur during an open “window period” applicable to you, as determined by the Company in accordance with such policy, or does not occur on a date when you are otherwise permitted to sell shares of the Company’s Common Stock in the open market, and (ii) the Company elects not to satisfy its tax withholding obligations by withholding shares from your distribution, then such shares shall not be issued and delivered on such Original Distribution Date and shall instead be issued and delivered on the first business day of the next occurring open “window period” applicable to you pursuant to such policy (regardless of whether you are still providing continuous services at such time) or the next business day when you are not prohibited from selling shares of the Company’s Common Stock in the open market, but in no event later than the fifteenth day of the third calendar month of the calendar year following the calendar year in which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984885</wp:posOffset>
            </wp:positionV>
            <wp:extent cx="7157720" cy="42545"/>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7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413" w:right="339" w:bottom="1440" w:gutter="0" w:footer="0" w:header="0"/>
        </w:sectPr>
      </w:pPr>
    </w:p>
    <w:bookmarkStart w:id="540" w:name="page541"/>
    <w:bookmarkEnd w:id="540"/>
    <w:p>
      <w:pPr>
        <w:ind w:right="160"/>
        <w:spacing w:after="0" w:line="282" w:lineRule="auto"/>
        <w:rPr>
          <w:sz w:val="20"/>
          <w:szCs w:val="20"/>
          <w:color w:val="auto"/>
        </w:rPr>
      </w:pPr>
      <w:r>
        <w:rPr>
          <w:rFonts w:ascii="Times New Roman" w:cs="Times New Roman" w:eastAsia="Times New Roman" w:hAnsi="Times New Roman"/>
          <w:sz w:val="18"/>
          <w:szCs w:val="18"/>
          <w:color w:val="auto"/>
        </w:rPr>
        <w:t>Original Distribution Date occurs. In all cases, the issuance and delivery of shares under this Agreement is intended to comply with Treasury Regulation 1.409A-1(b)(4) and shall be construed and administered in such a manner.</w:t>
      </w:r>
    </w:p>
    <w:p>
      <w:pPr>
        <w:spacing w:after="0" w:line="121" w:lineRule="exact"/>
        <w:rPr>
          <w:sz w:val="20"/>
          <w:szCs w:val="20"/>
          <w:color w:val="auto"/>
        </w:rPr>
      </w:pPr>
    </w:p>
    <w:p>
      <w:pPr>
        <w:ind w:right="80" w:firstLine="757"/>
        <w:spacing w:after="0" w:line="252" w:lineRule="auto"/>
        <w:tabs>
          <w:tab w:leader="none" w:pos="1018" w:val="left"/>
        </w:tabs>
        <w:numPr>
          <w:ilvl w:val="0"/>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Withholding</w:t>
      </w:r>
      <w:r>
        <w:rPr>
          <w:rFonts w:ascii="Times New Roman" w:cs="Times New Roman" w:eastAsia="Times New Roman" w:hAnsi="Times New Roman"/>
          <w:sz w:val="18"/>
          <w:szCs w:val="18"/>
          <w:color w:val="auto"/>
        </w:rPr>
        <w:t>. On or before the time you receive a distribution of the shares subject to your RSUs, or at any time thereafter as requested by the Company, you hereby authorize any required withholding from the Common Stock issuable to you and/or otherwise agree to make adequate provision in cash for any sums required to satisfy the federal, state, local and foreign tax withholding obligations of the Company or any Affiliate which arise in connection with your RSUs (the “</w:t>
      </w:r>
      <w:r>
        <w:rPr>
          <w:rFonts w:ascii="Times New Roman" w:cs="Times New Roman" w:eastAsia="Times New Roman" w:hAnsi="Times New Roman"/>
          <w:sz w:val="18"/>
          <w:szCs w:val="18"/>
          <w:b w:val="1"/>
          <w:bCs w:val="1"/>
          <w:i w:val="1"/>
          <w:iCs w:val="1"/>
          <w:color w:val="auto"/>
        </w:rPr>
        <w:t>Withholding Taxes</w:t>
      </w:r>
      <w:r>
        <w:rPr>
          <w:rFonts w:ascii="Times New Roman" w:cs="Times New Roman" w:eastAsia="Times New Roman" w:hAnsi="Times New Roman"/>
          <w:sz w:val="18"/>
          <w:szCs w:val="18"/>
          <w:color w:val="auto"/>
        </w:rPr>
        <w:t>”). Additionally, the Company may, in its sole discretion, satisfy all or any portion of the Withholding Taxes obligation relating to your RSUs by any of the following means or by a combination of such means: (i) withholding from any compensation otherwise payable to you by the Company; (ii) causing you to tender a cash payment; (iii) permitting you to enter into a “same day sale” commitment with a broker-dealer that is a member of the Financial Industry Regulatory Authority (a “</w:t>
      </w:r>
      <w:r>
        <w:rPr>
          <w:rFonts w:ascii="Times New Roman" w:cs="Times New Roman" w:eastAsia="Times New Roman" w:hAnsi="Times New Roman"/>
          <w:sz w:val="18"/>
          <w:szCs w:val="18"/>
          <w:b w:val="1"/>
          <w:bCs w:val="1"/>
          <w:i w:val="1"/>
          <w:iCs w:val="1"/>
          <w:color w:val="auto"/>
        </w:rPr>
        <w:t>FINRA Dealer</w:t>
      </w:r>
      <w:r>
        <w:rPr>
          <w:rFonts w:ascii="Times New Roman" w:cs="Times New Roman" w:eastAsia="Times New Roman" w:hAnsi="Times New Roman"/>
          <w:sz w:val="18"/>
          <w:szCs w:val="18"/>
          <w:color w:val="auto"/>
        </w:rPr>
        <w:t>”) whereby you irrevocably elect to sell a portion of the shares to be delivered under the Agreement to satisfy the Withholding Taxes and whereby the FINRA Dealer irrevocably commits to forward the proceeds necessary to satisfy the Withholding Taxes directly to the Company; or (iv) withholding shares of Common Stock from the shares of Common Stock issued or otherwise issuable to you in connection with the RSUs with a Fair Market Value (measured as of the date shares of Common Stock are issued to you pursuant to Section 5) equal to the amount of such Withholding Taxes; provided, however, that the number of such shares of Common Stock so withheld shall not exceed the amount necessary to satisfy the Company’s required tax withholding obligations using the minimum statutory withholding rates for federal, state, local and foreign tax purposes, including payroll taxes, that are applicable to supplemental taxable income. Unless the tax withholding obligations of the Company and/or any Affiliate are satisfied, the Company shall have no obligation to deliver to you any Common Stock. In the event the Company’s obligation to withhold arises prior to the delivery to you of Common Stock or it is determined after the delivery of Common Stock to you that the amount of the Company’s withholding obligation was greater than the amount withheld by the Company, you agree to indemnify and hold the Company harmless from any failure by the Company to withhold the proper amount.</w:t>
      </w:r>
    </w:p>
    <w:p>
      <w:pPr>
        <w:spacing w:after="0" w:line="166" w:lineRule="exact"/>
        <w:rPr>
          <w:rFonts w:ascii="Times New Roman" w:cs="Times New Roman" w:eastAsia="Times New Roman" w:hAnsi="Times New Roman"/>
          <w:sz w:val="18"/>
          <w:szCs w:val="18"/>
          <w:color w:val="auto"/>
        </w:rPr>
      </w:pPr>
    </w:p>
    <w:p>
      <w:pPr>
        <w:ind w:left="1020" w:hanging="263"/>
        <w:spacing w:after="0"/>
        <w:tabs>
          <w:tab w:leader="none" w:pos="1020" w:val="left"/>
        </w:tabs>
        <w:numPr>
          <w:ilvl w:val="0"/>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Adjustments for Corporate Transactions and Other Events</w:t>
      </w:r>
      <w:r>
        <w:rPr>
          <w:rFonts w:ascii="Times New Roman" w:cs="Times New Roman" w:eastAsia="Times New Roman" w:hAnsi="Times New Roman"/>
          <w:sz w:val="18"/>
          <w:szCs w:val="18"/>
          <w:color w:val="auto"/>
        </w:rPr>
        <w:t>.</w:t>
      </w:r>
    </w:p>
    <w:p>
      <w:pPr>
        <w:spacing w:after="0" w:line="184" w:lineRule="exact"/>
        <w:rPr>
          <w:rFonts w:ascii="Times New Roman" w:cs="Times New Roman" w:eastAsia="Times New Roman" w:hAnsi="Times New Roman"/>
          <w:sz w:val="18"/>
          <w:szCs w:val="18"/>
          <w:color w:val="auto"/>
        </w:rPr>
      </w:pPr>
    </w:p>
    <w:p>
      <w:pPr>
        <w:ind w:right="140" w:firstLine="1505"/>
        <w:spacing w:after="0" w:line="261" w:lineRule="auto"/>
        <w:tabs>
          <w:tab w:leader="none" w:pos="2036" w:val="left"/>
        </w:tabs>
        <w:numPr>
          <w:ilvl w:val="1"/>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Dividend, Stock Split and Reverse Stock Split</w:t>
      </w:r>
      <w:r>
        <w:rPr>
          <w:rFonts w:ascii="Times New Roman" w:cs="Times New Roman" w:eastAsia="Times New Roman" w:hAnsi="Times New Roman"/>
          <w:sz w:val="18"/>
          <w:szCs w:val="18"/>
          <w:color w:val="auto"/>
        </w:rPr>
        <w:t>. Upon a stock dividend of, or stock split or reverse stock split affecting, the Common Stock, the number of outstanding RSUs shall, without further action of the Administrator, be adjusted to reflect such event; provided, however, that any fractional RSUs resulting from any such adjustment shall be eliminated. Adjustments under this paragraph will be made by the Administrator, whose determination as to what adjustments, if any, will be made and the extent thereof will be final, binding and conclusive.</w:t>
      </w:r>
    </w:p>
    <w:p>
      <w:pPr>
        <w:spacing w:after="0" w:line="139" w:lineRule="exact"/>
        <w:rPr>
          <w:rFonts w:ascii="Times New Roman" w:cs="Times New Roman" w:eastAsia="Times New Roman" w:hAnsi="Times New Roman"/>
          <w:sz w:val="18"/>
          <w:szCs w:val="18"/>
          <w:color w:val="auto"/>
        </w:rPr>
      </w:pPr>
    </w:p>
    <w:p>
      <w:pPr>
        <w:ind w:firstLine="1505"/>
        <w:spacing w:after="0" w:line="255" w:lineRule="auto"/>
        <w:tabs>
          <w:tab w:leader="none" w:pos="2036" w:val="left"/>
        </w:tabs>
        <w:numPr>
          <w:ilvl w:val="1"/>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Merger, Consolidation and Other Events</w:t>
      </w:r>
      <w:r>
        <w:rPr>
          <w:rFonts w:ascii="Times New Roman" w:cs="Times New Roman" w:eastAsia="Times New Roman" w:hAnsi="Times New Roman"/>
          <w:sz w:val="18"/>
          <w:szCs w:val="18"/>
          <w:color w:val="auto"/>
        </w:rPr>
        <w:t>. If the Company shall be the surviving or resulting corporation in any merger or consolidation and the Common Stock shall be converted into other securities, the RSUs shall pertain to and apply to the securities to which a holder of the number of shares of Common Stock subject to the RSUs would have been entitled. If the stockholders of the Company receive by reason of any distribution in total or partial liquidation or pursuant to any merger of the Company or acquisition of its assets, securities of another entity or other property (including cash), then the rights of the Company under this Agreement shall inure to the benefit of the Company’s successor, and this Agreement shall apply to the securities or other property (including cash) to which a holder of the number of shares of Common Stock subject to the RSUs would have been entitled, in the same manner and to the same extent as the RSUs.</w:t>
      </w:r>
    </w:p>
    <w:p>
      <w:pPr>
        <w:spacing w:after="0" w:line="161" w:lineRule="exact"/>
        <w:rPr>
          <w:rFonts w:ascii="Times New Roman" w:cs="Times New Roman" w:eastAsia="Times New Roman" w:hAnsi="Times New Roman"/>
          <w:sz w:val="18"/>
          <w:szCs w:val="18"/>
          <w:color w:val="auto"/>
        </w:rPr>
      </w:pPr>
    </w:p>
    <w:p>
      <w:pPr>
        <w:ind w:right="20" w:firstLine="757"/>
        <w:spacing w:after="0" w:line="258" w:lineRule="auto"/>
        <w:tabs>
          <w:tab w:leader="none" w:pos="1018" w:val="left"/>
        </w:tabs>
        <w:numPr>
          <w:ilvl w:val="0"/>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Non-Guarantee of Employment or Service Relationship</w:t>
      </w:r>
      <w:r>
        <w:rPr>
          <w:rFonts w:ascii="Times New Roman" w:cs="Times New Roman" w:eastAsia="Times New Roman" w:hAnsi="Times New Roman"/>
          <w:sz w:val="18"/>
          <w:szCs w:val="18"/>
          <w:color w:val="auto"/>
        </w:rPr>
        <w:t>. Nothing in the Plan or this Agreement shall alter your at-will or other employment status or other service relationship with the Company, nor be construed as a contract of employment or service relationship between the Company and you, or as a contractual right of you to continue in the employ of, or in a service relationship with, the Company for any period of time, or as a limitation of the right of the Company to discharge you at any time with or without cause or notice and whether or not such discharge results in the forfeiture of any nonvested and forfeitable RSUs or any other adverse effect on your interests under the Plan.</w:t>
      </w:r>
    </w:p>
    <w:p>
      <w:pPr>
        <w:spacing w:after="0" w:line="142" w:lineRule="exact"/>
        <w:rPr>
          <w:rFonts w:ascii="Times New Roman" w:cs="Times New Roman" w:eastAsia="Times New Roman" w:hAnsi="Times New Roman"/>
          <w:sz w:val="18"/>
          <w:szCs w:val="18"/>
          <w:color w:val="auto"/>
        </w:rPr>
      </w:pPr>
    </w:p>
    <w:p>
      <w:pPr>
        <w:ind w:right="40" w:firstLine="757"/>
        <w:spacing w:after="0" w:line="282" w:lineRule="auto"/>
        <w:tabs>
          <w:tab w:leader="none" w:pos="1018" w:val="left"/>
        </w:tabs>
        <w:numPr>
          <w:ilvl w:val="0"/>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Rights as Stockholder</w:t>
      </w:r>
      <w:r>
        <w:rPr>
          <w:rFonts w:ascii="Times New Roman" w:cs="Times New Roman" w:eastAsia="Times New Roman" w:hAnsi="Times New Roman"/>
          <w:sz w:val="18"/>
          <w:szCs w:val="18"/>
          <w:color w:val="auto"/>
        </w:rPr>
        <w:t>. You shall not have any of the rights of a stockholder with respect to any shares of Common Stock that may be issued in settlement of the RSUs until such shares of Common Stock have been issued to you.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967105</wp:posOffset>
            </wp:positionV>
            <wp:extent cx="7157720" cy="42545"/>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7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7" w:right="379" w:bottom="1440" w:gutter="0" w:footer="0" w:header="0"/>
        </w:sectPr>
      </w:pPr>
    </w:p>
    <w:bookmarkStart w:id="541" w:name="page542"/>
    <w:bookmarkEnd w:id="541"/>
    <w:p>
      <w:pPr>
        <w:ind w:left="-757" w:right="20" w:firstLine="757"/>
        <w:spacing w:after="0" w:line="258" w:lineRule="auto"/>
        <w:tabs>
          <w:tab w:leader="none" w:pos="261" w:val="left"/>
        </w:tabs>
        <w:numPr>
          <w:ilvl w:val="0"/>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The Company’s Rights</w:t>
      </w:r>
      <w:r>
        <w:rPr>
          <w:rFonts w:ascii="Times New Roman" w:cs="Times New Roman" w:eastAsia="Times New Roman" w:hAnsi="Times New Roman"/>
          <w:sz w:val="18"/>
          <w:szCs w:val="18"/>
          <w:color w:val="auto"/>
        </w:rPr>
        <w:t>. The existence of the RSUs shall not affect in any way the right or power of the Company or its stockholders to make or authorize any or all adjustments, recapitalizations, reorganizations, or other changes in the Company’s capital structure or its business, or any merger or consolidation of the Company, or any issue of bonds, debentures, preferred or other stocks with preference ahead of or convertible into, or otherwise affecting the Common Stock or the rights thereof, or the dissolution or liquidation of the Company, or any sale or transfer of all or any part of the Company’s assets or business, or any other corporate act or proceeding, whether of a similar character or otherwise.</w:t>
      </w:r>
    </w:p>
    <w:p>
      <w:pPr>
        <w:spacing w:after="0" w:line="142" w:lineRule="exact"/>
        <w:rPr>
          <w:rFonts w:ascii="Times New Roman" w:cs="Times New Roman" w:eastAsia="Times New Roman" w:hAnsi="Times New Roman"/>
          <w:sz w:val="18"/>
          <w:szCs w:val="18"/>
          <w:color w:val="auto"/>
        </w:rPr>
      </w:pPr>
    </w:p>
    <w:p>
      <w:pPr>
        <w:ind w:left="-757" w:right="20" w:firstLine="757"/>
        <w:spacing w:after="0" w:line="254" w:lineRule="auto"/>
        <w:tabs>
          <w:tab w:leader="none" w:pos="261" w:val="left"/>
        </w:tabs>
        <w:numPr>
          <w:ilvl w:val="0"/>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Restrictions on Issuance of Shares</w:t>
      </w:r>
      <w:r>
        <w:rPr>
          <w:rFonts w:ascii="Times New Roman" w:cs="Times New Roman" w:eastAsia="Times New Roman" w:hAnsi="Times New Roman"/>
          <w:sz w:val="18"/>
          <w:szCs w:val="18"/>
          <w:color w:val="auto"/>
        </w:rPr>
        <w:t>. The issuance of shares of Common Stock upon settlement of the RSUs shall be subject to and in compliance with all applicable requirements of federal, state, or foreign law with respect to such securities. No shares of Common Stock may be issued hereunder if the issuance of such shares would constitute a violation of any applicable federal, state, or foreign securities laws or other law or regulations or the requirements of any stock exchange or market system upon which the Common Stock may then be listed. The inability of the Company to obtain from any regulatory body having jurisdiction the authority, if any, deemed by the Company’s legal counsel to be necessary to the lawful issuance of any shares subject to the RSUs shall relieve the Company of any liability in respect of the failure to issue such shares as to which such requisite authority shall not have been obtained. As a condition to the settlement of the RSUs, the Company may require you to satisfy any qualifications that may be necessary or appropriate, to evidence compliance with any applicable law or regulation, and to make any representation or warranty with respect thereto as may be requested by the Company.</w:t>
      </w:r>
    </w:p>
    <w:p>
      <w:pPr>
        <w:spacing w:after="0" w:line="161" w:lineRule="exact"/>
        <w:rPr>
          <w:rFonts w:ascii="Times New Roman" w:cs="Times New Roman" w:eastAsia="Times New Roman" w:hAnsi="Times New Roman"/>
          <w:sz w:val="18"/>
          <w:szCs w:val="18"/>
          <w:color w:val="auto"/>
        </w:rPr>
      </w:pPr>
    </w:p>
    <w:p>
      <w:pPr>
        <w:ind w:left="-757" w:firstLine="757"/>
        <w:spacing w:after="0" w:line="254" w:lineRule="auto"/>
        <w:tabs>
          <w:tab w:leader="none" w:pos="261" w:val="left"/>
        </w:tabs>
        <w:numPr>
          <w:ilvl w:val="0"/>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notices and other communications made or given pursuant to this Agreement shall be given in writing and shall be deemed effectively given upon receipt or, in the case of notices delivered by the Company to you, five (5) days after deposit in the United States mail, postage prepaid, addressed to you at the last address you provided to the Company, or in the case of notices delivered to the Company by you, addressed to the Administrator, care of the Company for the attention of its Secretary at its principal executive office or, in either case, if the receiving party consents in advance, transmitted and received via telecopy or via such other electronic transmission mechanism as may be available to the parties. Notwithstanding the foregoing, the Company may, in its sole discretion, decide to deliver any documents related to participation in the Plan and this award of RSUs by electronic means or to request your consent to participate in the Plan or accept this award of RSUs by electronic means. You hereby consent to receive such documents by electronic delivery and, if requested, to agree to participate in the Plan through an on-line or electronic system established and maintained by the Company or another third party designated by the Company.</w:t>
      </w:r>
    </w:p>
    <w:p>
      <w:pPr>
        <w:spacing w:after="0" w:line="147" w:lineRule="exact"/>
        <w:rPr>
          <w:rFonts w:ascii="Times New Roman" w:cs="Times New Roman" w:eastAsia="Times New Roman" w:hAnsi="Times New Roman"/>
          <w:sz w:val="18"/>
          <w:szCs w:val="18"/>
          <w:color w:val="auto"/>
        </w:rPr>
      </w:pPr>
    </w:p>
    <w:p>
      <w:pPr>
        <w:ind w:left="-757" w:right="180" w:firstLine="757"/>
        <w:spacing w:after="0" w:line="266" w:lineRule="auto"/>
        <w:tabs>
          <w:tab w:leader="none" w:pos="261" w:val="left"/>
        </w:tabs>
        <w:numPr>
          <w:ilvl w:val="0"/>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Agreement, together with the relevant Notice and the Plan, contain the entire agreement between the parties with respect to the RSUs granted hereunder. Any oral or written agreements, representations, warranties, written inducements, or other communications made prior to the execution of this Agreement with respect to the RSUs granted hereunder shall be void and ineffective for all purposes.</w:t>
      </w:r>
    </w:p>
    <w:p>
      <w:pPr>
        <w:spacing w:after="0" w:line="135" w:lineRule="exact"/>
        <w:rPr>
          <w:rFonts w:ascii="Times New Roman" w:cs="Times New Roman" w:eastAsia="Times New Roman" w:hAnsi="Times New Roman"/>
          <w:sz w:val="18"/>
          <w:szCs w:val="18"/>
          <w:color w:val="auto"/>
        </w:rPr>
      </w:pPr>
    </w:p>
    <w:p>
      <w:pPr>
        <w:ind w:left="-757" w:right="80" w:firstLine="757"/>
        <w:spacing w:after="0" w:line="266" w:lineRule="auto"/>
        <w:tabs>
          <w:tab w:leader="none" w:pos="261" w:val="left"/>
        </w:tabs>
        <w:numPr>
          <w:ilvl w:val="0"/>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xml:space="preserve">. This Agreement may be amended from time to time by the Administrator in its discretion;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this Agreement may not be modified in a manner that would have a materially adverse effect on the RSUs as determined in the discretion of the Administrator, except as provided in the Plan or in a written document signed by each of the parties hereto.</w:t>
      </w:r>
    </w:p>
    <w:p>
      <w:pPr>
        <w:spacing w:after="0" w:line="148" w:lineRule="exact"/>
        <w:rPr>
          <w:rFonts w:ascii="Times New Roman" w:cs="Times New Roman" w:eastAsia="Times New Roman" w:hAnsi="Times New Roman"/>
          <w:sz w:val="18"/>
          <w:szCs w:val="18"/>
          <w:color w:val="auto"/>
        </w:rPr>
      </w:pPr>
    </w:p>
    <w:p>
      <w:pPr>
        <w:ind w:left="-757" w:right="40" w:firstLine="757"/>
        <w:spacing w:after="0" w:line="253" w:lineRule="auto"/>
        <w:tabs>
          <w:tab w:leader="none" w:pos="261" w:val="left"/>
        </w:tabs>
        <w:numPr>
          <w:ilvl w:val="0"/>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Recoupment Policy</w:t>
      </w:r>
      <w:r>
        <w:rPr>
          <w:rFonts w:ascii="Times New Roman" w:cs="Times New Roman" w:eastAsia="Times New Roman" w:hAnsi="Times New Roman"/>
          <w:sz w:val="18"/>
          <w:szCs w:val="18"/>
          <w:color w:val="auto"/>
        </w:rPr>
        <w:t>. You agree that, subject to the requirements of applicable law, if you breach any restrictive covenant agreement between you and the Company or any of its Affiliates or you otherwise engage in activities that constitute Cause either while employed by, or providing service to, the Company or any of its Affiliates or within two years thereafter, the RSUs shall terminate, and the Company may rescind any delivery of shares upon vesting or settlement, as applicable on such terms as the Board or Compensation Committee shall determine, including the right to require that in the event of any such rescission, (a) you shall return to the Company the shares received upon settlement of any RSUs or, (b) if you no longer owns the shares, you shall pay to the Company the amount of any gain realized or payment received as a result of any sale or other disposition of the shares (or, in the event you transfer the shares by gift or otherwise without consideration, the Fair Market Value of the shares on the date of the breach of any restrictive covenant agreement or activity constituting Cause). You agree that payment shall be made in such manner and on such terms and conditions as may be required by the Board or Compensation Committee and you shall be entitled to set off against the amount of any such payment any amounts otherwise owed to you by the Company. In addition, you agree that the RSUs shall be subject to any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988060</wp:posOffset>
            </wp:positionV>
            <wp:extent cx="7157720" cy="42545"/>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7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1417" w:right="339" w:bottom="1440" w:gutter="0" w:footer="0" w:header="0"/>
        </w:sectPr>
      </w:pPr>
    </w:p>
    <w:bookmarkStart w:id="542" w:name="page543"/>
    <w:bookmarkEnd w:id="542"/>
    <w:p>
      <w:pPr>
        <w:spacing w:after="0"/>
        <w:rPr>
          <w:sz w:val="20"/>
          <w:szCs w:val="20"/>
          <w:color w:val="auto"/>
        </w:rPr>
      </w:pPr>
      <w:r>
        <w:rPr>
          <w:rFonts w:ascii="Times New Roman" w:cs="Times New Roman" w:eastAsia="Times New Roman" w:hAnsi="Times New Roman"/>
          <w:sz w:val="18"/>
          <w:szCs w:val="18"/>
          <w:color w:val="auto"/>
        </w:rPr>
        <w:t>clawback or recoupment policies, share trading policies and other policies that may be implemented by the Board from time to time.</w:t>
      </w:r>
    </w:p>
    <w:p>
      <w:pPr>
        <w:spacing w:after="0" w:line="185" w:lineRule="exact"/>
        <w:rPr>
          <w:sz w:val="20"/>
          <w:szCs w:val="20"/>
          <w:color w:val="auto"/>
        </w:rPr>
      </w:pPr>
    </w:p>
    <w:p>
      <w:pPr>
        <w:ind w:right="80" w:firstLine="757"/>
        <w:spacing w:after="0" w:line="253" w:lineRule="auto"/>
        <w:tabs>
          <w:tab w:leader="none" w:pos="1018" w:val="left"/>
        </w:tabs>
        <w:numPr>
          <w:ilvl w:val="0"/>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409A</w:t>
      </w:r>
      <w:r>
        <w:rPr>
          <w:rFonts w:ascii="Times New Roman" w:cs="Times New Roman" w:eastAsia="Times New Roman" w:hAnsi="Times New Roman"/>
          <w:sz w:val="18"/>
          <w:szCs w:val="18"/>
          <w:color w:val="auto"/>
        </w:rPr>
        <w:t>. This Agreement and the RSUs granted hereunder are intended to fit within the “short-term deferral” exemption from Section 409A of the Code as set forth in Treasury Regulation Section 1.409A-1(b)(4) or comply with Section 409A of the Code. In administering this Agreement, the Company shall interpret this Agreement in a manner consistent with such exemption or with Section 409A to the extent applicable. Notwithstanding the foregoing, if it is determined that the RSUs fail to satisfy the requirements of the short-term deferral rule and are otherwise deferred compensation subject to Section 409A, and if you are a “Specified Employee” (within the meaning set forth Section 409A(a)(2)(B)(i) of the Code) as of the date of your separation from service (within the meaning of Treasury Regulation Section 1.409A-1(h)), then the issuance of any shares that would otherwise be made upon the date of the separation from service or within the first six (6) months thereafter will not be made on the originally scheduled date(s) and will instead be issued in a lump sum on the date that is six (6) months and one day after the date of the separation from service, but if and only if such delay in the issuance of the shares is necessary to avoid the imposition of additional taxation on you in respect of the shares under Section 409A of the Code. Each installment of shares that vests and is settled is intended to constitute a “separate payment” for purposes of Section 409A of the Code and Treasury Regulation Section 1.409A-2(b)(2).</w:t>
      </w:r>
    </w:p>
    <w:p>
      <w:pPr>
        <w:spacing w:after="0" w:line="164" w:lineRule="exact"/>
        <w:rPr>
          <w:rFonts w:ascii="Times New Roman" w:cs="Times New Roman" w:eastAsia="Times New Roman" w:hAnsi="Times New Roman"/>
          <w:sz w:val="18"/>
          <w:szCs w:val="18"/>
          <w:color w:val="auto"/>
        </w:rPr>
      </w:pPr>
    </w:p>
    <w:p>
      <w:pPr>
        <w:jc w:val="both"/>
        <w:ind w:right="140" w:firstLine="757"/>
        <w:spacing w:after="0" w:line="261" w:lineRule="auto"/>
        <w:tabs>
          <w:tab w:leader="none" w:pos="1018" w:val="left"/>
        </w:tabs>
        <w:numPr>
          <w:ilvl w:val="0"/>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Obligation to Minimize Taxes</w:t>
      </w:r>
      <w:r>
        <w:rPr>
          <w:rFonts w:ascii="Times New Roman" w:cs="Times New Roman" w:eastAsia="Times New Roman" w:hAnsi="Times New Roman"/>
          <w:sz w:val="18"/>
          <w:szCs w:val="18"/>
          <w:color w:val="auto"/>
        </w:rPr>
        <w:t>. The Company has no duty or obligation to minimize the tax consequences to you of this award of RSUs and shall not be liable to you for any adverse tax consequences to you arising in connection with this award. You are hereby advised to consult with your own personal tax, financial and/or legal advisors regarding the tax consequences of this award and by signing the Notice, you have agreed that you have done so or knowingly and voluntarily declined to do so.</w:t>
      </w:r>
    </w:p>
    <w:p>
      <w:pPr>
        <w:spacing w:after="0" w:line="139" w:lineRule="exact"/>
        <w:rPr>
          <w:rFonts w:ascii="Times New Roman" w:cs="Times New Roman" w:eastAsia="Times New Roman" w:hAnsi="Times New Roman"/>
          <w:sz w:val="18"/>
          <w:szCs w:val="18"/>
          <w:color w:val="auto"/>
        </w:rPr>
      </w:pPr>
    </w:p>
    <w:p>
      <w:pPr>
        <w:ind w:right="260" w:firstLine="757"/>
        <w:spacing w:after="0" w:line="266" w:lineRule="auto"/>
        <w:tabs>
          <w:tab w:leader="none" w:pos="1018" w:val="left"/>
        </w:tabs>
        <w:numPr>
          <w:ilvl w:val="0"/>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Conformity with Plan</w:t>
      </w:r>
      <w:r>
        <w:rPr>
          <w:rFonts w:ascii="Times New Roman" w:cs="Times New Roman" w:eastAsia="Times New Roman" w:hAnsi="Times New Roman"/>
          <w:sz w:val="18"/>
          <w:szCs w:val="18"/>
          <w:color w:val="auto"/>
        </w:rPr>
        <w:t>. This Agreement is intended to conform in all respects with, and is subject to all applicable provisions of, the Plan. Inconsistencies between this Agreement and the Plan shall be resolved in accordance with the terms of the Plan. In the event of any ambiguity in this Agreement or any matters as to which this Agreement is silent, the Plan shall govern. A copy of the Plan is available upon request to the Administrator.</w:t>
      </w:r>
    </w:p>
    <w:p>
      <w:pPr>
        <w:spacing w:after="0" w:line="135" w:lineRule="exact"/>
        <w:rPr>
          <w:rFonts w:ascii="Times New Roman" w:cs="Times New Roman" w:eastAsia="Times New Roman" w:hAnsi="Times New Roman"/>
          <w:sz w:val="18"/>
          <w:szCs w:val="18"/>
          <w:color w:val="auto"/>
        </w:rPr>
      </w:pPr>
    </w:p>
    <w:p>
      <w:pPr>
        <w:ind w:right="440" w:firstLine="757"/>
        <w:spacing w:after="0" w:line="282" w:lineRule="auto"/>
        <w:tabs>
          <w:tab w:leader="none" w:pos="1018" w:val="left"/>
        </w:tabs>
        <w:numPr>
          <w:ilvl w:val="0"/>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Funding</w:t>
      </w:r>
      <w:r>
        <w:rPr>
          <w:rFonts w:ascii="Times New Roman" w:cs="Times New Roman" w:eastAsia="Times New Roman" w:hAnsi="Times New Roman"/>
          <w:sz w:val="18"/>
          <w:szCs w:val="18"/>
          <w:color w:val="auto"/>
        </w:rPr>
        <w:t>. This Agreement constitutes an unfunded and unsecured promise by the Company to issue shares of Common Stock in the future in accordance with its terms. You have the status of a general unsecured creditor of the Company as a result of receiving the grant of RSUs.</w:t>
      </w:r>
    </w:p>
    <w:p>
      <w:pPr>
        <w:spacing w:after="0" w:line="134" w:lineRule="exact"/>
        <w:rPr>
          <w:rFonts w:ascii="Times New Roman" w:cs="Times New Roman" w:eastAsia="Times New Roman" w:hAnsi="Times New Roman"/>
          <w:sz w:val="18"/>
          <w:szCs w:val="18"/>
          <w:color w:val="auto"/>
        </w:rPr>
      </w:pPr>
    </w:p>
    <w:p>
      <w:pPr>
        <w:jc w:val="both"/>
        <w:ind w:firstLine="757"/>
        <w:spacing w:after="0" w:line="261" w:lineRule="auto"/>
        <w:tabs>
          <w:tab w:leader="none" w:pos="1018" w:val="left"/>
        </w:tabs>
        <w:numPr>
          <w:ilvl w:val="0"/>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 on Other Employee Benefit Plans</w:t>
      </w:r>
      <w:r>
        <w:rPr>
          <w:rFonts w:ascii="Times New Roman" w:cs="Times New Roman" w:eastAsia="Times New Roman" w:hAnsi="Times New Roman"/>
          <w:sz w:val="18"/>
          <w:szCs w:val="18"/>
          <w:color w:val="auto"/>
        </w:rPr>
        <w:t>. The value of the RSUs subject to this Agreement shall not be included as compensation, earnings, salaries, or other similar terms used when calculating your benefits under any employee benefit plan sponsored by the Company or any Affiliate, except as such plan otherwise expressly provides. The Company expressly reserves its rights to amend, modify, or terminate any of the Company’s or any Affiliate’s employee benefit plans.</w:t>
      </w:r>
    </w:p>
    <w:p>
      <w:pPr>
        <w:spacing w:after="0" w:line="139" w:lineRule="exact"/>
        <w:rPr>
          <w:rFonts w:ascii="Times New Roman" w:cs="Times New Roman" w:eastAsia="Times New Roman" w:hAnsi="Times New Roman"/>
          <w:sz w:val="18"/>
          <w:szCs w:val="18"/>
          <w:color w:val="auto"/>
        </w:rPr>
      </w:pPr>
    </w:p>
    <w:p>
      <w:pPr>
        <w:ind w:firstLine="757"/>
        <w:spacing w:after="0" w:line="255" w:lineRule="auto"/>
        <w:tabs>
          <w:tab w:leader="none" w:pos="1018" w:val="left"/>
        </w:tabs>
        <w:numPr>
          <w:ilvl w:val="0"/>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The validity, construction and effect of this Agreement, and of any determinations or decisions made by the Administrator relating to this Agreement, and the rights of any and all persons having or claiming to have any interest under this Agreement, shall be determined exclusively in accordance with the laws of the State of Delaware, without regard to its provisions concerning the applicability of laws of other jurisdictions. As a condition of this Agreement, you agree that you will not bring any action arising under, as a result of, pursuant to or relating to, this Agreement in any court other than a federal or state court in the districts which include Delaware, and you hereby agree and submit to the personal jurisdiction of any federal court located in the district which includes Delaware or any state court in the district which includes Delaware. You further agree that you will not deny or attempt to defeat such personal jurisdiction or object to venue by motion or other request for leave from any such court.</w:t>
      </w:r>
    </w:p>
    <w:p>
      <w:pPr>
        <w:spacing w:after="0" w:line="148" w:lineRule="exact"/>
        <w:rPr>
          <w:rFonts w:ascii="Times New Roman" w:cs="Times New Roman" w:eastAsia="Times New Roman" w:hAnsi="Times New Roman"/>
          <w:sz w:val="18"/>
          <w:szCs w:val="18"/>
          <w:color w:val="auto"/>
        </w:rPr>
      </w:pPr>
    </w:p>
    <w:p>
      <w:pPr>
        <w:ind w:firstLine="757"/>
        <w:spacing w:after="0" w:line="256" w:lineRule="auto"/>
        <w:tabs>
          <w:tab w:leader="none" w:pos="1018" w:val="left"/>
        </w:tabs>
        <w:numPr>
          <w:ilvl w:val="0"/>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Resolution of Disputes</w:t>
      </w:r>
      <w:r>
        <w:rPr>
          <w:rFonts w:ascii="Times New Roman" w:cs="Times New Roman" w:eastAsia="Times New Roman" w:hAnsi="Times New Roman"/>
          <w:sz w:val="18"/>
          <w:szCs w:val="18"/>
          <w:color w:val="auto"/>
        </w:rPr>
        <w:t>. Any dispute or disagreement which shall arise under, or as a result of, or pursuant to or relating to, this Agreement shall be determined by the Administrator in good faith in its absolute and uncontrolled discretion, and any such determination or any other determination by the Administrator under or pursuant to this Agreement and any interpretation by the Administrator of the terms of this Agreement, will be final, binding and conclusive on all persons affected thereby. You agree that before you may bring any legal action arising under, as a result of, pursuant to or relating to, this Agreement you will first exhaust your administrative remedies before the Administrator. You further agree that in the event that the Administrator does not resolve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992505</wp:posOffset>
            </wp:positionV>
            <wp:extent cx="7157720" cy="42545"/>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7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543" w:name="page544"/>
    <w:bookmarkEnd w:id="543"/>
    <w:p>
      <w:pPr>
        <w:ind w:right="140"/>
        <w:spacing w:after="0" w:line="282" w:lineRule="auto"/>
        <w:rPr>
          <w:sz w:val="20"/>
          <w:szCs w:val="20"/>
          <w:color w:val="auto"/>
        </w:rPr>
      </w:pPr>
      <w:r>
        <w:rPr>
          <w:rFonts w:ascii="Times New Roman" w:cs="Times New Roman" w:eastAsia="Times New Roman" w:hAnsi="Times New Roman"/>
          <w:sz w:val="18"/>
          <w:szCs w:val="18"/>
          <w:color w:val="auto"/>
        </w:rPr>
        <w:t>dispute or disagreement arising under, as a result of, pursuant to or relating to, this Agreement to your satisfaction, no legal action may be commenced or maintained relating to this Agreement more than twenty-four (24) months after the Administrator’s decision.</w:t>
      </w:r>
    </w:p>
    <w:p>
      <w:pPr>
        <w:spacing w:after="0" w:line="121" w:lineRule="exact"/>
        <w:rPr>
          <w:sz w:val="20"/>
          <w:szCs w:val="20"/>
          <w:color w:val="auto"/>
        </w:rPr>
      </w:pPr>
    </w:p>
    <w:p>
      <w:pPr>
        <w:ind w:left="1020" w:hanging="263"/>
        <w:spacing w:after="0"/>
        <w:tabs>
          <w:tab w:leader="none" w:pos="1020" w:val="left"/>
        </w:tabs>
        <w:numPr>
          <w:ilvl w:val="1"/>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headings in this Agreement are for reference purposes only and shall not affect the meaning or interpretation of this</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Agreement.</w:t>
      </w:r>
    </w:p>
    <w:p>
      <w:pPr>
        <w:spacing w:after="0" w:line="179" w:lineRule="exact"/>
        <w:rPr>
          <w:rFonts w:ascii="Times New Roman" w:cs="Times New Roman" w:eastAsia="Times New Roman" w:hAnsi="Times New Roman"/>
          <w:sz w:val="18"/>
          <w:szCs w:val="18"/>
          <w:color w:val="auto"/>
        </w:rPr>
      </w:pPr>
    </w:p>
    <w:p>
      <w:pPr>
        <w:jc w:val="both"/>
        <w:ind w:firstLine="757"/>
        <w:spacing w:after="0" w:line="272" w:lineRule="auto"/>
        <w:tabs>
          <w:tab w:leader="none" w:pos="1018" w:val="left"/>
        </w:tabs>
        <w:numPr>
          <w:ilvl w:val="1"/>
          <w:numId w:val="2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Electronic Delivery of Documents</w:t>
      </w:r>
      <w:r>
        <w:rPr>
          <w:rFonts w:ascii="Times New Roman" w:cs="Times New Roman" w:eastAsia="Times New Roman" w:hAnsi="Times New Roman"/>
          <w:sz w:val="17"/>
          <w:szCs w:val="17"/>
          <w:color w:val="auto"/>
        </w:rPr>
        <w:t>. By your signing the Notice, you (i) consent to the electronic delivery of this Agreement, all information with respect to the Plan and the RSUs, and any reports of the Company provided generally to the Company’s stockholders; (ii) acknowledge that you may receive from the Company a paper copy of any documents delivered electronically at no cost to you by contacting the Company by telephone or in writing;</w:t>
      </w:r>
    </w:p>
    <w:p>
      <w:pPr>
        <w:spacing w:after="0" w:line="1" w:lineRule="exact"/>
        <w:rPr>
          <w:rFonts w:ascii="Times New Roman" w:cs="Times New Roman" w:eastAsia="Times New Roman" w:hAnsi="Times New Roman"/>
          <w:sz w:val="17"/>
          <w:szCs w:val="17"/>
          <w:color w:val="auto"/>
        </w:rPr>
      </w:pPr>
    </w:p>
    <w:p>
      <w:pPr>
        <w:jc w:val="both"/>
        <w:ind w:right="40" w:firstLine="8"/>
        <w:spacing w:after="0" w:line="255" w:lineRule="auto"/>
        <w:tabs>
          <w:tab w:leader="none" w:pos="315" w:val="left"/>
        </w:tabs>
        <w:numPr>
          <w:ilvl w:val="0"/>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further acknowledge that you may revoke your consent to the electronic delivery of documents at any time by notifying the Company of such revoked consent by telephone, postal service or electronic mail; and (iv) further acknowledge that you understand that you are not required to consent to electronic delivery of documents.</w:t>
      </w:r>
    </w:p>
    <w:p>
      <w:pPr>
        <w:spacing w:after="0" w:line="145" w:lineRule="exact"/>
        <w:rPr>
          <w:rFonts w:ascii="Times New Roman" w:cs="Times New Roman" w:eastAsia="Times New Roman" w:hAnsi="Times New Roman"/>
          <w:sz w:val="18"/>
          <w:szCs w:val="18"/>
          <w:color w:val="auto"/>
        </w:rPr>
      </w:pPr>
    </w:p>
    <w:p>
      <w:pPr>
        <w:ind w:firstLine="757"/>
        <w:spacing w:after="0" w:line="253" w:lineRule="auto"/>
        <w:tabs>
          <w:tab w:leader="none" w:pos="1018" w:val="left"/>
        </w:tabs>
        <w:numPr>
          <w:ilvl w:val="1"/>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Future Entitlement</w:t>
      </w:r>
      <w:r>
        <w:rPr>
          <w:rFonts w:ascii="Times New Roman" w:cs="Times New Roman" w:eastAsia="Times New Roman" w:hAnsi="Times New Roman"/>
          <w:sz w:val="18"/>
          <w:szCs w:val="18"/>
          <w:color w:val="auto"/>
        </w:rPr>
        <w:t>. By your signing the Notice, you acknowledge and agree that: (i) the grant of a restricted stock unit award is a one-time benefit which does not create any contractual or other right to receive future grants of restricted stock units, or compensation in lieu of restricted stock units, even if restricted stock units have been granted repeatedly in the past; (ii) all determinations with respect to any such future grants and the terms thereof will be at the sole discretion of the Committee; (iii) the value of the restricted stock units is an extraordinary item of compensation which is outside the scope of your employment contract, if any; (iv) the value of the restricted stock units is not part of normal or expected compensation or salary for any purpose, including, but not limited to, calculating any termination, severance, resignation, redundancy, end of service payments or similar payments, or bonuses, long-service awards, pension or retirement benefits; (v) the vesting of the restricted stock units ceases upon termination of Service with the Company or transfer of employment from the Company, or other cessation of eligibility for any reason, except as may otherwise be explicitly provided in this Agreement; (vi) the Company does not guarantee any future value of the restricted stock units; and (vii) no claim or entitlement to compensation or damages arises if the restricted stock units decrease or do not increase in value and you irrevocably release the Company from any such claim that does arise.</w:t>
      </w:r>
    </w:p>
    <w:p>
      <w:pPr>
        <w:spacing w:after="0" w:line="151" w:lineRule="exact"/>
        <w:rPr>
          <w:rFonts w:ascii="Times New Roman" w:cs="Times New Roman" w:eastAsia="Times New Roman" w:hAnsi="Times New Roman"/>
          <w:sz w:val="18"/>
          <w:szCs w:val="18"/>
          <w:color w:val="auto"/>
        </w:rPr>
      </w:pPr>
    </w:p>
    <w:p>
      <w:pPr>
        <w:ind w:right="40" w:firstLine="757"/>
        <w:spacing w:after="0" w:line="252" w:lineRule="auto"/>
        <w:tabs>
          <w:tab w:leader="none" w:pos="1018" w:val="left"/>
        </w:tabs>
        <w:numPr>
          <w:ilvl w:val="1"/>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Personal Data</w:t>
      </w:r>
      <w:r>
        <w:rPr>
          <w:rFonts w:ascii="Times New Roman" w:cs="Times New Roman" w:eastAsia="Times New Roman" w:hAnsi="Times New Roman"/>
          <w:sz w:val="18"/>
          <w:szCs w:val="18"/>
          <w:color w:val="auto"/>
        </w:rPr>
        <w:t>. For purposes of the implementation, administration and management of the restricted stock units or the effectuation of any acquisition, equity or debt financing, joint venture, merger, reorganization, consolidation, recapitalization, business combination, liquidation, dissolution, share exchange, sale of stock, sale of material assets or other similar corporate transaction involving the Company (a “</w:t>
      </w:r>
      <w:r>
        <w:rPr>
          <w:rFonts w:ascii="Times New Roman" w:cs="Times New Roman" w:eastAsia="Times New Roman" w:hAnsi="Times New Roman"/>
          <w:sz w:val="18"/>
          <w:szCs w:val="18"/>
          <w:b w:val="1"/>
          <w:bCs w:val="1"/>
          <w:i w:val="1"/>
          <w:iCs w:val="1"/>
          <w:color w:val="auto"/>
        </w:rPr>
        <w:t>Corporate Transaction</w:t>
      </w:r>
      <w:r>
        <w:rPr>
          <w:rFonts w:ascii="Times New Roman" w:cs="Times New Roman" w:eastAsia="Times New Roman" w:hAnsi="Times New Roman"/>
          <w:sz w:val="18"/>
          <w:szCs w:val="18"/>
          <w:color w:val="auto"/>
        </w:rPr>
        <w:t>”), you consent, by execution of the Notice, to the collection, receipt, use, retention and transfer, in electronic or other form, of your personal data by and among the Company and its third party vendors or any potential party to a potential Corporate Transaction. You understand that personal data (including but not limited to, name, home address, telephone number, employee number, employment status, social security number, tax identification number, date of birth, nationality, job and payroll location, data for tax withholding purposes and shares awarded, cancelled, vested and unvested) may be transferred to third parties assisting in the implementation, administration and management of the restricted stock units or the effectuation of a Corporate Transaction and you expressly authorize such transfer as well as the retention, use, and the subsequent transfer of the data by the recipient(s). You understand that these recipients may be located in your country or elsewhere, and that the recipient’s country may have different data privacy laws and protections than your country. You understand that data will be held only as long as is necessary to implement, administer and manage the restricted stock units or effect a Corporate Transaction. You understand that you may, at any time, request a list with the names and addresses of any potential recipients of the personal data, view data, request additional information about the storage and processing of data, require any necessary amendments to data or refuse or withdraw the consents herein, in any case without cost, by contacting in writing the Company’s Secretary. You understand, however, that refusing or withdrawing your consent may affect your ability to accept a restricted stock unit award.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1588135</wp:posOffset>
            </wp:positionH>
            <wp:positionV relativeFrom="paragraph">
              <wp:posOffset>-4226560</wp:posOffset>
            </wp:positionV>
            <wp:extent cx="28575" cy="8890"/>
            <wp:wrapNone/>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798">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14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Glossary begins on next page</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1009015</wp:posOffset>
            </wp:positionV>
            <wp:extent cx="7157720" cy="42545"/>
            <wp:wrapNone/>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7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17" w:right="399" w:bottom="1440" w:gutter="0" w:footer="0" w:header="0"/>
        </w:sectPr>
      </w:pPr>
    </w:p>
    <w:bookmarkStart w:id="544" w:name="page545"/>
    <w:bookmarkEnd w:id="544"/>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GLOSSARY</w:t>
      </w:r>
    </w:p>
    <w:p>
      <w:pPr>
        <w:spacing w:after="0" w:line="185" w:lineRule="exact"/>
        <w:rPr>
          <w:sz w:val="20"/>
          <w:szCs w:val="20"/>
          <w:color w:val="auto"/>
        </w:rPr>
      </w:pPr>
    </w:p>
    <w:p>
      <w:pPr>
        <w:ind w:left="2040" w:hanging="535"/>
        <w:spacing w:after="0"/>
        <w:tabs>
          <w:tab w:leader="none" w:pos="2040" w:val="left"/>
        </w:tabs>
        <w:numPr>
          <w:ilvl w:val="0"/>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Administrator</w:t>
      </w:r>
      <w:r>
        <w:rPr>
          <w:rFonts w:ascii="Times New Roman" w:cs="Times New Roman" w:eastAsia="Times New Roman" w:hAnsi="Times New Roman"/>
          <w:sz w:val="18"/>
          <w:szCs w:val="18"/>
          <w:color w:val="auto"/>
        </w:rPr>
        <w:t>” shall have the meaning set forth in the Plan.</w:t>
      </w:r>
    </w:p>
    <w:p>
      <w:pPr>
        <w:spacing w:after="0" w:line="198" w:lineRule="exact"/>
        <w:rPr>
          <w:rFonts w:ascii="Times New Roman" w:cs="Times New Roman" w:eastAsia="Times New Roman" w:hAnsi="Times New Roman"/>
          <w:sz w:val="18"/>
          <w:szCs w:val="18"/>
          <w:color w:val="auto"/>
        </w:rPr>
      </w:pPr>
    </w:p>
    <w:p>
      <w:pPr>
        <w:ind w:left="2040" w:hanging="535"/>
        <w:spacing w:after="0"/>
        <w:tabs>
          <w:tab w:leader="none" w:pos="2040" w:val="left"/>
        </w:tabs>
        <w:numPr>
          <w:ilvl w:val="0"/>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Affiliate</w:t>
      </w:r>
      <w:r>
        <w:rPr>
          <w:rFonts w:ascii="Times New Roman" w:cs="Times New Roman" w:eastAsia="Times New Roman" w:hAnsi="Times New Roman"/>
          <w:sz w:val="18"/>
          <w:szCs w:val="18"/>
          <w:color w:val="auto"/>
        </w:rPr>
        <w:t>” shall have the meaning set forth in the Plan.</w:t>
      </w:r>
    </w:p>
    <w:p>
      <w:pPr>
        <w:spacing w:after="0" w:line="184" w:lineRule="exact"/>
        <w:rPr>
          <w:rFonts w:ascii="Times New Roman" w:cs="Times New Roman" w:eastAsia="Times New Roman" w:hAnsi="Times New Roman"/>
          <w:sz w:val="18"/>
          <w:szCs w:val="18"/>
          <w:color w:val="auto"/>
        </w:rPr>
      </w:pPr>
    </w:p>
    <w:p>
      <w:pPr>
        <w:ind w:left="2040" w:hanging="535"/>
        <w:spacing w:after="0"/>
        <w:tabs>
          <w:tab w:leader="none" w:pos="2040" w:val="left"/>
        </w:tabs>
        <w:numPr>
          <w:ilvl w:val="0"/>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means this document, as amended from time to time, together with the Plan which is incorporated herein by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reference.</w:t>
      </w:r>
    </w:p>
    <w:p>
      <w:pPr>
        <w:spacing w:after="0" w:line="162" w:lineRule="exact"/>
        <w:rPr>
          <w:sz w:val="20"/>
          <w:szCs w:val="20"/>
          <w:color w:val="auto"/>
        </w:rPr>
      </w:pPr>
    </w:p>
    <w:p>
      <w:pPr>
        <w:ind w:left="2040" w:hanging="535"/>
        <w:spacing w:after="0"/>
        <w:tabs>
          <w:tab w:leader="none" w:pos="2040" w:val="left"/>
        </w:tabs>
        <w:numPr>
          <w:ilvl w:val="0"/>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Cause</w:t>
      </w:r>
      <w:r>
        <w:rPr>
          <w:rFonts w:ascii="Times New Roman" w:cs="Times New Roman" w:eastAsia="Times New Roman" w:hAnsi="Times New Roman"/>
          <w:sz w:val="18"/>
          <w:szCs w:val="18"/>
          <w:color w:val="auto"/>
        </w:rPr>
        <w:t>” shall have the meaning set forth in the Plan.</w:t>
      </w:r>
    </w:p>
    <w:p>
      <w:pPr>
        <w:spacing w:after="0" w:line="198" w:lineRule="exact"/>
        <w:rPr>
          <w:rFonts w:ascii="Times New Roman" w:cs="Times New Roman" w:eastAsia="Times New Roman" w:hAnsi="Times New Roman"/>
          <w:sz w:val="18"/>
          <w:szCs w:val="18"/>
          <w:color w:val="auto"/>
        </w:rPr>
      </w:pPr>
    </w:p>
    <w:p>
      <w:pPr>
        <w:ind w:left="2040" w:hanging="535"/>
        <w:spacing w:after="0"/>
        <w:tabs>
          <w:tab w:leader="none" w:pos="2040" w:val="left"/>
        </w:tabs>
        <w:numPr>
          <w:ilvl w:val="0"/>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Change in Control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shall have the meaning set forth in the Plan.</w:t>
      </w:r>
    </w:p>
    <w:p>
      <w:pPr>
        <w:spacing w:after="0" w:line="184" w:lineRule="exact"/>
        <w:rPr>
          <w:rFonts w:ascii="Times New Roman" w:cs="Times New Roman" w:eastAsia="Times New Roman" w:hAnsi="Times New Roman"/>
          <w:sz w:val="18"/>
          <w:szCs w:val="18"/>
          <w:color w:val="auto"/>
        </w:rPr>
      </w:pPr>
    </w:p>
    <w:p>
      <w:pPr>
        <w:ind w:left="2040" w:hanging="535"/>
        <w:spacing w:after="0"/>
        <w:tabs>
          <w:tab w:leader="none" w:pos="2040" w:val="left"/>
        </w:tabs>
        <w:numPr>
          <w:ilvl w:val="0"/>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Code</w:t>
      </w:r>
      <w:r>
        <w:rPr>
          <w:rFonts w:ascii="Times New Roman" w:cs="Times New Roman" w:eastAsia="Times New Roman" w:hAnsi="Times New Roman"/>
          <w:sz w:val="18"/>
          <w:szCs w:val="18"/>
          <w:color w:val="auto"/>
        </w:rPr>
        <w:t>” means the Internal Revenue Code of 1986, as amended, and the Treasury regulations and other guidance promulgated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thereunder.</w:t>
      </w:r>
    </w:p>
    <w:p>
      <w:pPr>
        <w:spacing w:after="0" w:line="162" w:lineRule="exact"/>
        <w:rPr>
          <w:sz w:val="20"/>
          <w:szCs w:val="20"/>
          <w:color w:val="auto"/>
        </w:rPr>
      </w:pPr>
    </w:p>
    <w:p>
      <w:pPr>
        <w:ind w:left="2040" w:hanging="535"/>
        <w:spacing w:after="0"/>
        <w:tabs>
          <w:tab w:leader="none" w:pos="2040" w:val="left"/>
        </w:tabs>
        <w:numPr>
          <w:ilvl w:val="0"/>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means the common stock of Axsome Therapeutics, Inc.</w:t>
      </w:r>
    </w:p>
    <w:p>
      <w:pPr>
        <w:spacing w:after="0" w:line="198" w:lineRule="exact"/>
        <w:rPr>
          <w:rFonts w:ascii="Times New Roman" w:cs="Times New Roman" w:eastAsia="Times New Roman" w:hAnsi="Times New Roman"/>
          <w:sz w:val="18"/>
          <w:szCs w:val="18"/>
          <w:color w:val="auto"/>
        </w:rPr>
      </w:pPr>
    </w:p>
    <w:p>
      <w:pPr>
        <w:ind w:right="80" w:firstLine="1505"/>
        <w:spacing w:after="0" w:line="286" w:lineRule="auto"/>
        <w:tabs>
          <w:tab w:leader="none" w:pos="2036" w:val="left"/>
        </w:tabs>
        <w:numPr>
          <w:ilvl w:val="0"/>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means Axsome Therapeutics, Inc. and its Subsidiaries, except where the context otherwise requires. For purposes of determining whether a Change in Control has occurred, Company shall mean only Axsome Therapeutics, Inc.</w:t>
      </w:r>
    </w:p>
    <w:p>
      <w:pPr>
        <w:spacing w:after="0" w:line="114" w:lineRule="exact"/>
        <w:rPr>
          <w:rFonts w:ascii="Times New Roman" w:cs="Times New Roman" w:eastAsia="Times New Roman" w:hAnsi="Times New Roman"/>
          <w:sz w:val="18"/>
          <w:szCs w:val="18"/>
          <w:color w:val="auto"/>
        </w:rPr>
      </w:pPr>
    </w:p>
    <w:p>
      <w:pPr>
        <w:ind w:left="2040" w:hanging="535"/>
        <w:spacing w:after="0"/>
        <w:tabs>
          <w:tab w:leader="none" w:pos="2040" w:val="left"/>
        </w:tabs>
        <w:numPr>
          <w:ilvl w:val="0"/>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Fair Market Value</w:t>
      </w:r>
      <w:r>
        <w:rPr>
          <w:rFonts w:ascii="Times New Roman" w:cs="Times New Roman" w:eastAsia="Times New Roman" w:hAnsi="Times New Roman"/>
          <w:sz w:val="18"/>
          <w:szCs w:val="18"/>
          <w:color w:val="auto"/>
        </w:rPr>
        <w:t>” has the meaning set forth in the Plan.</w:t>
      </w:r>
    </w:p>
    <w:p>
      <w:pPr>
        <w:spacing w:after="0" w:line="184" w:lineRule="exact"/>
        <w:rPr>
          <w:rFonts w:ascii="Times New Roman" w:cs="Times New Roman" w:eastAsia="Times New Roman" w:hAnsi="Times New Roman"/>
          <w:sz w:val="18"/>
          <w:szCs w:val="18"/>
          <w:color w:val="auto"/>
        </w:rPr>
      </w:pPr>
    </w:p>
    <w:p>
      <w:pPr>
        <w:ind w:left="2040" w:hanging="535"/>
        <w:spacing w:after="0"/>
        <w:tabs>
          <w:tab w:leader="none" w:pos="2040" w:val="left"/>
        </w:tabs>
        <w:numPr>
          <w:ilvl w:val="0"/>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Grant Date</w:t>
      </w:r>
      <w:r>
        <w:rPr>
          <w:rFonts w:ascii="Times New Roman" w:cs="Times New Roman" w:eastAsia="Times New Roman" w:hAnsi="Times New Roman"/>
          <w:sz w:val="18"/>
          <w:szCs w:val="18"/>
          <w:color w:val="auto"/>
        </w:rPr>
        <w:t>” means the effective date of a grant of RSUs made to you as set forth in the relevant Notice.</w:t>
      </w:r>
    </w:p>
    <w:p>
      <w:pPr>
        <w:spacing w:after="0" w:line="198" w:lineRule="exact"/>
        <w:rPr>
          <w:rFonts w:ascii="Times New Roman" w:cs="Times New Roman" w:eastAsia="Times New Roman" w:hAnsi="Times New Roman"/>
          <w:sz w:val="18"/>
          <w:szCs w:val="18"/>
          <w:color w:val="auto"/>
        </w:rPr>
      </w:pPr>
    </w:p>
    <w:p>
      <w:pPr>
        <w:ind w:left="2040" w:hanging="535"/>
        <w:spacing w:after="0"/>
        <w:tabs>
          <w:tab w:leader="none" w:pos="2040" w:val="left"/>
        </w:tabs>
        <w:numPr>
          <w:ilvl w:val="0"/>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Notice</w:t>
      </w:r>
      <w:r>
        <w:rPr>
          <w:rFonts w:ascii="Times New Roman" w:cs="Times New Roman" w:eastAsia="Times New Roman" w:hAnsi="Times New Roman"/>
          <w:sz w:val="18"/>
          <w:szCs w:val="18"/>
          <w:color w:val="auto"/>
        </w:rPr>
        <w:t>” means the statement, letter or other written notification provided to you by the Company setting forth the terms of a</w:t>
      </w:r>
    </w:p>
    <w:p>
      <w:pPr>
        <w:spacing w:after="0" w:line="3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 of RSUs made to you.</w:t>
      </w:r>
    </w:p>
    <w:p>
      <w:pPr>
        <w:spacing w:after="0" w:line="162" w:lineRule="exact"/>
        <w:rPr>
          <w:rFonts w:ascii="Times New Roman" w:cs="Times New Roman" w:eastAsia="Times New Roman" w:hAnsi="Times New Roman"/>
          <w:sz w:val="18"/>
          <w:szCs w:val="18"/>
          <w:color w:val="auto"/>
        </w:rPr>
      </w:pPr>
    </w:p>
    <w:p>
      <w:pPr>
        <w:ind w:left="2040" w:hanging="535"/>
        <w:spacing w:after="0"/>
        <w:tabs>
          <w:tab w:leader="none" w:pos="2040" w:val="left"/>
        </w:tabs>
        <w:numPr>
          <w:ilvl w:val="0"/>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 means the Axsome Therapeutics, Inc. 2025 Long-Term Incentive Plan, as amended from time to time.</w:t>
      </w:r>
    </w:p>
    <w:p>
      <w:pPr>
        <w:spacing w:after="0" w:line="184" w:lineRule="exact"/>
        <w:rPr>
          <w:rFonts w:ascii="Times New Roman" w:cs="Times New Roman" w:eastAsia="Times New Roman" w:hAnsi="Times New Roman"/>
          <w:sz w:val="18"/>
          <w:szCs w:val="18"/>
          <w:color w:val="auto"/>
        </w:rPr>
      </w:pPr>
    </w:p>
    <w:p>
      <w:pPr>
        <w:ind w:left="2040" w:hanging="535"/>
        <w:spacing w:after="0"/>
        <w:tabs>
          <w:tab w:leader="none" w:pos="2040" w:val="left"/>
        </w:tabs>
        <w:numPr>
          <w:ilvl w:val="0"/>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RSU</w:t>
      </w:r>
      <w:r>
        <w:rPr>
          <w:rFonts w:ascii="Times New Roman" w:cs="Times New Roman" w:eastAsia="Times New Roman" w:hAnsi="Times New Roman"/>
          <w:sz w:val="18"/>
          <w:szCs w:val="18"/>
          <w:color w:val="auto"/>
        </w:rPr>
        <w:t>” means the Company’s commitment to issue one share of Common Stock at a future date, subject to the terms of the</w:t>
      </w:r>
    </w:p>
    <w:p>
      <w:pPr>
        <w:spacing w:after="0" w:line="3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Agreement and the Plan.</w:t>
      </w:r>
    </w:p>
    <w:p>
      <w:pPr>
        <w:spacing w:after="0" w:line="175" w:lineRule="exact"/>
        <w:rPr>
          <w:rFonts w:ascii="Times New Roman" w:cs="Times New Roman" w:eastAsia="Times New Roman" w:hAnsi="Times New Roman"/>
          <w:sz w:val="18"/>
          <w:szCs w:val="18"/>
          <w:color w:val="auto"/>
        </w:rPr>
      </w:pPr>
    </w:p>
    <w:p>
      <w:pPr>
        <w:ind w:right="80" w:firstLine="1505"/>
        <w:spacing w:after="0" w:line="262" w:lineRule="auto"/>
        <w:tabs>
          <w:tab w:leader="none" w:pos="2036" w:val="left"/>
        </w:tabs>
        <w:numPr>
          <w:ilvl w:val="0"/>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Service</w:t>
      </w:r>
      <w:r>
        <w:rPr>
          <w:rFonts w:ascii="Times New Roman" w:cs="Times New Roman" w:eastAsia="Times New Roman" w:hAnsi="Times New Roman"/>
          <w:sz w:val="18"/>
          <w:szCs w:val="18"/>
          <w:color w:val="auto"/>
        </w:rPr>
        <w:t>” means your employment, service as a non-executive director, or other service relationship with the Company and its Affiliates. Your Service will be considered to have ceased with the Company and its Affiliates if, immediately after a sale, merger, or other corporate transaction, the trade, business, or entity with which you are employed or otherwise have a service relationship is not Axsome Therapeutics, Inc. or its successor or an Affiliate of Axsome Therapeutics, Inc. or its successor.</w:t>
      </w:r>
    </w:p>
    <w:p>
      <w:pPr>
        <w:spacing w:after="0" w:line="135" w:lineRule="exact"/>
        <w:rPr>
          <w:rFonts w:ascii="Times New Roman" w:cs="Times New Roman" w:eastAsia="Times New Roman" w:hAnsi="Times New Roman"/>
          <w:sz w:val="18"/>
          <w:szCs w:val="18"/>
          <w:color w:val="auto"/>
        </w:rPr>
      </w:pPr>
    </w:p>
    <w:p>
      <w:pPr>
        <w:ind w:right="80" w:firstLine="1505"/>
        <w:spacing w:after="0" w:line="286" w:lineRule="auto"/>
        <w:tabs>
          <w:tab w:leader="none" w:pos="2036" w:val="left"/>
        </w:tabs>
        <w:numPr>
          <w:ilvl w:val="0"/>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Total and Permanent Disability</w:t>
      </w:r>
      <w:r>
        <w:rPr>
          <w:rFonts w:ascii="Times New Roman" w:cs="Times New Roman" w:eastAsia="Times New Roman" w:hAnsi="Times New Roman"/>
          <w:sz w:val="18"/>
          <w:szCs w:val="18"/>
          <w:color w:val="auto"/>
        </w:rPr>
        <w:t>” has the meaning set forth in the Plan, subject to the requirements of, and provided that such event satisfies the definition of “disability” within the meaning of, Treasury Regulation Section 1.409A-3(i)(4).</w:t>
      </w:r>
    </w:p>
    <w:p>
      <w:pPr>
        <w:spacing w:after="0" w:line="114" w:lineRule="exact"/>
        <w:rPr>
          <w:rFonts w:ascii="Times New Roman" w:cs="Times New Roman" w:eastAsia="Times New Roman" w:hAnsi="Times New Roman"/>
          <w:sz w:val="18"/>
          <w:szCs w:val="18"/>
          <w:color w:val="auto"/>
        </w:rPr>
      </w:pPr>
    </w:p>
    <w:p>
      <w:pPr>
        <w:ind w:firstLine="1505"/>
        <w:spacing w:after="0" w:line="262" w:lineRule="auto"/>
        <w:tabs>
          <w:tab w:leader="none" w:pos="2036" w:val="left"/>
        </w:tabs>
        <w:numPr>
          <w:ilvl w:val="0"/>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You</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Your</w:t>
      </w:r>
      <w:r>
        <w:rPr>
          <w:rFonts w:ascii="Times New Roman" w:cs="Times New Roman" w:eastAsia="Times New Roman" w:hAnsi="Times New Roman"/>
          <w:sz w:val="18"/>
          <w:szCs w:val="18"/>
          <w:color w:val="auto"/>
        </w:rPr>
        <w:t>” means the recipient of the RSUs as reflected on the applicable Notice. Whenever the word “you” or “your” is used in any provision of this Agreement under circumstances where the provision should logically be construed, as determined by the Administrator, to apply to the estate, personal representative, or beneficiary to whom the RSUs may be transferred by will or by the laws of descent and distribution, the words “you” and “your” shall be deemed to include such person.</w:t>
      </w:r>
    </w:p>
    <w:p>
      <w:pPr>
        <w:spacing w:after="0" w:line="1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End of Agreement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1146175</wp:posOffset>
            </wp:positionV>
            <wp:extent cx="7157720" cy="42545"/>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8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545" w:name="page546"/>
    <w:bookmarkEnd w:id="545"/>
    <w:p>
      <w:pPr>
        <w:jc w:val="right"/>
        <w:spacing w:after="0"/>
        <w:rPr>
          <w:sz w:val="20"/>
          <w:szCs w:val="20"/>
          <w:color w:val="auto"/>
        </w:rPr>
      </w:pPr>
      <w:r>
        <w:rPr>
          <w:rFonts w:ascii="Times New Roman" w:cs="Times New Roman" w:eastAsia="Times New Roman" w:hAnsi="Times New Roman"/>
          <w:sz w:val="18"/>
          <w:szCs w:val="18"/>
          <w:b w:val="1"/>
          <w:bCs w:val="1"/>
          <w:color w:val="auto"/>
        </w:rPr>
        <w:t>Exhibit 10.7</w:t>
      </w:r>
    </w:p>
    <w:p>
      <w:pPr>
        <w:spacing w:after="0" w:line="200" w:lineRule="exact"/>
        <w:rPr>
          <w:sz w:val="20"/>
          <w:szCs w:val="20"/>
          <w:color w:val="auto"/>
        </w:rPr>
      </w:pPr>
    </w:p>
    <w:p>
      <w:pPr>
        <w:spacing w:after="0" w:line="241"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8"/>
          <w:szCs w:val="18"/>
          <w:b w:val="1"/>
          <w:bCs w:val="1"/>
          <w:color w:val="auto"/>
        </w:rPr>
        <w:t>AXSOME THERAPEUTICS, INC.</w:t>
      </w:r>
    </w:p>
    <w:p>
      <w:pPr>
        <w:spacing w:after="0" w:line="185"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b w:val="1"/>
          <w:bCs w:val="1"/>
          <w:color w:val="auto"/>
        </w:rPr>
        <w:t>RESTRICTED STOCK UNITS NOTICE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 THE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AXSOME THERAPEUTICS,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2025 LONG-TERM INCENTIVE PLAN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Name of Grantee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This Notice evidences the award of restricted stock units (each, an “</w:t>
      </w:r>
      <w:r>
        <w:rPr>
          <w:rFonts w:ascii="Times New Roman" w:cs="Times New Roman" w:eastAsia="Times New Roman" w:hAnsi="Times New Roman"/>
          <w:sz w:val="18"/>
          <w:szCs w:val="18"/>
          <w:b w:val="1"/>
          <w:bCs w:val="1"/>
          <w:i w:val="1"/>
          <w:iCs w:val="1"/>
          <w:color w:val="auto"/>
        </w:rPr>
        <w:t>RSU</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b w:val="1"/>
          <w:bCs w:val="1"/>
          <w:i w:val="1"/>
          <w:iCs w:val="1"/>
          <w:color w:val="auto"/>
        </w:rPr>
        <w:t>RSUs</w:t>
      </w:r>
      <w:r>
        <w:rPr>
          <w:rFonts w:ascii="Times New Roman" w:cs="Times New Roman" w:eastAsia="Times New Roman" w:hAnsi="Times New Roman"/>
          <w:sz w:val="18"/>
          <w:szCs w:val="18"/>
          <w:color w:val="auto"/>
        </w:rPr>
        <w:t>”) of Axsome Therapeutics, Inc., a Delaware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that have been granted to you pursuant to the Axsome Therapeutics, Inc. 2025 Long-Term Incentive Plan (the “</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 and conditioned upon your agreement to the terms of the attached Restricted Stock Units Agreement (the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This Notice constitutes part of and is subject to the terms and provisions of the Agreement and the Plan, which are incorporated by reference herein. Each RSU is equivalent in value to one share of the Company’s Common Stock and represents the Company’s commitment to issue one share of the Company’s Common Stock at a future date, subject to the terms of the Agreement and the Plan. The RSUs are credited to a separate account maintained for you on the books and records of the Company (the “</w:t>
      </w:r>
      <w:r>
        <w:rPr>
          <w:rFonts w:ascii="Times New Roman" w:cs="Times New Roman" w:eastAsia="Times New Roman" w:hAnsi="Times New Roman"/>
          <w:sz w:val="18"/>
          <w:szCs w:val="18"/>
          <w:b w:val="1"/>
          <w:bCs w:val="1"/>
          <w:i w:val="1"/>
          <w:iCs w:val="1"/>
          <w:color w:val="auto"/>
        </w:rPr>
        <w:t>Account</w:t>
      </w:r>
      <w:r>
        <w:rPr>
          <w:rFonts w:ascii="Times New Roman" w:cs="Times New Roman" w:eastAsia="Times New Roman" w:hAnsi="Times New Roman"/>
          <w:sz w:val="18"/>
          <w:szCs w:val="18"/>
          <w:color w:val="auto"/>
        </w:rPr>
        <w:t>”). All amounts credited to the Account will continue for all purposes to be part of the general assets of the Company.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Grant Date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Number of RSUs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u w:val="single" w:color="auto"/>
          <w:color w:val="auto"/>
        </w:rPr>
        <w:t>Vesting Schedule</w:t>
      </w:r>
      <w:r>
        <w:rPr>
          <w:rFonts w:ascii="Times New Roman" w:cs="Times New Roman" w:eastAsia="Times New Roman" w:hAnsi="Times New Roman"/>
          <w:sz w:val="18"/>
          <w:szCs w:val="18"/>
          <w:color w:val="auto"/>
        </w:rPr>
        <w:t>: All of the RSUs are nonvested and forfeitable as of the Grant Date. So long as your Service (as defined in the Agreement) is continuous from the Grant Date through the applicable date upon which vesting is scheduled to occur:</w:t>
      </w:r>
    </w:p>
    <w:p>
      <w:pPr>
        <w:spacing w:after="0" w:line="200" w:lineRule="exact"/>
        <w:rPr>
          <w:sz w:val="20"/>
          <w:szCs w:val="20"/>
          <w:color w:val="auto"/>
        </w:rPr>
      </w:pPr>
    </w:p>
    <w:p>
      <w:pPr>
        <w:spacing w:after="0" w:line="394" w:lineRule="exact"/>
        <w:rPr>
          <w:sz w:val="20"/>
          <w:szCs w:val="20"/>
          <w:color w:val="auto"/>
        </w:rPr>
      </w:pPr>
    </w:p>
    <w:p>
      <w:pPr>
        <w:ind w:left="120"/>
        <w:spacing w:after="0"/>
        <w:tabs>
          <w:tab w:leader="none" w:pos="5700" w:val="left"/>
        </w:tabs>
        <w:rPr>
          <w:sz w:val="20"/>
          <w:szCs w:val="20"/>
          <w:color w:val="auto"/>
        </w:rPr>
      </w:pPr>
      <w:r>
        <w:rPr>
          <w:rFonts w:ascii="Times New Roman" w:cs="Times New Roman" w:eastAsia="Times New Roman" w:hAnsi="Times New Roman"/>
          <w:sz w:val="18"/>
          <w:szCs w:val="18"/>
          <w:color w:val="auto"/>
        </w:rPr>
        <w:t>Axsome Therapeutics, Inc.</w:t>
      </w:r>
      <w:r>
        <w:rPr>
          <w:sz w:val="20"/>
          <w:szCs w:val="20"/>
          <w:color w:val="auto"/>
        </w:rPr>
        <w:tab/>
      </w:r>
      <w:r>
        <w:rPr>
          <w:rFonts w:ascii="Times New Roman" w:cs="Times New Roman" w:eastAsia="Times New Roman" w:hAnsi="Times New Roman"/>
          <w:sz w:val="18"/>
          <w:szCs w:val="18"/>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 acknowledge that I have carefully read the Agreement and the prospectus for the Plan. I agree to be bound by all of the provisions set forth in those documents. I also consent to electronic delivery of all notices or other information with respect to the RSUs or the Company.</w:t>
      </w:r>
    </w:p>
    <w:p>
      <w:pPr>
        <w:spacing w:after="0" w:line="378" w:lineRule="exact"/>
        <w:rPr>
          <w:sz w:val="20"/>
          <w:szCs w:val="20"/>
          <w:color w:val="auto"/>
        </w:rPr>
      </w:pPr>
    </w:p>
    <w:p>
      <w:pPr>
        <w:ind w:left="120"/>
        <w:spacing w:after="0"/>
        <w:tabs>
          <w:tab w:leader="none" w:pos="5700" w:val="left"/>
        </w:tabs>
        <w:rPr>
          <w:sz w:val="20"/>
          <w:szCs w:val="20"/>
          <w:color w:val="auto"/>
        </w:rPr>
      </w:pPr>
      <w:r>
        <w:rPr>
          <w:rFonts w:ascii="Times New Roman" w:cs="Times New Roman" w:eastAsia="Times New Roman" w:hAnsi="Times New Roman"/>
          <w:sz w:val="18"/>
          <w:szCs w:val="18"/>
          <w:color w:val="auto"/>
        </w:rPr>
        <w:t>Signature of Grantee</w:t>
      </w:r>
      <w:r>
        <w:rPr>
          <w:sz w:val="20"/>
          <w:szCs w:val="20"/>
          <w:color w:val="auto"/>
        </w:rPr>
        <w:tab/>
      </w: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1736090</wp:posOffset>
            </wp:positionV>
            <wp:extent cx="7157720" cy="42545"/>
            <wp:wrapNone/>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8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15240</wp:posOffset>
            </wp:positionV>
            <wp:extent cx="7134225" cy="570230"/>
            <wp:wrapNone/>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802">
                      <a:extLst>
                        <a:ext uri="{28A0092B-C50C-407E-A947-70E740481C1C}"/>
                      </a:extLst>
                    </a:blip>
                    <a:srcRect/>
                    <a:stretch>
                      <a:fillRect/>
                    </a:stretch>
                  </pic:blipFill>
                  <pic:spPr bwMode="auto">
                    <a:xfrm>
                      <a:off x="0" y="0"/>
                      <a:ext cx="7134225" cy="570230"/>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546" w:name="page547"/>
    <w:bookmarkEnd w:id="546"/>
    <w:p>
      <w:pPr>
        <w:ind w:left="4260"/>
        <w:spacing w:after="0"/>
        <w:rPr>
          <w:sz w:val="20"/>
          <w:szCs w:val="20"/>
          <w:color w:val="auto"/>
        </w:rPr>
      </w:pPr>
      <w:r>
        <w:rPr>
          <w:rFonts w:ascii="Times New Roman" w:cs="Times New Roman" w:eastAsia="Times New Roman" w:hAnsi="Times New Roman"/>
          <w:sz w:val="18"/>
          <w:szCs w:val="18"/>
          <w:b w:val="1"/>
          <w:bCs w:val="1"/>
          <w:color w:val="auto"/>
        </w:rPr>
        <w:t>AXSOME THERAPEUTICS, INC.</w:t>
      </w:r>
    </w:p>
    <w:p>
      <w:pPr>
        <w:spacing w:after="0" w:line="185"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b w:val="1"/>
          <w:bCs w:val="1"/>
          <w:color w:val="auto"/>
        </w:rPr>
        <w:t>RESTRICTED STOCK UNITS AGREEMENT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 THE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AXSOME THERAPEUTICS,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2025 LONG-TERM INCENTIVE PLAN</w:t>
      </w:r>
    </w:p>
    <w:p>
      <w:pPr>
        <w:spacing w:after="0" w:line="180" w:lineRule="exact"/>
        <w:rPr>
          <w:sz w:val="20"/>
          <w:szCs w:val="20"/>
          <w:color w:val="auto"/>
        </w:rPr>
      </w:pPr>
    </w:p>
    <w:p>
      <w:pPr>
        <w:ind w:right="120" w:firstLine="757"/>
        <w:spacing w:after="0" w:line="282" w:lineRule="auto"/>
        <w:tabs>
          <w:tab w:leader="none" w:pos="1018" w:val="left"/>
        </w:tabs>
        <w:numPr>
          <w:ilvl w:val="0"/>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Terminology</w:t>
      </w:r>
      <w:r>
        <w:rPr>
          <w:rFonts w:ascii="Times New Roman" w:cs="Times New Roman" w:eastAsia="Times New Roman" w:hAnsi="Times New Roman"/>
          <w:sz w:val="18"/>
          <w:szCs w:val="18"/>
          <w:color w:val="auto"/>
        </w:rPr>
        <w:t>. Unless otherwise provided in this Agreement, capitalized terms used herein or in the Notice are defined in the Glossary at the end of this Agreement, and to the extent not defined therein, have the meaning set forth in the Plan.</w:t>
      </w:r>
    </w:p>
    <w:p>
      <w:pPr>
        <w:spacing w:after="0" w:line="121" w:lineRule="exact"/>
        <w:rPr>
          <w:rFonts w:ascii="Times New Roman" w:cs="Times New Roman" w:eastAsia="Times New Roman" w:hAnsi="Times New Roman"/>
          <w:sz w:val="18"/>
          <w:szCs w:val="18"/>
          <w:color w:val="auto"/>
        </w:rPr>
      </w:pPr>
    </w:p>
    <w:p>
      <w:pPr>
        <w:ind w:right="340" w:firstLine="757"/>
        <w:spacing w:after="0" w:line="261" w:lineRule="auto"/>
        <w:tabs>
          <w:tab w:leader="none" w:pos="1018" w:val="left"/>
        </w:tabs>
        <w:numPr>
          <w:ilvl w:val="0"/>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Vesting</w:t>
      </w:r>
      <w:r>
        <w:rPr>
          <w:rFonts w:ascii="Times New Roman" w:cs="Times New Roman" w:eastAsia="Times New Roman" w:hAnsi="Times New Roman"/>
          <w:sz w:val="18"/>
          <w:szCs w:val="18"/>
          <w:color w:val="auto"/>
        </w:rPr>
        <w:t>. All of the RSUs are nonvested and forfeitable as of the Grant Date. So long as your Service is continuous from the Grant Date through the applicable date upon which vesting is scheduled to occur, the RSUs will become vested and nonforfeitable in accordance with the vesting schedule set forth in the Notice. Except for the circumstances, if any, described in the Notice, none of the RSUs will become vested and nonforfeitable after your Service ceases.</w:t>
      </w:r>
    </w:p>
    <w:p>
      <w:pPr>
        <w:spacing w:after="0" w:line="139" w:lineRule="exact"/>
        <w:rPr>
          <w:rFonts w:ascii="Times New Roman" w:cs="Times New Roman" w:eastAsia="Times New Roman" w:hAnsi="Times New Roman"/>
          <w:sz w:val="18"/>
          <w:szCs w:val="18"/>
          <w:color w:val="auto"/>
        </w:rPr>
      </w:pPr>
    </w:p>
    <w:p>
      <w:pPr>
        <w:ind w:right="80" w:firstLine="757"/>
        <w:spacing w:after="0" w:line="266" w:lineRule="auto"/>
        <w:tabs>
          <w:tab w:leader="none" w:pos="1018" w:val="left"/>
        </w:tabs>
        <w:numPr>
          <w:ilvl w:val="0"/>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of Employment or Service</w:t>
      </w:r>
      <w:r>
        <w:rPr>
          <w:rFonts w:ascii="Times New Roman" w:cs="Times New Roman" w:eastAsia="Times New Roman" w:hAnsi="Times New Roman"/>
          <w:sz w:val="18"/>
          <w:szCs w:val="18"/>
          <w:color w:val="auto"/>
        </w:rPr>
        <w:t>. Unless otherwise provided in the Notice, if your Service with the Company ceases for any reason, all RSUs that are not then vested and nonforfeitable will be forfeited to the Company immediately and automatically upon such cessation without payment of any consideration therefor and you will have no further right, title or interest in or to such RSUs or the underlying shares of Common Stock.</w:t>
      </w:r>
    </w:p>
    <w:p>
      <w:pPr>
        <w:spacing w:after="0" w:line="148" w:lineRule="exact"/>
        <w:rPr>
          <w:rFonts w:ascii="Times New Roman" w:cs="Times New Roman" w:eastAsia="Times New Roman" w:hAnsi="Times New Roman"/>
          <w:sz w:val="18"/>
          <w:szCs w:val="18"/>
          <w:color w:val="auto"/>
        </w:rPr>
      </w:pPr>
    </w:p>
    <w:p>
      <w:pPr>
        <w:ind w:firstLine="757"/>
        <w:spacing w:after="0" w:line="261" w:lineRule="auto"/>
        <w:tabs>
          <w:tab w:leader="none" w:pos="1018" w:val="left"/>
        </w:tabs>
        <w:numPr>
          <w:ilvl w:val="0"/>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Restrictions on Transfer</w:t>
      </w:r>
      <w:r>
        <w:rPr>
          <w:rFonts w:ascii="Times New Roman" w:cs="Times New Roman" w:eastAsia="Times New Roman" w:hAnsi="Times New Roman"/>
          <w:sz w:val="18"/>
          <w:szCs w:val="18"/>
          <w:color w:val="auto"/>
        </w:rPr>
        <w:t>. Neither this Agreement nor any of the RSUs may be assigned, transferred, pledged, hypothecated or disposed of in any way, whether by operation of law or otherwise, and the RSUs shall not be subject to execution, attachment or similar process. All rights with respect to this Agreement and the RSUs shall be exercisable during your lifetime only by you or your guardian or legal representative. Notwithstanding the foregoing, the RSUs may be transferred upon your death by last will and testament or under the laws of descent and distribution.</w:t>
      </w:r>
    </w:p>
    <w:p>
      <w:pPr>
        <w:spacing w:after="0" w:line="139" w:lineRule="exact"/>
        <w:rPr>
          <w:rFonts w:ascii="Times New Roman" w:cs="Times New Roman" w:eastAsia="Times New Roman" w:hAnsi="Times New Roman"/>
          <w:sz w:val="18"/>
          <w:szCs w:val="18"/>
          <w:color w:val="auto"/>
        </w:rPr>
      </w:pPr>
    </w:p>
    <w:p>
      <w:pPr>
        <w:ind w:left="1020" w:hanging="263"/>
        <w:spacing w:after="0"/>
        <w:tabs>
          <w:tab w:leader="none" w:pos="1020" w:val="left"/>
        </w:tabs>
        <w:numPr>
          <w:ilvl w:val="0"/>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Settlement of RSUs</w:t>
      </w:r>
      <w:r>
        <w:rPr>
          <w:rFonts w:ascii="Times New Roman" w:cs="Times New Roman" w:eastAsia="Times New Roman" w:hAnsi="Times New Roman"/>
          <w:sz w:val="18"/>
          <w:szCs w:val="18"/>
          <w:color w:val="auto"/>
        </w:rPr>
        <w:t>.</w:t>
      </w:r>
    </w:p>
    <w:p>
      <w:pPr>
        <w:spacing w:after="0" w:line="184" w:lineRule="exact"/>
        <w:rPr>
          <w:rFonts w:ascii="Times New Roman" w:cs="Times New Roman" w:eastAsia="Times New Roman" w:hAnsi="Times New Roman"/>
          <w:sz w:val="18"/>
          <w:szCs w:val="18"/>
          <w:color w:val="auto"/>
        </w:rPr>
      </w:pPr>
    </w:p>
    <w:p>
      <w:pPr>
        <w:ind w:right="60" w:firstLine="1505"/>
        <w:spacing w:after="0" w:line="256" w:lineRule="auto"/>
        <w:tabs>
          <w:tab w:leader="none" w:pos="2036" w:val="left"/>
        </w:tabs>
        <w:numPr>
          <w:ilvl w:val="1"/>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Manner of Settlement</w:t>
      </w:r>
      <w:r>
        <w:rPr>
          <w:rFonts w:ascii="Times New Roman" w:cs="Times New Roman" w:eastAsia="Times New Roman" w:hAnsi="Times New Roman"/>
          <w:sz w:val="18"/>
          <w:szCs w:val="18"/>
          <w:color w:val="auto"/>
        </w:rPr>
        <w:t>. You are not required to make any monetary payment (other than applicable tax withholding, if required) as a condition to settlement of the RSUs. The Company will issue to you, in settlement of your RSUs and subject to the provisions of Section 6 below, the number of whole shares of Common Stock that equals the number of whole RSUs that become vested, and such vested RSUs will terminate and cease to be outstanding upon such issuance of the shares. Upon issuance of such shares, the Company will determine the form of delivery (e.g., a stock certificate or electronic entry evidencing such shares) and may deliver such shares on your behalf electronically to the Company’s designated stock plan administrator or such other broker-dealer as the Company may choose at its sole discretion, within reason.</w:t>
      </w:r>
    </w:p>
    <w:p>
      <w:pPr>
        <w:spacing w:after="0" w:line="160" w:lineRule="exact"/>
        <w:rPr>
          <w:rFonts w:ascii="Times New Roman" w:cs="Times New Roman" w:eastAsia="Times New Roman" w:hAnsi="Times New Roman"/>
          <w:sz w:val="18"/>
          <w:szCs w:val="18"/>
          <w:color w:val="auto"/>
        </w:rPr>
      </w:pPr>
    </w:p>
    <w:p>
      <w:pPr>
        <w:ind w:firstLine="1505"/>
        <w:spacing w:after="0" w:line="256" w:lineRule="auto"/>
        <w:tabs>
          <w:tab w:leader="none" w:pos="2036" w:val="left"/>
        </w:tabs>
        <w:numPr>
          <w:ilvl w:val="1"/>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Timing of Settlement</w:t>
      </w:r>
      <w:r>
        <w:rPr>
          <w:rFonts w:ascii="Times New Roman" w:cs="Times New Roman" w:eastAsia="Times New Roman" w:hAnsi="Times New Roman"/>
          <w:sz w:val="18"/>
          <w:szCs w:val="18"/>
          <w:color w:val="auto"/>
        </w:rPr>
        <w:t>. Your RSUs will be settled by the Company, via the issuance of Common Stock as described herein, on the earliest of one of the following events: (1) a Change in Control; (2) your “separation from service” as defined in Section 409A of the Code and applicable regulations and guidance thereunder, including your termination due to death or Total and Permanent Disability; or (3) the seventh (7th) anniversary of the Grant Date. However, if a scheduled issuance date falls on a Saturday, Sunday or federal holiday, such issuance date shall instead fall on the next following day that the principal executive offices of the Company are open for business. In all cases, the issuance and delivery of shares under this Agreement is intended to comply with Section 409A of the Code and shall be construed and administered in such a manner.</w:t>
      </w:r>
    </w:p>
    <w:p>
      <w:pPr>
        <w:spacing w:after="0" w:line="146" w:lineRule="exact"/>
        <w:rPr>
          <w:rFonts w:ascii="Times New Roman" w:cs="Times New Roman" w:eastAsia="Times New Roman" w:hAnsi="Times New Roman"/>
          <w:sz w:val="18"/>
          <w:szCs w:val="18"/>
          <w:color w:val="auto"/>
        </w:rPr>
      </w:pPr>
    </w:p>
    <w:p>
      <w:pPr>
        <w:ind w:right="140" w:firstLine="757"/>
        <w:spacing w:after="0" w:line="256" w:lineRule="auto"/>
        <w:tabs>
          <w:tab w:leader="none" w:pos="1018" w:val="left"/>
        </w:tabs>
        <w:numPr>
          <w:ilvl w:val="0"/>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Withholding</w:t>
      </w:r>
      <w:r>
        <w:rPr>
          <w:rFonts w:ascii="Times New Roman" w:cs="Times New Roman" w:eastAsia="Times New Roman" w:hAnsi="Times New Roman"/>
          <w:sz w:val="18"/>
          <w:szCs w:val="18"/>
          <w:color w:val="auto"/>
        </w:rPr>
        <w:t>. On or before the time you receive a distribution of the shares subject to your RSUs, or at any time thereafter as requested by the Company, you hereby authorize any required withholding from the Common Stock issuable to you and/or otherwise agree to make adequate provision in cash for any sums required to satisfy the federal, state, local and foreign tax withholding obligations of the Company or any Affiliate which arise in connection with your RSUs (the “</w:t>
      </w:r>
      <w:r>
        <w:rPr>
          <w:rFonts w:ascii="Times New Roman" w:cs="Times New Roman" w:eastAsia="Times New Roman" w:hAnsi="Times New Roman"/>
          <w:sz w:val="18"/>
          <w:szCs w:val="18"/>
          <w:b w:val="1"/>
          <w:bCs w:val="1"/>
          <w:i w:val="1"/>
          <w:iCs w:val="1"/>
          <w:color w:val="auto"/>
        </w:rPr>
        <w:t>Withholding Taxes</w:t>
      </w:r>
      <w:r>
        <w:rPr>
          <w:rFonts w:ascii="Times New Roman" w:cs="Times New Roman" w:eastAsia="Times New Roman" w:hAnsi="Times New Roman"/>
          <w:sz w:val="18"/>
          <w:szCs w:val="18"/>
          <w:color w:val="auto"/>
        </w:rPr>
        <w:t>”). Additionally, the Company may, in its sole discretion, satisfy all or any portion of the Withholding Taxes obligation relating to your RSUs by any of the following means or by a combination of such means: (i) withholding from any compensation otherwise payable to you by the Company; (ii) causing you to tender a cash payment; (iii) permitting you to enter into a “same day sale”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983615</wp:posOffset>
            </wp:positionV>
            <wp:extent cx="7157720" cy="42545"/>
            <wp:wrapNone/>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8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547" w:name="page548"/>
    <w:bookmarkEnd w:id="547"/>
    <w:p>
      <w:pPr>
        <w:ind w:right="100"/>
        <w:spacing w:after="0" w:line="254" w:lineRule="auto"/>
        <w:rPr>
          <w:sz w:val="20"/>
          <w:szCs w:val="20"/>
          <w:color w:val="auto"/>
        </w:rPr>
      </w:pPr>
      <w:r>
        <w:rPr>
          <w:rFonts w:ascii="Times New Roman" w:cs="Times New Roman" w:eastAsia="Times New Roman" w:hAnsi="Times New Roman"/>
          <w:sz w:val="18"/>
          <w:szCs w:val="18"/>
          <w:color w:val="auto"/>
        </w:rPr>
        <w:t>commitment with a broker-dealer that is a member of the Financial Industry Regulatory Authority (a “</w:t>
      </w:r>
      <w:r>
        <w:rPr>
          <w:rFonts w:ascii="Times New Roman" w:cs="Times New Roman" w:eastAsia="Times New Roman" w:hAnsi="Times New Roman"/>
          <w:sz w:val="18"/>
          <w:szCs w:val="18"/>
          <w:b w:val="1"/>
          <w:bCs w:val="1"/>
          <w:i w:val="1"/>
          <w:iCs w:val="1"/>
          <w:color w:val="auto"/>
        </w:rPr>
        <w:t>FINRA Dealer</w:t>
      </w:r>
      <w:r>
        <w:rPr>
          <w:rFonts w:ascii="Times New Roman" w:cs="Times New Roman" w:eastAsia="Times New Roman" w:hAnsi="Times New Roman"/>
          <w:sz w:val="18"/>
          <w:szCs w:val="18"/>
          <w:color w:val="auto"/>
        </w:rPr>
        <w:t>”) whereby you irrevocably elect to sell a portion of the shares to be delivered under the Agreement to satisfy the Withholding Taxes and whereby the FINRA Dealer irrevocably commits to forward the proceeds necessary to satisfy the Withholding Taxes directly to the Company; or (iv) withholding shares of Common Stock from the shares of Common Stock issued or otherwise issuable to you in connection with the RSUs with a Fair Market Value (measured as of the date shares of Common Stock are issued to you pursuant to Section 5) equal to the amount of such Withholding Taxes; provided, however, that the number of such shares of Common Stock so withheld shall not exceed the amount necessary to satisfy the Company’s required tax withholding obligations using the minimum statutory withholding rates for federal, state, local and foreign tax purposes, including payroll taxes, that are applicable to supplemental taxable income. Unless the tax withholding obligations of the Company and/or any Affiliate are satisfied, the Company shall have no obligation to deliver to you any Common Stock. In the event the Company’s obligation to withhold arises prior to the delivery to you of Common Stock or it is determined after the delivery of Common Stock to you that the amount of the Company’s withholding obligation was greater than the amount withheld by the Company, you agree to indemnify and hold the Company harmless from any failure by the Company to withhold the proper amount.</w:t>
      </w:r>
    </w:p>
    <w:p>
      <w:pPr>
        <w:spacing w:after="0" w:line="146" w:lineRule="exact"/>
        <w:rPr>
          <w:sz w:val="20"/>
          <w:szCs w:val="20"/>
          <w:color w:val="auto"/>
        </w:rPr>
      </w:pPr>
    </w:p>
    <w:p>
      <w:pPr>
        <w:ind w:left="1020" w:hanging="263"/>
        <w:spacing w:after="0"/>
        <w:tabs>
          <w:tab w:leader="none" w:pos="1020" w:val="left"/>
        </w:tabs>
        <w:numPr>
          <w:ilvl w:val="0"/>
          <w:numId w:val="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Adjustments for Corporate Transactions and Other Events</w:t>
      </w:r>
      <w:r>
        <w:rPr>
          <w:rFonts w:ascii="Times New Roman" w:cs="Times New Roman" w:eastAsia="Times New Roman" w:hAnsi="Times New Roman"/>
          <w:sz w:val="18"/>
          <w:szCs w:val="18"/>
          <w:color w:val="auto"/>
        </w:rPr>
        <w:t>.</w:t>
      </w:r>
    </w:p>
    <w:p>
      <w:pPr>
        <w:spacing w:after="0" w:line="198" w:lineRule="exact"/>
        <w:rPr>
          <w:rFonts w:ascii="Times New Roman" w:cs="Times New Roman" w:eastAsia="Times New Roman" w:hAnsi="Times New Roman"/>
          <w:sz w:val="18"/>
          <w:szCs w:val="18"/>
          <w:color w:val="auto"/>
        </w:rPr>
      </w:pPr>
    </w:p>
    <w:p>
      <w:pPr>
        <w:ind w:right="160" w:firstLine="1505"/>
        <w:spacing w:after="0" w:line="261" w:lineRule="auto"/>
        <w:tabs>
          <w:tab w:leader="none" w:pos="2036" w:val="left"/>
        </w:tabs>
        <w:numPr>
          <w:ilvl w:val="1"/>
          <w:numId w:val="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Dividend, Stock Split and Reverse Stock Split</w:t>
      </w:r>
      <w:r>
        <w:rPr>
          <w:rFonts w:ascii="Times New Roman" w:cs="Times New Roman" w:eastAsia="Times New Roman" w:hAnsi="Times New Roman"/>
          <w:sz w:val="18"/>
          <w:szCs w:val="18"/>
          <w:color w:val="auto"/>
        </w:rPr>
        <w:t>. Upon a stock dividend of, or stock split or reverse stock split affecting, the Common Stock, the number of outstanding RSUs shall, without further action of the Administrator, be adjusted to reflect such event; provided, however, that any fractional RSUs resulting from any such adjustment shall be eliminated. Adjustments under this paragraph will be made by the Administrator, whose determination as to what adjustments, if any, will be made and the extent thereof will be final, binding and conclusive.</w:t>
      </w:r>
    </w:p>
    <w:p>
      <w:pPr>
        <w:spacing w:after="0" w:line="139" w:lineRule="exact"/>
        <w:rPr>
          <w:rFonts w:ascii="Times New Roman" w:cs="Times New Roman" w:eastAsia="Times New Roman" w:hAnsi="Times New Roman"/>
          <w:sz w:val="18"/>
          <w:szCs w:val="18"/>
          <w:color w:val="auto"/>
        </w:rPr>
      </w:pPr>
    </w:p>
    <w:p>
      <w:pPr>
        <w:ind w:right="20" w:firstLine="1505"/>
        <w:spacing w:after="0" w:line="255" w:lineRule="auto"/>
        <w:tabs>
          <w:tab w:leader="none" w:pos="2036" w:val="left"/>
        </w:tabs>
        <w:numPr>
          <w:ilvl w:val="1"/>
          <w:numId w:val="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Merger, Consolidation and Other Events</w:t>
      </w:r>
      <w:r>
        <w:rPr>
          <w:rFonts w:ascii="Times New Roman" w:cs="Times New Roman" w:eastAsia="Times New Roman" w:hAnsi="Times New Roman"/>
          <w:sz w:val="18"/>
          <w:szCs w:val="18"/>
          <w:color w:val="auto"/>
        </w:rPr>
        <w:t>. If the Company shall be the surviving or resulting corporation in any merger or consolidation and the Common Stock shall be converted into other securities, the RSUs shall pertain to and apply to the securities to which a holder of the number of shares of Common Stock subject to the RSUs would have been entitled. If the stockholders of the Company receive by reason of any distribution in total or partial liquidation or pursuant to any merger of the Company or acquisition of its assets, securities of another entity or other property (including cash), then the rights of the Company under this Agreement shall inure to the benefit of the Company’s successor, and this Agreement shall apply to the securities or other property (including cash) to which a holder of the number of shares of Common Stock subject to the RSUs would have been entitled, in the same manner and to the same extent as the RSUs.</w:t>
      </w:r>
    </w:p>
    <w:p>
      <w:pPr>
        <w:spacing w:after="0" w:line="148" w:lineRule="exact"/>
        <w:rPr>
          <w:rFonts w:ascii="Times New Roman" w:cs="Times New Roman" w:eastAsia="Times New Roman" w:hAnsi="Times New Roman"/>
          <w:sz w:val="18"/>
          <w:szCs w:val="18"/>
          <w:color w:val="auto"/>
        </w:rPr>
      </w:pPr>
    </w:p>
    <w:p>
      <w:pPr>
        <w:ind w:right="40" w:firstLine="757"/>
        <w:spacing w:after="0" w:line="258" w:lineRule="auto"/>
        <w:tabs>
          <w:tab w:leader="none" w:pos="1018" w:val="left"/>
        </w:tabs>
        <w:numPr>
          <w:ilvl w:val="0"/>
          <w:numId w:val="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Non-Guarantee of Employment or Service Relationship</w:t>
      </w:r>
      <w:r>
        <w:rPr>
          <w:rFonts w:ascii="Times New Roman" w:cs="Times New Roman" w:eastAsia="Times New Roman" w:hAnsi="Times New Roman"/>
          <w:sz w:val="18"/>
          <w:szCs w:val="18"/>
          <w:color w:val="auto"/>
        </w:rPr>
        <w:t>. Nothing in the Plan or this Agreement shall alter your at-will or other employment status or other service relationship with the Company, nor be construed as a contract of employment or service relationship between the Company and you, or as a contractual right of you to continue in the employ of, or in a service relationship with, the Company for any period of time, or as a limitation of the right of the Company to discharge you at any time with or without cause or notice and whether or not such discharge results in the forfeiture of any nonvested and forfeitable RSUs or any other adverse effect on your interests under the Plan.</w:t>
      </w:r>
    </w:p>
    <w:p>
      <w:pPr>
        <w:spacing w:after="0" w:line="156" w:lineRule="exact"/>
        <w:rPr>
          <w:rFonts w:ascii="Times New Roman" w:cs="Times New Roman" w:eastAsia="Times New Roman" w:hAnsi="Times New Roman"/>
          <w:sz w:val="18"/>
          <w:szCs w:val="18"/>
          <w:color w:val="auto"/>
        </w:rPr>
      </w:pPr>
    </w:p>
    <w:p>
      <w:pPr>
        <w:ind w:right="60" w:firstLine="757"/>
        <w:spacing w:after="0" w:line="282" w:lineRule="auto"/>
        <w:tabs>
          <w:tab w:leader="none" w:pos="1018" w:val="left"/>
        </w:tabs>
        <w:numPr>
          <w:ilvl w:val="0"/>
          <w:numId w:val="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Rights as Stockholder</w:t>
      </w:r>
      <w:r>
        <w:rPr>
          <w:rFonts w:ascii="Times New Roman" w:cs="Times New Roman" w:eastAsia="Times New Roman" w:hAnsi="Times New Roman"/>
          <w:sz w:val="18"/>
          <w:szCs w:val="18"/>
          <w:color w:val="auto"/>
        </w:rPr>
        <w:t>. You shall not have any of the rights of a stockholder with respect to any shares of Common Stock that may be issued in settlement of the RSUs until such shares of Common Stock have been issued to you.</w:t>
      </w:r>
    </w:p>
    <w:p>
      <w:pPr>
        <w:spacing w:after="0" w:line="121" w:lineRule="exact"/>
        <w:rPr>
          <w:rFonts w:ascii="Times New Roman" w:cs="Times New Roman" w:eastAsia="Times New Roman" w:hAnsi="Times New Roman"/>
          <w:sz w:val="18"/>
          <w:szCs w:val="18"/>
          <w:color w:val="auto"/>
        </w:rPr>
      </w:pPr>
    </w:p>
    <w:p>
      <w:pPr>
        <w:ind w:firstLine="757"/>
        <w:spacing w:after="0" w:line="258" w:lineRule="auto"/>
        <w:tabs>
          <w:tab w:leader="none" w:pos="1018" w:val="left"/>
        </w:tabs>
        <w:numPr>
          <w:ilvl w:val="0"/>
          <w:numId w:val="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The Company’s Rights</w:t>
      </w:r>
      <w:r>
        <w:rPr>
          <w:rFonts w:ascii="Times New Roman" w:cs="Times New Roman" w:eastAsia="Times New Roman" w:hAnsi="Times New Roman"/>
          <w:sz w:val="18"/>
          <w:szCs w:val="18"/>
          <w:color w:val="auto"/>
        </w:rPr>
        <w:t>. The existence of the RSUs shall not affect in any way the right or power of the Company or its stockholders to make or authorize any or all adjustments, recapitalizations, reorganizations, or other changes in the Company’s capital structure or its business, or any merger or consolidation of the Company, or any issue of bonds, debentures, preferred or other stocks with preference ahead of or convertible into, or otherwise affecting the Common Stock or the rights thereof, or the dissolution or liquidation of the Company, or any sale or transfer of all or any part of the Company’s assets or business, or any other corporate act or proceeding, whether of a similar character or otherwise.</w:t>
      </w:r>
    </w:p>
    <w:p>
      <w:pPr>
        <w:spacing w:after="0" w:line="142" w:lineRule="exact"/>
        <w:rPr>
          <w:rFonts w:ascii="Times New Roman" w:cs="Times New Roman" w:eastAsia="Times New Roman" w:hAnsi="Times New Roman"/>
          <w:sz w:val="18"/>
          <w:szCs w:val="18"/>
          <w:color w:val="auto"/>
        </w:rPr>
      </w:pPr>
    </w:p>
    <w:p>
      <w:pPr>
        <w:ind w:right="660" w:firstLine="757"/>
        <w:spacing w:after="0" w:line="282" w:lineRule="auto"/>
        <w:tabs>
          <w:tab w:leader="none" w:pos="1018" w:val="left"/>
        </w:tabs>
        <w:numPr>
          <w:ilvl w:val="0"/>
          <w:numId w:val="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Restrictions on Issuance of Shares</w:t>
      </w:r>
      <w:r>
        <w:rPr>
          <w:rFonts w:ascii="Times New Roman" w:cs="Times New Roman" w:eastAsia="Times New Roman" w:hAnsi="Times New Roman"/>
          <w:sz w:val="18"/>
          <w:szCs w:val="18"/>
          <w:color w:val="auto"/>
        </w:rPr>
        <w:t>. The issuance of shares of Common Stock upon settlement of the RSUs shall be subject to and in compliance with all applicable requirements of federal, state, or foreign law 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975995</wp:posOffset>
            </wp:positionV>
            <wp:extent cx="7157720" cy="42545"/>
            <wp:wrapNone/>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8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548" w:name="page549"/>
    <w:bookmarkEnd w:id="548"/>
    <w:p>
      <w:pPr>
        <w:ind w:right="40"/>
        <w:spacing w:after="0" w:line="255" w:lineRule="auto"/>
        <w:rPr>
          <w:sz w:val="20"/>
          <w:szCs w:val="20"/>
          <w:color w:val="auto"/>
        </w:rPr>
      </w:pPr>
      <w:r>
        <w:rPr>
          <w:rFonts w:ascii="Times New Roman" w:cs="Times New Roman" w:eastAsia="Times New Roman" w:hAnsi="Times New Roman"/>
          <w:sz w:val="18"/>
          <w:szCs w:val="18"/>
          <w:color w:val="auto"/>
        </w:rPr>
        <w:t>respect to such securities. No shares of Common Stock may be issued hereunder if the issuance of such shares would constitute a violation of any applicable federal, state, or foreign securities laws or other law or regulations or the requirements of any stock exchange or market system upon which the Common Stock may then be listed. The inability of the Company to obtain from any regulatory body having jurisdiction the authority, if any, deemed by the Company’s legal counsel to be necessary to the lawful issuance of any shares subject to the RSUs shall relieve the Company of any liability in respect of the failure to issue such shares as to which such requisite authority shall not have been obtained. As a condition to the settlement of the RSUs, the Company may require you to satisfy any qualifications that may be necessary or appropriate, to evidence compliance with any applicable law or regulation, and to make any representation or warranty with respect thereto as may be requested by the Company.</w:t>
      </w:r>
    </w:p>
    <w:p>
      <w:pPr>
        <w:spacing w:after="0" w:line="148" w:lineRule="exact"/>
        <w:rPr>
          <w:sz w:val="20"/>
          <w:szCs w:val="20"/>
          <w:color w:val="auto"/>
        </w:rPr>
      </w:pPr>
    </w:p>
    <w:p>
      <w:pPr>
        <w:ind w:firstLine="757"/>
        <w:spacing w:after="0" w:line="254" w:lineRule="auto"/>
        <w:tabs>
          <w:tab w:leader="none" w:pos="1018" w:val="left"/>
        </w:tabs>
        <w:numPr>
          <w:ilvl w:val="0"/>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notices and other communications made or given pursuant to this Agreement shall be given in writing and shall be deemed effectively given upon receipt or, in the case of notices delivered by the Company to you, five (5) days after deposit in the United States mail, postage prepaid, addressed to you at the last address you provided to the Company, or in the case of notices delivered to the Company by you, addressed to the Administrator, care of the Company for the attention of its Secretary at its principal executive office or, in either case, if the receiving party consents in advance, transmitted and received via telecopy or via such other electronic transmission mechanism as may be available to the parties. Notwithstanding the foregoing, the Company may, in its sole discretion, decide to deliver any documents related to participation in the Plan and this award of RSUs by electronic means or to request your consent to participate in the Plan or accept this award of RSUs by electronic means. You hereby consent to receive such documents by electronic delivery and, if requested, to agree to participate in the Plan through an on-line or electronic system established and maintained by the Company or another third party designated by the Company.</w:t>
      </w:r>
    </w:p>
    <w:p>
      <w:pPr>
        <w:spacing w:after="0" w:line="161" w:lineRule="exact"/>
        <w:rPr>
          <w:rFonts w:ascii="Times New Roman" w:cs="Times New Roman" w:eastAsia="Times New Roman" w:hAnsi="Times New Roman"/>
          <w:sz w:val="18"/>
          <w:szCs w:val="18"/>
          <w:color w:val="auto"/>
        </w:rPr>
      </w:pPr>
    </w:p>
    <w:p>
      <w:pPr>
        <w:ind w:right="180" w:firstLine="757"/>
        <w:spacing w:after="0" w:line="266" w:lineRule="auto"/>
        <w:tabs>
          <w:tab w:leader="none" w:pos="1018" w:val="left"/>
        </w:tabs>
        <w:numPr>
          <w:ilvl w:val="0"/>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Agreement, together with the relevant Notice and the Plan, contain the entire agreement between the parties with respect to the RSUs granted hereunder. Any oral or written agreements, representations, warranties, written inducements, or other communications made prior to the execution of this Agreement with respect to the RSUs granted hereunder shall be void and ineffective for all purposes.</w:t>
      </w:r>
    </w:p>
    <w:p>
      <w:pPr>
        <w:spacing w:after="0" w:line="135" w:lineRule="exact"/>
        <w:rPr>
          <w:rFonts w:ascii="Times New Roman" w:cs="Times New Roman" w:eastAsia="Times New Roman" w:hAnsi="Times New Roman"/>
          <w:sz w:val="18"/>
          <w:szCs w:val="18"/>
          <w:color w:val="auto"/>
        </w:rPr>
      </w:pPr>
    </w:p>
    <w:p>
      <w:pPr>
        <w:ind w:right="80" w:firstLine="757"/>
        <w:spacing w:after="0" w:line="266" w:lineRule="auto"/>
        <w:tabs>
          <w:tab w:leader="none" w:pos="1018" w:val="left"/>
        </w:tabs>
        <w:numPr>
          <w:ilvl w:val="0"/>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xml:space="preserve">. This Agreement may be amended from time to time by the Administrator in its discretion;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this Agreement may not be modified in a manner that would have a materially adverse effect on the RSUs as determined in the discretion of the Administrator, except as provided in the Plan or in a written document signed by each of the parties hereto.</w:t>
      </w:r>
    </w:p>
    <w:p>
      <w:pPr>
        <w:spacing w:after="0" w:line="135" w:lineRule="exact"/>
        <w:rPr>
          <w:rFonts w:ascii="Times New Roman" w:cs="Times New Roman" w:eastAsia="Times New Roman" w:hAnsi="Times New Roman"/>
          <w:sz w:val="18"/>
          <w:szCs w:val="18"/>
          <w:color w:val="auto"/>
        </w:rPr>
      </w:pPr>
    </w:p>
    <w:p>
      <w:pPr>
        <w:ind w:right="40" w:firstLine="757"/>
        <w:spacing w:after="0" w:line="253" w:lineRule="auto"/>
        <w:tabs>
          <w:tab w:leader="none" w:pos="1018" w:val="left"/>
        </w:tabs>
        <w:numPr>
          <w:ilvl w:val="0"/>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Recoupment Policy</w:t>
      </w:r>
      <w:r>
        <w:rPr>
          <w:rFonts w:ascii="Times New Roman" w:cs="Times New Roman" w:eastAsia="Times New Roman" w:hAnsi="Times New Roman"/>
          <w:sz w:val="18"/>
          <w:szCs w:val="18"/>
          <w:color w:val="auto"/>
        </w:rPr>
        <w:t>. You agree that, subject to the requirements of applicable law, if you breach any restrictive covenant agreement between you and the Company or any of its Affiliates or you otherwise engage in activities that constitute Cause either while employed by, or providing service to, the Company or any of its Affiliates or within two years thereafter, the RSUs shall terminate, and the Company may rescind any delivery of shares upon vesting or settlement, as applicable on such terms as the Board or Compensation Committee shall determine, including the right to require that in the event of any such rescission, (a) you shall return to the Company the shares received upon settlement of any RSUs or, (b) if you no longer owns the shares, you shall pay to the Company the amount of any gain realized or payment received as a result of any sale or other disposition of the shares (or, in the event you transfer the shares by gift or otherwise without consideration, the Fair Market Value of the shares on the date of the breach of any restrictive covenant agreement or activity constituting Cause). You agree that payment shall be made in such manner and on such terms and conditions as may be required by the Board or Compensation Committee and you shall be entitled to set off against the amount of any such payment any amounts otherwise owed to you by the Company. In addition, you agree that the RSUs shall be subject to any applicable clawback or recoupment policies, share trading policies and other policies that may be implemented by the Board from time to time.</w:t>
      </w:r>
    </w:p>
    <w:p>
      <w:pPr>
        <w:spacing w:after="0" w:line="164" w:lineRule="exact"/>
        <w:rPr>
          <w:rFonts w:ascii="Times New Roman" w:cs="Times New Roman" w:eastAsia="Times New Roman" w:hAnsi="Times New Roman"/>
          <w:sz w:val="18"/>
          <w:szCs w:val="18"/>
          <w:color w:val="auto"/>
        </w:rPr>
      </w:pPr>
    </w:p>
    <w:p>
      <w:pPr>
        <w:ind w:right="100" w:firstLine="757"/>
        <w:spacing w:after="0" w:line="256" w:lineRule="auto"/>
        <w:tabs>
          <w:tab w:leader="none" w:pos="1018" w:val="left"/>
        </w:tabs>
        <w:numPr>
          <w:ilvl w:val="0"/>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409A</w:t>
      </w:r>
      <w:r>
        <w:rPr>
          <w:rFonts w:ascii="Times New Roman" w:cs="Times New Roman" w:eastAsia="Times New Roman" w:hAnsi="Times New Roman"/>
          <w:sz w:val="18"/>
          <w:szCs w:val="18"/>
          <w:color w:val="auto"/>
        </w:rPr>
        <w:t>. This Agreement and the RSUs granted hereunder are intended to fit within the “short-term deferral” exemption from Section 409A of the Code as set forth in Treasury Regulation Section 1.409A-1(b)(4) or comply with Section 409A of the Code. In administering this Agreement, the Company shall interpret this Agreement in a manner consistent with such exemption or with Section 409A to the extent applicable. Notwithstanding the foregoing, if it is determined that the RSUs fail to satisfy the requirements of the short-term deferral rule and are otherwise deferred compensation subject to Section 409A, and if you are a “Specified Employee” (within the meaning set forth Section 409A(a)(2)(B)(i) of the Code) as of the date of your separation from service (within the meaning of Treasury Regulation Section 1.409A-1(h)), then the issuance of any shares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983615</wp:posOffset>
            </wp:positionV>
            <wp:extent cx="7157720" cy="42545"/>
            <wp:wrapNone/>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8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549" w:name="page550"/>
    <w:bookmarkEnd w:id="549"/>
    <w:p>
      <w:pPr>
        <w:ind w:right="40"/>
        <w:spacing w:after="0" w:line="258" w:lineRule="auto"/>
        <w:rPr>
          <w:sz w:val="20"/>
          <w:szCs w:val="20"/>
          <w:color w:val="auto"/>
        </w:rPr>
      </w:pPr>
      <w:r>
        <w:rPr>
          <w:rFonts w:ascii="Times New Roman" w:cs="Times New Roman" w:eastAsia="Times New Roman" w:hAnsi="Times New Roman"/>
          <w:sz w:val="18"/>
          <w:szCs w:val="18"/>
          <w:color w:val="auto"/>
        </w:rPr>
        <w:t>would otherwise be made upon the date of the separation from service or within the first six (6) months thereafter will not be made on the originally scheduled date(s) and will instead be issued in a lump sum on the date that is six (6) months and one day after the date of the separation from service, but if and only if such delay in the issuance of the shares is necessary to avoid the imposition of additional taxation on you in respect of the shares under Section 409A of the Code. Each installment of shares that vests and is settled is intended to constitute a “separate payment” for purposes of Section 409A of the Code and Treasury Regulation Section 1.409A-2(b)(2).</w:t>
      </w:r>
    </w:p>
    <w:p>
      <w:pPr>
        <w:spacing w:after="0" w:line="143" w:lineRule="exact"/>
        <w:rPr>
          <w:sz w:val="20"/>
          <w:szCs w:val="20"/>
          <w:color w:val="auto"/>
        </w:rPr>
      </w:pPr>
    </w:p>
    <w:p>
      <w:pPr>
        <w:jc w:val="both"/>
        <w:ind w:right="160" w:firstLine="757"/>
        <w:spacing w:after="0" w:line="261" w:lineRule="auto"/>
        <w:tabs>
          <w:tab w:leader="none" w:pos="1018" w:val="left"/>
        </w:tabs>
        <w:numPr>
          <w:ilvl w:val="0"/>
          <w:numId w:val="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Obligation to Minimize Taxes</w:t>
      </w:r>
      <w:r>
        <w:rPr>
          <w:rFonts w:ascii="Times New Roman" w:cs="Times New Roman" w:eastAsia="Times New Roman" w:hAnsi="Times New Roman"/>
          <w:sz w:val="18"/>
          <w:szCs w:val="18"/>
          <w:color w:val="auto"/>
        </w:rPr>
        <w:t>. The Company has no duty or obligation to minimize the tax consequences to you of this award of RSUs and shall not be liable to you for any adverse tax consequences to you arising in connection with this award. You are hereby advised to consult with your own personal tax, financial and/or legal advisors regarding the tax consequences of this award and by signing the Notice, you have agreed that you have done so or knowingly and voluntarily declined to do so.</w:t>
      </w:r>
    </w:p>
    <w:p>
      <w:pPr>
        <w:spacing w:after="0" w:line="152" w:lineRule="exact"/>
        <w:rPr>
          <w:rFonts w:ascii="Times New Roman" w:cs="Times New Roman" w:eastAsia="Times New Roman" w:hAnsi="Times New Roman"/>
          <w:sz w:val="18"/>
          <w:szCs w:val="18"/>
          <w:color w:val="auto"/>
        </w:rPr>
      </w:pPr>
    </w:p>
    <w:p>
      <w:pPr>
        <w:ind w:right="280" w:firstLine="757"/>
        <w:spacing w:after="0" w:line="266" w:lineRule="auto"/>
        <w:tabs>
          <w:tab w:leader="none" w:pos="1018" w:val="left"/>
        </w:tabs>
        <w:numPr>
          <w:ilvl w:val="0"/>
          <w:numId w:val="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Conformity with Plan</w:t>
      </w:r>
      <w:r>
        <w:rPr>
          <w:rFonts w:ascii="Times New Roman" w:cs="Times New Roman" w:eastAsia="Times New Roman" w:hAnsi="Times New Roman"/>
          <w:sz w:val="18"/>
          <w:szCs w:val="18"/>
          <w:color w:val="auto"/>
        </w:rPr>
        <w:t>. This Agreement is intended to conform in all respects with, and is subject to all applicable provisions of, the Plan. Inconsistencies between this Agreement and the Plan shall be resolved in accordance with the terms of the Plan. In the event of any ambiguity in this Agreement or any matters as to which this Agreement is silent, the Plan shall govern. A copy of the Plan is available upon request to the Administrator.</w:t>
      </w:r>
    </w:p>
    <w:p>
      <w:pPr>
        <w:spacing w:after="0" w:line="135" w:lineRule="exact"/>
        <w:rPr>
          <w:rFonts w:ascii="Times New Roman" w:cs="Times New Roman" w:eastAsia="Times New Roman" w:hAnsi="Times New Roman"/>
          <w:sz w:val="18"/>
          <w:szCs w:val="18"/>
          <w:color w:val="auto"/>
        </w:rPr>
      </w:pPr>
    </w:p>
    <w:p>
      <w:pPr>
        <w:ind w:right="460" w:firstLine="757"/>
        <w:spacing w:after="0" w:line="282" w:lineRule="auto"/>
        <w:tabs>
          <w:tab w:leader="none" w:pos="1018" w:val="left"/>
        </w:tabs>
        <w:numPr>
          <w:ilvl w:val="0"/>
          <w:numId w:val="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Funding</w:t>
      </w:r>
      <w:r>
        <w:rPr>
          <w:rFonts w:ascii="Times New Roman" w:cs="Times New Roman" w:eastAsia="Times New Roman" w:hAnsi="Times New Roman"/>
          <w:sz w:val="18"/>
          <w:szCs w:val="18"/>
          <w:color w:val="auto"/>
        </w:rPr>
        <w:t>. This Agreement constitutes an unfunded and unsecured promise by the Company to issue shares of Common Stock in the future in accordance with its terms. You have the status of a general unsecured creditor of the Company as a result of receiving the grant of RSUs.</w:t>
      </w:r>
    </w:p>
    <w:p>
      <w:pPr>
        <w:spacing w:after="0" w:line="121" w:lineRule="exact"/>
        <w:rPr>
          <w:rFonts w:ascii="Times New Roman" w:cs="Times New Roman" w:eastAsia="Times New Roman" w:hAnsi="Times New Roman"/>
          <w:sz w:val="18"/>
          <w:szCs w:val="18"/>
          <w:color w:val="auto"/>
        </w:rPr>
      </w:pPr>
    </w:p>
    <w:p>
      <w:pPr>
        <w:jc w:val="both"/>
        <w:ind w:right="20" w:firstLine="757"/>
        <w:spacing w:after="0" w:line="261" w:lineRule="auto"/>
        <w:tabs>
          <w:tab w:leader="none" w:pos="1018" w:val="left"/>
        </w:tabs>
        <w:numPr>
          <w:ilvl w:val="0"/>
          <w:numId w:val="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 on Other Employee Benefit Plans</w:t>
      </w:r>
      <w:r>
        <w:rPr>
          <w:rFonts w:ascii="Times New Roman" w:cs="Times New Roman" w:eastAsia="Times New Roman" w:hAnsi="Times New Roman"/>
          <w:sz w:val="18"/>
          <w:szCs w:val="18"/>
          <w:color w:val="auto"/>
        </w:rPr>
        <w:t>. The value of the RSUs subject to this Agreement shall not be included as compensation, earnings, salaries, or other similar terms used when calculating your benefits under any employee benefit plan sponsored by the Company or any Affiliate, except as such plan otherwise expressly provides. The Company expressly reserves its rights to amend, modify, or terminate any of the Company’s or any Affiliate’s employee benefit plans.</w:t>
      </w:r>
    </w:p>
    <w:p>
      <w:pPr>
        <w:spacing w:after="0" w:line="152" w:lineRule="exact"/>
        <w:rPr>
          <w:rFonts w:ascii="Times New Roman" w:cs="Times New Roman" w:eastAsia="Times New Roman" w:hAnsi="Times New Roman"/>
          <w:sz w:val="18"/>
          <w:szCs w:val="18"/>
          <w:color w:val="auto"/>
        </w:rPr>
      </w:pPr>
    </w:p>
    <w:p>
      <w:pPr>
        <w:ind w:right="20" w:firstLine="757"/>
        <w:spacing w:after="0" w:line="255" w:lineRule="auto"/>
        <w:tabs>
          <w:tab w:leader="none" w:pos="1018" w:val="left"/>
        </w:tabs>
        <w:numPr>
          <w:ilvl w:val="0"/>
          <w:numId w:val="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The validity, construction and effect of this Agreement, and of any determinations or decisions made by the Administrator relating to this Agreement, and the rights of any and all persons having or claiming to have any interest under this Agreement, shall be determined exclusively in accordance with the laws of the State of Delaware, without regard to its provisions concerning the applicability of laws of other jurisdictions. As a condition of this Agreement, you agree that you will not bring any action arising under, as a result of, pursuant to or relating to, this Agreement in any court other than a federal or state court in the districts which include Delaware, and you hereby agree and submit to the personal jurisdiction of any federal court located in the district which includes Delaware or any state court in the district which includes Delaware. You further agree that you will not deny or attempt to defeat such personal jurisdiction or object to venue by motion or other request for leave from any such court.</w:t>
      </w:r>
    </w:p>
    <w:p>
      <w:pPr>
        <w:spacing w:after="0" w:line="148" w:lineRule="exact"/>
        <w:rPr>
          <w:rFonts w:ascii="Times New Roman" w:cs="Times New Roman" w:eastAsia="Times New Roman" w:hAnsi="Times New Roman"/>
          <w:sz w:val="18"/>
          <w:szCs w:val="18"/>
          <w:color w:val="auto"/>
        </w:rPr>
      </w:pPr>
    </w:p>
    <w:p>
      <w:pPr>
        <w:ind w:firstLine="757"/>
        <w:spacing w:after="0" w:line="254" w:lineRule="auto"/>
        <w:tabs>
          <w:tab w:leader="none" w:pos="1018" w:val="left"/>
        </w:tabs>
        <w:numPr>
          <w:ilvl w:val="0"/>
          <w:numId w:val="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Resolution of Disputes</w:t>
      </w:r>
      <w:r>
        <w:rPr>
          <w:rFonts w:ascii="Times New Roman" w:cs="Times New Roman" w:eastAsia="Times New Roman" w:hAnsi="Times New Roman"/>
          <w:sz w:val="18"/>
          <w:szCs w:val="18"/>
          <w:color w:val="auto"/>
        </w:rPr>
        <w:t>. Any dispute or disagreement which shall arise under, or as a result of, or pursuant to or relating to, this Agreement shall be determined by the Administrator in good faith in its absolute and uncontrolled discretion, and any such determination or any other determination by the Administrator under or pursuant to this Agreement and any interpretation by the Administrator of the terms of this Agreement, will be final, binding and conclusive on all persons affected thereby. You agree that before you may bring any legal action arising under, as a result of, pursuant to or relating to, this Agreement you will first exhaust your administrative remedies before the Administrator. You further agree that in the event that the Administrator does not resolve any dispute or disagreement arising under, as a result of, pursuant to or relating to, this Agreement to your satisfaction, no legal action may be commenced or maintained relating to this Agreement more than twenty-four (24) months after the Administrator’s decision, and any such legal action shall be subject to, and must be brought in accordance with, any Dispute Resolution Protocol which you previously entered into in connection with your employment with Company or any of its Affiliates, which agreement is incorporated herein by reference as if fully restated herein.</w:t>
      </w:r>
    </w:p>
    <w:p>
      <w:pPr>
        <w:spacing w:after="0" w:line="147" w:lineRule="exact"/>
        <w:rPr>
          <w:rFonts w:ascii="Times New Roman" w:cs="Times New Roman" w:eastAsia="Times New Roman" w:hAnsi="Times New Roman"/>
          <w:sz w:val="18"/>
          <w:szCs w:val="18"/>
          <w:color w:val="auto"/>
        </w:rPr>
      </w:pPr>
    </w:p>
    <w:p>
      <w:pPr>
        <w:ind w:left="1020" w:hanging="263"/>
        <w:spacing w:after="0"/>
        <w:tabs>
          <w:tab w:leader="none" w:pos="1020" w:val="left"/>
        </w:tabs>
        <w:numPr>
          <w:ilvl w:val="0"/>
          <w:numId w:val="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headings in this Agreement are for reference purposes only and shall not affect the meaning or interpretation of this</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Agreement.</w:t>
      </w:r>
    </w:p>
    <w:p>
      <w:pPr>
        <w:spacing w:after="0" w:line="179" w:lineRule="exact"/>
        <w:rPr>
          <w:rFonts w:ascii="Times New Roman" w:cs="Times New Roman" w:eastAsia="Times New Roman" w:hAnsi="Times New Roman"/>
          <w:sz w:val="18"/>
          <w:szCs w:val="18"/>
          <w:color w:val="auto"/>
        </w:rPr>
      </w:pPr>
    </w:p>
    <w:p>
      <w:pPr>
        <w:ind w:right="140" w:firstLine="757"/>
        <w:spacing w:after="0" w:line="282" w:lineRule="auto"/>
        <w:tabs>
          <w:tab w:leader="none" w:pos="1018" w:val="left"/>
        </w:tabs>
        <w:numPr>
          <w:ilvl w:val="0"/>
          <w:numId w:val="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Electronic Delivery of Documents</w:t>
      </w:r>
      <w:r>
        <w:rPr>
          <w:rFonts w:ascii="Times New Roman" w:cs="Times New Roman" w:eastAsia="Times New Roman" w:hAnsi="Times New Roman"/>
          <w:sz w:val="18"/>
          <w:szCs w:val="18"/>
          <w:color w:val="auto"/>
        </w:rPr>
        <w:t>. By your signing the Notice, you (i) consent to the electronic delivery of this Agreement, all information with respect to the Plan and the RSUs, and any reports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967105</wp:posOffset>
            </wp:positionV>
            <wp:extent cx="7157720" cy="42545"/>
            <wp:wrapNone/>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8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550" w:name="page551"/>
    <w:bookmarkEnd w:id="550"/>
    <w:p>
      <w:pPr>
        <w:jc w:val="both"/>
        <w:ind w:right="180"/>
        <w:spacing w:after="0" w:line="261" w:lineRule="auto"/>
        <w:rPr>
          <w:sz w:val="20"/>
          <w:szCs w:val="20"/>
          <w:color w:val="auto"/>
        </w:rPr>
      </w:pPr>
      <w:r>
        <w:rPr>
          <w:rFonts w:ascii="Times New Roman" w:cs="Times New Roman" w:eastAsia="Times New Roman" w:hAnsi="Times New Roman"/>
          <w:sz w:val="18"/>
          <w:szCs w:val="18"/>
          <w:color w:val="auto"/>
        </w:rPr>
        <w:t>provided generally to the Company’s stockholders; (ii) acknowledge that you may receive from the Company a paper copy of any documents delivered electronically at no cost to you by contacting the Company by telephone or in writing; (iii) further acknowledge that you may revoke your consent to the electronic delivery of documents at any time by notifying the Company of such revoked consent by telephone, postal service or electronic mail; and (iv) further acknowledge that you understand that you are not required to consent to electronic delivery of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5379720</wp:posOffset>
            </wp:positionH>
            <wp:positionV relativeFrom="paragraph">
              <wp:posOffset>-448310</wp:posOffset>
            </wp:positionV>
            <wp:extent cx="28575" cy="8255"/>
            <wp:wrapNone/>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807">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119" w:lineRule="exact"/>
        <w:rPr>
          <w:sz w:val="20"/>
          <w:szCs w:val="20"/>
          <w:color w:val="auto"/>
        </w:rPr>
      </w:pPr>
    </w:p>
    <w:p>
      <w:pPr>
        <w:ind w:firstLine="757"/>
        <w:spacing w:after="0" w:line="253" w:lineRule="auto"/>
        <w:tabs>
          <w:tab w:leader="none" w:pos="1018" w:val="left"/>
        </w:tabs>
        <w:numPr>
          <w:ilvl w:val="0"/>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Future Entitlement</w:t>
      </w:r>
      <w:r>
        <w:rPr>
          <w:rFonts w:ascii="Times New Roman" w:cs="Times New Roman" w:eastAsia="Times New Roman" w:hAnsi="Times New Roman"/>
          <w:sz w:val="18"/>
          <w:szCs w:val="18"/>
          <w:color w:val="auto"/>
        </w:rPr>
        <w:t>. By your signing the Notice, you acknowledge and agree that: (i) the grant of a restricted stock unit award is a one-time benefit which does not create any contractual or other right to receive future grants of restricted stock units, or compensation in lieu of restricted stock units, even if restricted stock units have been granted repeatedly in the past; (ii) all determinations with respect to any such future grants and the terms thereof will be at the sole discretion of the Administrator; (iii) the value of the restricted stock units is an extraordinary item of compensation which is outside the scope of your employment contract, if any; (iv) the value of the restricted stock units is not part of normal or expected compensation or salary for any purpose, including, but not limited to, calculating any termination, severance, resignation, redundancy, end of service payments or similar payments, or bonuses, long-service awards, pension or retirement benefits; (v) the vesting of the restricted stock units ceases upon termination of Service with the Company or transfer of employment from the Company, or other cessation of eligibility for any reason, except as may otherwise be explicitly provided in this Agreement; (vi) the Company does not guarantee any future value of the restricted stock units; and (vii) no claim or entitlement to compensation or damages arises if the restricted stock units decrease or do not increase in value and you irrevocably release the Company from any such claim that does arise.</w:t>
      </w:r>
    </w:p>
    <w:p>
      <w:pPr>
        <w:spacing w:after="0" w:line="164" w:lineRule="exact"/>
        <w:rPr>
          <w:rFonts w:ascii="Times New Roman" w:cs="Times New Roman" w:eastAsia="Times New Roman" w:hAnsi="Times New Roman"/>
          <w:sz w:val="18"/>
          <w:szCs w:val="18"/>
          <w:color w:val="auto"/>
        </w:rPr>
      </w:pPr>
    </w:p>
    <w:p>
      <w:pPr>
        <w:ind w:right="40" w:firstLine="757"/>
        <w:spacing w:after="0" w:line="252" w:lineRule="auto"/>
        <w:tabs>
          <w:tab w:leader="none" w:pos="1018" w:val="left"/>
        </w:tabs>
        <w:numPr>
          <w:ilvl w:val="0"/>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Personal Data</w:t>
      </w:r>
      <w:r>
        <w:rPr>
          <w:rFonts w:ascii="Times New Roman" w:cs="Times New Roman" w:eastAsia="Times New Roman" w:hAnsi="Times New Roman"/>
          <w:sz w:val="18"/>
          <w:szCs w:val="18"/>
          <w:color w:val="auto"/>
        </w:rPr>
        <w:t>. For purposes of the implementation, administration and management of the restricted stock units or the effectuation of any acquisition, equity or debt financing, joint venture, merger, reorganization, consolidation, recapitalization, business combination, liquidation, dissolution, share exchange, sale of stock, sale of material assets or other similar corporate transaction involving the Company (a “</w:t>
      </w:r>
      <w:r>
        <w:rPr>
          <w:rFonts w:ascii="Times New Roman" w:cs="Times New Roman" w:eastAsia="Times New Roman" w:hAnsi="Times New Roman"/>
          <w:sz w:val="18"/>
          <w:szCs w:val="18"/>
          <w:b w:val="1"/>
          <w:bCs w:val="1"/>
          <w:i w:val="1"/>
          <w:iCs w:val="1"/>
          <w:color w:val="auto"/>
        </w:rPr>
        <w:t>Corporate Transaction</w:t>
      </w:r>
      <w:r>
        <w:rPr>
          <w:rFonts w:ascii="Times New Roman" w:cs="Times New Roman" w:eastAsia="Times New Roman" w:hAnsi="Times New Roman"/>
          <w:sz w:val="18"/>
          <w:szCs w:val="18"/>
          <w:color w:val="auto"/>
        </w:rPr>
        <w:t>”), you consent, by execution of the Notice, to the collection, receipt, use, retention and transfer, in electronic or other form, of your personal data by and among the Company and its third party vendors or any potential party to a potential Corporate Transaction. You understand that personal data (including but not limited to, name, home address, telephone number, employee number, employment status, social security number, tax identification number, date of birth, nationality, job and payroll location, data for tax withholding purposes and shares awarded, cancelled, vested and unvested) may be transferred to third parties assisting in the implementation, administration and management of the restricted stock units or the effectuation of a Corporate Transaction and you expressly authorize such transfer as well as the retention, use, and the subsequent transfer of the data by the recipient(s). You understand that these recipients may be located in your country or elsewhere, and that the recipient’s country may have different data privacy laws and protections than your country. You understand that data will be held only as long as is necessary to implement, administer and manage the restricted stock units or effect a Corporate Transaction. You understand that you may, at any time, request a list with the names and addresses of any potential recipients of the personal data, view data, request additional information about the storage and processing of data, require any necessary amendments to data or refuse or withdraw the consents herein, in any case without cost, by contacting in writing the Company’s Secretary. You understand, however, that refusing or withdrawing your consent may affect your ability to accept a restricted stock unit award.</w:t>
      </w:r>
    </w:p>
    <w:p>
      <w:pPr>
        <w:spacing w:after="0" w:line="15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Glossary begins on next page</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1009015</wp:posOffset>
            </wp:positionV>
            <wp:extent cx="7157720" cy="42545"/>
            <wp:wrapNone/>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8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17" w:right="399" w:bottom="1440" w:gutter="0" w:footer="0" w:header="0"/>
        </w:sectPr>
      </w:pPr>
    </w:p>
    <w:bookmarkStart w:id="551" w:name="page552"/>
    <w:bookmarkEnd w:id="551"/>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GLOSSARY</w:t>
      </w:r>
    </w:p>
    <w:p>
      <w:pPr>
        <w:spacing w:after="0" w:line="185" w:lineRule="exact"/>
        <w:rPr>
          <w:sz w:val="20"/>
          <w:szCs w:val="20"/>
          <w:color w:val="auto"/>
        </w:rPr>
      </w:pPr>
    </w:p>
    <w:p>
      <w:pPr>
        <w:ind w:left="2040" w:hanging="535"/>
        <w:spacing w:after="0"/>
        <w:tabs>
          <w:tab w:leader="none" w:pos="2040" w:val="left"/>
        </w:tabs>
        <w:numPr>
          <w:ilvl w:val="0"/>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Administrator</w:t>
      </w:r>
      <w:r>
        <w:rPr>
          <w:rFonts w:ascii="Times New Roman" w:cs="Times New Roman" w:eastAsia="Times New Roman" w:hAnsi="Times New Roman"/>
          <w:sz w:val="18"/>
          <w:szCs w:val="18"/>
          <w:color w:val="auto"/>
        </w:rPr>
        <w:t>” shall have the meaning set forth in the Plan.</w:t>
      </w:r>
    </w:p>
    <w:p>
      <w:pPr>
        <w:spacing w:after="0" w:line="198" w:lineRule="exact"/>
        <w:rPr>
          <w:rFonts w:ascii="Times New Roman" w:cs="Times New Roman" w:eastAsia="Times New Roman" w:hAnsi="Times New Roman"/>
          <w:sz w:val="18"/>
          <w:szCs w:val="18"/>
          <w:color w:val="auto"/>
        </w:rPr>
      </w:pPr>
    </w:p>
    <w:p>
      <w:pPr>
        <w:ind w:left="2040" w:hanging="535"/>
        <w:spacing w:after="0"/>
        <w:tabs>
          <w:tab w:leader="none" w:pos="2040" w:val="left"/>
        </w:tabs>
        <w:numPr>
          <w:ilvl w:val="0"/>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Affiliate</w:t>
      </w:r>
      <w:r>
        <w:rPr>
          <w:rFonts w:ascii="Times New Roman" w:cs="Times New Roman" w:eastAsia="Times New Roman" w:hAnsi="Times New Roman"/>
          <w:sz w:val="18"/>
          <w:szCs w:val="18"/>
          <w:color w:val="auto"/>
        </w:rPr>
        <w:t>” shall have the meaning set forth in the Plan.</w:t>
      </w:r>
    </w:p>
    <w:p>
      <w:pPr>
        <w:spacing w:after="0" w:line="184" w:lineRule="exact"/>
        <w:rPr>
          <w:rFonts w:ascii="Times New Roman" w:cs="Times New Roman" w:eastAsia="Times New Roman" w:hAnsi="Times New Roman"/>
          <w:sz w:val="18"/>
          <w:szCs w:val="18"/>
          <w:color w:val="auto"/>
        </w:rPr>
      </w:pPr>
    </w:p>
    <w:p>
      <w:pPr>
        <w:ind w:left="2040" w:hanging="535"/>
        <w:spacing w:after="0"/>
        <w:tabs>
          <w:tab w:leader="none" w:pos="2040" w:val="left"/>
        </w:tabs>
        <w:numPr>
          <w:ilvl w:val="0"/>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means this document, as amended from time to time, together with the Plan which is incorporated herein by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reference.</w:t>
      </w:r>
    </w:p>
    <w:p>
      <w:pPr>
        <w:spacing w:after="0" w:line="162" w:lineRule="exact"/>
        <w:rPr>
          <w:sz w:val="20"/>
          <w:szCs w:val="20"/>
          <w:color w:val="auto"/>
        </w:rPr>
      </w:pPr>
    </w:p>
    <w:p>
      <w:pPr>
        <w:ind w:left="2040" w:hanging="535"/>
        <w:spacing w:after="0"/>
        <w:tabs>
          <w:tab w:leader="none" w:pos="2040" w:val="left"/>
        </w:tabs>
        <w:numPr>
          <w:ilvl w:val="0"/>
          <w:numId w:val="2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Cause</w:t>
      </w:r>
      <w:r>
        <w:rPr>
          <w:rFonts w:ascii="Times New Roman" w:cs="Times New Roman" w:eastAsia="Times New Roman" w:hAnsi="Times New Roman"/>
          <w:sz w:val="18"/>
          <w:szCs w:val="18"/>
          <w:color w:val="auto"/>
        </w:rPr>
        <w:t>” shall have the meaning set forth in the Plan.</w:t>
      </w:r>
    </w:p>
    <w:p>
      <w:pPr>
        <w:spacing w:after="0" w:line="198" w:lineRule="exact"/>
        <w:rPr>
          <w:rFonts w:ascii="Times New Roman" w:cs="Times New Roman" w:eastAsia="Times New Roman" w:hAnsi="Times New Roman"/>
          <w:sz w:val="18"/>
          <w:szCs w:val="18"/>
          <w:color w:val="auto"/>
        </w:rPr>
      </w:pPr>
    </w:p>
    <w:p>
      <w:pPr>
        <w:ind w:left="2040" w:hanging="535"/>
        <w:spacing w:after="0"/>
        <w:tabs>
          <w:tab w:leader="none" w:pos="2040" w:val="left"/>
        </w:tabs>
        <w:numPr>
          <w:ilvl w:val="0"/>
          <w:numId w:val="2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Change in Control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shall have the meaning set forth in the Plan.</w:t>
      </w:r>
    </w:p>
    <w:p>
      <w:pPr>
        <w:spacing w:after="0" w:line="184" w:lineRule="exact"/>
        <w:rPr>
          <w:rFonts w:ascii="Times New Roman" w:cs="Times New Roman" w:eastAsia="Times New Roman" w:hAnsi="Times New Roman"/>
          <w:sz w:val="18"/>
          <w:szCs w:val="18"/>
          <w:color w:val="auto"/>
        </w:rPr>
      </w:pPr>
    </w:p>
    <w:p>
      <w:pPr>
        <w:ind w:left="2040" w:hanging="535"/>
        <w:spacing w:after="0"/>
        <w:tabs>
          <w:tab w:leader="none" w:pos="2040" w:val="left"/>
        </w:tabs>
        <w:numPr>
          <w:ilvl w:val="0"/>
          <w:numId w:val="2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Code</w:t>
      </w:r>
      <w:r>
        <w:rPr>
          <w:rFonts w:ascii="Times New Roman" w:cs="Times New Roman" w:eastAsia="Times New Roman" w:hAnsi="Times New Roman"/>
          <w:sz w:val="18"/>
          <w:szCs w:val="18"/>
          <w:color w:val="auto"/>
        </w:rPr>
        <w:t>” means the Internal Revenue Code of 1986, as amended, and the Treasury regulations and other guidance promulgated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thereunder.</w:t>
      </w:r>
    </w:p>
    <w:p>
      <w:pPr>
        <w:spacing w:after="0" w:line="162" w:lineRule="exact"/>
        <w:rPr>
          <w:sz w:val="20"/>
          <w:szCs w:val="20"/>
          <w:color w:val="auto"/>
        </w:rPr>
      </w:pPr>
    </w:p>
    <w:p>
      <w:pPr>
        <w:ind w:left="2040" w:hanging="535"/>
        <w:spacing w:after="0"/>
        <w:tabs>
          <w:tab w:leader="none" w:pos="2040" w:val="left"/>
        </w:tabs>
        <w:numPr>
          <w:ilvl w:val="0"/>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means the common stock of Axsome Therapeutics, Inc.</w:t>
      </w:r>
    </w:p>
    <w:p>
      <w:pPr>
        <w:spacing w:after="0" w:line="198" w:lineRule="exact"/>
        <w:rPr>
          <w:rFonts w:ascii="Times New Roman" w:cs="Times New Roman" w:eastAsia="Times New Roman" w:hAnsi="Times New Roman"/>
          <w:sz w:val="18"/>
          <w:szCs w:val="18"/>
          <w:color w:val="auto"/>
        </w:rPr>
      </w:pPr>
    </w:p>
    <w:p>
      <w:pPr>
        <w:ind w:right="80" w:firstLine="1505"/>
        <w:spacing w:after="0" w:line="286" w:lineRule="auto"/>
        <w:tabs>
          <w:tab w:leader="none" w:pos="2036" w:val="left"/>
        </w:tabs>
        <w:numPr>
          <w:ilvl w:val="0"/>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means Axsome Therapeutics, Inc. and its Subsidiaries, except where the context otherwise requires. For purposes of determining whether a Change in Control has occurred, Company shall mean only Axsome Therapeutics, Inc.</w:t>
      </w:r>
    </w:p>
    <w:p>
      <w:pPr>
        <w:spacing w:after="0" w:line="114" w:lineRule="exact"/>
        <w:rPr>
          <w:rFonts w:ascii="Times New Roman" w:cs="Times New Roman" w:eastAsia="Times New Roman" w:hAnsi="Times New Roman"/>
          <w:sz w:val="18"/>
          <w:szCs w:val="18"/>
          <w:color w:val="auto"/>
        </w:rPr>
      </w:pPr>
    </w:p>
    <w:p>
      <w:pPr>
        <w:ind w:left="2040" w:hanging="535"/>
        <w:spacing w:after="0"/>
        <w:tabs>
          <w:tab w:leader="none" w:pos="2040" w:val="left"/>
        </w:tabs>
        <w:numPr>
          <w:ilvl w:val="0"/>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Fair Market Value</w:t>
      </w:r>
      <w:r>
        <w:rPr>
          <w:rFonts w:ascii="Times New Roman" w:cs="Times New Roman" w:eastAsia="Times New Roman" w:hAnsi="Times New Roman"/>
          <w:sz w:val="18"/>
          <w:szCs w:val="18"/>
          <w:color w:val="auto"/>
        </w:rPr>
        <w:t>” has the meaning set forth in the Plan.</w:t>
      </w:r>
    </w:p>
    <w:p>
      <w:pPr>
        <w:spacing w:after="0" w:line="184" w:lineRule="exact"/>
        <w:rPr>
          <w:rFonts w:ascii="Times New Roman" w:cs="Times New Roman" w:eastAsia="Times New Roman" w:hAnsi="Times New Roman"/>
          <w:sz w:val="18"/>
          <w:szCs w:val="18"/>
          <w:color w:val="auto"/>
        </w:rPr>
      </w:pPr>
    </w:p>
    <w:p>
      <w:pPr>
        <w:ind w:left="2040" w:hanging="535"/>
        <w:spacing w:after="0"/>
        <w:tabs>
          <w:tab w:leader="none" w:pos="2040" w:val="left"/>
        </w:tabs>
        <w:numPr>
          <w:ilvl w:val="0"/>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Grant Date</w:t>
      </w:r>
      <w:r>
        <w:rPr>
          <w:rFonts w:ascii="Times New Roman" w:cs="Times New Roman" w:eastAsia="Times New Roman" w:hAnsi="Times New Roman"/>
          <w:sz w:val="18"/>
          <w:szCs w:val="18"/>
          <w:color w:val="auto"/>
        </w:rPr>
        <w:t>” means the effective date of a grant of RSUs made to you as set forth in the relevant Notice.</w:t>
      </w:r>
    </w:p>
    <w:p>
      <w:pPr>
        <w:spacing w:after="0" w:line="198" w:lineRule="exact"/>
        <w:rPr>
          <w:rFonts w:ascii="Times New Roman" w:cs="Times New Roman" w:eastAsia="Times New Roman" w:hAnsi="Times New Roman"/>
          <w:sz w:val="18"/>
          <w:szCs w:val="18"/>
          <w:color w:val="auto"/>
        </w:rPr>
      </w:pPr>
    </w:p>
    <w:p>
      <w:pPr>
        <w:ind w:left="2040" w:hanging="535"/>
        <w:spacing w:after="0"/>
        <w:tabs>
          <w:tab w:leader="none" w:pos="2040" w:val="left"/>
        </w:tabs>
        <w:numPr>
          <w:ilvl w:val="0"/>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Notice</w:t>
      </w:r>
      <w:r>
        <w:rPr>
          <w:rFonts w:ascii="Times New Roman" w:cs="Times New Roman" w:eastAsia="Times New Roman" w:hAnsi="Times New Roman"/>
          <w:sz w:val="18"/>
          <w:szCs w:val="18"/>
          <w:color w:val="auto"/>
        </w:rPr>
        <w:t>” means the statement, letter or other written notification provided to you by the Company setting forth the terms of a</w:t>
      </w:r>
    </w:p>
    <w:p>
      <w:pPr>
        <w:spacing w:after="0" w:line="3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 of RSUs made to you.</w:t>
      </w:r>
    </w:p>
    <w:p>
      <w:pPr>
        <w:spacing w:after="0" w:line="162" w:lineRule="exact"/>
        <w:rPr>
          <w:rFonts w:ascii="Times New Roman" w:cs="Times New Roman" w:eastAsia="Times New Roman" w:hAnsi="Times New Roman"/>
          <w:sz w:val="18"/>
          <w:szCs w:val="18"/>
          <w:color w:val="auto"/>
        </w:rPr>
      </w:pPr>
    </w:p>
    <w:p>
      <w:pPr>
        <w:ind w:left="2040" w:hanging="535"/>
        <w:spacing w:after="0"/>
        <w:tabs>
          <w:tab w:leader="none" w:pos="2040" w:val="left"/>
        </w:tabs>
        <w:numPr>
          <w:ilvl w:val="0"/>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 means the Axsome Therapeutics, Inc. 2025 Long-Term Incentive Plan, as amended from time to time.</w:t>
      </w:r>
    </w:p>
    <w:p>
      <w:pPr>
        <w:spacing w:after="0" w:line="184" w:lineRule="exact"/>
        <w:rPr>
          <w:rFonts w:ascii="Times New Roman" w:cs="Times New Roman" w:eastAsia="Times New Roman" w:hAnsi="Times New Roman"/>
          <w:sz w:val="18"/>
          <w:szCs w:val="18"/>
          <w:color w:val="auto"/>
        </w:rPr>
      </w:pPr>
    </w:p>
    <w:p>
      <w:pPr>
        <w:ind w:left="2040" w:hanging="535"/>
        <w:spacing w:after="0"/>
        <w:tabs>
          <w:tab w:leader="none" w:pos="2040" w:val="left"/>
        </w:tabs>
        <w:numPr>
          <w:ilvl w:val="0"/>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RSU</w:t>
      </w:r>
      <w:r>
        <w:rPr>
          <w:rFonts w:ascii="Times New Roman" w:cs="Times New Roman" w:eastAsia="Times New Roman" w:hAnsi="Times New Roman"/>
          <w:sz w:val="18"/>
          <w:szCs w:val="18"/>
          <w:color w:val="auto"/>
        </w:rPr>
        <w:t>” means the Company’s commitment to issue one share of Common Stock at a future date, subject to the terms of the</w:t>
      </w:r>
    </w:p>
    <w:p>
      <w:pPr>
        <w:spacing w:after="0" w:line="3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Agreement and the Plan.</w:t>
      </w:r>
    </w:p>
    <w:p>
      <w:pPr>
        <w:spacing w:after="0" w:line="175" w:lineRule="exact"/>
        <w:rPr>
          <w:rFonts w:ascii="Times New Roman" w:cs="Times New Roman" w:eastAsia="Times New Roman" w:hAnsi="Times New Roman"/>
          <w:sz w:val="18"/>
          <w:szCs w:val="18"/>
          <w:color w:val="auto"/>
        </w:rPr>
      </w:pPr>
    </w:p>
    <w:p>
      <w:pPr>
        <w:ind w:right="80" w:firstLine="1505"/>
        <w:spacing w:after="0" w:line="262" w:lineRule="auto"/>
        <w:tabs>
          <w:tab w:leader="none" w:pos="2036" w:val="left"/>
        </w:tabs>
        <w:numPr>
          <w:ilvl w:val="0"/>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Service</w:t>
      </w:r>
      <w:r>
        <w:rPr>
          <w:rFonts w:ascii="Times New Roman" w:cs="Times New Roman" w:eastAsia="Times New Roman" w:hAnsi="Times New Roman"/>
          <w:sz w:val="18"/>
          <w:szCs w:val="18"/>
          <w:color w:val="auto"/>
        </w:rPr>
        <w:t>” means your employment, service as a non-executive director, or other service relationship with the Company and its Affiliates. Your Service will be considered to have ceased with the Company and its Affiliates if, immediately after a sale, merger, or other corporate transaction, the trade, business, or entity with which you are employed or otherwise have a service relationship is not Axsome Therapeutics, Inc. or its successor or an Affiliate of Axsome Therapeutics, Inc. or its successor.</w:t>
      </w:r>
    </w:p>
    <w:p>
      <w:pPr>
        <w:spacing w:after="0" w:line="135" w:lineRule="exact"/>
        <w:rPr>
          <w:rFonts w:ascii="Times New Roman" w:cs="Times New Roman" w:eastAsia="Times New Roman" w:hAnsi="Times New Roman"/>
          <w:sz w:val="18"/>
          <w:szCs w:val="18"/>
          <w:color w:val="auto"/>
        </w:rPr>
      </w:pPr>
    </w:p>
    <w:p>
      <w:pPr>
        <w:ind w:right="80" w:firstLine="1505"/>
        <w:spacing w:after="0" w:line="286" w:lineRule="auto"/>
        <w:tabs>
          <w:tab w:leader="none" w:pos="2036" w:val="left"/>
        </w:tabs>
        <w:numPr>
          <w:ilvl w:val="0"/>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Total and Permanent Disability</w:t>
      </w:r>
      <w:r>
        <w:rPr>
          <w:rFonts w:ascii="Times New Roman" w:cs="Times New Roman" w:eastAsia="Times New Roman" w:hAnsi="Times New Roman"/>
          <w:sz w:val="18"/>
          <w:szCs w:val="18"/>
          <w:color w:val="auto"/>
        </w:rPr>
        <w:t>” has the meaning set forth in the Plan, subject to the requirements of, and provided that such event satisfies the definition of “disability” within the meaning of, Treasury Regulation Section 1.409A-3(i)(4).</w:t>
      </w:r>
    </w:p>
    <w:p>
      <w:pPr>
        <w:spacing w:after="0" w:line="114" w:lineRule="exact"/>
        <w:rPr>
          <w:rFonts w:ascii="Times New Roman" w:cs="Times New Roman" w:eastAsia="Times New Roman" w:hAnsi="Times New Roman"/>
          <w:sz w:val="18"/>
          <w:szCs w:val="18"/>
          <w:color w:val="auto"/>
        </w:rPr>
      </w:pPr>
    </w:p>
    <w:p>
      <w:pPr>
        <w:ind w:firstLine="1505"/>
        <w:spacing w:after="0" w:line="262" w:lineRule="auto"/>
        <w:tabs>
          <w:tab w:leader="none" w:pos="2036" w:val="left"/>
        </w:tabs>
        <w:numPr>
          <w:ilvl w:val="0"/>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You</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Your</w:t>
      </w:r>
      <w:r>
        <w:rPr>
          <w:rFonts w:ascii="Times New Roman" w:cs="Times New Roman" w:eastAsia="Times New Roman" w:hAnsi="Times New Roman"/>
          <w:sz w:val="18"/>
          <w:szCs w:val="18"/>
          <w:color w:val="auto"/>
        </w:rPr>
        <w:t>” means the recipient of the RSUs as reflected on the applicable Notice. Whenever the word “you” or “your” is used in any provision of this Agreement under circumstances where the provision should logically be construed, as determined by the Administrator, to apply to the estate, personal representative, or beneficiary to whom the RSUs may be transferred by will or by the laws of descent and distribution, the words “you” and “your” shall be deemed to include such person.</w:t>
      </w:r>
    </w:p>
    <w:p>
      <w:pPr>
        <w:spacing w:after="0" w:line="1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End of Agreement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1146175</wp:posOffset>
            </wp:positionV>
            <wp:extent cx="7157720" cy="42545"/>
            <wp:wrapNone/>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8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552" w:name="page553"/>
    <w:bookmarkEnd w:id="552"/>
    <w:p>
      <w:pPr>
        <w:jc w:val="right"/>
        <w:spacing w:after="0"/>
        <w:rPr>
          <w:sz w:val="20"/>
          <w:szCs w:val="20"/>
          <w:color w:val="auto"/>
        </w:rPr>
      </w:pPr>
      <w:r>
        <w:rPr>
          <w:rFonts w:ascii="Times New Roman" w:cs="Times New Roman" w:eastAsia="Times New Roman" w:hAnsi="Times New Roman"/>
          <w:sz w:val="18"/>
          <w:szCs w:val="18"/>
          <w:b w:val="1"/>
          <w:bCs w:val="1"/>
          <w:color w:val="auto"/>
        </w:rPr>
        <w:t>Exhibit 10.8</w:t>
      </w:r>
    </w:p>
    <w:p>
      <w:pPr>
        <w:spacing w:after="0" w:line="200" w:lineRule="exact"/>
        <w:rPr>
          <w:sz w:val="20"/>
          <w:szCs w:val="20"/>
          <w:color w:val="auto"/>
        </w:rPr>
      </w:pPr>
    </w:p>
    <w:p>
      <w:pPr>
        <w:spacing w:after="0" w:line="245" w:lineRule="exact"/>
        <w:rPr>
          <w:sz w:val="20"/>
          <w:szCs w:val="20"/>
          <w:color w:val="auto"/>
        </w:rPr>
      </w:pPr>
    </w:p>
    <w:p>
      <w:pPr>
        <w:ind w:left="9720"/>
        <w:spacing w:after="0"/>
        <w:rPr>
          <w:sz w:val="20"/>
          <w:szCs w:val="20"/>
          <w:color w:val="auto"/>
        </w:rPr>
      </w:pPr>
      <w:r>
        <w:rPr>
          <w:rFonts w:ascii="Times New Roman" w:cs="Times New Roman" w:eastAsia="Times New Roman" w:hAnsi="Times New Roman"/>
          <w:sz w:val="18"/>
          <w:szCs w:val="18"/>
          <w:color w:val="auto"/>
        </w:rPr>
        <w:t>Grant No.:</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AXSOME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NONSTATUTORY STOCK OPTION NOTICE</w:t>
      </w:r>
    </w:p>
    <w:p>
      <w:pPr>
        <w:spacing w:after="0" w:line="176" w:lineRule="exact"/>
        <w:rPr>
          <w:sz w:val="20"/>
          <w:szCs w:val="20"/>
          <w:color w:val="auto"/>
        </w:rPr>
      </w:pPr>
    </w:p>
    <w:p>
      <w:pPr>
        <w:ind w:right="80" w:firstLine="749"/>
        <w:spacing w:after="0" w:line="256" w:lineRule="auto"/>
        <w:rPr>
          <w:sz w:val="20"/>
          <w:szCs w:val="20"/>
          <w:color w:val="auto"/>
        </w:rPr>
      </w:pPr>
      <w:r>
        <w:rPr>
          <w:rFonts w:ascii="Times New Roman" w:cs="Times New Roman" w:eastAsia="Times New Roman" w:hAnsi="Times New Roman"/>
          <w:sz w:val="18"/>
          <w:szCs w:val="18"/>
          <w:color w:val="auto"/>
        </w:rPr>
        <w:t>This Notice evidences the award of nonstatutory stock options (each, an “</w:t>
      </w:r>
      <w:r>
        <w:rPr>
          <w:rFonts w:ascii="Times New Roman" w:cs="Times New Roman" w:eastAsia="Times New Roman" w:hAnsi="Times New Roman"/>
          <w:sz w:val="18"/>
          <w:szCs w:val="18"/>
          <w:b w:val="1"/>
          <w:bCs w:val="1"/>
          <w:i w:val="1"/>
          <w:iCs w:val="1"/>
          <w:color w:val="auto"/>
        </w:rPr>
        <w:t>Option</w:t>
      </w:r>
      <w:r>
        <w:rPr>
          <w:rFonts w:ascii="Times New Roman" w:cs="Times New Roman" w:eastAsia="Times New Roman" w:hAnsi="Times New Roman"/>
          <w:sz w:val="18"/>
          <w:szCs w:val="18"/>
          <w:color w:val="auto"/>
        </w:rPr>
        <w:t>” or collectively, the “</w:t>
      </w:r>
      <w:r>
        <w:rPr>
          <w:rFonts w:ascii="Times New Roman" w:cs="Times New Roman" w:eastAsia="Times New Roman" w:hAnsi="Times New Roman"/>
          <w:sz w:val="18"/>
          <w:szCs w:val="18"/>
          <w:b w:val="1"/>
          <w:bCs w:val="1"/>
          <w:i w:val="1"/>
          <w:iCs w:val="1"/>
          <w:color w:val="auto"/>
        </w:rPr>
        <w:t>Options</w:t>
      </w:r>
      <w:r>
        <w:rPr>
          <w:rFonts w:ascii="Times New Roman" w:cs="Times New Roman" w:eastAsia="Times New Roman" w:hAnsi="Times New Roman"/>
          <w:sz w:val="18"/>
          <w:szCs w:val="18"/>
          <w:color w:val="auto"/>
        </w:rPr>
        <w:t>”) that have been granted to you, [NAME], subject to and conditioned upon your agreement to the terms of the attached Nonstatutory Stock Option Agreement (the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The Options entitle you to purchase shares of common stock (“</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of Axsome Therapeutics, Inc., a Delaware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under the Axsome Therapeutics, Inc. 2025 Long-Term Incentive Plan (the “</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 xml:space="preserve">”). The number of shares you may purchase and the exercise price at which you may purchase them are specified below. This Notice constitutes part of and is subject to the terms and provisions of the Agreement and the Plan, which are incorporated by reference herein. </w:t>
      </w:r>
      <w:r>
        <w:rPr>
          <w:rFonts w:ascii="Times New Roman" w:cs="Times New Roman" w:eastAsia="Times New Roman" w:hAnsi="Times New Roman"/>
          <w:sz w:val="18"/>
          <w:szCs w:val="18"/>
          <w:b w:val="1"/>
          <w:bCs w:val="1"/>
          <w:i w:val="1"/>
          <w:iCs w:val="1"/>
          <w:color w:val="auto"/>
        </w:rPr>
        <w:t>You must return an executed copy of this Notice to the Company within 30 days of the date hereof</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If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you fail to do so, the Options may be rendered null and void in the Company’s discretion.</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Grant Date</w:t>
      </w:r>
      <w:r>
        <w:rPr>
          <w:rFonts w:ascii="Times New Roman" w:cs="Times New Roman" w:eastAsia="Times New Roman" w:hAnsi="Times New Roman"/>
          <w:sz w:val="18"/>
          <w:szCs w:val="18"/>
          <w:color w:val="auto"/>
        </w:rPr>
        <w:t>: [GRANT DATE]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Number of Options</w:t>
      </w:r>
      <w:r>
        <w:rPr>
          <w:rFonts w:ascii="Times New Roman" w:cs="Times New Roman" w:eastAsia="Times New Roman" w:hAnsi="Times New Roman"/>
          <w:sz w:val="18"/>
          <w:szCs w:val="18"/>
          <w:color w:val="auto"/>
        </w:rPr>
        <w:t>: [NUMBER] Options, each permitting the purchase of one Share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Exercise Price</w:t>
      </w:r>
      <w:r>
        <w:rPr>
          <w:rFonts w:ascii="Times New Roman" w:cs="Times New Roman" w:eastAsia="Times New Roman" w:hAnsi="Times New Roman"/>
          <w:sz w:val="18"/>
          <w:szCs w:val="18"/>
          <w:color w:val="auto"/>
        </w:rPr>
        <w:t>: [PRICE] per share</w:t>
      </w:r>
    </w:p>
    <w:p>
      <w:pPr>
        <w:spacing w:after="0" w:line="225"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u w:val="single" w:color="auto"/>
          <w:color w:val="auto"/>
        </w:rPr>
        <w:t>Expiration Date</w:t>
      </w:r>
      <w:r>
        <w:rPr>
          <w:rFonts w:ascii="Times New Roman" w:cs="Times New Roman" w:eastAsia="Times New Roman" w:hAnsi="Times New Roman"/>
          <w:sz w:val="18"/>
          <w:szCs w:val="18"/>
          <w:color w:val="auto"/>
        </w:rPr>
        <w:t>: The Options expire at 5:00 P.M. Central Time on the last business day coincident with or prior to the 10th anniversary of the Grant Date (the “</w:t>
      </w:r>
      <w:r>
        <w:rPr>
          <w:rFonts w:ascii="Times New Roman" w:cs="Times New Roman" w:eastAsia="Times New Roman" w:hAnsi="Times New Roman"/>
          <w:sz w:val="18"/>
          <w:szCs w:val="18"/>
          <w:b w:val="1"/>
          <w:bCs w:val="1"/>
          <w:i w:val="1"/>
          <w:iCs w:val="1"/>
          <w:color w:val="auto"/>
        </w:rPr>
        <w:t>Expiration Date</w:t>
      </w:r>
      <w:r>
        <w:rPr>
          <w:rFonts w:ascii="Times New Roman" w:cs="Times New Roman" w:eastAsia="Times New Roman" w:hAnsi="Times New Roman"/>
          <w:sz w:val="18"/>
          <w:szCs w:val="18"/>
          <w:color w:val="auto"/>
        </w:rPr>
        <w:t>”), unless fully exercised or terminated earlier.</w:t>
      </w:r>
    </w:p>
    <w:p>
      <w:pPr>
        <w:spacing w:after="0" w:line="162"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u w:val="single" w:color="auto"/>
          <w:color w:val="auto"/>
        </w:rPr>
        <w:t>Exercisability Schedule</w:t>
      </w:r>
      <w:r>
        <w:rPr>
          <w:rFonts w:ascii="Times New Roman" w:cs="Times New Roman" w:eastAsia="Times New Roman" w:hAnsi="Times New Roman"/>
          <w:sz w:val="18"/>
          <w:szCs w:val="18"/>
          <w:color w:val="auto"/>
        </w:rPr>
        <w:t>: Subject to the terms and conditions described in the Agreement, the Options become exercisable in accordance with the schedule below, so long as your Service (as defined in the Agreement) is continuous from the Grant Date through the applicable date upon which vesting is scheduled to occur:</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[Insert Vesting Schedule]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AXSOME THERAPEUTICS, INC.</w:t>
      </w:r>
    </w:p>
    <w:p>
      <w:pPr>
        <w:spacing w:after="0" w:line="200" w:lineRule="exact"/>
        <w:rPr>
          <w:sz w:val="20"/>
          <w:szCs w:val="20"/>
          <w:color w:val="auto"/>
        </w:rPr>
      </w:pPr>
    </w:p>
    <w:p>
      <w:pPr>
        <w:spacing w:after="0" w:line="241"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By:</w:t>
      </w:r>
    </w:p>
    <w:p>
      <w:pPr>
        <w:spacing w:after="0" w:line="225"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Date:</w:t>
      </w:r>
    </w:p>
    <w:p>
      <w:pPr>
        <w:spacing w:after="0" w:line="225"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I acknowledge that I have carefully read the attached Agreement and the prospectus for the Plan and agree to be bound by all of the provisions set forth in these documents.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Enclosures:   Nonstatutory Stock Option Agreement</w:t>
            </w:r>
          </w:p>
        </w:tc>
        <w:tc>
          <w:tcPr>
            <w:tcW w:w="638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OPTIONEE</w:t>
            </w:r>
          </w:p>
        </w:tc>
      </w:tr>
      <w:tr>
        <w:trPr>
          <w:trHeight w:val="216"/>
        </w:trPr>
        <w:tc>
          <w:tcPr>
            <w:tcW w:w="486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Prospectus for the 2025 Long-Term</w:t>
            </w:r>
          </w:p>
        </w:tc>
        <w:tc>
          <w:tcPr>
            <w:tcW w:w="6380" w:type="dxa"/>
            <w:vAlign w:val="bottom"/>
          </w:tcPr>
          <w:p>
            <w:pPr>
              <w:spacing w:after="0"/>
              <w:rPr>
                <w:sz w:val="18"/>
                <w:szCs w:val="18"/>
                <w:color w:val="auto"/>
              </w:rPr>
            </w:pPr>
          </w:p>
        </w:tc>
      </w:tr>
      <w:tr>
        <w:trPr>
          <w:trHeight w:val="216"/>
        </w:trPr>
        <w:tc>
          <w:tcPr>
            <w:tcW w:w="486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Incentive Plan</w:t>
            </w:r>
          </w:p>
        </w:tc>
        <w:tc>
          <w:tcPr>
            <w:tcW w:w="6380" w:type="dxa"/>
            <w:vAlign w:val="bottom"/>
          </w:tcPr>
          <w:p>
            <w:pPr>
              <w:spacing w:after="0"/>
              <w:rPr>
                <w:sz w:val="18"/>
                <w:szCs w:val="18"/>
                <w:color w:val="auto"/>
              </w:rPr>
            </w:pPr>
          </w:p>
        </w:tc>
      </w:tr>
      <w:tr>
        <w:trPr>
          <w:trHeight w:val="234"/>
        </w:trPr>
        <w:tc>
          <w:tcPr>
            <w:tcW w:w="486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Exercise Form</w:t>
            </w:r>
          </w:p>
        </w:tc>
        <w:tc>
          <w:tcPr>
            <w:tcW w:w="6380" w:type="dxa"/>
            <w:vAlign w:val="bottom"/>
          </w:tcPr>
          <w:p>
            <w:pPr>
              <w:spacing w:after="0"/>
              <w:rPr>
                <w:sz w:val="20"/>
                <w:szCs w:val="20"/>
                <w:color w:val="auto"/>
              </w:rPr>
            </w:pPr>
          </w:p>
        </w:tc>
      </w:tr>
      <w:tr>
        <w:trPr>
          <w:trHeight w:val="432"/>
        </w:trPr>
        <w:tc>
          <w:tcPr>
            <w:tcW w:w="4860" w:type="dxa"/>
            <w:vAlign w:val="bottom"/>
          </w:tcPr>
          <w:p>
            <w:pPr>
              <w:spacing w:after="0"/>
              <w:rPr>
                <w:sz w:val="24"/>
                <w:szCs w:val="24"/>
                <w:color w:val="auto"/>
              </w:rPr>
            </w:pPr>
          </w:p>
        </w:tc>
        <w:tc>
          <w:tcPr>
            <w:tcW w:w="638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Date:</w:t>
            </w:r>
          </w:p>
        </w:tc>
      </w:tr>
      <w:tr>
        <w:trPr>
          <w:trHeight w:val="2059"/>
        </w:trPr>
        <w:tc>
          <w:tcPr>
            <w:tcW w:w="4860" w:type="dxa"/>
            <w:vAlign w:val="bottom"/>
            <w:tcBorders>
              <w:bottom w:val="single" w:sz="8" w:color="9A9A9A"/>
            </w:tcBorders>
          </w:tcPr>
          <w:p>
            <w:pPr>
              <w:spacing w:after="0"/>
              <w:rPr>
                <w:sz w:val="24"/>
                <w:szCs w:val="24"/>
                <w:color w:val="auto"/>
              </w:rPr>
            </w:pPr>
          </w:p>
        </w:tc>
        <w:tc>
          <w:tcPr>
            <w:tcW w:w="63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8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pic:cNvPicPr>
                      <a:picLocks noChangeAspect="1" noChangeArrowheads="1"/>
                    </pic:cNvPicPr>
                  </pic:nvPicPr>
                  <pic:blipFill>
                    <a:blip r:embed="rId8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553" w:name="page554"/>
    <w:bookmarkEnd w:id="553"/>
    <w:p>
      <w:pPr>
        <w:ind w:left="9720"/>
        <w:spacing w:after="0"/>
        <w:rPr>
          <w:sz w:val="20"/>
          <w:szCs w:val="20"/>
          <w:color w:val="auto"/>
        </w:rPr>
      </w:pPr>
      <w:r>
        <w:rPr>
          <w:rFonts w:ascii="Times New Roman" w:cs="Times New Roman" w:eastAsia="Times New Roman" w:hAnsi="Times New Roman"/>
          <w:sz w:val="18"/>
          <w:szCs w:val="18"/>
          <w:color w:val="auto"/>
        </w:rPr>
        <w:t>Grant No.:</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NONSTATUTORY STOCK OPTION AGREEMENT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 THE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AXSOME THERAPEUTICS, INC. 2025 LONG-TERM INCENTIVE PLAN</w:t>
      </w:r>
    </w:p>
    <w:p>
      <w:pPr>
        <w:spacing w:after="0" w:line="202" w:lineRule="exact"/>
        <w:rPr>
          <w:sz w:val="20"/>
          <w:szCs w:val="20"/>
          <w:color w:val="auto"/>
        </w:rPr>
      </w:pPr>
    </w:p>
    <w:p>
      <w:pPr>
        <w:ind w:right="120" w:firstLine="757"/>
        <w:spacing w:after="0" w:line="282" w:lineRule="auto"/>
        <w:tabs>
          <w:tab w:leader="none" w:pos="1018" w:val="left"/>
        </w:tabs>
        <w:numPr>
          <w:ilvl w:val="0"/>
          <w:numId w:val="2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Terminology</w:t>
      </w:r>
      <w:r>
        <w:rPr>
          <w:rFonts w:ascii="Times New Roman" w:cs="Times New Roman" w:eastAsia="Times New Roman" w:hAnsi="Times New Roman"/>
          <w:sz w:val="18"/>
          <w:szCs w:val="18"/>
          <w:color w:val="auto"/>
        </w:rPr>
        <w:t>. Capitalized terms used in this Agreement are defined in the correlating Stock Option Notice and/or the Glossary at the end of the Agreement, and to the extent not defined therein, have the meaning set forth in the Plan.</w:t>
      </w:r>
    </w:p>
    <w:p>
      <w:pPr>
        <w:spacing w:after="0" w:line="121" w:lineRule="exact"/>
        <w:rPr>
          <w:rFonts w:ascii="Times New Roman" w:cs="Times New Roman" w:eastAsia="Times New Roman" w:hAnsi="Times New Roman"/>
          <w:sz w:val="18"/>
          <w:szCs w:val="18"/>
          <w:color w:val="auto"/>
        </w:rPr>
      </w:pPr>
    </w:p>
    <w:p>
      <w:pPr>
        <w:ind w:left="1020" w:hanging="263"/>
        <w:spacing w:after="0"/>
        <w:tabs>
          <w:tab w:leader="none" w:pos="1020" w:val="left"/>
        </w:tabs>
        <w:numPr>
          <w:ilvl w:val="0"/>
          <w:numId w:val="2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of Options</w:t>
      </w:r>
      <w:r>
        <w:rPr>
          <w:rFonts w:ascii="Times New Roman" w:cs="Times New Roman" w:eastAsia="Times New Roman" w:hAnsi="Times New Roman"/>
          <w:sz w:val="18"/>
          <w:szCs w:val="18"/>
          <w:color w:val="auto"/>
        </w:rPr>
        <w:t>.</w:t>
      </w:r>
    </w:p>
    <w:p>
      <w:pPr>
        <w:spacing w:after="0" w:line="184" w:lineRule="exact"/>
        <w:rPr>
          <w:rFonts w:ascii="Times New Roman" w:cs="Times New Roman" w:eastAsia="Times New Roman" w:hAnsi="Times New Roman"/>
          <w:sz w:val="18"/>
          <w:szCs w:val="18"/>
          <w:color w:val="auto"/>
        </w:rPr>
      </w:pPr>
    </w:p>
    <w:p>
      <w:pPr>
        <w:ind w:right="80" w:firstLine="1505"/>
        <w:spacing w:after="0" w:line="261" w:lineRule="auto"/>
        <w:tabs>
          <w:tab w:leader="none" w:pos="2036" w:val="left"/>
        </w:tabs>
        <w:numPr>
          <w:ilvl w:val="1"/>
          <w:numId w:val="2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Exercisability</w:t>
      </w:r>
      <w:r>
        <w:rPr>
          <w:rFonts w:ascii="Times New Roman" w:cs="Times New Roman" w:eastAsia="Times New Roman" w:hAnsi="Times New Roman"/>
          <w:sz w:val="18"/>
          <w:szCs w:val="18"/>
          <w:color w:val="auto"/>
        </w:rPr>
        <w:t>. The Options will become exercisable in accordance with the Exercisability Schedule set forth in the Stock Option Notice, so long as you are in the Service of the Company from the Grant Date through the applicable exercisability dates. None of the Options will become exercisable after your Service with the Company ceases, unless the Stock Option Notice provides otherwise with respect to exercisability that arises as a result of your cessation of Service.</w:t>
      </w:r>
    </w:p>
    <w:p>
      <w:pPr>
        <w:spacing w:after="0" w:line="152" w:lineRule="exact"/>
        <w:rPr>
          <w:rFonts w:ascii="Times New Roman" w:cs="Times New Roman" w:eastAsia="Times New Roman" w:hAnsi="Times New Roman"/>
          <w:sz w:val="18"/>
          <w:szCs w:val="18"/>
          <w:color w:val="auto"/>
        </w:rPr>
      </w:pPr>
    </w:p>
    <w:p>
      <w:pPr>
        <w:ind w:firstLine="1505"/>
        <w:spacing w:after="0" w:line="253" w:lineRule="auto"/>
        <w:tabs>
          <w:tab w:leader="none" w:pos="2036" w:val="left"/>
        </w:tabs>
        <w:numPr>
          <w:ilvl w:val="1"/>
          <w:numId w:val="2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 to Exercise</w:t>
      </w:r>
      <w:r>
        <w:rPr>
          <w:rFonts w:ascii="Times New Roman" w:cs="Times New Roman" w:eastAsia="Times New Roman" w:hAnsi="Times New Roman"/>
          <w:sz w:val="18"/>
          <w:szCs w:val="18"/>
          <w:color w:val="auto"/>
        </w:rPr>
        <w:t>. You may exercise the Options, to the extent exercisable, at any time on or before 5:00 P.M. Central Time on the Expiration Date or the earlier termination of the Options, unless otherwise provided under applicable law. Notwithstanding the foregoing, if at any time the Administrator determines that the delivery of Shares under the Plan or this Agreement is or may be unlawful under the laws of any applicable jurisdiction, or Federal, state or foreign securities laws, the right to exercise the Options or receive Shares pursuant to the Options shall be suspended until the Administrator determines that such delivery is lawful. If at any time the Administrator determines that the delivery of Shares under the Plan or this Agreement is or may violate the rules of the national securities exchange on which the shares are then listed for trade, the right to exercise the Options or receive Shares pursuant to the Options shall be suspended until the Administrator determines that such exercise or delivery would not violate such rules. Section 3 below describes certain limitations on exercise of the Options that apply in the event of your death, Total and Permanent Disability, or termination of Service. The Options may be exercised only in multiples of whole Shares and may not be exercised at any one time as to fewer than one hundred Shares (or such lesser number of Shares as to which the Options are then exercisable). No fractional Shares will be issued under the Options.</w:t>
      </w:r>
    </w:p>
    <w:p>
      <w:pPr>
        <w:spacing w:after="0" w:line="153" w:lineRule="exact"/>
        <w:rPr>
          <w:rFonts w:ascii="Times New Roman" w:cs="Times New Roman" w:eastAsia="Times New Roman" w:hAnsi="Times New Roman"/>
          <w:sz w:val="18"/>
          <w:szCs w:val="18"/>
          <w:color w:val="auto"/>
        </w:rPr>
      </w:pPr>
    </w:p>
    <w:p>
      <w:pPr>
        <w:ind w:right="80" w:firstLine="2254"/>
        <w:spacing w:after="0" w:line="266" w:lineRule="auto"/>
        <w:tabs>
          <w:tab w:leader="none" w:pos="2546" w:val="left"/>
        </w:tabs>
        <w:numPr>
          <w:ilvl w:val="2"/>
          <w:numId w:val="2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Procedure</w:t>
      </w:r>
      <w:r>
        <w:rPr>
          <w:rFonts w:ascii="Times New Roman" w:cs="Times New Roman" w:eastAsia="Times New Roman" w:hAnsi="Times New Roman"/>
          <w:sz w:val="18"/>
          <w:szCs w:val="18"/>
          <w:color w:val="auto"/>
        </w:rPr>
        <w:t>. In order to exercise the Options, you must provide the following items to the Secretary of the Company or his or her delegate before the expiration or termination of the Options notice, in such manner and form as the Administrator may require from time to time, specifying the number of Shares to be purchased under the Options;</w:t>
      </w:r>
    </w:p>
    <w:p>
      <w:pPr>
        <w:spacing w:after="0" w:line="135" w:lineRule="exact"/>
        <w:rPr>
          <w:rFonts w:ascii="Times New Roman" w:cs="Times New Roman" w:eastAsia="Times New Roman" w:hAnsi="Times New Roman"/>
          <w:sz w:val="18"/>
          <w:szCs w:val="18"/>
          <w:color w:val="auto"/>
        </w:rPr>
      </w:pPr>
    </w:p>
    <w:p>
      <w:pPr>
        <w:jc w:val="both"/>
        <w:ind w:right="380" w:firstLine="2254"/>
        <w:spacing w:after="0" w:line="266" w:lineRule="auto"/>
        <w:tabs>
          <w:tab w:leader="none" w:pos="2546" w:val="left"/>
        </w:tabs>
        <w:numPr>
          <w:ilvl w:val="2"/>
          <w:numId w:val="2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 payment of the Exercise Price for the Shares or properly executed, irrevocable instructions, in such manner and form as the Administrator may require from time to time, to effectuate a broker-assisted cashless exercise, each in accordance with Section 2(d) of this Agreement; and</w:t>
      </w:r>
    </w:p>
    <w:p>
      <w:pPr>
        <w:spacing w:after="0" w:line="148" w:lineRule="exact"/>
        <w:rPr>
          <w:rFonts w:ascii="Times New Roman" w:cs="Times New Roman" w:eastAsia="Times New Roman" w:hAnsi="Times New Roman"/>
          <w:sz w:val="18"/>
          <w:szCs w:val="18"/>
          <w:color w:val="auto"/>
        </w:rPr>
      </w:pPr>
    </w:p>
    <w:p>
      <w:pPr>
        <w:ind w:left="2560" w:hanging="306"/>
        <w:spacing w:after="0"/>
        <w:tabs>
          <w:tab w:leader="none" w:pos="2560" w:val="left"/>
        </w:tabs>
        <w:numPr>
          <w:ilvl w:val="2"/>
          <w:numId w:val="2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 payment of applicable withholding taxes pursuant to Section 7 of this Agreement.</w:t>
      </w:r>
    </w:p>
    <w:p>
      <w:pPr>
        <w:spacing w:after="0" w:line="185"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An exercise will not be effective until the Secretary of the Company or his or her delegate receives all of the foregoing items, and such exercise otherwise is permitted under and complies with all applicable federal, state and foreign securities laws. Notwithstanding the foregoing, if the Administrator permits payment by means of delivering properly executed, irrevocable instructions, in such manner and form as the Administrator may require from time to time, to effectuate a broker-assisted cashless exercise and such instructions provide for sale of Shares under a limit order rather than at the market, the exercise will not be effective until the earlier of the date the Company receives delivery of cash or cash equivalents in full payment of the Exercise Price or the date the Company receives confirmation from the broker that the sale instruction has been fulfilled, and the exercise will not be effective unless the earlier of such dates occurs on or before termination of the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1010285</wp:posOffset>
            </wp:positionV>
            <wp:extent cx="7157720" cy="42545"/>
            <wp:wrapNone/>
            <wp:docPr id="804"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pic:cNvPicPr>
                      <a:picLocks noChangeAspect="1" noChangeArrowheads="1"/>
                    </pic:cNvPicPr>
                  </pic:nvPicPr>
                  <pic:blipFill>
                    <a:blip r:embed="rId8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554" w:name="page555"/>
    <w:bookmarkEnd w:id="554"/>
    <w:p>
      <w:pPr>
        <w:ind w:left="2040" w:hanging="535"/>
        <w:spacing w:after="0"/>
        <w:tabs>
          <w:tab w:leader="none" w:pos="2040" w:val="left"/>
        </w:tabs>
        <w:numPr>
          <w:ilvl w:val="0"/>
          <w:numId w:val="2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Method of Payment</w:t>
      </w:r>
      <w:r>
        <w:rPr>
          <w:rFonts w:ascii="Times New Roman" w:cs="Times New Roman" w:eastAsia="Times New Roman" w:hAnsi="Times New Roman"/>
          <w:sz w:val="18"/>
          <w:szCs w:val="18"/>
          <w:color w:val="auto"/>
        </w:rPr>
        <w:t>. You may pay the Exercise Price by:</w:t>
      </w:r>
    </w:p>
    <w:p>
      <w:pPr>
        <w:spacing w:after="0" w:line="184" w:lineRule="exact"/>
        <w:rPr>
          <w:rFonts w:ascii="Times New Roman" w:cs="Times New Roman" w:eastAsia="Times New Roman" w:hAnsi="Times New Roman"/>
          <w:sz w:val="18"/>
          <w:szCs w:val="18"/>
          <w:color w:val="auto"/>
        </w:rPr>
      </w:pPr>
    </w:p>
    <w:p>
      <w:pPr>
        <w:ind w:left="2560" w:hanging="306"/>
        <w:spacing w:after="0"/>
        <w:tabs>
          <w:tab w:leader="none" w:pos="2560" w:val="left"/>
        </w:tabs>
        <w:numPr>
          <w:ilvl w:val="1"/>
          <w:numId w:val="2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delivery of cash, certified or cashier’s check, money order or other cash equivalent acceptable to the Administrator in its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discretion;</w:t>
      </w:r>
    </w:p>
    <w:p>
      <w:pPr>
        <w:spacing w:after="0" w:line="180" w:lineRule="exact"/>
        <w:rPr>
          <w:sz w:val="20"/>
          <w:szCs w:val="20"/>
          <w:color w:val="auto"/>
        </w:rPr>
      </w:pPr>
    </w:p>
    <w:p>
      <w:pPr>
        <w:ind w:right="180" w:firstLine="2254"/>
        <w:spacing w:after="0" w:line="282" w:lineRule="auto"/>
        <w:tabs>
          <w:tab w:leader="none" w:pos="2546" w:val="left"/>
        </w:tabs>
        <w:numPr>
          <w:ilvl w:val="2"/>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broker-assisted cashless exercise in accordance with Regulation T of the Board of Governors of the Federal Reserve System through a brokerage firm designated or approved by the Administrator;</w:t>
      </w:r>
    </w:p>
    <w:p>
      <w:pPr>
        <w:spacing w:after="0" w:line="121" w:lineRule="exact"/>
        <w:rPr>
          <w:rFonts w:ascii="Times New Roman" w:cs="Times New Roman" w:eastAsia="Times New Roman" w:hAnsi="Times New Roman"/>
          <w:sz w:val="18"/>
          <w:szCs w:val="18"/>
          <w:color w:val="auto"/>
        </w:rPr>
      </w:pPr>
    </w:p>
    <w:p>
      <w:pPr>
        <w:ind w:right="200" w:firstLine="2254"/>
        <w:spacing w:after="0" w:line="282" w:lineRule="auto"/>
        <w:tabs>
          <w:tab w:leader="none" w:pos="2546" w:val="left"/>
        </w:tabs>
        <w:numPr>
          <w:ilvl w:val="2"/>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such limits as the Administrator may impose from time to time, tender (via actual delivery or attestation) to the Company of other shares of Common Stock of the Company which have a Fair Market Value on the date of tender equal to the Exercise Price;</w:t>
      </w:r>
    </w:p>
    <w:p>
      <w:pPr>
        <w:spacing w:after="0" w:line="121" w:lineRule="exact"/>
        <w:rPr>
          <w:rFonts w:ascii="Times New Roman" w:cs="Times New Roman" w:eastAsia="Times New Roman" w:hAnsi="Times New Roman"/>
          <w:sz w:val="18"/>
          <w:szCs w:val="18"/>
          <w:color w:val="auto"/>
        </w:rPr>
      </w:pPr>
    </w:p>
    <w:p>
      <w:pPr>
        <w:ind w:left="2560" w:hanging="306"/>
        <w:spacing w:after="0"/>
        <w:tabs>
          <w:tab w:leader="none" w:pos="2560" w:val="left"/>
        </w:tabs>
        <w:numPr>
          <w:ilvl w:val="2"/>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such limits as the Administrator may impose from time to time, net share settlement;</w:t>
      </w:r>
    </w:p>
    <w:p>
      <w:pPr>
        <w:spacing w:after="0" w:line="198" w:lineRule="exact"/>
        <w:rPr>
          <w:rFonts w:ascii="Times New Roman" w:cs="Times New Roman" w:eastAsia="Times New Roman" w:hAnsi="Times New Roman"/>
          <w:sz w:val="18"/>
          <w:szCs w:val="18"/>
          <w:color w:val="auto"/>
        </w:rPr>
      </w:pPr>
    </w:p>
    <w:p>
      <w:pPr>
        <w:ind w:left="2560" w:hanging="306"/>
        <w:spacing w:after="0"/>
        <w:tabs>
          <w:tab w:leader="none" w:pos="2560" w:val="left"/>
        </w:tabs>
        <w:numPr>
          <w:ilvl w:val="2"/>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method approved by the Administrator; or</w:t>
      </w:r>
    </w:p>
    <w:p>
      <w:pPr>
        <w:spacing w:after="0" w:line="184" w:lineRule="exact"/>
        <w:rPr>
          <w:rFonts w:ascii="Times New Roman" w:cs="Times New Roman" w:eastAsia="Times New Roman" w:hAnsi="Times New Roman"/>
          <w:sz w:val="18"/>
          <w:szCs w:val="18"/>
          <w:color w:val="auto"/>
        </w:rPr>
      </w:pPr>
    </w:p>
    <w:p>
      <w:pPr>
        <w:ind w:left="2560" w:hanging="306"/>
        <w:spacing w:after="0"/>
        <w:tabs>
          <w:tab w:leader="none" w:pos="2560" w:val="left"/>
        </w:tabs>
        <w:numPr>
          <w:ilvl w:val="2"/>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combination of the foregoing.</w:t>
      </w:r>
    </w:p>
    <w:p>
      <w:pPr>
        <w:spacing w:after="0" w:line="184" w:lineRule="exact"/>
        <w:rPr>
          <w:rFonts w:ascii="Times New Roman" w:cs="Times New Roman" w:eastAsia="Times New Roman" w:hAnsi="Times New Roman"/>
          <w:sz w:val="18"/>
          <w:szCs w:val="18"/>
          <w:color w:val="auto"/>
        </w:rPr>
      </w:pPr>
    </w:p>
    <w:p>
      <w:pPr>
        <w:ind w:right="80" w:firstLine="1505"/>
        <w:spacing w:after="0" w:line="256" w:lineRule="auto"/>
        <w:tabs>
          <w:tab w:leader="none" w:pos="2036" w:val="left"/>
        </w:tabs>
        <w:numPr>
          <w:ilvl w:val="1"/>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Issuance of Shares upon Exercise</w:t>
      </w:r>
      <w:r>
        <w:rPr>
          <w:rFonts w:ascii="Times New Roman" w:cs="Times New Roman" w:eastAsia="Times New Roman" w:hAnsi="Times New Roman"/>
          <w:sz w:val="18"/>
          <w:szCs w:val="18"/>
          <w:color w:val="auto"/>
        </w:rPr>
        <w:t>. The Company shall issue to you the Shares underlying the Options you exercise as soon as practicable after the exercise date, subject to the Company’s receipt of the aggregate exercise price and the requisite withholding taxes, if any. Upon issuance of such Shares, the Company may deliver, subject to the provisions of Section 7 below, such Shares on your behalf electronically to the Company’s designated stock plan administrator or such other broker-dealer as the Company may choose at its sole discretion, within reason, or may retain such Shares in uncertificated book-entry form. Any share certificates delivered will, unless the Shares are registered or an exemption from registration is available under applicable federal and state law, bear a legend restricting transferability of such Shares.</w:t>
      </w:r>
    </w:p>
    <w:p>
      <w:pPr>
        <w:spacing w:after="0" w:line="160" w:lineRule="exact"/>
        <w:rPr>
          <w:rFonts w:ascii="Times New Roman" w:cs="Times New Roman" w:eastAsia="Times New Roman" w:hAnsi="Times New Roman"/>
          <w:sz w:val="18"/>
          <w:szCs w:val="18"/>
          <w:color w:val="auto"/>
        </w:rPr>
      </w:pPr>
    </w:p>
    <w:p>
      <w:pPr>
        <w:ind w:left="1020" w:hanging="263"/>
        <w:spacing w:after="0"/>
        <w:tabs>
          <w:tab w:leader="none" w:pos="1020" w:val="left"/>
        </w:tabs>
        <w:numPr>
          <w:ilvl w:val="0"/>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of Service</w:t>
      </w:r>
      <w:r>
        <w:rPr>
          <w:rFonts w:ascii="Times New Roman" w:cs="Times New Roman" w:eastAsia="Times New Roman" w:hAnsi="Times New Roman"/>
          <w:sz w:val="18"/>
          <w:szCs w:val="18"/>
          <w:color w:val="auto"/>
        </w:rPr>
        <w:t>.</w:t>
      </w:r>
    </w:p>
    <w:p>
      <w:pPr>
        <w:spacing w:after="0" w:line="184" w:lineRule="exact"/>
        <w:rPr>
          <w:rFonts w:ascii="Times New Roman" w:cs="Times New Roman" w:eastAsia="Times New Roman" w:hAnsi="Times New Roman"/>
          <w:sz w:val="18"/>
          <w:szCs w:val="18"/>
          <w:color w:val="auto"/>
        </w:rPr>
      </w:pPr>
    </w:p>
    <w:p>
      <w:pPr>
        <w:ind w:right="380" w:firstLine="1505"/>
        <w:spacing w:after="0" w:line="282" w:lineRule="auto"/>
        <w:tabs>
          <w:tab w:leader="none" w:pos="2036" w:val="left"/>
        </w:tabs>
        <w:numPr>
          <w:ilvl w:val="1"/>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of Unexercisable Options</w:t>
      </w:r>
      <w:r>
        <w:rPr>
          <w:rFonts w:ascii="Times New Roman" w:cs="Times New Roman" w:eastAsia="Times New Roman" w:hAnsi="Times New Roman"/>
          <w:sz w:val="18"/>
          <w:szCs w:val="18"/>
          <w:color w:val="auto"/>
        </w:rPr>
        <w:t>. If your Service with the Company ceases for any reason, the Options that are then unexercisable will terminate immediately upon such cessation.</w:t>
      </w:r>
    </w:p>
    <w:p>
      <w:pPr>
        <w:spacing w:after="0" w:line="121" w:lineRule="exact"/>
        <w:rPr>
          <w:rFonts w:ascii="Times New Roman" w:cs="Times New Roman" w:eastAsia="Times New Roman" w:hAnsi="Times New Roman"/>
          <w:sz w:val="18"/>
          <w:szCs w:val="18"/>
          <w:color w:val="auto"/>
        </w:rPr>
      </w:pPr>
    </w:p>
    <w:p>
      <w:pPr>
        <w:ind w:right="600" w:firstLine="1505"/>
        <w:spacing w:after="0" w:line="282" w:lineRule="auto"/>
        <w:tabs>
          <w:tab w:leader="none" w:pos="2036" w:val="left"/>
        </w:tabs>
        <w:numPr>
          <w:ilvl w:val="1"/>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Period Following Termination of Service</w:t>
      </w:r>
      <w:r>
        <w:rPr>
          <w:rFonts w:ascii="Times New Roman" w:cs="Times New Roman" w:eastAsia="Times New Roman" w:hAnsi="Times New Roman"/>
          <w:sz w:val="18"/>
          <w:szCs w:val="18"/>
          <w:color w:val="auto"/>
        </w:rPr>
        <w:t>. If your Service with the Company ceases for any reason other than discharge for Cause, the Options that are then exercisable will terminate upon the earliest of:</w:t>
      </w:r>
    </w:p>
    <w:p>
      <w:pPr>
        <w:spacing w:after="0" w:line="134" w:lineRule="exact"/>
        <w:rPr>
          <w:rFonts w:ascii="Times New Roman" w:cs="Times New Roman" w:eastAsia="Times New Roman" w:hAnsi="Times New Roman"/>
          <w:sz w:val="18"/>
          <w:szCs w:val="18"/>
          <w:color w:val="auto"/>
        </w:rPr>
      </w:pPr>
    </w:p>
    <w:p>
      <w:pPr>
        <w:ind w:right="380" w:firstLine="2254"/>
        <w:spacing w:after="0" w:line="282" w:lineRule="auto"/>
        <w:tabs>
          <w:tab w:leader="none" w:pos="2546" w:val="left"/>
        </w:tabs>
        <w:numPr>
          <w:ilvl w:val="2"/>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expiration of 90 days following such cessation, if your Service ceases on account of (1) your termination by the Company other than a discharge for Cause, or (2) your voluntary termination other than for Total and Permanent Disability or death;</w:t>
      </w:r>
    </w:p>
    <w:p>
      <w:pPr>
        <w:spacing w:after="0" w:line="121" w:lineRule="exact"/>
        <w:rPr>
          <w:rFonts w:ascii="Times New Roman" w:cs="Times New Roman" w:eastAsia="Times New Roman" w:hAnsi="Times New Roman"/>
          <w:sz w:val="18"/>
          <w:szCs w:val="18"/>
          <w:color w:val="auto"/>
        </w:rPr>
      </w:pPr>
    </w:p>
    <w:p>
      <w:pPr>
        <w:ind w:left="2560" w:hanging="306"/>
        <w:spacing w:after="0"/>
        <w:tabs>
          <w:tab w:leader="none" w:pos="2560" w:val="left"/>
        </w:tabs>
        <w:numPr>
          <w:ilvl w:val="2"/>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expiration of 12 months following such cessation, if your Service ceases on account of your Total and Permanent</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Disability or death;</w:t>
      </w:r>
    </w:p>
    <w:p>
      <w:pPr>
        <w:spacing w:after="0" w:line="166" w:lineRule="exact"/>
        <w:rPr>
          <w:rFonts w:ascii="Times New Roman" w:cs="Times New Roman" w:eastAsia="Times New Roman" w:hAnsi="Times New Roman"/>
          <w:sz w:val="18"/>
          <w:szCs w:val="18"/>
          <w:color w:val="auto"/>
        </w:rPr>
      </w:pPr>
    </w:p>
    <w:p>
      <w:pPr>
        <w:ind w:right="80" w:firstLine="2254"/>
        <w:spacing w:after="0" w:line="282" w:lineRule="auto"/>
        <w:tabs>
          <w:tab w:leader="none" w:pos="2546" w:val="left"/>
        </w:tabs>
        <w:numPr>
          <w:ilvl w:val="2"/>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expiration of 12 months following your death, if your death occurs during the periods described in clauses (i) or (ii) of this Section 3(b), as applicable; or</w:t>
      </w:r>
    </w:p>
    <w:p>
      <w:pPr>
        <w:spacing w:after="0" w:line="134" w:lineRule="exact"/>
        <w:rPr>
          <w:rFonts w:ascii="Times New Roman" w:cs="Times New Roman" w:eastAsia="Times New Roman" w:hAnsi="Times New Roman"/>
          <w:sz w:val="18"/>
          <w:szCs w:val="18"/>
          <w:color w:val="auto"/>
        </w:rPr>
      </w:pPr>
    </w:p>
    <w:p>
      <w:pPr>
        <w:ind w:left="2560" w:hanging="306"/>
        <w:spacing w:after="0"/>
        <w:tabs>
          <w:tab w:leader="none" w:pos="2560" w:val="left"/>
        </w:tabs>
        <w:numPr>
          <w:ilvl w:val="2"/>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Expiration Date.</w:t>
      </w:r>
    </w:p>
    <w:p>
      <w:pPr>
        <w:spacing w:after="0" w:line="185"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In the event of your death, the exercisable Options may be exercised by your executor, personal representative, or the person(s) to whom the Options are transferred by will or the laws of descent and distribution.</w:t>
      </w:r>
    </w:p>
    <w:p>
      <w:pPr>
        <w:spacing w:after="0" w:line="162" w:lineRule="exact"/>
        <w:rPr>
          <w:sz w:val="20"/>
          <w:szCs w:val="20"/>
          <w:color w:val="auto"/>
        </w:rPr>
      </w:pPr>
    </w:p>
    <w:p>
      <w:pPr>
        <w:ind w:right="120" w:firstLine="1505"/>
        <w:spacing w:after="0" w:line="258" w:lineRule="auto"/>
        <w:tabs>
          <w:tab w:leader="none" w:pos="2036" w:val="left"/>
        </w:tabs>
        <w:numPr>
          <w:ilvl w:val="0"/>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Misconduct</w:t>
      </w:r>
      <w:r>
        <w:rPr>
          <w:rFonts w:ascii="Times New Roman" w:cs="Times New Roman" w:eastAsia="Times New Roman" w:hAnsi="Times New Roman"/>
          <w:sz w:val="18"/>
          <w:szCs w:val="18"/>
          <w:color w:val="auto"/>
        </w:rPr>
        <w:t>. The Options will terminate in their entirety, regardless of whether the Options are then exercisable, immediately upon your discharge from Service for Cause, or upon your commission of any of the following acts during the exercise period following your termination of Service: (i) fraud on or misappropriation of any funds or property of the Company, or (ii) your breach of any provision of any employment, non-disclosure, non-competition, non-solicitation, assignment of inventions, or other similar agreement executed by you for the benefit of the Company, as determined by the Administrator, which determination will be conclusive.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981075</wp:posOffset>
            </wp:positionV>
            <wp:extent cx="7157720" cy="42545"/>
            <wp:wrapNone/>
            <wp:docPr id="805"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pic:cNvPicPr>
                      <a:picLocks noChangeAspect="1" noChangeArrowheads="1"/>
                    </pic:cNvPicPr>
                  </pic:nvPicPr>
                  <pic:blipFill>
                    <a:blip r:embed="rId8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555" w:name="page556"/>
    <w:bookmarkEnd w:id="555"/>
    <w:p>
      <w:pPr>
        <w:ind w:left="-757" w:right="60" w:firstLine="1505"/>
        <w:spacing w:after="0" w:line="266" w:lineRule="auto"/>
        <w:tabs>
          <w:tab w:leader="none" w:pos="1280" w:val="left"/>
        </w:tabs>
        <w:numPr>
          <w:ilvl w:val="1"/>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 in Status</w:t>
      </w:r>
      <w:r>
        <w:rPr>
          <w:rFonts w:ascii="Times New Roman" w:cs="Times New Roman" w:eastAsia="Times New Roman" w:hAnsi="Times New Roman"/>
          <w:sz w:val="18"/>
          <w:szCs w:val="18"/>
          <w:color w:val="auto"/>
        </w:rPr>
        <w:t>. In the event that your Service is with a business, trade or entity that, after the Grant Date, ceases for any reason to be part or an Affiliate of the Company, your Service will be deemed to have terminated for purposes of this Section 3 upon such cessation if your Service does not continue uninterrupted immediately thereafter with the Company or an Affiliate of the Company.</w:t>
      </w:r>
    </w:p>
    <w:p>
      <w:pPr>
        <w:spacing w:after="0" w:line="135" w:lineRule="exact"/>
        <w:rPr>
          <w:rFonts w:ascii="Times New Roman" w:cs="Times New Roman" w:eastAsia="Times New Roman" w:hAnsi="Times New Roman"/>
          <w:sz w:val="18"/>
          <w:szCs w:val="18"/>
          <w:color w:val="auto"/>
        </w:rPr>
      </w:pPr>
    </w:p>
    <w:p>
      <w:pPr>
        <w:ind w:left="-757" w:firstLine="757"/>
        <w:spacing w:after="0" w:line="256" w:lineRule="auto"/>
        <w:tabs>
          <w:tab w:leader="none" w:pos="261" w:val="left"/>
        </w:tabs>
        <w:numPr>
          <w:ilvl w:val="0"/>
          <w:numId w:val="2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Nontransferability of Options</w:t>
      </w:r>
      <w:r>
        <w:rPr>
          <w:rFonts w:ascii="Times New Roman" w:cs="Times New Roman" w:eastAsia="Times New Roman" w:hAnsi="Times New Roman"/>
          <w:sz w:val="18"/>
          <w:szCs w:val="18"/>
          <w:color w:val="auto"/>
        </w:rPr>
        <w:t>. These Options and, before exercise, the underlying Shares are nontransferable otherwise than by will or the laws of descent and distribution and, during your lifetime, the Options may be exercised only by you or, during the period you are under a legal disability, by your guardian or legal representative. Except as provided above, the Options and, before exercise, the underlying Shares may not be assigned, transferred, pledged, hypothecated, subjected to any “put equivalent position,” “call equivalent position” (as each preceding term is defined by Rule 16(a)-1 under the Securities Exchange Act of 1934), or short position, or disposed of in any way (whether by operation of law or otherwise) and shall not be subject to execution, attachment or similar process.</w:t>
      </w:r>
    </w:p>
    <w:p>
      <w:pPr>
        <w:spacing w:after="0" w:line="160" w:lineRule="exact"/>
        <w:rPr>
          <w:rFonts w:ascii="Times New Roman" w:cs="Times New Roman" w:eastAsia="Times New Roman" w:hAnsi="Times New Roman"/>
          <w:sz w:val="18"/>
          <w:szCs w:val="18"/>
          <w:color w:val="auto"/>
        </w:rPr>
      </w:pPr>
    </w:p>
    <w:p>
      <w:pPr>
        <w:ind w:left="-757" w:right="20" w:firstLine="757"/>
        <w:spacing w:after="0" w:line="261" w:lineRule="auto"/>
        <w:tabs>
          <w:tab w:leader="none" w:pos="261" w:val="left"/>
        </w:tabs>
        <w:numPr>
          <w:ilvl w:val="0"/>
          <w:numId w:val="2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Nonqualified Nature of the Options</w:t>
      </w:r>
      <w:r>
        <w:rPr>
          <w:rFonts w:ascii="Times New Roman" w:cs="Times New Roman" w:eastAsia="Times New Roman" w:hAnsi="Times New Roman"/>
          <w:sz w:val="18"/>
          <w:szCs w:val="18"/>
          <w:color w:val="auto"/>
        </w:rPr>
        <w:t xml:space="preserve">. The Options are </w:t>
      </w:r>
      <w:r>
        <w:rPr>
          <w:rFonts w:ascii="Times New Roman" w:cs="Times New Roman" w:eastAsia="Times New Roman" w:hAnsi="Times New Roman"/>
          <w:sz w:val="18"/>
          <w:szCs w:val="18"/>
          <w:u w:val="single" w:color="auto"/>
          <w:color w:val="auto"/>
        </w:rPr>
        <w:t>not</w:t>
      </w:r>
      <w:r>
        <w:rPr>
          <w:rFonts w:ascii="Times New Roman" w:cs="Times New Roman" w:eastAsia="Times New Roman" w:hAnsi="Times New Roman"/>
          <w:sz w:val="18"/>
          <w:szCs w:val="18"/>
          <w:color w:val="auto"/>
        </w:rPr>
        <w:t xml:space="preserve"> intended to qualify as incentive stock options within the meaning of Code section 422, and this Agreement shall be so construed. You hereby acknowledge that, upon exercise of the Options, you will recognize compensation income in an amount equal to the excess of the then Fair Market Value of the Shares over the Exercise Price and must comply with the provisions of Section 6 of this Agreement with respect to any tax withholding obligations that arise as a result of such exercise.</w:t>
      </w:r>
    </w:p>
    <w:p>
      <w:pPr>
        <w:spacing w:after="0" w:line="139" w:lineRule="exact"/>
        <w:rPr>
          <w:rFonts w:ascii="Times New Roman" w:cs="Times New Roman" w:eastAsia="Times New Roman" w:hAnsi="Times New Roman"/>
          <w:sz w:val="18"/>
          <w:szCs w:val="18"/>
          <w:color w:val="auto"/>
        </w:rPr>
      </w:pPr>
    </w:p>
    <w:p>
      <w:pPr>
        <w:ind w:left="263" w:hanging="263"/>
        <w:spacing w:after="0"/>
        <w:tabs>
          <w:tab w:leader="none" w:pos="263" w:val="left"/>
        </w:tabs>
        <w:numPr>
          <w:ilvl w:val="0"/>
          <w:numId w:val="2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Withholding of Taxes</w:t>
      </w:r>
      <w:r>
        <w:rPr>
          <w:rFonts w:ascii="Times New Roman" w:cs="Times New Roman" w:eastAsia="Times New Roman" w:hAnsi="Times New Roman"/>
          <w:sz w:val="18"/>
          <w:szCs w:val="18"/>
          <w:color w:val="auto"/>
        </w:rPr>
        <w:t>.</w:t>
      </w:r>
    </w:p>
    <w:p>
      <w:pPr>
        <w:spacing w:after="0" w:line="184" w:lineRule="exact"/>
        <w:rPr>
          <w:rFonts w:ascii="Times New Roman" w:cs="Times New Roman" w:eastAsia="Times New Roman" w:hAnsi="Times New Roman"/>
          <w:sz w:val="18"/>
          <w:szCs w:val="18"/>
          <w:color w:val="auto"/>
        </w:rPr>
      </w:pPr>
    </w:p>
    <w:p>
      <w:pPr>
        <w:ind w:left="-757" w:right="80" w:firstLine="1505"/>
        <w:spacing w:after="0" w:line="261" w:lineRule="auto"/>
        <w:tabs>
          <w:tab w:leader="none" w:pos="1280" w:val="left"/>
        </w:tabs>
        <w:numPr>
          <w:ilvl w:val="1"/>
          <w:numId w:val="2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time the Options are exercised, in whole or in part, or at any time thereafter as requested by the Company, you hereby authorize withholding from payroll or any other payment of any kind due to you and otherwise agree to make adequate provision for foreign, federal, state and local taxes required by law to be withheld, if any, which arise in connection with the Options. The Company may require you to make a cash payment to cover any withholding tax obligation as a condition of exercise of the Options or issuance of share certificates representing Shares.</w:t>
      </w:r>
    </w:p>
    <w:p>
      <w:pPr>
        <w:spacing w:after="0" w:line="152" w:lineRule="exact"/>
        <w:rPr>
          <w:rFonts w:ascii="Times New Roman" w:cs="Times New Roman" w:eastAsia="Times New Roman" w:hAnsi="Times New Roman"/>
          <w:sz w:val="18"/>
          <w:szCs w:val="18"/>
          <w:color w:val="auto"/>
        </w:rPr>
      </w:pPr>
    </w:p>
    <w:p>
      <w:pPr>
        <w:ind w:left="-757" w:right="120" w:firstLine="1505"/>
        <w:spacing w:after="0" w:line="261" w:lineRule="auto"/>
        <w:tabs>
          <w:tab w:leader="none" w:pos="1280" w:val="left"/>
        </w:tabs>
        <w:numPr>
          <w:ilvl w:val="1"/>
          <w:numId w:val="2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Administrator may, in its sole discretion, permit you to satisfy, in whole or in part, any withholding tax obligation which may arise in connection with the Options either by electing to have the Company withhold from the Shares to be issued upon exercise that number of Shares, or by electing to deliver to the Company already-owned shares, in either case having a Fair Market Value not in excess of the amount necessary to satisfy the statutory minimum withholding amount due.</w:t>
      </w:r>
    </w:p>
    <w:p>
      <w:pPr>
        <w:spacing w:after="0" w:line="139" w:lineRule="exact"/>
        <w:rPr>
          <w:rFonts w:ascii="Times New Roman" w:cs="Times New Roman" w:eastAsia="Times New Roman" w:hAnsi="Times New Roman"/>
          <w:sz w:val="18"/>
          <w:szCs w:val="18"/>
          <w:color w:val="auto"/>
        </w:rPr>
      </w:pPr>
    </w:p>
    <w:p>
      <w:pPr>
        <w:ind w:left="-757" w:right="100" w:firstLine="757"/>
        <w:spacing w:after="0" w:line="256" w:lineRule="auto"/>
        <w:tabs>
          <w:tab w:leader="none" w:pos="261" w:val="left"/>
        </w:tabs>
        <w:numPr>
          <w:ilvl w:val="0"/>
          <w:numId w:val="2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Adjustments</w:t>
      </w:r>
      <w:r>
        <w:rPr>
          <w:rFonts w:ascii="Times New Roman" w:cs="Times New Roman" w:eastAsia="Times New Roman" w:hAnsi="Times New Roman"/>
          <w:sz w:val="18"/>
          <w:szCs w:val="18"/>
          <w:color w:val="auto"/>
        </w:rPr>
        <w:t>. The Administrator may make various adjustments to your Options, including adjustments to the number and type of securities subject to the Options and the Exercise Price, in accordance with the terms of the Plan. In the event of any transaction resulting in a Change in Control of the Company, the outstanding Options will terminate upon the effective time of such Change in Control unless provision is made in connection with the transaction for the continuation or assumption of such Options by, or for the substitution of the equivalent awards of, the surviving or successor entity or a parent thereof. In the event of such termination, you will be permitted, immediately before the Change in Control, to exercise or convert all portions of such Options that are then exercisable or which become exercisable upon or prior to the effective time of the Change in Control.</w:t>
      </w:r>
    </w:p>
    <w:p>
      <w:pPr>
        <w:spacing w:after="0" w:line="146" w:lineRule="exact"/>
        <w:rPr>
          <w:rFonts w:ascii="Times New Roman" w:cs="Times New Roman" w:eastAsia="Times New Roman" w:hAnsi="Times New Roman"/>
          <w:sz w:val="18"/>
          <w:szCs w:val="18"/>
          <w:color w:val="auto"/>
        </w:rPr>
      </w:pPr>
    </w:p>
    <w:p>
      <w:pPr>
        <w:ind w:left="-757" w:right="60" w:firstLine="757"/>
        <w:spacing w:after="0" w:line="258" w:lineRule="auto"/>
        <w:tabs>
          <w:tab w:leader="none" w:pos="261" w:val="left"/>
        </w:tabs>
        <w:numPr>
          <w:ilvl w:val="0"/>
          <w:numId w:val="2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Non-Guarantee of Employment or Service Relationship</w:t>
      </w:r>
      <w:r>
        <w:rPr>
          <w:rFonts w:ascii="Times New Roman" w:cs="Times New Roman" w:eastAsia="Times New Roman" w:hAnsi="Times New Roman"/>
          <w:sz w:val="18"/>
          <w:szCs w:val="18"/>
          <w:color w:val="auto"/>
        </w:rPr>
        <w:t>. Nothing in the Plan or this Agreement will alter your at-will or other employment status or other service relationship with the Company, nor be construed as a contract of employment or service relationship between you and the Company, or as a contractual right for you to continue in the employ of, or in a service relationship with, the Company for any period of time, or as a limitation of the right of the Company to discharge you at any time with or without Cause or notice and whether or not such discharge results in the failure of any of the Options to become exercisable or any other adverse effect on your interests under the Plan.</w:t>
      </w:r>
    </w:p>
    <w:p>
      <w:pPr>
        <w:spacing w:after="0" w:line="156" w:lineRule="exact"/>
        <w:rPr>
          <w:rFonts w:ascii="Times New Roman" w:cs="Times New Roman" w:eastAsia="Times New Roman" w:hAnsi="Times New Roman"/>
          <w:sz w:val="18"/>
          <w:szCs w:val="18"/>
          <w:color w:val="auto"/>
        </w:rPr>
      </w:pPr>
    </w:p>
    <w:p>
      <w:pPr>
        <w:ind w:left="-757" w:right="220" w:firstLine="757"/>
        <w:spacing w:after="0" w:line="266" w:lineRule="auto"/>
        <w:tabs>
          <w:tab w:leader="none" w:pos="261" w:val="left"/>
        </w:tabs>
        <w:numPr>
          <w:ilvl w:val="0"/>
          <w:numId w:val="2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Rights as a Stockholder</w:t>
      </w:r>
      <w:r>
        <w:rPr>
          <w:rFonts w:ascii="Times New Roman" w:cs="Times New Roman" w:eastAsia="Times New Roman" w:hAnsi="Times New Roman"/>
          <w:sz w:val="18"/>
          <w:szCs w:val="18"/>
          <w:color w:val="auto"/>
        </w:rPr>
        <w:t>. You shall not have any of the rights of a stockholder with respect to the Shares until such Shares have been issued to you upon the due exercise of the Options. No adjustment will be made for dividends or distributions or other rights for which the record date is prior to the date such Shares are issued.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976630</wp:posOffset>
            </wp:positionV>
            <wp:extent cx="7157720" cy="42545"/>
            <wp:wrapNone/>
            <wp:docPr id="806" name="Picture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pic:cNvPicPr>
                      <a:picLocks noChangeAspect="1" noChangeArrowheads="1"/>
                    </pic:cNvPicPr>
                  </pic:nvPicPr>
                  <pic:blipFill>
                    <a:blip r:embed="rId8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1417" w:right="339" w:bottom="1440" w:gutter="0" w:footer="0" w:header="0"/>
        </w:sectPr>
      </w:pPr>
    </w:p>
    <w:bookmarkStart w:id="556" w:name="page557"/>
    <w:bookmarkEnd w:id="556"/>
    <w:p>
      <w:pPr>
        <w:ind w:left="-757" w:firstLine="757"/>
        <w:spacing w:after="0" w:line="258" w:lineRule="auto"/>
        <w:tabs>
          <w:tab w:leader="none" w:pos="261" w:val="left"/>
        </w:tabs>
        <w:numPr>
          <w:ilvl w:val="0"/>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The Company’s Rights</w:t>
      </w:r>
      <w:r>
        <w:rPr>
          <w:rFonts w:ascii="Times New Roman" w:cs="Times New Roman" w:eastAsia="Times New Roman" w:hAnsi="Times New Roman"/>
          <w:sz w:val="18"/>
          <w:szCs w:val="18"/>
          <w:color w:val="auto"/>
        </w:rPr>
        <w:t>. The existence of the Options shall not affect in any way the right or power of the Company or its stockholders to make or authorize any or all adjustments, recapitalizations, reorganizations or other changes in the Company’s capital structure or its business, or any merger or consolidation of the Company, or any issue of bonds, debentures, preferred or other stocks with preference ahead of or convertible into, or otherwise affecting the Common Stock or the rights thereof, or the dissolution or liquidation of the Company, or any sale or transfer of all or any part of the Company’s assets or business, or any other corporate act or proceeding, whether of a similar character or otherwise.</w:t>
      </w:r>
    </w:p>
    <w:p>
      <w:pPr>
        <w:spacing w:after="0" w:line="142" w:lineRule="exact"/>
        <w:rPr>
          <w:rFonts w:ascii="Times New Roman" w:cs="Times New Roman" w:eastAsia="Times New Roman" w:hAnsi="Times New Roman"/>
          <w:sz w:val="18"/>
          <w:szCs w:val="18"/>
          <w:color w:val="auto"/>
        </w:rPr>
      </w:pPr>
    </w:p>
    <w:p>
      <w:pPr>
        <w:ind w:left="-757" w:right="20" w:firstLine="757"/>
        <w:spacing w:after="0" w:line="253" w:lineRule="auto"/>
        <w:tabs>
          <w:tab w:leader="none" w:pos="261" w:val="left"/>
        </w:tabs>
        <w:numPr>
          <w:ilvl w:val="0"/>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Recoupment Policy</w:t>
      </w:r>
      <w:r>
        <w:rPr>
          <w:rFonts w:ascii="Times New Roman" w:cs="Times New Roman" w:eastAsia="Times New Roman" w:hAnsi="Times New Roman"/>
          <w:sz w:val="18"/>
          <w:szCs w:val="18"/>
          <w:color w:val="auto"/>
        </w:rPr>
        <w:t>. You agree that, subject to the requirements of applicable law, if you breach any restrictive covenant agreement between you and the Company or any of its Affiliates or you otherwise engage in activities that constitute Cause either while employed by, or providing service to, the Company or any of its Affiliates or within two years thereafter, the Options shall terminate, and the Company may rescind any delivery of shares upon vesting or settlement, as applicable on such terms as the Board or Compensation Committee shall determine, including the right to require that in the event of any such rescission, (a) you shall return to the Company the shares received upon exercise of the Options or, (b) if you no longer owns the shares, you shall pay to the Company the amount of any gain realized or payment received as a result of any sale or other disposition of the shares (or, in the event you transfer the shares by gift or otherwise without consideration, the Fair Market Value of the shares on the date of the breach of any restrictive covenant agreement or activity constituting Cause). You agree that payment shall be made in such manner and on such terms and conditions as may be required by the Board or Compensation Committee and you shall be entitled to set off against the amount of any such payment any amounts otherwise owed to you by the Company. In addition, you agree that the Options shall be subject to any applicable clawback or recoupment policies, share trading policies and other policies that may be implemented by the Board from time to time.</w:t>
      </w:r>
    </w:p>
    <w:p>
      <w:pPr>
        <w:spacing w:after="0" w:line="164" w:lineRule="exact"/>
        <w:rPr>
          <w:rFonts w:ascii="Times New Roman" w:cs="Times New Roman" w:eastAsia="Times New Roman" w:hAnsi="Times New Roman"/>
          <w:sz w:val="18"/>
          <w:szCs w:val="18"/>
          <w:color w:val="auto"/>
        </w:rPr>
      </w:pPr>
    </w:p>
    <w:p>
      <w:pPr>
        <w:ind w:left="-757" w:right="240" w:firstLine="757"/>
        <w:spacing w:after="0" w:line="266" w:lineRule="auto"/>
        <w:tabs>
          <w:tab w:leader="none" w:pos="261" w:val="left"/>
        </w:tabs>
        <w:numPr>
          <w:ilvl w:val="0"/>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Agreement, together with the correlating Stock Option Notice and the Plan, contain the entire agreement between you and the Company with respect to the Options. Any oral or written agreements, representations, warranties, written inducements, or other communications made prior to the execution of this Agreement with respect to the Options shall be void and ineffective for all purposes.</w:t>
      </w:r>
    </w:p>
    <w:p>
      <w:pPr>
        <w:spacing w:after="0" w:line="135" w:lineRule="exact"/>
        <w:rPr>
          <w:rFonts w:ascii="Times New Roman" w:cs="Times New Roman" w:eastAsia="Times New Roman" w:hAnsi="Times New Roman"/>
          <w:sz w:val="18"/>
          <w:szCs w:val="18"/>
          <w:color w:val="auto"/>
        </w:rPr>
      </w:pPr>
    </w:p>
    <w:p>
      <w:pPr>
        <w:ind w:left="-757" w:right="300" w:firstLine="757"/>
        <w:spacing w:after="0" w:line="266" w:lineRule="auto"/>
        <w:tabs>
          <w:tab w:leader="none" w:pos="261" w:val="left"/>
        </w:tabs>
        <w:numPr>
          <w:ilvl w:val="0"/>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xml:space="preserve">. This Agreement may be amended from time to time by the Administrator in its discretion;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this Agreement may not be modified in a manner that would have a materially adverse effect on the Options or Shares as determined in the discretion of the Administrator, except as provided in the Plan or in a written document signed by you and the Company.</w:t>
      </w:r>
    </w:p>
    <w:p>
      <w:pPr>
        <w:spacing w:after="0" w:line="135" w:lineRule="exact"/>
        <w:rPr>
          <w:rFonts w:ascii="Times New Roman" w:cs="Times New Roman" w:eastAsia="Times New Roman" w:hAnsi="Times New Roman"/>
          <w:sz w:val="18"/>
          <w:szCs w:val="18"/>
          <w:color w:val="auto"/>
        </w:rPr>
      </w:pPr>
    </w:p>
    <w:p>
      <w:pPr>
        <w:ind w:left="-757" w:right="40" w:firstLine="757"/>
        <w:spacing w:after="0" w:line="261" w:lineRule="auto"/>
        <w:tabs>
          <w:tab w:leader="none" w:pos="261" w:val="left"/>
        </w:tabs>
        <w:numPr>
          <w:ilvl w:val="0"/>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Conformity with Plan</w:t>
      </w:r>
      <w:r>
        <w:rPr>
          <w:rFonts w:ascii="Times New Roman" w:cs="Times New Roman" w:eastAsia="Times New Roman" w:hAnsi="Times New Roman"/>
          <w:sz w:val="18"/>
          <w:szCs w:val="18"/>
          <w:color w:val="auto"/>
        </w:rPr>
        <w:t>. This Agreement is intended to conform in all respects with, and is subject to all applicable provisions of, the Plan. Any conflict between the terms of this Agreement and the Plan shall be resolved in accordance with the terms of the Plan. In the event of any ambiguity in this Agreement or any matters as to which this Agreement is silent, the Plan shall govern. A copy of the Plan is available upon request to the Administrator.</w:t>
      </w:r>
    </w:p>
    <w:p>
      <w:pPr>
        <w:spacing w:after="0" w:line="152" w:lineRule="exact"/>
        <w:rPr>
          <w:rFonts w:ascii="Times New Roman" w:cs="Times New Roman" w:eastAsia="Times New Roman" w:hAnsi="Times New Roman"/>
          <w:sz w:val="18"/>
          <w:szCs w:val="18"/>
          <w:color w:val="auto"/>
        </w:rPr>
      </w:pPr>
    </w:p>
    <w:p>
      <w:pPr>
        <w:ind w:left="-757" w:right="20" w:firstLine="757"/>
        <w:spacing w:after="0" w:line="255" w:lineRule="auto"/>
        <w:tabs>
          <w:tab w:leader="none" w:pos="261" w:val="left"/>
        </w:tabs>
        <w:numPr>
          <w:ilvl w:val="0"/>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409A</w:t>
      </w:r>
      <w:r>
        <w:rPr>
          <w:rFonts w:ascii="Times New Roman" w:cs="Times New Roman" w:eastAsia="Times New Roman" w:hAnsi="Times New Roman"/>
          <w:sz w:val="18"/>
          <w:szCs w:val="18"/>
          <w:color w:val="auto"/>
        </w:rPr>
        <w:t>. This Agreement and the Options granted hereunder are intended to comply with, or otherwise be exempt from, Section 409A of the Code. This Agreement and the Options shall be administered, interpreted and construed in a manner consistent with this intent. Nothing in the Plan or this Agreement shall be construed as including any feature for the deferral of compensation other than the deferral of recognition of income until the exercise of the Options. Should any provision of the Plan or this Agreement be found not to comply with, or otherwise be exempt from, the provisions of Section 409A of the Code, it may be modified and given effect, in the sole discretion of the Administrator and without requiring your consent, in such manner as the Administrator determines to be necessary or appropriate to comply with, or to effectuate an exemption from, Section 409A of the Code. The foregoing, however, shall not be construed as a guarantee or warranty by the Company of any particular tax effect to you.</w:t>
      </w:r>
    </w:p>
    <w:p>
      <w:pPr>
        <w:spacing w:after="0" w:line="148" w:lineRule="exact"/>
        <w:rPr>
          <w:rFonts w:ascii="Times New Roman" w:cs="Times New Roman" w:eastAsia="Times New Roman" w:hAnsi="Times New Roman"/>
          <w:sz w:val="18"/>
          <w:szCs w:val="18"/>
          <w:color w:val="auto"/>
        </w:rPr>
      </w:pPr>
    </w:p>
    <w:p>
      <w:pPr>
        <w:ind w:left="-757" w:right="120" w:firstLine="757"/>
        <w:spacing w:after="0" w:line="261" w:lineRule="auto"/>
        <w:tabs>
          <w:tab w:leader="none" w:pos="261" w:val="left"/>
        </w:tabs>
        <w:numPr>
          <w:ilvl w:val="0"/>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Electronic Delivery of Documents</w:t>
      </w:r>
      <w:r>
        <w:rPr>
          <w:rFonts w:ascii="Times New Roman" w:cs="Times New Roman" w:eastAsia="Times New Roman" w:hAnsi="Times New Roman"/>
          <w:sz w:val="18"/>
          <w:szCs w:val="18"/>
          <w:color w:val="auto"/>
        </w:rPr>
        <w:t>. By your signing the Notice, you (i) consent to the electronic delivery of this Agreement, all information with respect to the Plan and the Options, and any reports of the Company provided generally to the Company’s stockholders; (ii) acknowledge that you may receive from the Company a paper copy of any documents delivered electronically at no cost to you by contacting the Company by telephone or in writing; (iii) further acknowledge that you may revoke your consent to the electronic delivery of documents 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978535</wp:posOffset>
            </wp:positionV>
            <wp:extent cx="7157720" cy="42545"/>
            <wp:wrapNone/>
            <wp:docPr id="807" name="Picture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pic:cNvPicPr>
                      <a:picLocks noChangeAspect="1" noChangeArrowheads="1"/>
                    </pic:cNvPicPr>
                  </pic:nvPicPr>
                  <pic:blipFill>
                    <a:blip r:embed="rId8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63"/>
          </w:cols>
          <w:pgMar w:left="1077" w:top="1417" w:right="359" w:bottom="1440" w:gutter="0" w:footer="0" w:header="0"/>
        </w:sectPr>
      </w:pPr>
    </w:p>
    <w:bookmarkStart w:id="557" w:name="page558"/>
    <w:bookmarkEnd w:id="557"/>
    <w:p>
      <w:pPr>
        <w:ind w:right="700"/>
        <w:spacing w:after="0" w:line="282" w:lineRule="auto"/>
        <w:rPr>
          <w:sz w:val="20"/>
          <w:szCs w:val="20"/>
          <w:color w:val="auto"/>
        </w:rPr>
      </w:pPr>
      <w:r>
        <w:rPr>
          <w:rFonts w:ascii="Times New Roman" w:cs="Times New Roman" w:eastAsia="Times New Roman" w:hAnsi="Times New Roman"/>
          <w:sz w:val="18"/>
          <w:szCs w:val="18"/>
          <w:color w:val="auto"/>
        </w:rPr>
        <w:t>any time by notifying the Company of such revoked consent by telephone, postal service or electronic mail; and (iv) further acknowledge that you understand that you are not required to consent to electronic delivery of documents.</w:t>
      </w:r>
    </w:p>
    <w:p>
      <w:pPr>
        <w:spacing w:after="0" w:line="121" w:lineRule="exact"/>
        <w:rPr>
          <w:sz w:val="20"/>
          <w:szCs w:val="20"/>
          <w:color w:val="auto"/>
        </w:rPr>
      </w:pPr>
    </w:p>
    <w:p>
      <w:pPr>
        <w:ind w:firstLine="757"/>
        <w:spacing w:after="0" w:line="253" w:lineRule="auto"/>
        <w:tabs>
          <w:tab w:leader="none" w:pos="1018" w:val="left"/>
        </w:tabs>
        <w:numPr>
          <w:ilvl w:val="0"/>
          <w:numId w:val="2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Future Entitlement</w:t>
      </w:r>
      <w:r>
        <w:rPr>
          <w:rFonts w:ascii="Times New Roman" w:cs="Times New Roman" w:eastAsia="Times New Roman" w:hAnsi="Times New Roman"/>
          <w:sz w:val="18"/>
          <w:szCs w:val="18"/>
          <w:color w:val="auto"/>
        </w:rPr>
        <w:t>. By execution of the Notice, you acknowledge and agree that: (i) the grant of these Options is a one-time benefit which does not create any contractual or other right to receive future grants of stock options, or compensation in lieu of stock options, even if stock options have been granted repeatedly in the past; (ii) all determinations with respect to any such future grants, including, but not limited to, the times when stock options shall be granted or shall become exercisable, the maximum number of shares subject to each stock option, and the purchase price, will be at the sole discretion of the Administrator; (iii) the value of these Options is an extraordinary item of compensation which is outside the scope of your employment contract, if any; (iv) the value of these Options is not part of normal or expected compensation or salary for any purpose, including, but not limited to, calculating any termination, severance, resignation, redundancy, end of service payments or similar payments, or bonuses, long-service awards, pension or retirement benefits; (v) the vesting of these Options ceases upon termination of employment with the Company or transfer of employment from the Company, or other cessation of eligibility for any reason, except as may otherwise be explicitly provided in this Agreement; (vi) if the underlying Common Stock does not increase in value, these Options will have no value, nor does the Company guarantee any future value; and (vii) no claim or entitlement to compensation or damages arises if these Options do not increase in value and you irrevocably release the Company from any such claim that does arise.</w:t>
      </w:r>
    </w:p>
    <w:p>
      <w:pPr>
        <w:spacing w:after="0" w:line="164" w:lineRule="exact"/>
        <w:rPr>
          <w:rFonts w:ascii="Times New Roman" w:cs="Times New Roman" w:eastAsia="Times New Roman" w:hAnsi="Times New Roman"/>
          <w:sz w:val="18"/>
          <w:szCs w:val="18"/>
          <w:color w:val="auto"/>
        </w:rPr>
      </w:pPr>
    </w:p>
    <w:p>
      <w:pPr>
        <w:ind w:right="80" w:firstLine="757"/>
        <w:spacing w:after="0" w:line="253" w:lineRule="auto"/>
        <w:tabs>
          <w:tab w:leader="none" w:pos="1018" w:val="left"/>
        </w:tabs>
        <w:numPr>
          <w:ilvl w:val="0"/>
          <w:numId w:val="2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Personal Data</w:t>
      </w:r>
      <w:r>
        <w:rPr>
          <w:rFonts w:ascii="Times New Roman" w:cs="Times New Roman" w:eastAsia="Times New Roman" w:hAnsi="Times New Roman"/>
          <w:sz w:val="18"/>
          <w:szCs w:val="18"/>
          <w:color w:val="auto"/>
        </w:rPr>
        <w:t>. For the purpose of implementing, administering and managing these Options, you, by execution of the Notice, consent to the collection, receipt, use, retention and transfer, in electronic or other form, of your personal data by and among the Company and its third party vendors or any potential party to any Change in Control transaction or capital raising transaction involving the Company. You understand that personal data (including but not limited to, name, home address, telephone number, employee number, employment status, social security number, tax identification number, date of birth, nationality, job and payroll location, data for tax withholding purposes and shares awarded, cancelled, exercised, vested and unvested) may be transferred to third parties assisting in the implementation, administration and management of these Options and the Plan and you expressly authorize such transfer as well as the retention, use, and the subsequent transfer of the data by the recipient(s). You understand that these recipients may be located in your country or elsewhere, and that the recipient’s country may have different data privacy laws and protections than your country. You understand that data will be held only as long as is necessary to implement, administer and manage these Options. You understand that you may, at any time, request a list with the names and addresses of any potential recipients of the personal data, view data, request additional information about the storage and processing of data, require any necessary amendments to data or refuse or withdraw the consents herein, in any case without cost, by contacting in writing the Company’s Secretary. You understand, however, that refusing or withdrawing your consent may affect your ability to accept a stock option.</w:t>
      </w:r>
    </w:p>
    <w:p>
      <w:pPr>
        <w:spacing w:after="0" w:line="146" w:lineRule="exact"/>
        <w:rPr>
          <w:rFonts w:ascii="Times New Roman" w:cs="Times New Roman" w:eastAsia="Times New Roman" w:hAnsi="Times New Roman"/>
          <w:sz w:val="18"/>
          <w:szCs w:val="18"/>
          <w:color w:val="auto"/>
        </w:rPr>
      </w:pPr>
    </w:p>
    <w:p>
      <w:pPr>
        <w:ind w:right="20" w:firstLine="757"/>
        <w:spacing w:after="0" w:line="255" w:lineRule="auto"/>
        <w:tabs>
          <w:tab w:leader="none" w:pos="1018" w:val="left"/>
        </w:tabs>
        <w:numPr>
          <w:ilvl w:val="0"/>
          <w:numId w:val="2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The validity, construction and effect of this Agreement, and of any determinations or decisions made by the Administrator relating to this Agreement, and the rights of any and all persons having or claiming to have any interest under this Agreement, shall be determined exclusively in accordance with the laws of the State of Delaware, without regard to its provisions concerning the applicability of laws of other jurisdictions. As a condition of this Agreement, you agree that you will not bring any action arising under, as a result of, pursuant to or relating to, this Agreement in any court other than a federal or state court in the districts which include Delaware, and you hereby agree and submit to the personal jurisdiction of any federal court located in the district which includes Delaware or any state court in the district which includes Delaware. You further agree that you will not deny or attempt to defeat such personal jurisdiction or object to venue by motion or other request for leave from any such court.</w:t>
      </w:r>
    </w:p>
    <w:p>
      <w:pPr>
        <w:spacing w:after="0" w:line="148" w:lineRule="exact"/>
        <w:rPr>
          <w:rFonts w:ascii="Times New Roman" w:cs="Times New Roman" w:eastAsia="Times New Roman" w:hAnsi="Times New Roman"/>
          <w:sz w:val="18"/>
          <w:szCs w:val="18"/>
          <w:color w:val="auto"/>
        </w:rPr>
      </w:pPr>
    </w:p>
    <w:p>
      <w:pPr>
        <w:ind w:right="20" w:firstLine="757"/>
        <w:spacing w:after="0" w:line="256" w:lineRule="auto"/>
        <w:tabs>
          <w:tab w:leader="none" w:pos="1018" w:val="left"/>
        </w:tabs>
        <w:numPr>
          <w:ilvl w:val="0"/>
          <w:numId w:val="2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Resolution of Disputes</w:t>
      </w:r>
      <w:r>
        <w:rPr>
          <w:rFonts w:ascii="Times New Roman" w:cs="Times New Roman" w:eastAsia="Times New Roman" w:hAnsi="Times New Roman"/>
          <w:sz w:val="18"/>
          <w:szCs w:val="18"/>
          <w:color w:val="auto"/>
        </w:rPr>
        <w:t>. Any dispute or disagreement which shall arise under, or as a result of, or pursuant to or relating to, this Agreement shall be determined by the Administrator in good faith in its absolute and uncontrolled discretion, and any such determination or any other determination by the Administrator under or pursuant to this Agreement and any interpretation by the Administrator of the terms of this Agreement, will be final, binding and conclusive on all persons affected thereby. You agree that before you may bring any legal action arising under, as a result of, pursuant to or relating to, this Agreement you will first exhaust your administrative remedies before the Administrator. You further agree that in the event that the Administrator does not resolve any dispute or disagreement arising under, as a result of, pursuant to or relating to, this Agreement to your satisfaction,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992505</wp:posOffset>
            </wp:positionV>
            <wp:extent cx="7157720" cy="42545"/>
            <wp:wrapNone/>
            <wp:docPr id="808" name="Picture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pic:cNvPicPr>
                      <a:picLocks noChangeAspect="1" noChangeArrowheads="1"/>
                    </pic:cNvPicPr>
                  </pic:nvPicPr>
                  <pic:blipFill>
                    <a:blip r:embed="rId8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1366520</wp:posOffset>
            </wp:positionH>
            <wp:positionV relativeFrom="paragraph">
              <wp:posOffset>-2586355</wp:posOffset>
            </wp:positionV>
            <wp:extent cx="28575" cy="8255"/>
            <wp:wrapNone/>
            <wp:docPr id="809" name="Picture 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
                    <pic:cNvPicPr>
                      <a:picLocks noChangeAspect="1" noChangeArrowheads="1"/>
                    </pic:cNvPicPr>
                  </pic:nvPicPr>
                  <pic:blipFill>
                    <a:blip r:embed="rId817">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558" w:name="page559"/>
    <w:bookmarkEnd w:id="558"/>
    <w:p>
      <w:pPr>
        <w:spacing w:after="0" w:line="261" w:lineRule="auto"/>
        <w:rPr>
          <w:sz w:val="20"/>
          <w:szCs w:val="20"/>
          <w:color w:val="auto"/>
        </w:rPr>
      </w:pPr>
      <w:r>
        <w:rPr>
          <w:rFonts w:ascii="Times New Roman" w:cs="Times New Roman" w:eastAsia="Times New Roman" w:hAnsi="Times New Roman"/>
          <w:sz w:val="18"/>
          <w:szCs w:val="18"/>
          <w:color w:val="auto"/>
        </w:rPr>
        <w:t>no legal action may be commenced or maintained relating to this Agreement more than twenty-four (24) months after the Administrator’s decision, and any such legal action shall be subject to, and must be brought in accordance with, any Dispute Resolution Protocol which you previously entered into in connection with your employment with the Company or any of its Affiliates, which agreement is incorporated herein by reference as if fully restated herein.</w:t>
      </w:r>
    </w:p>
    <w:p>
      <w:pPr>
        <w:spacing w:after="0" w:line="139" w:lineRule="exact"/>
        <w:rPr>
          <w:sz w:val="20"/>
          <w:szCs w:val="20"/>
          <w:color w:val="auto"/>
        </w:rPr>
      </w:pPr>
    </w:p>
    <w:p>
      <w:pPr>
        <w:ind w:left="1020" w:hanging="263"/>
        <w:spacing w:after="0"/>
        <w:tabs>
          <w:tab w:leader="none" w:pos="1020" w:val="left"/>
        </w:tabs>
        <w:numPr>
          <w:ilvl w:val="0"/>
          <w:numId w:val="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headings in this Agreement are for reference purposes only and shall not affect the meaning or interpretation of this</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Agreement.</w:t>
      </w:r>
    </w:p>
    <w:p>
      <w:pPr>
        <w:spacing w:after="0" w:line="1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Glossary begins on next page</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1009015</wp:posOffset>
            </wp:positionV>
            <wp:extent cx="7157720" cy="42545"/>
            <wp:wrapNone/>
            <wp:docPr id="810" name="Picture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pic:cNvPicPr>
                      <a:picLocks noChangeAspect="1" noChangeArrowheads="1"/>
                    </pic:cNvPicPr>
                  </pic:nvPicPr>
                  <pic:blipFill>
                    <a:blip r:embed="rId8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559" w:name="page560"/>
    <w:bookmarkEnd w:id="559"/>
    <w:p>
      <w:pPr>
        <w:jc w:val="center"/>
        <w:ind w:right="-99"/>
        <w:spacing w:after="0"/>
        <w:rPr>
          <w:sz w:val="20"/>
          <w:szCs w:val="20"/>
          <w:color w:val="auto"/>
        </w:rPr>
      </w:pPr>
      <w:r>
        <w:rPr>
          <w:rFonts w:ascii="Times New Roman" w:cs="Times New Roman" w:eastAsia="Times New Roman" w:hAnsi="Times New Roman"/>
          <w:sz w:val="18"/>
          <w:szCs w:val="18"/>
          <w:b w:val="1"/>
          <w:bCs w:val="1"/>
          <w:u w:val="single" w:color="auto"/>
          <w:color w:val="auto"/>
        </w:rPr>
        <w:t>GLOSSARY</w:t>
      </w:r>
    </w:p>
    <w:p>
      <w:pPr>
        <w:spacing w:after="0" w:line="185" w:lineRule="exact"/>
        <w:rPr>
          <w:sz w:val="20"/>
          <w:szCs w:val="20"/>
          <w:color w:val="auto"/>
        </w:rPr>
      </w:pPr>
    </w:p>
    <w:p>
      <w:pPr>
        <w:ind w:left="2040" w:hanging="535"/>
        <w:spacing w:after="0"/>
        <w:tabs>
          <w:tab w:leader="none" w:pos="2040" w:val="left"/>
        </w:tabs>
        <w:numPr>
          <w:ilvl w:val="0"/>
          <w:numId w:val="2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Administrator</w:t>
      </w:r>
      <w:r>
        <w:rPr>
          <w:rFonts w:ascii="Times New Roman" w:cs="Times New Roman" w:eastAsia="Times New Roman" w:hAnsi="Times New Roman"/>
          <w:sz w:val="18"/>
          <w:szCs w:val="18"/>
          <w:color w:val="auto"/>
        </w:rPr>
        <w:t>” shall have the meaning set forth in the Plan.</w:t>
      </w:r>
    </w:p>
    <w:p>
      <w:pPr>
        <w:spacing w:after="0" w:line="198" w:lineRule="exact"/>
        <w:rPr>
          <w:rFonts w:ascii="Times New Roman" w:cs="Times New Roman" w:eastAsia="Times New Roman" w:hAnsi="Times New Roman"/>
          <w:sz w:val="18"/>
          <w:szCs w:val="18"/>
          <w:color w:val="auto"/>
        </w:rPr>
      </w:pPr>
    </w:p>
    <w:p>
      <w:pPr>
        <w:ind w:left="2040" w:hanging="535"/>
        <w:spacing w:after="0"/>
        <w:tabs>
          <w:tab w:leader="none" w:pos="2040" w:val="left"/>
        </w:tabs>
        <w:numPr>
          <w:ilvl w:val="0"/>
          <w:numId w:val="2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Affiliate</w:t>
      </w:r>
      <w:r>
        <w:rPr>
          <w:rFonts w:ascii="Times New Roman" w:cs="Times New Roman" w:eastAsia="Times New Roman" w:hAnsi="Times New Roman"/>
          <w:sz w:val="18"/>
          <w:szCs w:val="18"/>
          <w:color w:val="auto"/>
        </w:rPr>
        <w:t>” shall have the meaning set forth in the Plan.</w:t>
      </w:r>
    </w:p>
    <w:p>
      <w:pPr>
        <w:spacing w:after="0" w:line="184" w:lineRule="exact"/>
        <w:rPr>
          <w:rFonts w:ascii="Times New Roman" w:cs="Times New Roman" w:eastAsia="Times New Roman" w:hAnsi="Times New Roman"/>
          <w:sz w:val="18"/>
          <w:szCs w:val="18"/>
          <w:color w:val="auto"/>
        </w:rPr>
      </w:pPr>
    </w:p>
    <w:p>
      <w:pPr>
        <w:ind w:left="2040" w:hanging="535"/>
        <w:spacing w:after="0"/>
        <w:tabs>
          <w:tab w:leader="none" w:pos="2040" w:val="left"/>
        </w:tabs>
        <w:numPr>
          <w:ilvl w:val="0"/>
          <w:numId w:val="2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Cause</w:t>
      </w:r>
      <w:r>
        <w:rPr>
          <w:rFonts w:ascii="Times New Roman" w:cs="Times New Roman" w:eastAsia="Times New Roman" w:hAnsi="Times New Roman"/>
          <w:sz w:val="18"/>
          <w:szCs w:val="18"/>
          <w:color w:val="auto"/>
        </w:rPr>
        <w:t>” shall have the meaning set forth in the Plan.</w:t>
      </w:r>
    </w:p>
    <w:p>
      <w:pPr>
        <w:spacing w:after="0" w:line="184" w:lineRule="exact"/>
        <w:rPr>
          <w:rFonts w:ascii="Times New Roman" w:cs="Times New Roman" w:eastAsia="Times New Roman" w:hAnsi="Times New Roman"/>
          <w:sz w:val="18"/>
          <w:szCs w:val="18"/>
          <w:color w:val="auto"/>
        </w:rPr>
      </w:pPr>
    </w:p>
    <w:p>
      <w:pPr>
        <w:ind w:left="2040" w:hanging="535"/>
        <w:spacing w:after="0"/>
        <w:tabs>
          <w:tab w:leader="none" w:pos="2040" w:val="left"/>
        </w:tabs>
        <w:numPr>
          <w:ilvl w:val="0"/>
          <w:numId w:val="2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Change in Control</w:t>
      </w:r>
      <w:r>
        <w:rPr>
          <w:rFonts w:ascii="Times New Roman" w:cs="Times New Roman" w:eastAsia="Times New Roman" w:hAnsi="Times New Roman"/>
          <w:sz w:val="18"/>
          <w:szCs w:val="18"/>
          <w:color w:val="auto"/>
        </w:rPr>
        <w:t>” shall have the meaning set forth in the Plan.</w:t>
      </w:r>
    </w:p>
    <w:p>
      <w:pPr>
        <w:spacing w:after="0" w:line="198" w:lineRule="exact"/>
        <w:rPr>
          <w:rFonts w:ascii="Times New Roman" w:cs="Times New Roman" w:eastAsia="Times New Roman" w:hAnsi="Times New Roman"/>
          <w:sz w:val="18"/>
          <w:szCs w:val="18"/>
          <w:color w:val="auto"/>
        </w:rPr>
      </w:pPr>
    </w:p>
    <w:p>
      <w:pPr>
        <w:ind w:left="2040" w:hanging="535"/>
        <w:spacing w:after="0"/>
        <w:tabs>
          <w:tab w:leader="none" w:pos="2040" w:val="left"/>
        </w:tabs>
        <w:numPr>
          <w:ilvl w:val="0"/>
          <w:numId w:val="2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Code</w:t>
      </w:r>
      <w:r>
        <w:rPr>
          <w:rFonts w:ascii="Times New Roman" w:cs="Times New Roman" w:eastAsia="Times New Roman" w:hAnsi="Times New Roman"/>
          <w:sz w:val="18"/>
          <w:szCs w:val="18"/>
          <w:color w:val="auto"/>
        </w:rPr>
        <w:t>” means the Internal Revenue Code of 1986, as amended.</w:t>
      </w:r>
    </w:p>
    <w:p>
      <w:pPr>
        <w:spacing w:after="0" w:line="184" w:lineRule="exact"/>
        <w:rPr>
          <w:rFonts w:ascii="Times New Roman" w:cs="Times New Roman" w:eastAsia="Times New Roman" w:hAnsi="Times New Roman"/>
          <w:sz w:val="18"/>
          <w:szCs w:val="18"/>
          <w:color w:val="auto"/>
        </w:rPr>
      </w:pPr>
    </w:p>
    <w:p>
      <w:pPr>
        <w:ind w:right="540" w:firstLine="1505"/>
        <w:spacing w:after="0" w:line="286" w:lineRule="auto"/>
        <w:tabs>
          <w:tab w:leader="none" w:pos="2036" w:val="left"/>
        </w:tabs>
        <w:numPr>
          <w:ilvl w:val="0"/>
          <w:numId w:val="2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includes Axsome Therapeutics, Inc. and its Subsidiaries, except where the context otherwise requires. For purposes of determining whether a Change in Control has occurred, Company shall mean only Axsome Therapeutics, Inc.</w:t>
      </w:r>
    </w:p>
    <w:p>
      <w:pPr>
        <w:spacing w:after="0" w:line="114" w:lineRule="exact"/>
        <w:rPr>
          <w:rFonts w:ascii="Times New Roman" w:cs="Times New Roman" w:eastAsia="Times New Roman" w:hAnsi="Times New Roman"/>
          <w:sz w:val="18"/>
          <w:szCs w:val="18"/>
          <w:color w:val="auto"/>
        </w:rPr>
      </w:pPr>
    </w:p>
    <w:p>
      <w:pPr>
        <w:ind w:left="2040" w:hanging="535"/>
        <w:spacing w:after="0"/>
        <w:tabs>
          <w:tab w:leader="none" w:pos="2040" w:val="left"/>
        </w:tabs>
        <w:numPr>
          <w:ilvl w:val="0"/>
          <w:numId w:val="2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Fair Market Value</w:t>
      </w:r>
      <w:r>
        <w:rPr>
          <w:rFonts w:ascii="Times New Roman" w:cs="Times New Roman" w:eastAsia="Times New Roman" w:hAnsi="Times New Roman"/>
          <w:sz w:val="18"/>
          <w:szCs w:val="18"/>
          <w:color w:val="auto"/>
        </w:rPr>
        <w:t>” shall have the meaning set forth in the Plan.</w:t>
      </w:r>
    </w:p>
    <w:p>
      <w:pPr>
        <w:spacing w:after="0" w:line="198" w:lineRule="exact"/>
        <w:rPr>
          <w:rFonts w:ascii="Times New Roman" w:cs="Times New Roman" w:eastAsia="Times New Roman" w:hAnsi="Times New Roman"/>
          <w:sz w:val="18"/>
          <w:szCs w:val="18"/>
          <w:color w:val="auto"/>
        </w:rPr>
      </w:pPr>
    </w:p>
    <w:p>
      <w:pPr>
        <w:ind w:firstLine="1505"/>
        <w:spacing w:after="0" w:line="262" w:lineRule="auto"/>
        <w:tabs>
          <w:tab w:leader="none" w:pos="2036" w:val="left"/>
        </w:tabs>
        <w:numPr>
          <w:ilvl w:val="0"/>
          <w:numId w:val="2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Service</w:t>
      </w:r>
      <w:r>
        <w:rPr>
          <w:rFonts w:ascii="Times New Roman" w:cs="Times New Roman" w:eastAsia="Times New Roman" w:hAnsi="Times New Roman"/>
          <w:sz w:val="18"/>
          <w:szCs w:val="18"/>
          <w:color w:val="auto"/>
        </w:rPr>
        <w:t>” means your employment, service as a non-executive director, or other service relationship with the Company and its Affiliates. Your Service will be considered to have ceased with the Company and its Affiliates if, immediately after a sale, merger or other corporate transaction, the trade, business or entity with which you are employed or otherwise have a service relationship is not Axsome Therapeutics, Inc. or its successor or an Affiliate of Axsome Therapeutics, Inc. or its successor.</w:t>
      </w:r>
    </w:p>
    <w:p>
      <w:pPr>
        <w:spacing w:after="0" w:line="135" w:lineRule="exact"/>
        <w:rPr>
          <w:rFonts w:ascii="Times New Roman" w:cs="Times New Roman" w:eastAsia="Times New Roman" w:hAnsi="Times New Roman"/>
          <w:sz w:val="18"/>
          <w:szCs w:val="18"/>
          <w:color w:val="auto"/>
        </w:rPr>
      </w:pPr>
    </w:p>
    <w:p>
      <w:pPr>
        <w:ind w:left="2040" w:hanging="535"/>
        <w:spacing w:after="0"/>
        <w:tabs>
          <w:tab w:leader="none" w:pos="2040" w:val="left"/>
        </w:tabs>
        <w:numPr>
          <w:ilvl w:val="0"/>
          <w:numId w:val="2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Shares</w:t>
      </w:r>
      <w:r>
        <w:rPr>
          <w:rFonts w:ascii="Times New Roman" w:cs="Times New Roman" w:eastAsia="Times New Roman" w:hAnsi="Times New Roman"/>
          <w:sz w:val="18"/>
          <w:szCs w:val="18"/>
          <w:color w:val="auto"/>
        </w:rPr>
        <w:t>” mean the shares of Common Stock underlying the Options.</w:t>
      </w:r>
    </w:p>
    <w:p>
      <w:pPr>
        <w:spacing w:after="0" w:line="184" w:lineRule="exact"/>
        <w:rPr>
          <w:rFonts w:ascii="Times New Roman" w:cs="Times New Roman" w:eastAsia="Times New Roman" w:hAnsi="Times New Roman"/>
          <w:sz w:val="18"/>
          <w:szCs w:val="18"/>
          <w:color w:val="auto"/>
        </w:rPr>
      </w:pPr>
    </w:p>
    <w:p>
      <w:pPr>
        <w:ind w:left="2040" w:hanging="535"/>
        <w:spacing w:after="0"/>
        <w:tabs>
          <w:tab w:leader="none" w:pos="2040" w:val="left"/>
        </w:tabs>
        <w:numPr>
          <w:ilvl w:val="0"/>
          <w:numId w:val="2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Stock Option Notice</w:t>
      </w:r>
      <w:r>
        <w:rPr>
          <w:rFonts w:ascii="Times New Roman" w:cs="Times New Roman" w:eastAsia="Times New Roman" w:hAnsi="Times New Roman"/>
          <w:sz w:val="18"/>
          <w:szCs w:val="18"/>
          <w:color w:val="auto"/>
        </w:rPr>
        <w:t>” means the written notice evidencing the award of the Options that correlates with and makes up a part</w:t>
      </w:r>
    </w:p>
    <w:p>
      <w:pPr>
        <w:spacing w:after="0" w:line="3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this Agreement.</w:t>
      </w:r>
    </w:p>
    <w:p>
      <w:pPr>
        <w:spacing w:after="0" w:line="175" w:lineRule="exact"/>
        <w:rPr>
          <w:rFonts w:ascii="Times New Roman" w:cs="Times New Roman" w:eastAsia="Times New Roman" w:hAnsi="Times New Roman"/>
          <w:sz w:val="18"/>
          <w:szCs w:val="18"/>
          <w:color w:val="auto"/>
        </w:rPr>
      </w:pPr>
    </w:p>
    <w:p>
      <w:pPr>
        <w:ind w:right="200" w:firstLine="1505"/>
        <w:spacing w:after="0" w:line="286" w:lineRule="auto"/>
        <w:tabs>
          <w:tab w:leader="none" w:pos="2036" w:val="left"/>
        </w:tabs>
        <w:numPr>
          <w:ilvl w:val="0"/>
          <w:numId w:val="2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Total and Permanent Disability</w:t>
      </w:r>
      <w:r>
        <w:rPr>
          <w:rFonts w:ascii="Times New Roman" w:cs="Times New Roman" w:eastAsia="Times New Roman" w:hAnsi="Times New Roman"/>
          <w:sz w:val="18"/>
          <w:szCs w:val="18"/>
          <w:color w:val="auto"/>
        </w:rPr>
        <w:t>” shall have the meaning set forth in the Plan, subject to the requirements of, and provided that such event satisfies the definition of “disability” within the meaning of, Treasury Regulation Section 1.409A-3(i)(4).</w:t>
      </w:r>
    </w:p>
    <w:p>
      <w:pPr>
        <w:spacing w:after="0" w:line="114" w:lineRule="exact"/>
        <w:rPr>
          <w:rFonts w:ascii="Times New Roman" w:cs="Times New Roman" w:eastAsia="Times New Roman" w:hAnsi="Times New Roman"/>
          <w:sz w:val="18"/>
          <w:szCs w:val="18"/>
          <w:color w:val="auto"/>
        </w:rPr>
      </w:pPr>
    </w:p>
    <w:p>
      <w:pPr>
        <w:ind w:right="180" w:firstLine="1505"/>
        <w:spacing w:after="0" w:line="262" w:lineRule="auto"/>
        <w:tabs>
          <w:tab w:leader="none" w:pos="2036" w:val="left"/>
        </w:tabs>
        <w:numPr>
          <w:ilvl w:val="0"/>
          <w:numId w:val="2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You</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your</w:t>
      </w:r>
      <w:r>
        <w:rPr>
          <w:rFonts w:ascii="Times New Roman" w:cs="Times New Roman" w:eastAsia="Times New Roman" w:hAnsi="Times New Roman"/>
          <w:sz w:val="18"/>
          <w:szCs w:val="18"/>
          <w:color w:val="auto"/>
        </w:rPr>
        <w:t>” means the recipient of the award of Options as reflected on the Stock Option Notice. Whenever the Agreement refers to “you” under circumstances where the provision should logically be construed, as determined by the Administrator, to apply to your estate, personal representative, or beneficiary to whom the Options may be transferred by will or by the laws of descent and distribution, the word “you” shall be deemed to include such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979170</wp:posOffset>
            </wp:positionV>
            <wp:extent cx="7157720" cy="42545"/>
            <wp:wrapNone/>
            <wp:docPr id="811" name="Picture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pic:cNvPicPr>
                      <a:picLocks noChangeAspect="1" noChangeArrowheads="1"/>
                    </pic:cNvPicPr>
                  </pic:nvPicPr>
                  <pic:blipFill>
                    <a:blip r:embed="rId8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13" w:right="419" w:bottom="1440" w:gutter="0" w:footer="0" w:header="0"/>
        </w:sectPr>
      </w:pPr>
    </w:p>
    <w:bookmarkStart w:id="560" w:name="page561"/>
    <w:bookmarkEnd w:id="560"/>
    <w:p>
      <w:pPr>
        <w:jc w:val="center"/>
        <w:ind w:right="-19"/>
        <w:spacing w:after="0"/>
        <w:rPr>
          <w:sz w:val="20"/>
          <w:szCs w:val="20"/>
          <w:color w:val="auto"/>
        </w:rPr>
      </w:pPr>
      <w:r>
        <w:rPr>
          <w:rFonts w:ascii="Times New Roman" w:cs="Times New Roman" w:eastAsia="Times New Roman" w:hAnsi="Times New Roman"/>
          <w:sz w:val="18"/>
          <w:szCs w:val="18"/>
          <w:color w:val="auto"/>
        </w:rPr>
        <w:t>EXERCISE FORM</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Administrator of 2025 Long-Term Incentive Plan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Office of the Corporate Secretary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Axsome Therapeutics,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One World Trade Center</w:t>
      </w:r>
    </w:p>
    <w:p>
      <w:pPr>
        <w:spacing w:after="0" w:line="208" w:lineRule="auto"/>
        <w:rPr>
          <w:sz w:val="20"/>
          <w:szCs w:val="20"/>
          <w:color w:val="auto"/>
        </w:rPr>
      </w:pPr>
      <w:r>
        <w:rPr>
          <w:rFonts w:ascii="Times New Roman" w:cs="Times New Roman" w:eastAsia="Times New Roman" w:hAnsi="Times New Roman"/>
          <w:sz w:val="18"/>
          <w:szCs w:val="18"/>
          <w:color w:val="auto"/>
        </w:rPr>
        <w:t>22</w:t>
      </w:r>
      <w:r>
        <w:rPr>
          <w:rFonts w:ascii="Times New Roman" w:cs="Times New Roman" w:eastAsia="Times New Roman" w:hAnsi="Times New Roman"/>
          <w:sz w:val="24"/>
          <w:szCs w:val="24"/>
          <w:color w:val="auto"/>
          <w:vertAlign w:val="superscript"/>
        </w:rPr>
        <w:t>nd</w:t>
      </w:r>
      <w:r>
        <w:rPr>
          <w:rFonts w:ascii="Times New Roman" w:cs="Times New Roman" w:eastAsia="Times New Roman" w:hAnsi="Times New Roman"/>
          <w:sz w:val="18"/>
          <w:szCs w:val="18"/>
          <w:color w:val="auto"/>
        </w:rPr>
        <w:t xml:space="preserve"> Floor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10007</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Gentlemen:</w:t>
      </w:r>
    </w:p>
    <w:p>
      <w:pPr>
        <w:spacing w:after="0" w:line="207" w:lineRule="exact"/>
        <w:rPr>
          <w:sz w:val="20"/>
          <w:szCs w:val="20"/>
          <w:color w:val="auto"/>
        </w:rPr>
      </w:pPr>
    </w:p>
    <w:p>
      <w:pPr>
        <w:ind w:left="760"/>
        <w:spacing w:after="0"/>
        <w:tabs>
          <w:tab w:leader="none" w:pos="5040" w:val="left"/>
          <w:tab w:leader="none" w:pos="5640" w:val="left"/>
        </w:tabs>
        <w:rPr>
          <w:sz w:val="20"/>
          <w:szCs w:val="20"/>
          <w:color w:val="auto"/>
        </w:rPr>
      </w:pPr>
      <w:r>
        <w:rPr>
          <w:rFonts w:ascii="Times New Roman" w:cs="Times New Roman" w:eastAsia="Times New Roman" w:hAnsi="Times New Roman"/>
          <w:sz w:val="18"/>
          <w:szCs w:val="18"/>
          <w:color w:val="auto"/>
        </w:rPr>
        <w:t>I hereby exercise the Options granted to me on</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 by Axsome Therapeutics, Inc. (the “Company”), subject to all the terms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2675890</wp:posOffset>
            </wp:positionH>
            <wp:positionV relativeFrom="paragraph">
              <wp:posOffset>-7620</wp:posOffset>
            </wp:positionV>
            <wp:extent cx="913765" cy="8890"/>
            <wp:wrapNone/>
            <wp:docPr id="812" name="Picture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pic:cNvPicPr>
                      <a:picLocks noChangeAspect="1" noChangeArrowheads="1"/>
                    </pic:cNvPicPr>
                  </pic:nvPicPr>
                  <pic:blipFill>
                    <a:blip r:embed="rId820">
                      <a:extLst>
                        <a:ext uri="{28A0092B-C50C-407E-A947-70E740481C1C}"/>
                      </a:extLst>
                    </a:blip>
                    <a:srcRect/>
                    <a:stretch>
                      <a:fillRect/>
                    </a:stretch>
                  </pic:blipFill>
                  <pic:spPr bwMode="auto">
                    <a:xfrm>
                      <a:off x="0" y="0"/>
                      <a:ext cx="913765"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provisions of the applicable grant agreement and of the Axsome Therapeutics, Inc. 2025 Long-Term Incentive Plan (the “Plan”), and notify you of my</w:t>
      </w:r>
    </w:p>
    <w:tbl>
      <w:tblPr>
        <w:tblLayout w:type="fixed"/>
        <w:tblInd w:w="0" w:type="dxa"/>
        <w:tblCellMar>
          <w:top w:w="0" w:type="dxa"/>
          <w:left w:w="0" w:type="dxa"/>
          <w:bottom w:w="0" w:type="dxa"/>
          <w:right w:w="0" w:type="dxa"/>
        </w:tblCellMar>
      </w:tblPr>
      <w:tr>
        <w:trPr>
          <w:trHeight w:val="185"/>
        </w:trPr>
        <w:tc>
          <w:tcPr>
            <w:tcW w:w="1400" w:type="dxa"/>
            <w:vAlign w:val="bottom"/>
          </w:tcPr>
          <w:p>
            <w:pPr>
              <w:spacing w:after="0" w:line="184" w:lineRule="exact"/>
              <w:rPr>
                <w:sz w:val="20"/>
                <w:szCs w:val="20"/>
                <w:color w:val="auto"/>
              </w:rPr>
            </w:pPr>
            <w:r>
              <w:rPr>
                <w:rFonts w:ascii="Times New Roman" w:cs="Times New Roman" w:eastAsia="Times New Roman" w:hAnsi="Times New Roman"/>
                <w:sz w:val="18"/>
                <w:szCs w:val="18"/>
                <w:color w:val="auto"/>
              </w:rPr>
              <w:t>desire to purchase</w:t>
            </w:r>
          </w:p>
        </w:tc>
        <w:tc>
          <w:tcPr>
            <w:tcW w:w="1400" w:type="dxa"/>
            <w:vAlign w:val="bottom"/>
          </w:tcPr>
          <w:p>
            <w:pPr>
              <w:spacing w:after="0"/>
              <w:rPr>
                <w:sz w:val="16"/>
                <w:szCs w:val="16"/>
                <w:color w:val="auto"/>
              </w:rPr>
            </w:pPr>
          </w:p>
        </w:tc>
        <w:tc>
          <w:tcPr>
            <w:tcW w:w="5300" w:type="dxa"/>
            <w:vAlign w:val="bottom"/>
            <w:gridSpan w:val="2"/>
          </w:tcPr>
          <w:p>
            <w:pPr>
              <w:ind w:left="40"/>
              <w:spacing w:after="0" w:line="184" w:lineRule="exact"/>
              <w:rPr>
                <w:sz w:val="20"/>
                <w:szCs w:val="20"/>
                <w:color w:val="auto"/>
              </w:rPr>
            </w:pPr>
            <w:r>
              <w:rPr>
                <w:rFonts w:ascii="Times New Roman" w:cs="Times New Roman" w:eastAsia="Times New Roman" w:hAnsi="Times New Roman"/>
                <w:sz w:val="18"/>
                <w:szCs w:val="18"/>
                <w:color w:val="auto"/>
              </w:rPr>
              <w:t>shares of Common Stock of the Company at a price of $</w:t>
            </w:r>
          </w:p>
        </w:tc>
        <w:tc>
          <w:tcPr>
            <w:tcW w:w="3080" w:type="dxa"/>
            <w:vAlign w:val="bottom"/>
          </w:tcPr>
          <w:p>
            <w:pPr>
              <w:ind w:left="140"/>
              <w:spacing w:after="0" w:line="184" w:lineRule="exact"/>
              <w:rPr>
                <w:sz w:val="20"/>
                <w:szCs w:val="20"/>
                <w:color w:val="auto"/>
              </w:rPr>
            </w:pPr>
            <w:r>
              <w:rPr>
                <w:rFonts w:ascii="Times New Roman" w:cs="Times New Roman" w:eastAsia="Times New Roman" w:hAnsi="Times New Roman"/>
                <w:sz w:val="18"/>
                <w:szCs w:val="18"/>
                <w:color w:val="auto"/>
                <w:w w:val="99"/>
              </w:rPr>
              <w:t>per share pursuant to the exercise of said</w:t>
            </w:r>
          </w:p>
        </w:tc>
        <w:tc>
          <w:tcPr>
            <w:tcW w:w="0" w:type="dxa"/>
            <w:vAlign w:val="bottom"/>
          </w:tcPr>
          <w:p>
            <w:pPr>
              <w:spacing w:after="0"/>
              <w:rPr>
                <w:sz w:val="1"/>
                <w:szCs w:val="1"/>
                <w:color w:val="auto"/>
              </w:rPr>
            </w:pPr>
          </w:p>
        </w:tc>
      </w:tr>
      <w:tr>
        <w:trPr>
          <w:trHeight w:val="237"/>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Options.</w:t>
            </w:r>
          </w:p>
        </w:tc>
        <w:tc>
          <w:tcPr>
            <w:tcW w:w="1400" w:type="dxa"/>
            <w:vAlign w:val="bottom"/>
            <w:tcBorders>
              <w:top w:val="single" w:sz="8" w:color="auto"/>
            </w:tcBorders>
          </w:tcPr>
          <w:p>
            <w:pPr>
              <w:spacing w:after="0"/>
              <w:rPr>
                <w:sz w:val="20"/>
                <w:szCs w:val="20"/>
                <w:color w:val="auto"/>
              </w:rPr>
            </w:pPr>
          </w:p>
        </w:tc>
        <w:tc>
          <w:tcPr>
            <w:tcW w:w="4080" w:type="dxa"/>
            <w:vAlign w:val="bottom"/>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3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28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Total Amount Enclosed: $</w:t>
            </w:r>
          </w:p>
        </w:tc>
        <w:tc>
          <w:tcPr>
            <w:tcW w:w="40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8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Date:</w:t>
            </w:r>
          </w:p>
        </w:tc>
        <w:tc>
          <w:tcPr>
            <w:tcW w:w="5300" w:type="dxa"/>
            <w:vAlign w:val="bottom"/>
            <w:gridSpan w:val="2"/>
            <w:vMerge w:val="restart"/>
          </w:tcPr>
          <w:p>
            <w:pPr>
              <w:ind w:left="1420"/>
              <w:spacing w:after="0"/>
              <w:rPr>
                <w:sz w:val="20"/>
                <w:szCs w:val="20"/>
                <w:color w:val="auto"/>
              </w:rPr>
            </w:pPr>
            <w:r>
              <w:rPr>
                <w:rFonts w:ascii="Times New Roman" w:cs="Times New Roman" w:eastAsia="Times New Roman" w:hAnsi="Times New Roman"/>
                <w:sz w:val="18"/>
                <w:szCs w:val="18"/>
                <w:color w:val="auto"/>
              </w:rPr>
              <w:t>(Optionee)</w:t>
            </w:r>
          </w:p>
        </w:tc>
        <w:tc>
          <w:tcPr>
            <w:tcW w:w="3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4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5300" w:type="dxa"/>
            <w:vAlign w:val="bottom"/>
            <w:gridSpan w:val="2"/>
            <w:vMerge w:val="continue"/>
          </w:tcPr>
          <w:p>
            <w:pPr>
              <w:spacing w:after="0"/>
              <w:rPr>
                <w:sz w:val="18"/>
                <w:szCs w:val="18"/>
                <w:color w:val="auto"/>
              </w:rPr>
            </w:pPr>
          </w:p>
        </w:tc>
        <w:tc>
          <w:tcPr>
            <w:tcW w:w="3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48"/>
        </w:trPr>
        <w:tc>
          <w:tcPr>
            <w:tcW w:w="14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5300" w:type="dxa"/>
            <w:vAlign w:val="bottom"/>
            <w:gridSpan w:val="2"/>
          </w:tcPr>
          <w:p>
            <w:pPr>
              <w:ind w:left="1420"/>
              <w:spacing w:after="0"/>
              <w:rPr>
                <w:sz w:val="20"/>
                <w:szCs w:val="20"/>
                <w:color w:val="auto"/>
              </w:rPr>
            </w:pPr>
            <w:r>
              <w:rPr>
                <w:rFonts w:ascii="Times New Roman" w:cs="Times New Roman" w:eastAsia="Times New Roman" w:hAnsi="Times New Roman"/>
                <w:sz w:val="18"/>
                <w:szCs w:val="18"/>
                <w:color w:val="auto"/>
              </w:rPr>
              <w:t>Received by AXSOME THERAPEUTICS, INC. on</w:t>
            </w:r>
          </w:p>
        </w:tc>
        <w:tc>
          <w:tcPr>
            <w:tcW w:w="3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1307465</wp:posOffset>
            </wp:positionV>
            <wp:extent cx="7157720" cy="42545"/>
            <wp:wrapNone/>
            <wp:docPr id="813" name="Picture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
                    <pic:cNvPicPr>
                      <a:picLocks noChangeAspect="1" noChangeArrowheads="1"/>
                    </pic:cNvPicPr>
                  </pic:nvPicPr>
                  <pic:blipFill>
                    <a:blip r:embed="rId8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561" w:name="page562"/>
    <w:bookmarkEnd w:id="561"/>
    <w:p>
      <w:pPr>
        <w:jc w:val="right"/>
        <w:spacing w:after="0"/>
        <w:rPr>
          <w:sz w:val="20"/>
          <w:szCs w:val="20"/>
          <w:color w:val="auto"/>
        </w:rPr>
      </w:pPr>
      <w:r>
        <w:rPr>
          <w:rFonts w:ascii="Times New Roman" w:cs="Times New Roman" w:eastAsia="Times New Roman" w:hAnsi="Times New Roman"/>
          <w:sz w:val="18"/>
          <w:szCs w:val="18"/>
          <w:b w:val="1"/>
          <w:bCs w:val="1"/>
          <w:color w:val="auto"/>
        </w:rPr>
        <w:t>Exhibit 10.9</w:t>
      </w:r>
    </w:p>
    <w:p>
      <w:pPr>
        <w:spacing w:after="0" w:line="200" w:lineRule="exact"/>
        <w:rPr>
          <w:sz w:val="20"/>
          <w:szCs w:val="20"/>
          <w:color w:val="auto"/>
        </w:rPr>
      </w:pPr>
    </w:p>
    <w:p>
      <w:pPr>
        <w:spacing w:after="0" w:line="245" w:lineRule="exact"/>
        <w:rPr>
          <w:sz w:val="20"/>
          <w:szCs w:val="20"/>
          <w:color w:val="auto"/>
        </w:rPr>
      </w:pPr>
    </w:p>
    <w:p>
      <w:pPr>
        <w:ind w:left="9720"/>
        <w:spacing w:after="0"/>
        <w:rPr>
          <w:sz w:val="20"/>
          <w:szCs w:val="20"/>
          <w:color w:val="auto"/>
        </w:rPr>
      </w:pPr>
      <w:r>
        <w:rPr>
          <w:rFonts w:ascii="Times New Roman" w:cs="Times New Roman" w:eastAsia="Times New Roman" w:hAnsi="Times New Roman"/>
          <w:sz w:val="18"/>
          <w:szCs w:val="18"/>
          <w:color w:val="auto"/>
        </w:rPr>
        <w:t>Grant No.:</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AXSOME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NONSTATUTORY STOCK OPTION NOTICE</w:t>
      </w:r>
    </w:p>
    <w:p>
      <w:pPr>
        <w:spacing w:after="0" w:line="176" w:lineRule="exact"/>
        <w:rPr>
          <w:sz w:val="20"/>
          <w:szCs w:val="20"/>
          <w:color w:val="auto"/>
        </w:rPr>
      </w:pPr>
    </w:p>
    <w:p>
      <w:pPr>
        <w:ind w:right="80" w:firstLine="749"/>
        <w:spacing w:after="0" w:line="256" w:lineRule="auto"/>
        <w:rPr>
          <w:sz w:val="20"/>
          <w:szCs w:val="20"/>
          <w:color w:val="auto"/>
        </w:rPr>
      </w:pPr>
      <w:r>
        <w:rPr>
          <w:rFonts w:ascii="Times New Roman" w:cs="Times New Roman" w:eastAsia="Times New Roman" w:hAnsi="Times New Roman"/>
          <w:sz w:val="18"/>
          <w:szCs w:val="18"/>
          <w:color w:val="auto"/>
        </w:rPr>
        <w:t>This Notice evidences the award of nonstatutory stock options (each, an “</w:t>
      </w:r>
      <w:r>
        <w:rPr>
          <w:rFonts w:ascii="Times New Roman" w:cs="Times New Roman" w:eastAsia="Times New Roman" w:hAnsi="Times New Roman"/>
          <w:sz w:val="18"/>
          <w:szCs w:val="18"/>
          <w:b w:val="1"/>
          <w:bCs w:val="1"/>
          <w:i w:val="1"/>
          <w:iCs w:val="1"/>
          <w:color w:val="auto"/>
        </w:rPr>
        <w:t>Option</w:t>
      </w:r>
      <w:r>
        <w:rPr>
          <w:rFonts w:ascii="Times New Roman" w:cs="Times New Roman" w:eastAsia="Times New Roman" w:hAnsi="Times New Roman"/>
          <w:sz w:val="18"/>
          <w:szCs w:val="18"/>
          <w:color w:val="auto"/>
        </w:rPr>
        <w:t>” or collectively, the “</w:t>
      </w:r>
      <w:r>
        <w:rPr>
          <w:rFonts w:ascii="Times New Roman" w:cs="Times New Roman" w:eastAsia="Times New Roman" w:hAnsi="Times New Roman"/>
          <w:sz w:val="18"/>
          <w:szCs w:val="18"/>
          <w:b w:val="1"/>
          <w:bCs w:val="1"/>
          <w:i w:val="1"/>
          <w:iCs w:val="1"/>
          <w:color w:val="auto"/>
        </w:rPr>
        <w:t>Options</w:t>
      </w:r>
      <w:r>
        <w:rPr>
          <w:rFonts w:ascii="Times New Roman" w:cs="Times New Roman" w:eastAsia="Times New Roman" w:hAnsi="Times New Roman"/>
          <w:sz w:val="18"/>
          <w:szCs w:val="18"/>
          <w:color w:val="auto"/>
        </w:rPr>
        <w:t>”) that have been granted to you, [NAME], subject to and conditioned upon your agreement to the terms of the attached Nonstatutory Stock Option Agreement (the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The Options entitle you to purchase shares of common stock (“</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of Axsome Therapeutics, Inc., a Delaware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under the Axsome Therapeutics, Inc. 2025 Long-Term Incentive Plan (the “</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 xml:space="preserve">”). The number of shares you may purchase and the exercise price at which you may purchase them are specified below. This Notice constitutes part of and is subject to the terms and provisions of the Agreement and the Plan, which are incorporated by reference herein. </w:t>
      </w:r>
      <w:r>
        <w:rPr>
          <w:rFonts w:ascii="Times New Roman" w:cs="Times New Roman" w:eastAsia="Times New Roman" w:hAnsi="Times New Roman"/>
          <w:sz w:val="18"/>
          <w:szCs w:val="18"/>
          <w:b w:val="1"/>
          <w:bCs w:val="1"/>
          <w:i w:val="1"/>
          <w:iCs w:val="1"/>
          <w:color w:val="auto"/>
        </w:rPr>
        <w:t>You must return an executed copy of this Notice to the Company within 30 days of the date hereof</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If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you fail to do so, the Options may be rendered null and void in the Company’s discretion.</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Grant Date</w:t>
      </w:r>
      <w:r>
        <w:rPr>
          <w:rFonts w:ascii="Times New Roman" w:cs="Times New Roman" w:eastAsia="Times New Roman" w:hAnsi="Times New Roman"/>
          <w:sz w:val="18"/>
          <w:szCs w:val="18"/>
          <w:color w:val="auto"/>
        </w:rPr>
        <w:t>: [GRANT DATE]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Number of Options</w:t>
      </w:r>
      <w:r>
        <w:rPr>
          <w:rFonts w:ascii="Times New Roman" w:cs="Times New Roman" w:eastAsia="Times New Roman" w:hAnsi="Times New Roman"/>
          <w:sz w:val="18"/>
          <w:szCs w:val="18"/>
          <w:color w:val="auto"/>
        </w:rPr>
        <w:t>: [NUMBER] Options, each permitting the purchase of one Share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Exercise Price</w:t>
      </w:r>
      <w:r>
        <w:rPr>
          <w:rFonts w:ascii="Times New Roman" w:cs="Times New Roman" w:eastAsia="Times New Roman" w:hAnsi="Times New Roman"/>
          <w:sz w:val="18"/>
          <w:szCs w:val="18"/>
          <w:color w:val="auto"/>
        </w:rPr>
        <w:t>: [PRICE] per share</w:t>
      </w:r>
    </w:p>
    <w:p>
      <w:pPr>
        <w:spacing w:after="0" w:line="225"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u w:val="single" w:color="auto"/>
          <w:color w:val="auto"/>
        </w:rPr>
        <w:t>Expiration Date</w:t>
      </w:r>
      <w:r>
        <w:rPr>
          <w:rFonts w:ascii="Times New Roman" w:cs="Times New Roman" w:eastAsia="Times New Roman" w:hAnsi="Times New Roman"/>
          <w:sz w:val="18"/>
          <w:szCs w:val="18"/>
          <w:color w:val="auto"/>
        </w:rPr>
        <w:t>: The Options expire at 5:00 P.M. Central Time on the last business day coincident with or prior to the 10th anniversary of the Grant Date (the “</w:t>
      </w:r>
      <w:r>
        <w:rPr>
          <w:rFonts w:ascii="Times New Roman" w:cs="Times New Roman" w:eastAsia="Times New Roman" w:hAnsi="Times New Roman"/>
          <w:sz w:val="18"/>
          <w:szCs w:val="18"/>
          <w:b w:val="1"/>
          <w:bCs w:val="1"/>
          <w:i w:val="1"/>
          <w:iCs w:val="1"/>
          <w:color w:val="auto"/>
        </w:rPr>
        <w:t>Expiration Date</w:t>
      </w:r>
      <w:r>
        <w:rPr>
          <w:rFonts w:ascii="Times New Roman" w:cs="Times New Roman" w:eastAsia="Times New Roman" w:hAnsi="Times New Roman"/>
          <w:sz w:val="18"/>
          <w:szCs w:val="18"/>
          <w:color w:val="auto"/>
        </w:rPr>
        <w:t>”), unless fully exercised or terminated earlier.</w:t>
      </w:r>
    </w:p>
    <w:p>
      <w:pPr>
        <w:spacing w:after="0" w:line="162"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u w:val="single" w:color="auto"/>
          <w:color w:val="auto"/>
        </w:rPr>
        <w:t>Exercisability Schedule</w:t>
      </w:r>
      <w:r>
        <w:rPr>
          <w:rFonts w:ascii="Times New Roman" w:cs="Times New Roman" w:eastAsia="Times New Roman" w:hAnsi="Times New Roman"/>
          <w:sz w:val="18"/>
          <w:szCs w:val="18"/>
          <w:color w:val="auto"/>
        </w:rPr>
        <w:t>: Subject to the terms and conditions described in the Agreement, the Options become exercisable in accordance with the schedule below, so long as your Service (as defined in the Agreement) is continuous from the Grant Date through the applicable date upon which vesting is scheduled to occur: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AXSOME THERAPEUTICS, INC.</w:t>
      </w:r>
    </w:p>
    <w:p>
      <w:pPr>
        <w:spacing w:after="0" w:line="200" w:lineRule="exact"/>
        <w:rPr>
          <w:sz w:val="20"/>
          <w:szCs w:val="20"/>
          <w:color w:val="auto"/>
        </w:rPr>
      </w:pPr>
    </w:p>
    <w:p>
      <w:pPr>
        <w:spacing w:after="0" w:line="241"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By:</w:t>
      </w:r>
    </w:p>
    <w:p>
      <w:pPr>
        <w:spacing w:after="0" w:line="225"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Date:</w:t>
      </w:r>
    </w:p>
    <w:p>
      <w:pPr>
        <w:spacing w:after="0" w:line="200" w:lineRule="exact"/>
        <w:rPr>
          <w:sz w:val="20"/>
          <w:szCs w:val="20"/>
          <w:color w:val="auto"/>
        </w:rPr>
      </w:pPr>
    </w:p>
    <w:p>
      <w:pPr>
        <w:spacing w:after="0" w:line="241"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I acknowledge that I have carefully read the attached Agreement and the prospectus for the Plan and agree to be bound by all of the provisions set forth in these documents.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Enclosures:   Nonstatutory Stock Option Agreement</w:t>
            </w:r>
          </w:p>
        </w:tc>
        <w:tc>
          <w:tcPr>
            <w:tcW w:w="638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OPTIONEE</w:t>
            </w:r>
          </w:p>
        </w:tc>
      </w:tr>
      <w:tr>
        <w:trPr>
          <w:trHeight w:val="216"/>
        </w:trPr>
        <w:tc>
          <w:tcPr>
            <w:tcW w:w="486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Prospectus for the 2025 Long-Term</w:t>
            </w:r>
          </w:p>
        </w:tc>
        <w:tc>
          <w:tcPr>
            <w:tcW w:w="6380" w:type="dxa"/>
            <w:vAlign w:val="bottom"/>
          </w:tcPr>
          <w:p>
            <w:pPr>
              <w:spacing w:after="0"/>
              <w:rPr>
                <w:sz w:val="18"/>
                <w:szCs w:val="18"/>
                <w:color w:val="auto"/>
              </w:rPr>
            </w:pPr>
          </w:p>
        </w:tc>
      </w:tr>
      <w:tr>
        <w:trPr>
          <w:trHeight w:val="216"/>
        </w:trPr>
        <w:tc>
          <w:tcPr>
            <w:tcW w:w="486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Incentive Plan</w:t>
            </w:r>
          </w:p>
        </w:tc>
        <w:tc>
          <w:tcPr>
            <w:tcW w:w="6380" w:type="dxa"/>
            <w:vAlign w:val="bottom"/>
          </w:tcPr>
          <w:p>
            <w:pPr>
              <w:spacing w:after="0"/>
              <w:rPr>
                <w:sz w:val="18"/>
                <w:szCs w:val="18"/>
                <w:color w:val="auto"/>
              </w:rPr>
            </w:pPr>
          </w:p>
        </w:tc>
      </w:tr>
      <w:tr>
        <w:trPr>
          <w:trHeight w:val="234"/>
        </w:trPr>
        <w:tc>
          <w:tcPr>
            <w:tcW w:w="486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Exercise Form</w:t>
            </w:r>
          </w:p>
        </w:tc>
        <w:tc>
          <w:tcPr>
            <w:tcW w:w="6380" w:type="dxa"/>
            <w:vAlign w:val="bottom"/>
          </w:tcPr>
          <w:p>
            <w:pPr>
              <w:spacing w:after="0"/>
              <w:rPr>
                <w:sz w:val="20"/>
                <w:szCs w:val="20"/>
                <w:color w:val="auto"/>
              </w:rPr>
            </w:pPr>
          </w:p>
        </w:tc>
      </w:tr>
      <w:tr>
        <w:trPr>
          <w:trHeight w:val="432"/>
        </w:trPr>
        <w:tc>
          <w:tcPr>
            <w:tcW w:w="4860" w:type="dxa"/>
            <w:vAlign w:val="bottom"/>
          </w:tcPr>
          <w:p>
            <w:pPr>
              <w:spacing w:after="0"/>
              <w:rPr>
                <w:sz w:val="24"/>
                <w:szCs w:val="24"/>
                <w:color w:val="auto"/>
              </w:rPr>
            </w:pPr>
          </w:p>
        </w:tc>
        <w:tc>
          <w:tcPr>
            <w:tcW w:w="638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Date:</w:t>
            </w:r>
          </w:p>
        </w:tc>
      </w:tr>
      <w:tr>
        <w:trPr>
          <w:trHeight w:val="2059"/>
        </w:trPr>
        <w:tc>
          <w:tcPr>
            <w:tcW w:w="4860" w:type="dxa"/>
            <w:vAlign w:val="bottom"/>
            <w:tcBorders>
              <w:bottom w:val="single" w:sz="8" w:color="9A9A9A"/>
            </w:tcBorders>
          </w:tcPr>
          <w:p>
            <w:pPr>
              <w:spacing w:after="0"/>
              <w:rPr>
                <w:sz w:val="24"/>
                <w:szCs w:val="24"/>
                <w:color w:val="auto"/>
              </w:rPr>
            </w:pPr>
          </w:p>
        </w:tc>
        <w:tc>
          <w:tcPr>
            <w:tcW w:w="63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14" name="Picture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pic:cNvPicPr>
                      <a:picLocks noChangeAspect="1" noChangeArrowheads="1"/>
                    </pic:cNvPicPr>
                  </pic:nvPicPr>
                  <pic:blipFill>
                    <a:blip r:embed="rId8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15" name="Picture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pic:cNvPicPr>
                      <a:picLocks noChangeAspect="1" noChangeArrowheads="1"/>
                    </pic:cNvPicPr>
                  </pic:nvPicPr>
                  <pic:blipFill>
                    <a:blip r:embed="rId8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562" w:name="page563"/>
    <w:bookmarkEnd w:id="562"/>
    <w:p>
      <w:pPr>
        <w:ind w:left="9720"/>
        <w:spacing w:after="0"/>
        <w:rPr>
          <w:sz w:val="20"/>
          <w:szCs w:val="20"/>
          <w:color w:val="auto"/>
        </w:rPr>
      </w:pPr>
      <w:r>
        <w:rPr>
          <w:rFonts w:ascii="Times New Roman" w:cs="Times New Roman" w:eastAsia="Times New Roman" w:hAnsi="Times New Roman"/>
          <w:sz w:val="18"/>
          <w:szCs w:val="18"/>
          <w:color w:val="auto"/>
        </w:rPr>
        <w:t>Grant No.:</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NONSTATUTORY STOCK OPTION AGREEMENT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 THE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AXSOME THERAPEUTICS, INC. 2025 LONG-TERM INCENTIVE PLAN</w:t>
      </w:r>
    </w:p>
    <w:p>
      <w:pPr>
        <w:spacing w:after="0" w:line="202" w:lineRule="exact"/>
        <w:rPr>
          <w:sz w:val="20"/>
          <w:szCs w:val="20"/>
          <w:color w:val="auto"/>
        </w:rPr>
      </w:pPr>
    </w:p>
    <w:p>
      <w:pPr>
        <w:ind w:right="120" w:firstLine="757"/>
        <w:spacing w:after="0" w:line="282" w:lineRule="auto"/>
        <w:tabs>
          <w:tab w:leader="none" w:pos="1018" w:val="left"/>
        </w:tabs>
        <w:numPr>
          <w:ilvl w:val="0"/>
          <w:numId w:val="2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Terminology</w:t>
      </w:r>
      <w:r>
        <w:rPr>
          <w:rFonts w:ascii="Times New Roman" w:cs="Times New Roman" w:eastAsia="Times New Roman" w:hAnsi="Times New Roman"/>
          <w:sz w:val="18"/>
          <w:szCs w:val="18"/>
          <w:color w:val="auto"/>
        </w:rPr>
        <w:t>. Capitalized terms used in this Agreement are defined in the correlating Stock Option Notice and/or the Glossary at the end of the Agreement, and to the extent not defined therein, have the meaning set forth in the Plan.</w:t>
      </w:r>
    </w:p>
    <w:p>
      <w:pPr>
        <w:spacing w:after="0" w:line="121" w:lineRule="exact"/>
        <w:rPr>
          <w:rFonts w:ascii="Times New Roman" w:cs="Times New Roman" w:eastAsia="Times New Roman" w:hAnsi="Times New Roman"/>
          <w:sz w:val="18"/>
          <w:szCs w:val="18"/>
          <w:color w:val="auto"/>
        </w:rPr>
      </w:pPr>
    </w:p>
    <w:p>
      <w:pPr>
        <w:ind w:left="1020" w:hanging="263"/>
        <w:spacing w:after="0"/>
        <w:tabs>
          <w:tab w:leader="none" w:pos="1020" w:val="left"/>
        </w:tabs>
        <w:numPr>
          <w:ilvl w:val="0"/>
          <w:numId w:val="2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of Options</w:t>
      </w:r>
      <w:r>
        <w:rPr>
          <w:rFonts w:ascii="Times New Roman" w:cs="Times New Roman" w:eastAsia="Times New Roman" w:hAnsi="Times New Roman"/>
          <w:sz w:val="18"/>
          <w:szCs w:val="18"/>
          <w:color w:val="auto"/>
        </w:rPr>
        <w:t>.</w:t>
      </w:r>
    </w:p>
    <w:p>
      <w:pPr>
        <w:spacing w:after="0" w:line="184" w:lineRule="exact"/>
        <w:rPr>
          <w:rFonts w:ascii="Times New Roman" w:cs="Times New Roman" w:eastAsia="Times New Roman" w:hAnsi="Times New Roman"/>
          <w:sz w:val="18"/>
          <w:szCs w:val="18"/>
          <w:color w:val="auto"/>
        </w:rPr>
      </w:pPr>
    </w:p>
    <w:p>
      <w:pPr>
        <w:ind w:right="80" w:firstLine="1505"/>
        <w:spacing w:after="0" w:line="261" w:lineRule="auto"/>
        <w:tabs>
          <w:tab w:leader="none" w:pos="2036" w:val="left"/>
        </w:tabs>
        <w:numPr>
          <w:ilvl w:val="1"/>
          <w:numId w:val="2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Exercisability</w:t>
      </w:r>
      <w:r>
        <w:rPr>
          <w:rFonts w:ascii="Times New Roman" w:cs="Times New Roman" w:eastAsia="Times New Roman" w:hAnsi="Times New Roman"/>
          <w:sz w:val="18"/>
          <w:szCs w:val="18"/>
          <w:color w:val="auto"/>
        </w:rPr>
        <w:t>. The Options will become exercisable in accordance with the Exercisability Schedule set forth in the Stock Option Notice, so long as you are in the Service of the Company from the Grant Date through the applicable exercisability dates. None of the Options will become exercisable after your Service with the Company ceases, unless the Stock Option Notice provides otherwise with respect to exercisability that arises as a result of your cessation of Service.</w:t>
      </w:r>
    </w:p>
    <w:p>
      <w:pPr>
        <w:spacing w:after="0" w:line="152" w:lineRule="exact"/>
        <w:rPr>
          <w:rFonts w:ascii="Times New Roman" w:cs="Times New Roman" w:eastAsia="Times New Roman" w:hAnsi="Times New Roman"/>
          <w:sz w:val="18"/>
          <w:szCs w:val="18"/>
          <w:color w:val="auto"/>
        </w:rPr>
      </w:pPr>
    </w:p>
    <w:p>
      <w:pPr>
        <w:ind w:firstLine="1505"/>
        <w:spacing w:after="0" w:line="253" w:lineRule="auto"/>
        <w:tabs>
          <w:tab w:leader="none" w:pos="2036" w:val="left"/>
        </w:tabs>
        <w:numPr>
          <w:ilvl w:val="1"/>
          <w:numId w:val="2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 to Exercise</w:t>
      </w:r>
      <w:r>
        <w:rPr>
          <w:rFonts w:ascii="Times New Roman" w:cs="Times New Roman" w:eastAsia="Times New Roman" w:hAnsi="Times New Roman"/>
          <w:sz w:val="18"/>
          <w:szCs w:val="18"/>
          <w:color w:val="auto"/>
        </w:rPr>
        <w:t>. You may exercise the Options, to the extent exercisable, at any time on or before 5:00 P.M. Central Time on the Expiration Date or the earlier termination of the Options, unless otherwise provided under applicable law. Notwithstanding the foregoing, if at any time the Administrator determines that the delivery of Shares under the Plan or this Agreement is or may be unlawful under the laws of any applicable jurisdiction, or Federal, state or foreign securities laws, the right to exercise the Options or receive Shares pursuant to the Options shall be suspended until the Administrator determines that such delivery is lawful. If at any time the Administrator determines that the delivery of Shares under the Plan or this Agreement is or may violate the rules of the national securities exchange on which the shares are then listed for trade, the right to exercise the Options or receive Shares pursuant to the Options shall be suspended until the Administrator determines that such exercise or delivery would not violate such rules. Section 3 below describes certain limitations on exercise of the Options that apply in the event of your death, Total and Permanent Disability, or termination of Service. The Options may be exercised only in multiples of whole Shares and may not be exercised at any one time as to fewer than one hundred Shares (or such lesser number of Shares as to which the Options are then exercisable). No fractional Shares will be issued under the Options.</w:t>
      </w:r>
    </w:p>
    <w:p>
      <w:pPr>
        <w:spacing w:after="0" w:line="153" w:lineRule="exact"/>
        <w:rPr>
          <w:rFonts w:ascii="Times New Roman" w:cs="Times New Roman" w:eastAsia="Times New Roman" w:hAnsi="Times New Roman"/>
          <w:sz w:val="18"/>
          <w:szCs w:val="18"/>
          <w:color w:val="auto"/>
        </w:rPr>
      </w:pPr>
    </w:p>
    <w:p>
      <w:pPr>
        <w:ind w:right="80" w:firstLine="2254"/>
        <w:spacing w:after="0" w:line="266" w:lineRule="auto"/>
        <w:tabs>
          <w:tab w:leader="none" w:pos="2546" w:val="left"/>
        </w:tabs>
        <w:numPr>
          <w:ilvl w:val="2"/>
          <w:numId w:val="2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Procedure</w:t>
      </w:r>
      <w:r>
        <w:rPr>
          <w:rFonts w:ascii="Times New Roman" w:cs="Times New Roman" w:eastAsia="Times New Roman" w:hAnsi="Times New Roman"/>
          <w:sz w:val="18"/>
          <w:szCs w:val="18"/>
          <w:color w:val="auto"/>
        </w:rPr>
        <w:t>. In order to exercise the Options, you must provide the following items to the Secretary of the Company or his or her delegate before the expiration or termination of the Options notice, in such manner and form as the Administrator may require from time to time, specifying the number of Shares to be purchased under the Options;</w:t>
      </w:r>
    </w:p>
    <w:p>
      <w:pPr>
        <w:spacing w:after="0" w:line="135" w:lineRule="exact"/>
        <w:rPr>
          <w:rFonts w:ascii="Times New Roman" w:cs="Times New Roman" w:eastAsia="Times New Roman" w:hAnsi="Times New Roman"/>
          <w:sz w:val="18"/>
          <w:szCs w:val="18"/>
          <w:color w:val="auto"/>
        </w:rPr>
      </w:pPr>
    </w:p>
    <w:p>
      <w:pPr>
        <w:jc w:val="both"/>
        <w:ind w:right="380" w:firstLine="2254"/>
        <w:spacing w:after="0" w:line="266" w:lineRule="auto"/>
        <w:tabs>
          <w:tab w:leader="none" w:pos="2546" w:val="left"/>
        </w:tabs>
        <w:numPr>
          <w:ilvl w:val="2"/>
          <w:numId w:val="2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 payment of the Exercise Price for the Shares or properly executed, irrevocable instructions, in such manner and form as the Administrator may require from time to time, to effectuate a broker-assisted cashless exercise, each in accordance with Section 2(d) of this Agreement; and</w:t>
      </w:r>
    </w:p>
    <w:p>
      <w:pPr>
        <w:spacing w:after="0" w:line="148" w:lineRule="exact"/>
        <w:rPr>
          <w:rFonts w:ascii="Times New Roman" w:cs="Times New Roman" w:eastAsia="Times New Roman" w:hAnsi="Times New Roman"/>
          <w:sz w:val="18"/>
          <w:szCs w:val="18"/>
          <w:color w:val="auto"/>
        </w:rPr>
      </w:pPr>
    </w:p>
    <w:p>
      <w:pPr>
        <w:ind w:left="2560" w:hanging="306"/>
        <w:spacing w:after="0"/>
        <w:tabs>
          <w:tab w:leader="none" w:pos="2560" w:val="left"/>
        </w:tabs>
        <w:numPr>
          <w:ilvl w:val="2"/>
          <w:numId w:val="2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 payment of applicable withholding taxes pursuant to Section 7 of this Agreement.</w:t>
      </w:r>
    </w:p>
    <w:p>
      <w:pPr>
        <w:spacing w:after="0" w:line="185"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An exercise will not be effective until the Secretary of the Company or his or her delegate receives all of the foregoing items, and such exercise otherwise is permitted under and complies with all applicable federal, state and foreign securities laws. Notwithstanding the foregoing, if the Administrator permits payment by means of delivering properly executed, irrevocable instructions, in such manner and form as the Administrator may require from time to time, to effectuate a broker-assisted cashless exercise and such instructions provide for sale of Shares under a limit order rather than at the market, the exercise will not be effective until the earlier of the date the Company receives delivery of cash or cash equivalents in full payment of the Exercise Price or the date the Company receives confirmation from the broker that the sale instruction has been fulfilled, and the exercise will not be effective unless the earlier of such dates occurs on or before termination of the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1010285</wp:posOffset>
            </wp:positionV>
            <wp:extent cx="7157720" cy="42545"/>
            <wp:wrapNone/>
            <wp:docPr id="816" name="Picture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
                    <pic:cNvPicPr>
                      <a:picLocks noChangeAspect="1" noChangeArrowheads="1"/>
                    </pic:cNvPicPr>
                  </pic:nvPicPr>
                  <pic:blipFill>
                    <a:blip r:embed="rId8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563" w:name="page564"/>
    <w:bookmarkEnd w:id="563"/>
    <w:p>
      <w:pPr>
        <w:ind w:left="2040" w:hanging="535"/>
        <w:spacing w:after="0"/>
        <w:tabs>
          <w:tab w:leader="none" w:pos="2040" w:val="left"/>
        </w:tabs>
        <w:numPr>
          <w:ilvl w:val="0"/>
          <w:numId w:val="2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Method of Payment</w:t>
      </w:r>
      <w:r>
        <w:rPr>
          <w:rFonts w:ascii="Times New Roman" w:cs="Times New Roman" w:eastAsia="Times New Roman" w:hAnsi="Times New Roman"/>
          <w:sz w:val="18"/>
          <w:szCs w:val="18"/>
          <w:color w:val="auto"/>
        </w:rPr>
        <w:t>. You may pay the Exercise Price by:</w:t>
      </w:r>
    </w:p>
    <w:p>
      <w:pPr>
        <w:spacing w:after="0" w:line="184" w:lineRule="exact"/>
        <w:rPr>
          <w:rFonts w:ascii="Times New Roman" w:cs="Times New Roman" w:eastAsia="Times New Roman" w:hAnsi="Times New Roman"/>
          <w:sz w:val="18"/>
          <w:szCs w:val="18"/>
          <w:color w:val="auto"/>
        </w:rPr>
      </w:pPr>
    </w:p>
    <w:p>
      <w:pPr>
        <w:ind w:left="2560" w:hanging="306"/>
        <w:spacing w:after="0"/>
        <w:tabs>
          <w:tab w:leader="none" w:pos="2560" w:val="left"/>
        </w:tabs>
        <w:numPr>
          <w:ilvl w:val="1"/>
          <w:numId w:val="2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delivery of cash, certified or cashier’s check, money order or other cash equivalent acceptable to the Administrator in its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discretion;</w:t>
      </w:r>
    </w:p>
    <w:p>
      <w:pPr>
        <w:spacing w:after="0" w:line="180" w:lineRule="exact"/>
        <w:rPr>
          <w:sz w:val="20"/>
          <w:szCs w:val="20"/>
          <w:color w:val="auto"/>
        </w:rPr>
      </w:pPr>
    </w:p>
    <w:p>
      <w:pPr>
        <w:ind w:right="180" w:firstLine="2254"/>
        <w:spacing w:after="0" w:line="282" w:lineRule="auto"/>
        <w:tabs>
          <w:tab w:leader="none" w:pos="2546" w:val="left"/>
        </w:tabs>
        <w:numPr>
          <w:ilvl w:val="2"/>
          <w:numId w:val="3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broker-assisted cashless exercise in accordance with Regulation T of the Board of Governors of the Federal Reserve System through a brokerage firm designated or approved by the Administrator;</w:t>
      </w:r>
    </w:p>
    <w:p>
      <w:pPr>
        <w:spacing w:after="0" w:line="121" w:lineRule="exact"/>
        <w:rPr>
          <w:rFonts w:ascii="Times New Roman" w:cs="Times New Roman" w:eastAsia="Times New Roman" w:hAnsi="Times New Roman"/>
          <w:sz w:val="18"/>
          <w:szCs w:val="18"/>
          <w:color w:val="auto"/>
        </w:rPr>
      </w:pPr>
    </w:p>
    <w:p>
      <w:pPr>
        <w:ind w:right="200" w:firstLine="2254"/>
        <w:spacing w:after="0" w:line="282" w:lineRule="auto"/>
        <w:tabs>
          <w:tab w:leader="none" w:pos="2546" w:val="left"/>
        </w:tabs>
        <w:numPr>
          <w:ilvl w:val="2"/>
          <w:numId w:val="3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such limits as the Administrator may impose from time to time, tender (via actual delivery or attestation) to the Company of other shares of Common Stock of the Company which have a Fair Market Value on the date of tender equal to the Exercise Price;</w:t>
      </w:r>
    </w:p>
    <w:p>
      <w:pPr>
        <w:spacing w:after="0" w:line="121" w:lineRule="exact"/>
        <w:rPr>
          <w:rFonts w:ascii="Times New Roman" w:cs="Times New Roman" w:eastAsia="Times New Roman" w:hAnsi="Times New Roman"/>
          <w:sz w:val="18"/>
          <w:szCs w:val="18"/>
          <w:color w:val="auto"/>
        </w:rPr>
      </w:pPr>
    </w:p>
    <w:p>
      <w:pPr>
        <w:ind w:left="2560" w:hanging="306"/>
        <w:spacing w:after="0"/>
        <w:tabs>
          <w:tab w:leader="none" w:pos="2560" w:val="left"/>
        </w:tabs>
        <w:numPr>
          <w:ilvl w:val="2"/>
          <w:numId w:val="3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such limits as the Administrator may impose from time to time, net share settlement;</w:t>
      </w:r>
    </w:p>
    <w:p>
      <w:pPr>
        <w:spacing w:after="0" w:line="198" w:lineRule="exact"/>
        <w:rPr>
          <w:rFonts w:ascii="Times New Roman" w:cs="Times New Roman" w:eastAsia="Times New Roman" w:hAnsi="Times New Roman"/>
          <w:sz w:val="18"/>
          <w:szCs w:val="18"/>
          <w:color w:val="auto"/>
        </w:rPr>
      </w:pPr>
    </w:p>
    <w:p>
      <w:pPr>
        <w:ind w:left="2560" w:hanging="306"/>
        <w:spacing w:after="0"/>
        <w:tabs>
          <w:tab w:leader="none" w:pos="2560" w:val="left"/>
        </w:tabs>
        <w:numPr>
          <w:ilvl w:val="2"/>
          <w:numId w:val="3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method approved by the Administrator; or</w:t>
      </w:r>
    </w:p>
    <w:p>
      <w:pPr>
        <w:spacing w:after="0" w:line="184" w:lineRule="exact"/>
        <w:rPr>
          <w:rFonts w:ascii="Times New Roman" w:cs="Times New Roman" w:eastAsia="Times New Roman" w:hAnsi="Times New Roman"/>
          <w:sz w:val="18"/>
          <w:szCs w:val="18"/>
          <w:color w:val="auto"/>
        </w:rPr>
      </w:pPr>
    </w:p>
    <w:p>
      <w:pPr>
        <w:ind w:left="2560" w:hanging="306"/>
        <w:spacing w:after="0"/>
        <w:tabs>
          <w:tab w:leader="none" w:pos="2560" w:val="left"/>
        </w:tabs>
        <w:numPr>
          <w:ilvl w:val="2"/>
          <w:numId w:val="3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combination of the foregoing.</w:t>
      </w:r>
    </w:p>
    <w:p>
      <w:pPr>
        <w:spacing w:after="0" w:line="184" w:lineRule="exact"/>
        <w:rPr>
          <w:rFonts w:ascii="Times New Roman" w:cs="Times New Roman" w:eastAsia="Times New Roman" w:hAnsi="Times New Roman"/>
          <w:sz w:val="18"/>
          <w:szCs w:val="18"/>
          <w:color w:val="auto"/>
        </w:rPr>
      </w:pPr>
    </w:p>
    <w:p>
      <w:pPr>
        <w:ind w:right="80" w:firstLine="1505"/>
        <w:spacing w:after="0" w:line="256" w:lineRule="auto"/>
        <w:tabs>
          <w:tab w:leader="none" w:pos="2036" w:val="left"/>
        </w:tabs>
        <w:numPr>
          <w:ilvl w:val="1"/>
          <w:numId w:val="3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Issuance of Shares upon Exercise</w:t>
      </w:r>
      <w:r>
        <w:rPr>
          <w:rFonts w:ascii="Times New Roman" w:cs="Times New Roman" w:eastAsia="Times New Roman" w:hAnsi="Times New Roman"/>
          <w:sz w:val="18"/>
          <w:szCs w:val="18"/>
          <w:color w:val="auto"/>
        </w:rPr>
        <w:t>. The Company shall issue to you the Shares underlying the Options you exercise as soon as practicable after the exercise date, subject to the Company’s receipt of the aggregate exercise price and the requisite withholding taxes, if any. Upon issuance of such Shares, the Company may deliver, subject to the provisions of Section 7 below, such Shares on your behalf electronically to the Company’s designated stock plan administrator or such other broker-dealer as the Company may choose at its sole discretion, within reason, or may retain such Shares in uncertificated book-entry form. Any share certificates delivered will, unless the Shares are registered or an exemption from registration is available under applicable federal and state law, bear a legend restricting transferability of such Shares.</w:t>
      </w:r>
    </w:p>
    <w:p>
      <w:pPr>
        <w:spacing w:after="0" w:line="160" w:lineRule="exact"/>
        <w:rPr>
          <w:rFonts w:ascii="Times New Roman" w:cs="Times New Roman" w:eastAsia="Times New Roman" w:hAnsi="Times New Roman"/>
          <w:sz w:val="18"/>
          <w:szCs w:val="18"/>
          <w:color w:val="auto"/>
        </w:rPr>
      </w:pPr>
    </w:p>
    <w:p>
      <w:pPr>
        <w:ind w:left="1020" w:hanging="263"/>
        <w:spacing w:after="0"/>
        <w:tabs>
          <w:tab w:leader="none" w:pos="1020" w:val="left"/>
        </w:tabs>
        <w:numPr>
          <w:ilvl w:val="0"/>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of Service</w:t>
      </w:r>
      <w:r>
        <w:rPr>
          <w:rFonts w:ascii="Times New Roman" w:cs="Times New Roman" w:eastAsia="Times New Roman" w:hAnsi="Times New Roman"/>
          <w:sz w:val="18"/>
          <w:szCs w:val="18"/>
          <w:color w:val="auto"/>
        </w:rPr>
        <w:t>.</w:t>
      </w:r>
    </w:p>
    <w:p>
      <w:pPr>
        <w:spacing w:after="0" w:line="184" w:lineRule="exact"/>
        <w:rPr>
          <w:rFonts w:ascii="Times New Roman" w:cs="Times New Roman" w:eastAsia="Times New Roman" w:hAnsi="Times New Roman"/>
          <w:sz w:val="18"/>
          <w:szCs w:val="18"/>
          <w:color w:val="auto"/>
        </w:rPr>
      </w:pPr>
    </w:p>
    <w:p>
      <w:pPr>
        <w:ind w:right="380" w:firstLine="1505"/>
        <w:spacing w:after="0" w:line="282" w:lineRule="auto"/>
        <w:tabs>
          <w:tab w:leader="none" w:pos="2036" w:val="left"/>
        </w:tabs>
        <w:numPr>
          <w:ilvl w:val="1"/>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of Unexercisable Options</w:t>
      </w:r>
      <w:r>
        <w:rPr>
          <w:rFonts w:ascii="Times New Roman" w:cs="Times New Roman" w:eastAsia="Times New Roman" w:hAnsi="Times New Roman"/>
          <w:sz w:val="18"/>
          <w:szCs w:val="18"/>
          <w:color w:val="auto"/>
        </w:rPr>
        <w:t>. If your Service with the Company ceases for any reason, the Options that are then unexercisable will terminate immediately upon such cessation.</w:t>
      </w:r>
    </w:p>
    <w:p>
      <w:pPr>
        <w:spacing w:after="0" w:line="121" w:lineRule="exact"/>
        <w:rPr>
          <w:rFonts w:ascii="Times New Roman" w:cs="Times New Roman" w:eastAsia="Times New Roman" w:hAnsi="Times New Roman"/>
          <w:sz w:val="18"/>
          <w:szCs w:val="18"/>
          <w:color w:val="auto"/>
        </w:rPr>
      </w:pPr>
    </w:p>
    <w:p>
      <w:pPr>
        <w:ind w:right="600" w:firstLine="1505"/>
        <w:spacing w:after="0" w:line="282" w:lineRule="auto"/>
        <w:tabs>
          <w:tab w:leader="none" w:pos="2036" w:val="left"/>
        </w:tabs>
        <w:numPr>
          <w:ilvl w:val="1"/>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Period Following Termination of Service</w:t>
      </w:r>
      <w:r>
        <w:rPr>
          <w:rFonts w:ascii="Times New Roman" w:cs="Times New Roman" w:eastAsia="Times New Roman" w:hAnsi="Times New Roman"/>
          <w:sz w:val="18"/>
          <w:szCs w:val="18"/>
          <w:color w:val="auto"/>
        </w:rPr>
        <w:t>. If your Service with the Company ceases for any reason other than discharge for Cause, the Options that are then exercisable will terminate upon the earliest of:</w:t>
      </w:r>
    </w:p>
    <w:p>
      <w:pPr>
        <w:spacing w:after="0" w:line="134" w:lineRule="exact"/>
        <w:rPr>
          <w:rFonts w:ascii="Times New Roman" w:cs="Times New Roman" w:eastAsia="Times New Roman" w:hAnsi="Times New Roman"/>
          <w:sz w:val="18"/>
          <w:szCs w:val="18"/>
          <w:color w:val="auto"/>
        </w:rPr>
      </w:pPr>
    </w:p>
    <w:p>
      <w:pPr>
        <w:ind w:right="380" w:firstLine="2254"/>
        <w:spacing w:after="0" w:line="282" w:lineRule="auto"/>
        <w:tabs>
          <w:tab w:leader="none" w:pos="2546" w:val="left"/>
        </w:tabs>
        <w:numPr>
          <w:ilvl w:val="2"/>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expiration of 90 days following such cessation, if your Service ceases on account of (1) your termination by the Company other than a discharge for Cause, or (2) your voluntary termination other than for Total and Permanent Disability or death;</w:t>
      </w:r>
    </w:p>
    <w:p>
      <w:pPr>
        <w:spacing w:after="0" w:line="121" w:lineRule="exact"/>
        <w:rPr>
          <w:rFonts w:ascii="Times New Roman" w:cs="Times New Roman" w:eastAsia="Times New Roman" w:hAnsi="Times New Roman"/>
          <w:sz w:val="18"/>
          <w:szCs w:val="18"/>
          <w:color w:val="auto"/>
        </w:rPr>
      </w:pPr>
    </w:p>
    <w:p>
      <w:pPr>
        <w:ind w:left="2560" w:hanging="306"/>
        <w:spacing w:after="0"/>
        <w:tabs>
          <w:tab w:leader="none" w:pos="2560" w:val="left"/>
        </w:tabs>
        <w:numPr>
          <w:ilvl w:val="2"/>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expiration of 12 months following such cessation, if your Service ceases on account of your Total and Permanent</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Disability or death;</w:t>
      </w:r>
    </w:p>
    <w:p>
      <w:pPr>
        <w:spacing w:after="0" w:line="166" w:lineRule="exact"/>
        <w:rPr>
          <w:rFonts w:ascii="Times New Roman" w:cs="Times New Roman" w:eastAsia="Times New Roman" w:hAnsi="Times New Roman"/>
          <w:sz w:val="18"/>
          <w:szCs w:val="18"/>
          <w:color w:val="auto"/>
        </w:rPr>
      </w:pPr>
    </w:p>
    <w:p>
      <w:pPr>
        <w:ind w:right="80" w:firstLine="2254"/>
        <w:spacing w:after="0" w:line="282" w:lineRule="auto"/>
        <w:tabs>
          <w:tab w:leader="none" w:pos="2546" w:val="left"/>
        </w:tabs>
        <w:numPr>
          <w:ilvl w:val="2"/>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expiration of 12 months following your death, if your death occurs during the periods described in clauses (i) or (ii) of this Section 3(b), as applicable; or</w:t>
      </w:r>
    </w:p>
    <w:p>
      <w:pPr>
        <w:spacing w:after="0" w:line="134" w:lineRule="exact"/>
        <w:rPr>
          <w:rFonts w:ascii="Times New Roman" w:cs="Times New Roman" w:eastAsia="Times New Roman" w:hAnsi="Times New Roman"/>
          <w:sz w:val="18"/>
          <w:szCs w:val="18"/>
          <w:color w:val="auto"/>
        </w:rPr>
      </w:pPr>
    </w:p>
    <w:p>
      <w:pPr>
        <w:ind w:left="2560" w:hanging="306"/>
        <w:spacing w:after="0"/>
        <w:tabs>
          <w:tab w:leader="none" w:pos="2560" w:val="left"/>
        </w:tabs>
        <w:numPr>
          <w:ilvl w:val="2"/>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Expiration Date.</w:t>
      </w:r>
    </w:p>
    <w:p>
      <w:pPr>
        <w:spacing w:after="0" w:line="185"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In the event of your death, the exercisable Options may be exercised by your executor, personal representative, or the person(s) to whom the Options are transferred by will or the laws of descent and distribution.</w:t>
      </w:r>
    </w:p>
    <w:p>
      <w:pPr>
        <w:spacing w:after="0" w:line="162" w:lineRule="exact"/>
        <w:rPr>
          <w:sz w:val="20"/>
          <w:szCs w:val="20"/>
          <w:color w:val="auto"/>
        </w:rPr>
      </w:pPr>
    </w:p>
    <w:p>
      <w:pPr>
        <w:jc w:val="both"/>
        <w:ind w:right="120" w:firstLine="1505"/>
        <w:spacing w:after="0" w:line="266" w:lineRule="auto"/>
        <w:tabs>
          <w:tab w:leader="none" w:pos="2036" w:val="left"/>
        </w:tabs>
        <w:numPr>
          <w:ilvl w:val="0"/>
          <w:numId w:val="3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Misconduct</w:t>
      </w:r>
      <w:r>
        <w:rPr>
          <w:rFonts w:ascii="Times New Roman" w:cs="Times New Roman" w:eastAsia="Times New Roman" w:hAnsi="Times New Roman"/>
          <w:sz w:val="18"/>
          <w:szCs w:val="18"/>
          <w:color w:val="auto"/>
        </w:rPr>
        <w:t>. The Options will terminate in their entirety, regardless of whether the Options are then exercisable, immediately upon your discharge from Service for Cause, or upon your commission of any of the following acts during the exercise period following your termination of Service: fraud on or misappropriation of any funds or property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976630</wp:posOffset>
            </wp:positionV>
            <wp:extent cx="7157720" cy="42545"/>
            <wp:wrapNone/>
            <wp:docPr id="817" name="Picture 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
                    <pic:cNvPicPr>
                      <a:picLocks noChangeAspect="1" noChangeArrowheads="1"/>
                    </pic:cNvPicPr>
                  </pic:nvPicPr>
                  <pic:blipFill>
                    <a:blip r:embed="rId8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564" w:name="page565"/>
    <w:bookmarkEnd w:id="564"/>
    <w:p>
      <w:pPr>
        <w:ind w:left="-757" w:right="60" w:firstLine="1505"/>
        <w:spacing w:after="0" w:line="266" w:lineRule="auto"/>
        <w:tabs>
          <w:tab w:leader="none" w:pos="1280" w:val="left"/>
        </w:tabs>
        <w:numPr>
          <w:ilvl w:val="1"/>
          <w:numId w:val="3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 in Status</w:t>
      </w:r>
      <w:r>
        <w:rPr>
          <w:rFonts w:ascii="Times New Roman" w:cs="Times New Roman" w:eastAsia="Times New Roman" w:hAnsi="Times New Roman"/>
          <w:sz w:val="18"/>
          <w:szCs w:val="18"/>
          <w:color w:val="auto"/>
        </w:rPr>
        <w:t>. In the event that your Service is with a business, trade or entity that, after the Grant Date, ceases for any reason to be part or an Affiliate of the Company, your Service will be deemed to have terminated for purposes of this Section 3 upon such cessation if your Service does not continue uninterrupted immediately thereafter with the Company or an Affiliate of the Company.</w:t>
      </w:r>
    </w:p>
    <w:p>
      <w:pPr>
        <w:spacing w:after="0" w:line="135" w:lineRule="exact"/>
        <w:rPr>
          <w:rFonts w:ascii="Times New Roman" w:cs="Times New Roman" w:eastAsia="Times New Roman" w:hAnsi="Times New Roman"/>
          <w:sz w:val="18"/>
          <w:szCs w:val="18"/>
          <w:color w:val="auto"/>
        </w:rPr>
      </w:pPr>
    </w:p>
    <w:p>
      <w:pPr>
        <w:ind w:left="-757" w:firstLine="757"/>
        <w:spacing w:after="0" w:line="256" w:lineRule="auto"/>
        <w:tabs>
          <w:tab w:leader="none" w:pos="261" w:val="left"/>
        </w:tabs>
        <w:numPr>
          <w:ilvl w:val="0"/>
          <w:numId w:val="3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Nontransferability of Options</w:t>
      </w:r>
      <w:r>
        <w:rPr>
          <w:rFonts w:ascii="Times New Roman" w:cs="Times New Roman" w:eastAsia="Times New Roman" w:hAnsi="Times New Roman"/>
          <w:sz w:val="18"/>
          <w:szCs w:val="18"/>
          <w:color w:val="auto"/>
        </w:rPr>
        <w:t>. These Options and, before exercise, the underlying Shares are nontransferable otherwise than by will or the laws of descent and distribution and, during your lifetime, the Options may be exercised only by you or, during the period you are under a legal disability, by your guardian or legal representative. Except as provided above, the Options and, before exercise, the underlying Shares may not be assigned, transferred, pledged, hypothecated, subjected to any “put equivalent position,” “call equivalent position” (as each preceding term is defined by Rule 16(a)-1 under the Securities Exchange Act of 1934), or short position, or disposed of in any way (whether by operation of law or otherwise) and shall not be subject to execution, attachment or similar process.</w:t>
      </w:r>
    </w:p>
    <w:p>
      <w:pPr>
        <w:spacing w:after="0" w:line="160" w:lineRule="exact"/>
        <w:rPr>
          <w:rFonts w:ascii="Times New Roman" w:cs="Times New Roman" w:eastAsia="Times New Roman" w:hAnsi="Times New Roman"/>
          <w:sz w:val="18"/>
          <w:szCs w:val="18"/>
          <w:color w:val="auto"/>
        </w:rPr>
      </w:pPr>
    </w:p>
    <w:p>
      <w:pPr>
        <w:ind w:left="-757" w:right="20" w:firstLine="757"/>
        <w:spacing w:after="0" w:line="261" w:lineRule="auto"/>
        <w:tabs>
          <w:tab w:leader="none" w:pos="261" w:val="left"/>
        </w:tabs>
        <w:numPr>
          <w:ilvl w:val="0"/>
          <w:numId w:val="3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Nonqualified Nature of the Options</w:t>
      </w:r>
      <w:r>
        <w:rPr>
          <w:rFonts w:ascii="Times New Roman" w:cs="Times New Roman" w:eastAsia="Times New Roman" w:hAnsi="Times New Roman"/>
          <w:sz w:val="18"/>
          <w:szCs w:val="18"/>
          <w:color w:val="auto"/>
        </w:rPr>
        <w:t xml:space="preserve">. The Options are </w:t>
      </w:r>
      <w:r>
        <w:rPr>
          <w:rFonts w:ascii="Times New Roman" w:cs="Times New Roman" w:eastAsia="Times New Roman" w:hAnsi="Times New Roman"/>
          <w:sz w:val="18"/>
          <w:szCs w:val="18"/>
          <w:u w:val="single" w:color="auto"/>
          <w:color w:val="auto"/>
        </w:rPr>
        <w:t>not</w:t>
      </w:r>
      <w:r>
        <w:rPr>
          <w:rFonts w:ascii="Times New Roman" w:cs="Times New Roman" w:eastAsia="Times New Roman" w:hAnsi="Times New Roman"/>
          <w:sz w:val="18"/>
          <w:szCs w:val="18"/>
          <w:color w:val="auto"/>
        </w:rPr>
        <w:t xml:space="preserve"> intended to qualify as incentive stock options within the meaning of Code section 422, and this Agreement shall be so construed. You hereby acknowledge that, upon exercise of the Options, you will recognize compensation income in an amount equal to the excess of the then Fair Market Value of the Shares over the Exercise Price and must comply with the provisions of Section 6 of this Agreement with respect to any tax withholding obligations that arise as a result of such exercise.</w:t>
      </w:r>
    </w:p>
    <w:p>
      <w:pPr>
        <w:spacing w:after="0" w:line="139" w:lineRule="exact"/>
        <w:rPr>
          <w:rFonts w:ascii="Times New Roman" w:cs="Times New Roman" w:eastAsia="Times New Roman" w:hAnsi="Times New Roman"/>
          <w:sz w:val="18"/>
          <w:szCs w:val="18"/>
          <w:color w:val="auto"/>
        </w:rPr>
      </w:pPr>
    </w:p>
    <w:p>
      <w:pPr>
        <w:ind w:left="263" w:hanging="263"/>
        <w:spacing w:after="0"/>
        <w:tabs>
          <w:tab w:leader="none" w:pos="263" w:val="left"/>
        </w:tabs>
        <w:numPr>
          <w:ilvl w:val="0"/>
          <w:numId w:val="3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Withholding of Taxes</w:t>
      </w:r>
      <w:r>
        <w:rPr>
          <w:rFonts w:ascii="Times New Roman" w:cs="Times New Roman" w:eastAsia="Times New Roman" w:hAnsi="Times New Roman"/>
          <w:sz w:val="18"/>
          <w:szCs w:val="18"/>
          <w:color w:val="auto"/>
        </w:rPr>
        <w:t>.</w:t>
      </w:r>
    </w:p>
    <w:p>
      <w:pPr>
        <w:spacing w:after="0" w:line="184" w:lineRule="exact"/>
        <w:rPr>
          <w:rFonts w:ascii="Times New Roman" w:cs="Times New Roman" w:eastAsia="Times New Roman" w:hAnsi="Times New Roman"/>
          <w:sz w:val="18"/>
          <w:szCs w:val="18"/>
          <w:color w:val="auto"/>
        </w:rPr>
      </w:pPr>
    </w:p>
    <w:p>
      <w:pPr>
        <w:ind w:left="-757" w:right="80" w:firstLine="1505"/>
        <w:spacing w:after="0" w:line="261" w:lineRule="auto"/>
        <w:tabs>
          <w:tab w:leader="none" w:pos="1280" w:val="left"/>
        </w:tabs>
        <w:numPr>
          <w:ilvl w:val="1"/>
          <w:numId w:val="3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time the Options are exercised, in whole or in part, or at any time thereafter as requested by the Company, you hereby authorize withholding from payroll or any other payment of any kind due to you and otherwise agree to make adequate provision for foreign, federal, state and local taxes required by law to be withheld, if any, which arise in connection with the Options. The Company may require you to make a cash payment to cover any withholding tax obligation as a condition of exercise of the Options or issuance of share certificates representing Shares.</w:t>
      </w:r>
    </w:p>
    <w:p>
      <w:pPr>
        <w:spacing w:after="0" w:line="152" w:lineRule="exact"/>
        <w:rPr>
          <w:rFonts w:ascii="Times New Roman" w:cs="Times New Roman" w:eastAsia="Times New Roman" w:hAnsi="Times New Roman"/>
          <w:sz w:val="18"/>
          <w:szCs w:val="18"/>
          <w:color w:val="auto"/>
        </w:rPr>
      </w:pPr>
    </w:p>
    <w:p>
      <w:pPr>
        <w:ind w:left="-757" w:right="120" w:firstLine="1505"/>
        <w:spacing w:after="0" w:line="261" w:lineRule="auto"/>
        <w:tabs>
          <w:tab w:leader="none" w:pos="1280" w:val="left"/>
        </w:tabs>
        <w:numPr>
          <w:ilvl w:val="1"/>
          <w:numId w:val="3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Administrator may, in its sole discretion, permit you to satisfy, in whole or in part, any withholding tax obligation which may arise in connection with the Options either by electing to have the Company withhold from the Shares to be issued upon exercise that number of Shares, or by electing to deliver to the Company already-owned shares, in either case having a Fair Market Value not in excess of the amount necessary to satisfy the statutory minimum withholding amount due.</w:t>
      </w:r>
    </w:p>
    <w:p>
      <w:pPr>
        <w:spacing w:after="0" w:line="139" w:lineRule="exact"/>
        <w:rPr>
          <w:rFonts w:ascii="Times New Roman" w:cs="Times New Roman" w:eastAsia="Times New Roman" w:hAnsi="Times New Roman"/>
          <w:sz w:val="18"/>
          <w:szCs w:val="18"/>
          <w:color w:val="auto"/>
        </w:rPr>
      </w:pPr>
    </w:p>
    <w:p>
      <w:pPr>
        <w:ind w:left="-757" w:right="100" w:firstLine="757"/>
        <w:spacing w:after="0" w:line="256" w:lineRule="auto"/>
        <w:tabs>
          <w:tab w:leader="none" w:pos="261" w:val="left"/>
        </w:tabs>
        <w:numPr>
          <w:ilvl w:val="0"/>
          <w:numId w:val="3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Adjustments</w:t>
      </w:r>
      <w:r>
        <w:rPr>
          <w:rFonts w:ascii="Times New Roman" w:cs="Times New Roman" w:eastAsia="Times New Roman" w:hAnsi="Times New Roman"/>
          <w:sz w:val="18"/>
          <w:szCs w:val="18"/>
          <w:color w:val="auto"/>
        </w:rPr>
        <w:t>. The Administrator may make various adjustments to your Options, including adjustments to the number and type of securities subject to the Options and the Exercise Price, in accordance with the terms of the Plan. In the event of any transaction resulting in a Change in Control of the Company, the outstanding Options will terminate upon the effective time of such Change in Control unless provision is made in connection with the transaction for the continuation or assumption of such Options by, or for the substitution of the equivalent awards of, the surviving or successor entity or a parent thereof. In the event of such termination, you will be permitted, immediately before the Change in Control, to exercise or convert all portions of such Options that are then exercisable or which become exercisable upon or prior to the effective time of the Change in Control.</w:t>
      </w:r>
    </w:p>
    <w:p>
      <w:pPr>
        <w:spacing w:after="0" w:line="146" w:lineRule="exact"/>
        <w:rPr>
          <w:rFonts w:ascii="Times New Roman" w:cs="Times New Roman" w:eastAsia="Times New Roman" w:hAnsi="Times New Roman"/>
          <w:sz w:val="18"/>
          <w:szCs w:val="18"/>
          <w:color w:val="auto"/>
        </w:rPr>
      </w:pPr>
    </w:p>
    <w:p>
      <w:pPr>
        <w:ind w:left="-757" w:right="60" w:firstLine="757"/>
        <w:spacing w:after="0" w:line="258" w:lineRule="auto"/>
        <w:tabs>
          <w:tab w:leader="none" w:pos="261" w:val="left"/>
        </w:tabs>
        <w:numPr>
          <w:ilvl w:val="0"/>
          <w:numId w:val="3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Non-Guarantee of Employment or Service Relationship</w:t>
      </w:r>
      <w:r>
        <w:rPr>
          <w:rFonts w:ascii="Times New Roman" w:cs="Times New Roman" w:eastAsia="Times New Roman" w:hAnsi="Times New Roman"/>
          <w:sz w:val="18"/>
          <w:szCs w:val="18"/>
          <w:color w:val="auto"/>
        </w:rPr>
        <w:t>. Nothing in the Plan or this Agreement will alter your at-will or other employment status or other service relationship with the Company, nor be construed as a contract of employment or service relationship between you and the Company, or as a contractual right for you to continue in the employ of, or in a service relationship with, the Company for any period of time, or as a limitation of the right of the Company to discharge you at any time with or without Cause or notice and whether or not such discharge results in the failure of any of the Options to become exercisable or any other adverse effect on your interests under the Plan.</w:t>
      </w:r>
    </w:p>
    <w:p>
      <w:pPr>
        <w:spacing w:after="0" w:line="156" w:lineRule="exact"/>
        <w:rPr>
          <w:rFonts w:ascii="Times New Roman" w:cs="Times New Roman" w:eastAsia="Times New Roman" w:hAnsi="Times New Roman"/>
          <w:sz w:val="18"/>
          <w:szCs w:val="18"/>
          <w:color w:val="auto"/>
        </w:rPr>
      </w:pPr>
    </w:p>
    <w:p>
      <w:pPr>
        <w:ind w:left="-757" w:right="220" w:firstLine="757"/>
        <w:spacing w:after="0" w:line="266" w:lineRule="auto"/>
        <w:tabs>
          <w:tab w:leader="none" w:pos="261" w:val="left"/>
        </w:tabs>
        <w:numPr>
          <w:ilvl w:val="0"/>
          <w:numId w:val="3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Rights as a Stockholder</w:t>
      </w:r>
      <w:r>
        <w:rPr>
          <w:rFonts w:ascii="Times New Roman" w:cs="Times New Roman" w:eastAsia="Times New Roman" w:hAnsi="Times New Roman"/>
          <w:sz w:val="18"/>
          <w:szCs w:val="18"/>
          <w:color w:val="auto"/>
        </w:rPr>
        <w:t>. You shall not have any of the rights of a stockholder with respect to the Shares until such Shares have been issued to you upon the due exercise of the Options. No adjustment will be made for dividends or distributions or other rights for which the record date is prior to the date such Shares are issued.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976630</wp:posOffset>
            </wp:positionV>
            <wp:extent cx="7157720" cy="42545"/>
            <wp:wrapNone/>
            <wp:docPr id="818" name="Picture 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
                    <pic:cNvPicPr>
                      <a:picLocks noChangeAspect="1" noChangeArrowheads="1"/>
                    </pic:cNvPicPr>
                  </pic:nvPicPr>
                  <pic:blipFill>
                    <a:blip r:embed="rId8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1417" w:right="339" w:bottom="1440" w:gutter="0" w:footer="0" w:header="0"/>
        </w:sectPr>
      </w:pPr>
    </w:p>
    <w:bookmarkStart w:id="565" w:name="page566"/>
    <w:bookmarkEnd w:id="565"/>
    <w:p>
      <w:pPr>
        <w:ind w:left="-757" w:firstLine="757"/>
        <w:spacing w:after="0" w:line="258" w:lineRule="auto"/>
        <w:tabs>
          <w:tab w:leader="none" w:pos="261" w:val="left"/>
        </w:tabs>
        <w:numPr>
          <w:ilvl w:val="0"/>
          <w:numId w:val="3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The Company’s Rights</w:t>
      </w:r>
      <w:r>
        <w:rPr>
          <w:rFonts w:ascii="Times New Roman" w:cs="Times New Roman" w:eastAsia="Times New Roman" w:hAnsi="Times New Roman"/>
          <w:sz w:val="18"/>
          <w:szCs w:val="18"/>
          <w:color w:val="auto"/>
        </w:rPr>
        <w:t>. The existence of the Options shall not affect in any way the right or power of the Company or its stockholders to make or authorize any or all adjustments, recapitalizations, reorganizations or other changes in the Company’s capital structure or its business, or any merger or consolidation of the Company, or any issue of bonds, debentures, preferred or other stocks with preference ahead of or convertible into, or otherwise affecting the Common Stock or the rights thereof, or the dissolution or liquidation of the Company, or any sale or transfer of all or any part of the Company’s assets or business, or any other corporate act or proceeding, whether of a similar character or otherwise.</w:t>
      </w:r>
    </w:p>
    <w:p>
      <w:pPr>
        <w:spacing w:after="0" w:line="142" w:lineRule="exact"/>
        <w:rPr>
          <w:rFonts w:ascii="Times New Roman" w:cs="Times New Roman" w:eastAsia="Times New Roman" w:hAnsi="Times New Roman"/>
          <w:sz w:val="18"/>
          <w:szCs w:val="18"/>
          <w:color w:val="auto"/>
        </w:rPr>
      </w:pPr>
    </w:p>
    <w:p>
      <w:pPr>
        <w:ind w:left="-757" w:right="20" w:firstLine="757"/>
        <w:spacing w:after="0" w:line="253" w:lineRule="auto"/>
        <w:tabs>
          <w:tab w:leader="none" w:pos="261" w:val="left"/>
        </w:tabs>
        <w:numPr>
          <w:ilvl w:val="0"/>
          <w:numId w:val="3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Recoupment Policy</w:t>
      </w:r>
      <w:r>
        <w:rPr>
          <w:rFonts w:ascii="Times New Roman" w:cs="Times New Roman" w:eastAsia="Times New Roman" w:hAnsi="Times New Roman"/>
          <w:sz w:val="18"/>
          <w:szCs w:val="18"/>
          <w:color w:val="auto"/>
        </w:rPr>
        <w:t>. You agree that, subject to the requirements of applicable law, if you breach any restrictive covenant agreement between you and the Company or any of its Affiliates or you otherwise engage in activities that constitute Cause either while employed by, or providing service to, the Company or any of its Affiliates or within two years thereafter, the Options shall terminate, and the Company may rescind any delivery of shares upon vesting or settlement, as applicable on such terms as the Board or Compensation Committee shall determine, including the right to require that in the event of any such rescission, (a) you shall return to the Company the shares received upon exercise of the Options or, (b) if you no longer owns the shares, you shall pay to the Company the amount of any gain realized or payment received as a result of any sale or other disposition of the shares (or, in the event you transfer the shares by gift or otherwise without consideration, the Fair Market Value of the shares on the date of the breach of any restrictive covenant agreement or activity constituting Cause). You agree that payment shall be made in such manner and on such terms and conditions as may be required by the Board or Compensation Committee and you shall be entitled to set off against the amount of any such payment any amounts otherwise owed to you by the Company. In addition, you agree that the Options shall be subject to any applicable clawback or recoupment policies, share trading policies and other policies that may be implemented by the Board from time to time.</w:t>
      </w:r>
    </w:p>
    <w:p>
      <w:pPr>
        <w:spacing w:after="0" w:line="164" w:lineRule="exact"/>
        <w:rPr>
          <w:rFonts w:ascii="Times New Roman" w:cs="Times New Roman" w:eastAsia="Times New Roman" w:hAnsi="Times New Roman"/>
          <w:sz w:val="18"/>
          <w:szCs w:val="18"/>
          <w:color w:val="auto"/>
        </w:rPr>
      </w:pPr>
    </w:p>
    <w:p>
      <w:pPr>
        <w:ind w:left="-757" w:right="240" w:firstLine="757"/>
        <w:spacing w:after="0" w:line="266" w:lineRule="auto"/>
        <w:tabs>
          <w:tab w:leader="none" w:pos="261" w:val="left"/>
        </w:tabs>
        <w:numPr>
          <w:ilvl w:val="0"/>
          <w:numId w:val="3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Agreement, together with the correlating Stock Option Notice and the Plan, contain the entire agreement between you and the Company with respect to the Options. Any oral or written agreements, representations, warranties, written inducements, or other communications made prior to the execution of this Agreement with respect to the Options shall be void and ineffective for all purposes.</w:t>
      </w:r>
    </w:p>
    <w:p>
      <w:pPr>
        <w:spacing w:after="0" w:line="135" w:lineRule="exact"/>
        <w:rPr>
          <w:rFonts w:ascii="Times New Roman" w:cs="Times New Roman" w:eastAsia="Times New Roman" w:hAnsi="Times New Roman"/>
          <w:sz w:val="18"/>
          <w:szCs w:val="18"/>
          <w:color w:val="auto"/>
        </w:rPr>
      </w:pPr>
    </w:p>
    <w:p>
      <w:pPr>
        <w:ind w:left="-757" w:right="300" w:firstLine="757"/>
        <w:spacing w:after="0" w:line="266" w:lineRule="auto"/>
        <w:tabs>
          <w:tab w:leader="none" w:pos="261" w:val="left"/>
        </w:tabs>
        <w:numPr>
          <w:ilvl w:val="0"/>
          <w:numId w:val="3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xml:space="preserve">. This Agreement may be amended from time to time by the Administrator in its discretion;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this Agreement may not be modified in a manner that would have a materially adverse effect on the Options or Shares as determined in the discretion of the Administrator, except as provided in the Plan or in a written document signed by you and the Company.</w:t>
      </w:r>
    </w:p>
    <w:p>
      <w:pPr>
        <w:spacing w:after="0" w:line="135" w:lineRule="exact"/>
        <w:rPr>
          <w:rFonts w:ascii="Times New Roman" w:cs="Times New Roman" w:eastAsia="Times New Roman" w:hAnsi="Times New Roman"/>
          <w:sz w:val="18"/>
          <w:szCs w:val="18"/>
          <w:color w:val="auto"/>
        </w:rPr>
      </w:pPr>
    </w:p>
    <w:p>
      <w:pPr>
        <w:ind w:left="-757" w:right="40" w:firstLine="757"/>
        <w:spacing w:after="0" w:line="261" w:lineRule="auto"/>
        <w:tabs>
          <w:tab w:leader="none" w:pos="261" w:val="left"/>
        </w:tabs>
        <w:numPr>
          <w:ilvl w:val="0"/>
          <w:numId w:val="3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Conformity with Plan</w:t>
      </w:r>
      <w:r>
        <w:rPr>
          <w:rFonts w:ascii="Times New Roman" w:cs="Times New Roman" w:eastAsia="Times New Roman" w:hAnsi="Times New Roman"/>
          <w:sz w:val="18"/>
          <w:szCs w:val="18"/>
          <w:color w:val="auto"/>
        </w:rPr>
        <w:t>. This Agreement is intended to conform in all respects with, and is subject to all applicable provisions of, the Plan. Any conflict between the terms of this Agreement and the Plan shall be resolved in accordance with the terms of the Plan. In the event of any ambiguity in this Agreement or any matters as to which this Agreement is silent, the Plan shall govern. A copy of the Plan is available upon request to the Administrator.</w:t>
      </w:r>
    </w:p>
    <w:p>
      <w:pPr>
        <w:spacing w:after="0" w:line="152" w:lineRule="exact"/>
        <w:rPr>
          <w:rFonts w:ascii="Times New Roman" w:cs="Times New Roman" w:eastAsia="Times New Roman" w:hAnsi="Times New Roman"/>
          <w:sz w:val="18"/>
          <w:szCs w:val="18"/>
          <w:color w:val="auto"/>
        </w:rPr>
      </w:pPr>
    </w:p>
    <w:p>
      <w:pPr>
        <w:ind w:left="-757" w:right="20" w:firstLine="757"/>
        <w:spacing w:after="0" w:line="255" w:lineRule="auto"/>
        <w:tabs>
          <w:tab w:leader="none" w:pos="261" w:val="left"/>
        </w:tabs>
        <w:numPr>
          <w:ilvl w:val="0"/>
          <w:numId w:val="3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409A</w:t>
      </w:r>
      <w:r>
        <w:rPr>
          <w:rFonts w:ascii="Times New Roman" w:cs="Times New Roman" w:eastAsia="Times New Roman" w:hAnsi="Times New Roman"/>
          <w:sz w:val="18"/>
          <w:szCs w:val="18"/>
          <w:color w:val="auto"/>
        </w:rPr>
        <w:t>. This Agreement and the Options granted hereunder are intended to comply with, or otherwise be exempt from, Section 409A of the Code. This Agreement and the Options shall be administered, interpreted and construed in a manner consistent with this intent. Nothing in the Plan or this Agreement shall be construed as including any feature for the deferral of compensation other than the deferral of recognition of income until the exercise of the Options. Should any provision of the Plan or this Agreement be found not to comply with, or otherwise be exempt from, the provisions of Section 409A of the Code, it may be modified and given effect, in the sole discretion of the Administrator and without requiring your consent, in such manner as the Administrator determines to be necessary or appropriate to comply with, or to effectuate an exemption from, Section 409A of the Code. The foregoing, however, shall not be construed as a guarantee or warranty by the Company of any particular tax effect to you.</w:t>
      </w:r>
    </w:p>
    <w:p>
      <w:pPr>
        <w:spacing w:after="0" w:line="148" w:lineRule="exact"/>
        <w:rPr>
          <w:rFonts w:ascii="Times New Roman" w:cs="Times New Roman" w:eastAsia="Times New Roman" w:hAnsi="Times New Roman"/>
          <w:sz w:val="18"/>
          <w:szCs w:val="18"/>
          <w:color w:val="auto"/>
        </w:rPr>
      </w:pPr>
    </w:p>
    <w:p>
      <w:pPr>
        <w:ind w:left="-757" w:right="120" w:firstLine="757"/>
        <w:spacing w:after="0" w:line="261" w:lineRule="auto"/>
        <w:tabs>
          <w:tab w:leader="none" w:pos="261" w:val="left"/>
        </w:tabs>
        <w:numPr>
          <w:ilvl w:val="0"/>
          <w:numId w:val="3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Electronic Delivery of Documents</w:t>
      </w:r>
      <w:r>
        <w:rPr>
          <w:rFonts w:ascii="Times New Roman" w:cs="Times New Roman" w:eastAsia="Times New Roman" w:hAnsi="Times New Roman"/>
          <w:sz w:val="18"/>
          <w:szCs w:val="18"/>
          <w:color w:val="auto"/>
        </w:rPr>
        <w:t>. By your signing the Notice, you (i) consent to the electronic delivery of this Agreement, all information with respect to the Plan and the Options, and any reports of the Company provided generally to the Company’s stockholders; (ii) acknowledge that you may receive from the Company a paper copy of any documents delivered electronically at no cost to you by contacting the Company by telephone or in writing; (iii) further acknowledge that you may revoke your consent to the electronic delivery of documents 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978535</wp:posOffset>
            </wp:positionV>
            <wp:extent cx="7157720" cy="42545"/>
            <wp:wrapNone/>
            <wp:docPr id="819" name="Picture 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
                    <pic:cNvPicPr>
                      <a:picLocks noChangeAspect="1" noChangeArrowheads="1"/>
                    </pic:cNvPicPr>
                  </pic:nvPicPr>
                  <pic:blipFill>
                    <a:blip r:embed="rId8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63"/>
          </w:cols>
          <w:pgMar w:left="1077" w:top="1417" w:right="359" w:bottom="1440" w:gutter="0" w:footer="0" w:header="0"/>
        </w:sectPr>
      </w:pPr>
    </w:p>
    <w:bookmarkStart w:id="566" w:name="page567"/>
    <w:bookmarkEnd w:id="566"/>
    <w:p>
      <w:pPr>
        <w:ind w:right="700"/>
        <w:spacing w:after="0" w:line="282" w:lineRule="auto"/>
        <w:rPr>
          <w:sz w:val="20"/>
          <w:szCs w:val="20"/>
          <w:color w:val="auto"/>
        </w:rPr>
      </w:pPr>
      <w:r>
        <w:rPr>
          <w:rFonts w:ascii="Times New Roman" w:cs="Times New Roman" w:eastAsia="Times New Roman" w:hAnsi="Times New Roman"/>
          <w:sz w:val="18"/>
          <w:szCs w:val="18"/>
          <w:color w:val="auto"/>
        </w:rPr>
        <w:t>any time by notifying the Company of such revoked consent by telephone, postal service or electronic mail; and (iv) further acknowledge that you understand that you are not required to consent to electronic delivery of documents.</w:t>
      </w:r>
    </w:p>
    <w:p>
      <w:pPr>
        <w:spacing w:after="0" w:line="121" w:lineRule="exact"/>
        <w:rPr>
          <w:sz w:val="20"/>
          <w:szCs w:val="20"/>
          <w:color w:val="auto"/>
        </w:rPr>
      </w:pPr>
    </w:p>
    <w:p>
      <w:pPr>
        <w:ind w:firstLine="757"/>
        <w:spacing w:after="0" w:line="253" w:lineRule="auto"/>
        <w:tabs>
          <w:tab w:leader="none" w:pos="1018" w:val="left"/>
        </w:tabs>
        <w:numPr>
          <w:ilvl w:val="0"/>
          <w:numId w:val="3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Future Entitlement</w:t>
      </w:r>
      <w:r>
        <w:rPr>
          <w:rFonts w:ascii="Times New Roman" w:cs="Times New Roman" w:eastAsia="Times New Roman" w:hAnsi="Times New Roman"/>
          <w:sz w:val="18"/>
          <w:szCs w:val="18"/>
          <w:color w:val="auto"/>
        </w:rPr>
        <w:t>. By execution of the Notice, you acknowledge and agree that: (i) the grant of these Options is a one-time benefit which does not create any contractual or other right to receive future grants of stock options, or compensation in lieu of stock options, even if stock options have been granted repeatedly in the past; (ii) all determinations with respect to any such future grants, including, but not limited to, the times when stock options shall be granted or shall become exercisable, the maximum number of shares subject to each stock option, and the purchase price, will be at the sole discretion of the Administrator; (iii) the value of these Options is an extraordinary item of compensation which is outside the scope of your employment contract, if any; (iv) the value of these Options is not part of normal or expected compensation or salary for any purpose, including, but not limited to, calculating any termination, severance, resignation, redundancy, end of service payments or similar payments, or bonuses, long-service awards, pension or retirement benefits; (v) the vesting of these Options ceases upon termination of employment with the Company or transfer of employment from the Company, or other cessation of eligibility for any reason, except as may otherwise be explicitly provided in this Agreement; (vi) if the underlying Common Stock does not increase in value, these Options will have no value, nor does the Company guarantee any future value; and (vii) no claim or entitlement to compensation or damages arises if these Options do not increase in value and you irrevocably release the Company from any such claim that does arise.</w:t>
      </w:r>
    </w:p>
    <w:p>
      <w:pPr>
        <w:spacing w:after="0" w:line="164" w:lineRule="exact"/>
        <w:rPr>
          <w:rFonts w:ascii="Times New Roman" w:cs="Times New Roman" w:eastAsia="Times New Roman" w:hAnsi="Times New Roman"/>
          <w:sz w:val="18"/>
          <w:szCs w:val="18"/>
          <w:color w:val="auto"/>
        </w:rPr>
      </w:pPr>
    </w:p>
    <w:p>
      <w:pPr>
        <w:ind w:right="80" w:firstLine="757"/>
        <w:spacing w:after="0" w:line="253" w:lineRule="auto"/>
        <w:tabs>
          <w:tab w:leader="none" w:pos="1018" w:val="left"/>
        </w:tabs>
        <w:numPr>
          <w:ilvl w:val="0"/>
          <w:numId w:val="3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Personal Data</w:t>
      </w:r>
      <w:r>
        <w:rPr>
          <w:rFonts w:ascii="Times New Roman" w:cs="Times New Roman" w:eastAsia="Times New Roman" w:hAnsi="Times New Roman"/>
          <w:sz w:val="18"/>
          <w:szCs w:val="18"/>
          <w:color w:val="auto"/>
        </w:rPr>
        <w:t>. For the purpose of implementing, administering and managing these Options, you, by execution of the Notice, consent to the collection, receipt, use, retention and transfer, in electronic or other form, of your personal data by and among the Company and its third party vendors or any potential party to any Change in Control transaction or capital raising transaction involving the Company. You understand that personal data (including but not limited to, name, home address, telephone number, employee number, employment status, social security number, tax identification number, date of birth, nationality, job and payroll location, data for tax withholding purposes and shares awarded, cancelled, exercised, vested and unvested) may be transferred to third parties assisting in the implementation, administration and management of these Options and the Plan and you expressly authorize such transfer as well as the retention, use, and the subsequent transfer of the data by the recipient(s). You understand that these recipients may be located in your country or elsewhere, and that the recipient’s country may have different data privacy laws and protections than your country. You understand that data will be held only as long as is necessary to implement, administer and manage these Options. You understand that you may, at any time, request a list with the names and addresses of any potential recipients of the personal data, view data, request additional information about the storage and processing of data, require any necessary amendments to data or refuse or withdraw the consents herein, in any case without cost, by contacting in writing the Company’s Secretary. You understand, however, that refusing or withdrawing your consent may affect your ability to accept a stock option.</w:t>
      </w:r>
    </w:p>
    <w:p>
      <w:pPr>
        <w:spacing w:after="0" w:line="146" w:lineRule="exact"/>
        <w:rPr>
          <w:rFonts w:ascii="Times New Roman" w:cs="Times New Roman" w:eastAsia="Times New Roman" w:hAnsi="Times New Roman"/>
          <w:sz w:val="18"/>
          <w:szCs w:val="18"/>
          <w:color w:val="auto"/>
        </w:rPr>
      </w:pPr>
    </w:p>
    <w:p>
      <w:pPr>
        <w:ind w:right="20" w:firstLine="757"/>
        <w:spacing w:after="0" w:line="255" w:lineRule="auto"/>
        <w:tabs>
          <w:tab w:leader="none" w:pos="1018" w:val="left"/>
        </w:tabs>
        <w:numPr>
          <w:ilvl w:val="0"/>
          <w:numId w:val="3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The validity, construction and effect of this Agreement, and of any determinations or decisions made by the Administrator relating to this Agreement, and the rights of any and all persons having or claiming to have any interest under this Agreement, shall be determined exclusively in accordance with the laws of the State of Delaware, without regard to its provisions concerning the applicability of laws of other jurisdictions. As a condition of this Agreement, you agree that you will not bring any action arising under, as a result of, pursuant to or relating to, this Agreement in any court other than a federal or state court in the districts which include Delaware, and you hereby agree and submit to the personal jurisdiction of any federal court located in the district which includes Delaware or any state court in the district which includes Delaware. You further agree that you will not deny or attempt to defeat such personal jurisdiction or object to venue by motion or other request for leave from any such court.</w:t>
      </w:r>
    </w:p>
    <w:p>
      <w:pPr>
        <w:spacing w:after="0" w:line="148" w:lineRule="exact"/>
        <w:rPr>
          <w:rFonts w:ascii="Times New Roman" w:cs="Times New Roman" w:eastAsia="Times New Roman" w:hAnsi="Times New Roman"/>
          <w:sz w:val="18"/>
          <w:szCs w:val="18"/>
          <w:color w:val="auto"/>
        </w:rPr>
      </w:pPr>
    </w:p>
    <w:p>
      <w:pPr>
        <w:ind w:right="20" w:firstLine="757"/>
        <w:spacing w:after="0" w:line="256" w:lineRule="auto"/>
        <w:tabs>
          <w:tab w:leader="none" w:pos="1018" w:val="left"/>
        </w:tabs>
        <w:numPr>
          <w:ilvl w:val="0"/>
          <w:numId w:val="3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Resolution of Disputes</w:t>
      </w:r>
      <w:r>
        <w:rPr>
          <w:rFonts w:ascii="Times New Roman" w:cs="Times New Roman" w:eastAsia="Times New Roman" w:hAnsi="Times New Roman"/>
          <w:sz w:val="18"/>
          <w:szCs w:val="18"/>
          <w:color w:val="auto"/>
        </w:rPr>
        <w:t>. Any dispute or disagreement which shall arise under, or as a result of, or pursuant to or relating to, this Agreement shall be determined by the Administrator in good faith in its absolute and uncontrolled discretion, and any such determination or any other determination by the Administrator under or pursuant to this Agreement and any interpretation by the Administrator of the terms of this Agreement, will be final, binding and conclusive on all persons affected thereby. You agree that before you may bring any legal action arising under, as a result of, pursuant to or relating to, this Agreement you will first exhaust your administrative remedies before the Administrator. You further agree that in the event that the Administrator does not resolve any dispute or disagreement arising under, as a result of, pursuant to or relating to, this Agreement to your satisfaction,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992505</wp:posOffset>
            </wp:positionV>
            <wp:extent cx="7157720" cy="42545"/>
            <wp:wrapNone/>
            <wp:docPr id="820" name="Picture 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
                    <pic:cNvPicPr>
                      <a:picLocks noChangeAspect="1" noChangeArrowheads="1"/>
                    </pic:cNvPicPr>
                  </pic:nvPicPr>
                  <pic:blipFill>
                    <a:blip r:embed="rId8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1366520</wp:posOffset>
            </wp:positionH>
            <wp:positionV relativeFrom="paragraph">
              <wp:posOffset>-2586355</wp:posOffset>
            </wp:positionV>
            <wp:extent cx="28575" cy="8890"/>
            <wp:wrapNone/>
            <wp:docPr id="821" name="Picture 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
                    <pic:cNvPicPr>
                      <a:picLocks noChangeAspect="1" noChangeArrowheads="1"/>
                    </pic:cNvPicPr>
                  </pic:nvPicPr>
                  <pic:blipFill>
                    <a:blip r:embed="rId829">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567" w:name="page568"/>
    <w:bookmarkEnd w:id="567"/>
    <w:p>
      <w:pPr>
        <w:spacing w:after="0"/>
        <w:rPr>
          <w:sz w:val="20"/>
          <w:szCs w:val="20"/>
          <w:color w:val="auto"/>
        </w:rPr>
      </w:pPr>
      <w:r>
        <w:rPr>
          <w:rFonts w:ascii="Times New Roman" w:cs="Times New Roman" w:eastAsia="Times New Roman" w:hAnsi="Times New Roman"/>
          <w:sz w:val="18"/>
          <w:szCs w:val="18"/>
          <w:color w:val="auto"/>
        </w:rPr>
        <w:t>no legal action may be commenced or maintained relating to this Agreement more than twenty-four (24) months after the Administrator’s decision.</w:t>
      </w:r>
    </w:p>
    <w:p>
      <w:pPr>
        <w:spacing w:after="0" w:line="185" w:lineRule="exact"/>
        <w:rPr>
          <w:sz w:val="20"/>
          <w:szCs w:val="20"/>
          <w:color w:val="auto"/>
        </w:rPr>
      </w:pPr>
    </w:p>
    <w:p>
      <w:pPr>
        <w:ind w:left="1020" w:hanging="263"/>
        <w:spacing w:after="0"/>
        <w:tabs>
          <w:tab w:leader="none" w:pos="1020" w:val="left"/>
        </w:tabs>
        <w:numPr>
          <w:ilvl w:val="0"/>
          <w:numId w:val="3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headings in this Agreement are for reference purposes only and shall not affect the meaning or interpretation of this</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Agreement.</w:t>
      </w:r>
    </w:p>
    <w:p>
      <w:pPr>
        <w:spacing w:after="0" w:line="178"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Glossary begins on next page</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1009015</wp:posOffset>
            </wp:positionV>
            <wp:extent cx="7157720" cy="42545"/>
            <wp:wrapNone/>
            <wp:docPr id="822" name="Picture 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
                    <pic:cNvPicPr>
                      <a:picLocks noChangeAspect="1" noChangeArrowheads="1"/>
                    </pic:cNvPicPr>
                  </pic:nvPicPr>
                  <pic:blipFill>
                    <a:blip r:embed="rId8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20"/>
          </w:cols>
          <w:pgMar w:left="320" w:top="1417" w:right="959" w:bottom="1440" w:gutter="0" w:footer="0" w:header="0"/>
        </w:sectPr>
      </w:pPr>
    </w:p>
    <w:bookmarkStart w:id="568" w:name="page569"/>
    <w:bookmarkEnd w:id="568"/>
    <w:p>
      <w:pPr>
        <w:jc w:val="center"/>
        <w:ind w:right="-99"/>
        <w:spacing w:after="0"/>
        <w:rPr>
          <w:sz w:val="20"/>
          <w:szCs w:val="20"/>
          <w:color w:val="auto"/>
        </w:rPr>
      </w:pPr>
      <w:r>
        <w:rPr>
          <w:rFonts w:ascii="Times New Roman" w:cs="Times New Roman" w:eastAsia="Times New Roman" w:hAnsi="Times New Roman"/>
          <w:sz w:val="18"/>
          <w:szCs w:val="18"/>
          <w:b w:val="1"/>
          <w:bCs w:val="1"/>
          <w:u w:val="single" w:color="auto"/>
          <w:color w:val="auto"/>
        </w:rPr>
        <w:t>GLOSSARY</w:t>
      </w:r>
    </w:p>
    <w:p>
      <w:pPr>
        <w:spacing w:after="0" w:line="185" w:lineRule="exact"/>
        <w:rPr>
          <w:sz w:val="20"/>
          <w:szCs w:val="20"/>
          <w:color w:val="auto"/>
        </w:rPr>
      </w:pPr>
    </w:p>
    <w:p>
      <w:pPr>
        <w:ind w:left="2040" w:hanging="535"/>
        <w:spacing w:after="0"/>
        <w:tabs>
          <w:tab w:leader="none" w:pos="2040" w:val="left"/>
        </w:tabs>
        <w:numPr>
          <w:ilvl w:val="0"/>
          <w:numId w:val="3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Administrator</w:t>
      </w:r>
      <w:r>
        <w:rPr>
          <w:rFonts w:ascii="Times New Roman" w:cs="Times New Roman" w:eastAsia="Times New Roman" w:hAnsi="Times New Roman"/>
          <w:sz w:val="18"/>
          <w:szCs w:val="18"/>
          <w:color w:val="auto"/>
        </w:rPr>
        <w:t>” shall have the meaning set forth in the Plan.</w:t>
      </w:r>
    </w:p>
    <w:p>
      <w:pPr>
        <w:spacing w:after="0" w:line="198" w:lineRule="exact"/>
        <w:rPr>
          <w:rFonts w:ascii="Times New Roman" w:cs="Times New Roman" w:eastAsia="Times New Roman" w:hAnsi="Times New Roman"/>
          <w:sz w:val="18"/>
          <w:szCs w:val="18"/>
          <w:color w:val="auto"/>
        </w:rPr>
      </w:pPr>
    </w:p>
    <w:p>
      <w:pPr>
        <w:ind w:left="2040" w:hanging="535"/>
        <w:spacing w:after="0"/>
        <w:tabs>
          <w:tab w:leader="none" w:pos="2040" w:val="left"/>
        </w:tabs>
        <w:numPr>
          <w:ilvl w:val="0"/>
          <w:numId w:val="3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Affiliate</w:t>
      </w:r>
      <w:r>
        <w:rPr>
          <w:rFonts w:ascii="Times New Roman" w:cs="Times New Roman" w:eastAsia="Times New Roman" w:hAnsi="Times New Roman"/>
          <w:sz w:val="18"/>
          <w:szCs w:val="18"/>
          <w:color w:val="auto"/>
        </w:rPr>
        <w:t>” shall have the meaning set forth in the Plan.</w:t>
      </w:r>
    </w:p>
    <w:p>
      <w:pPr>
        <w:spacing w:after="0" w:line="184" w:lineRule="exact"/>
        <w:rPr>
          <w:rFonts w:ascii="Times New Roman" w:cs="Times New Roman" w:eastAsia="Times New Roman" w:hAnsi="Times New Roman"/>
          <w:sz w:val="18"/>
          <w:szCs w:val="18"/>
          <w:color w:val="auto"/>
        </w:rPr>
      </w:pPr>
    </w:p>
    <w:p>
      <w:pPr>
        <w:ind w:left="2040" w:hanging="535"/>
        <w:spacing w:after="0"/>
        <w:tabs>
          <w:tab w:leader="none" w:pos="2040" w:val="left"/>
        </w:tabs>
        <w:numPr>
          <w:ilvl w:val="0"/>
          <w:numId w:val="3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Cause</w:t>
      </w:r>
      <w:r>
        <w:rPr>
          <w:rFonts w:ascii="Times New Roman" w:cs="Times New Roman" w:eastAsia="Times New Roman" w:hAnsi="Times New Roman"/>
          <w:sz w:val="18"/>
          <w:szCs w:val="18"/>
          <w:color w:val="auto"/>
        </w:rPr>
        <w:t>” shall have the meaning set forth in the Plan.</w:t>
      </w:r>
    </w:p>
    <w:p>
      <w:pPr>
        <w:spacing w:after="0" w:line="184" w:lineRule="exact"/>
        <w:rPr>
          <w:rFonts w:ascii="Times New Roman" w:cs="Times New Roman" w:eastAsia="Times New Roman" w:hAnsi="Times New Roman"/>
          <w:sz w:val="18"/>
          <w:szCs w:val="18"/>
          <w:color w:val="auto"/>
        </w:rPr>
      </w:pPr>
    </w:p>
    <w:p>
      <w:pPr>
        <w:ind w:left="2040" w:hanging="535"/>
        <w:spacing w:after="0"/>
        <w:tabs>
          <w:tab w:leader="none" w:pos="2040" w:val="left"/>
        </w:tabs>
        <w:numPr>
          <w:ilvl w:val="0"/>
          <w:numId w:val="3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Change in Control</w:t>
      </w:r>
      <w:r>
        <w:rPr>
          <w:rFonts w:ascii="Times New Roman" w:cs="Times New Roman" w:eastAsia="Times New Roman" w:hAnsi="Times New Roman"/>
          <w:sz w:val="18"/>
          <w:szCs w:val="18"/>
          <w:color w:val="auto"/>
        </w:rPr>
        <w:t>” shall have the meaning set forth in the Plan.</w:t>
      </w:r>
    </w:p>
    <w:p>
      <w:pPr>
        <w:spacing w:after="0" w:line="198" w:lineRule="exact"/>
        <w:rPr>
          <w:rFonts w:ascii="Times New Roman" w:cs="Times New Roman" w:eastAsia="Times New Roman" w:hAnsi="Times New Roman"/>
          <w:sz w:val="18"/>
          <w:szCs w:val="18"/>
          <w:color w:val="auto"/>
        </w:rPr>
      </w:pPr>
    </w:p>
    <w:p>
      <w:pPr>
        <w:ind w:left="2040" w:hanging="535"/>
        <w:spacing w:after="0"/>
        <w:tabs>
          <w:tab w:leader="none" w:pos="2040" w:val="left"/>
        </w:tabs>
        <w:numPr>
          <w:ilvl w:val="0"/>
          <w:numId w:val="3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Code</w:t>
      </w:r>
      <w:r>
        <w:rPr>
          <w:rFonts w:ascii="Times New Roman" w:cs="Times New Roman" w:eastAsia="Times New Roman" w:hAnsi="Times New Roman"/>
          <w:sz w:val="18"/>
          <w:szCs w:val="18"/>
          <w:color w:val="auto"/>
        </w:rPr>
        <w:t>” means the Internal Revenue Code of 1986, as amended.</w:t>
      </w:r>
    </w:p>
    <w:p>
      <w:pPr>
        <w:spacing w:after="0" w:line="184" w:lineRule="exact"/>
        <w:rPr>
          <w:rFonts w:ascii="Times New Roman" w:cs="Times New Roman" w:eastAsia="Times New Roman" w:hAnsi="Times New Roman"/>
          <w:sz w:val="18"/>
          <w:szCs w:val="18"/>
          <w:color w:val="auto"/>
        </w:rPr>
      </w:pPr>
    </w:p>
    <w:p>
      <w:pPr>
        <w:ind w:right="540" w:firstLine="1505"/>
        <w:spacing w:after="0" w:line="286" w:lineRule="auto"/>
        <w:tabs>
          <w:tab w:leader="none" w:pos="2036" w:val="left"/>
        </w:tabs>
        <w:numPr>
          <w:ilvl w:val="0"/>
          <w:numId w:val="3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includes Axsome Therapeutics, Inc. and its Subsidiaries, except where the context otherwise requires. For purposes of determining whether a Change in Control has occurred, Company shall mean only Axsome Therapeutics, Inc.</w:t>
      </w:r>
    </w:p>
    <w:p>
      <w:pPr>
        <w:spacing w:after="0" w:line="114" w:lineRule="exact"/>
        <w:rPr>
          <w:rFonts w:ascii="Times New Roman" w:cs="Times New Roman" w:eastAsia="Times New Roman" w:hAnsi="Times New Roman"/>
          <w:sz w:val="18"/>
          <w:szCs w:val="18"/>
          <w:color w:val="auto"/>
        </w:rPr>
      </w:pPr>
    </w:p>
    <w:p>
      <w:pPr>
        <w:ind w:left="2040" w:hanging="535"/>
        <w:spacing w:after="0"/>
        <w:tabs>
          <w:tab w:leader="none" w:pos="2040" w:val="left"/>
        </w:tabs>
        <w:numPr>
          <w:ilvl w:val="0"/>
          <w:numId w:val="3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Fair Market Value</w:t>
      </w:r>
      <w:r>
        <w:rPr>
          <w:rFonts w:ascii="Times New Roman" w:cs="Times New Roman" w:eastAsia="Times New Roman" w:hAnsi="Times New Roman"/>
          <w:sz w:val="18"/>
          <w:szCs w:val="18"/>
          <w:color w:val="auto"/>
        </w:rPr>
        <w:t>” shall have the meaning set forth in the Plan.</w:t>
      </w:r>
    </w:p>
    <w:p>
      <w:pPr>
        <w:spacing w:after="0" w:line="198" w:lineRule="exact"/>
        <w:rPr>
          <w:rFonts w:ascii="Times New Roman" w:cs="Times New Roman" w:eastAsia="Times New Roman" w:hAnsi="Times New Roman"/>
          <w:sz w:val="18"/>
          <w:szCs w:val="18"/>
          <w:color w:val="auto"/>
        </w:rPr>
      </w:pPr>
    </w:p>
    <w:p>
      <w:pPr>
        <w:ind w:firstLine="1505"/>
        <w:spacing w:after="0" w:line="262" w:lineRule="auto"/>
        <w:tabs>
          <w:tab w:leader="none" w:pos="2036" w:val="left"/>
        </w:tabs>
        <w:numPr>
          <w:ilvl w:val="0"/>
          <w:numId w:val="3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Service</w:t>
      </w:r>
      <w:r>
        <w:rPr>
          <w:rFonts w:ascii="Times New Roman" w:cs="Times New Roman" w:eastAsia="Times New Roman" w:hAnsi="Times New Roman"/>
          <w:sz w:val="18"/>
          <w:szCs w:val="18"/>
          <w:color w:val="auto"/>
        </w:rPr>
        <w:t>” means your employment, service as a non-executive director, or other service relationship with the Company and its Affiliates. Your Service will be considered to have ceased with the Company and its Affiliates if, immediately after a sale, merger or other corporate transaction, the trade, business or entity with which you are employed or otherwise have a service relationship is not Axsome Therapeutics, Inc. or its successor or an Affiliate of Axsome Therapeutics, Inc. or its successor.</w:t>
      </w:r>
    </w:p>
    <w:p>
      <w:pPr>
        <w:spacing w:after="0" w:line="135" w:lineRule="exact"/>
        <w:rPr>
          <w:rFonts w:ascii="Times New Roman" w:cs="Times New Roman" w:eastAsia="Times New Roman" w:hAnsi="Times New Roman"/>
          <w:sz w:val="18"/>
          <w:szCs w:val="18"/>
          <w:color w:val="auto"/>
        </w:rPr>
      </w:pPr>
    </w:p>
    <w:p>
      <w:pPr>
        <w:ind w:left="2040" w:hanging="535"/>
        <w:spacing w:after="0"/>
        <w:tabs>
          <w:tab w:leader="none" w:pos="2040" w:val="left"/>
        </w:tabs>
        <w:numPr>
          <w:ilvl w:val="0"/>
          <w:numId w:val="3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Shares</w:t>
      </w:r>
      <w:r>
        <w:rPr>
          <w:rFonts w:ascii="Times New Roman" w:cs="Times New Roman" w:eastAsia="Times New Roman" w:hAnsi="Times New Roman"/>
          <w:sz w:val="18"/>
          <w:szCs w:val="18"/>
          <w:color w:val="auto"/>
        </w:rPr>
        <w:t>” mean the shares of Common Stock underlying the Options.</w:t>
      </w:r>
    </w:p>
    <w:p>
      <w:pPr>
        <w:spacing w:after="0" w:line="184" w:lineRule="exact"/>
        <w:rPr>
          <w:rFonts w:ascii="Times New Roman" w:cs="Times New Roman" w:eastAsia="Times New Roman" w:hAnsi="Times New Roman"/>
          <w:sz w:val="18"/>
          <w:szCs w:val="18"/>
          <w:color w:val="auto"/>
        </w:rPr>
      </w:pPr>
    </w:p>
    <w:p>
      <w:pPr>
        <w:ind w:left="2040" w:hanging="535"/>
        <w:spacing w:after="0"/>
        <w:tabs>
          <w:tab w:leader="none" w:pos="2040" w:val="left"/>
        </w:tabs>
        <w:numPr>
          <w:ilvl w:val="0"/>
          <w:numId w:val="3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Stock Option Notice</w:t>
      </w:r>
      <w:r>
        <w:rPr>
          <w:rFonts w:ascii="Times New Roman" w:cs="Times New Roman" w:eastAsia="Times New Roman" w:hAnsi="Times New Roman"/>
          <w:sz w:val="18"/>
          <w:szCs w:val="18"/>
          <w:color w:val="auto"/>
        </w:rPr>
        <w:t>” means the written notice evidencing the award of the Options that correlates with and makes up a part</w:t>
      </w:r>
    </w:p>
    <w:p>
      <w:pPr>
        <w:spacing w:after="0" w:line="3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this Agreement.</w:t>
      </w:r>
    </w:p>
    <w:p>
      <w:pPr>
        <w:spacing w:after="0" w:line="175" w:lineRule="exact"/>
        <w:rPr>
          <w:rFonts w:ascii="Times New Roman" w:cs="Times New Roman" w:eastAsia="Times New Roman" w:hAnsi="Times New Roman"/>
          <w:sz w:val="18"/>
          <w:szCs w:val="18"/>
          <w:color w:val="auto"/>
        </w:rPr>
      </w:pPr>
    </w:p>
    <w:p>
      <w:pPr>
        <w:ind w:right="200" w:firstLine="1505"/>
        <w:spacing w:after="0" w:line="286" w:lineRule="auto"/>
        <w:tabs>
          <w:tab w:leader="none" w:pos="2036" w:val="left"/>
        </w:tabs>
        <w:numPr>
          <w:ilvl w:val="0"/>
          <w:numId w:val="3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Total and Permanent Disability</w:t>
      </w:r>
      <w:r>
        <w:rPr>
          <w:rFonts w:ascii="Times New Roman" w:cs="Times New Roman" w:eastAsia="Times New Roman" w:hAnsi="Times New Roman"/>
          <w:sz w:val="18"/>
          <w:szCs w:val="18"/>
          <w:color w:val="auto"/>
        </w:rPr>
        <w:t>” shall have the meaning set forth in the Plan, subject to the requirements of, and provided that such event satisfies the definition of “disability” within the meaning of, Treasury Regulation Section 1.409A-3(i)(4).</w:t>
      </w:r>
    </w:p>
    <w:p>
      <w:pPr>
        <w:spacing w:after="0" w:line="114" w:lineRule="exact"/>
        <w:rPr>
          <w:rFonts w:ascii="Times New Roman" w:cs="Times New Roman" w:eastAsia="Times New Roman" w:hAnsi="Times New Roman"/>
          <w:sz w:val="18"/>
          <w:szCs w:val="18"/>
          <w:color w:val="auto"/>
        </w:rPr>
      </w:pPr>
    </w:p>
    <w:p>
      <w:pPr>
        <w:ind w:right="180" w:firstLine="1505"/>
        <w:spacing w:after="0" w:line="262" w:lineRule="auto"/>
        <w:tabs>
          <w:tab w:leader="none" w:pos="2036" w:val="left"/>
        </w:tabs>
        <w:numPr>
          <w:ilvl w:val="0"/>
          <w:numId w:val="3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You</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your</w:t>
      </w:r>
      <w:r>
        <w:rPr>
          <w:rFonts w:ascii="Times New Roman" w:cs="Times New Roman" w:eastAsia="Times New Roman" w:hAnsi="Times New Roman"/>
          <w:sz w:val="18"/>
          <w:szCs w:val="18"/>
          <w:color w:val="auto"/>
        </w:rPr>
        <w:t>” means the recipient of the award of Options as reflected on the Stock Option Notice. Whenever the Agreement refers to “you” under circumstances where the provision should logically be construed, as determined by the Administrator, to apply to your estate, personal representative, or beneficiary to whom the Options may be transferred by will or by the laws of descent and distribution, the word “you” shall be deemed to include such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979170</wp:posOffset>
            </wp:positionV>
            <wp:extent cx="7157720" cy="42545"/>
            <wp:wrapNone/>
            <wp:docPr id="823" name="Picture 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
                    <pic:cNvPicPr>
                      <a:picLocks noChangeAspect="1" noChangeArrowheads="1"/>
                    </pic:cNvPicPr>
                  </pic:nvPicPr>
                  <pic:blipFill>
                    <a:blip r:embed="rId8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13" w:right="419" w:bottom="1440" w:gutter="0" w:footer="0" w:header="0"/>
        </w:sectPr>
      </w:pPr>
    </w:p>
    <w:bookmarkStart w:id="569" w:name="page570"/>
    <w:bookmarkEnd w:id="569"/>
    <w:p>
      <w:pPr>
        <w:jc w:val="center"/>
        <w:ind w:right="-19"/>
        <w:spacing w:after="0"/>
        <w:rPr>
          <w:sz w:val="20"/>
          <w:szCs w:val="20"/>
          <w:color w:val="auto"/>
        </w:rPr>
      </w:pPr>
      <w:r>
        <w:rPr>
          <w:rFonts w:ascii="Times New Roman" w:cs="Times New Roman" w:eastAsia="Times New Roman" w:hAnsi="Times New Roman"/>
          <w:sz w:val="18"/>
          <w:szCs w:val="18"/>
          <w:color w:val="auto"/>
        </w:rPr>
        <w:t>EXERCISE FORM</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Administrator of 2025 Long-Term Incentive Plan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Office of the Corporate Secretary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Axsome Therapeutics,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One World Trade Center</w:t>
      </w:r>
    </w:p>
    <w:p>
      <w:pPr>
        <w:spacing w:after="0" w:line="208" w:lineRule="auto"/>
        <w:rPr>
          <w:sz w:val="20"/>
          <w:szCs w:val="20"/>
          <w:color w:val="auto"/>
        </w:rPr>
      </w:pPr>
      <w:r>
        <w:rPr>
          <w:rFonts w:ascii="Times New Roman" w:cs="Times New Roman" w:eastAsia="Times New Roman" w:hAnsi="Times New Roman"/>
          <w:sz w:val="18"/>
          <w:szCs w:val="18"/>
          <w:color w:val="auto"/>
        </w:rPr>
        <w:t>22</w:t>
      </w:r>
      <w:r>
        <w:rPr>
          <w:rFonts w:ascii="Times New Roman" w:cs="Times New Roman" w:eastAsia="Times New Roman" w:hAnsi="Times New Roman"/>
          <w:sz w:val="24"/>
          <w:szCs w:val="24"/>
          <w:color w:val="auto"/>
          <w:vertAlign w:val="superscript"/>
        </w:rPr>
        <w:t>nd</w:t>
      </w:r>
      <w:r>
        <w:rPr>
          <w:rFonts w:ascii="Times New Roman" w:cs="Times New Roman" w:eastAsia="Times New Roman" w:hAnsi="Times New Roman"/>
          <w:sz w:val="18"/>
          <w:szCs w:val="18"/>
          <w:color w:val="auto"/>
        </w:rPr>
        <w:t xml:space="preserve"> Floor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10007</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Gentlemen:</w:t>
      </w:r>
    </w:p>
    <w:p>
      <w:pPr>
        <w:spacing w:after="0" w:line="207" w:lineRule="exact"/>
        <w:rPr>
          <w:sz w:val="20"/>
          <w:szCs w:val="20"/>
          <w:color w:val="auto"/>
        </w:rPr>
      </w:pPr>
    </w:p>
    <w:p>
      <w:pPr>
        <w:ind w:left="760"/>
        <w:spacing w:after="0"/>
        <w:tabs>
          <w:tab w:leader="none" w:pos="5040" w:val="left"/>
          <w:tab w:leader="none" w:pos="5640" w:val="left"/>
        </w:tabs>
        <w:rPr>
          <w:sz w:val="20"/>
          <w:szCs w:val="20"/>
          <w:color w:val="auto"/>
        </w:rPr>
      </w:pPr>
      <w:r>
        <w:rPr>
          <w:rFonts w:ascii="Times New Roman" w:cs="Times New Roman" w:eastAsia="Times New Roman" w:hAnsi="Times New Roman"/>
          <w:sz w:val="18"/>
          <w:szCs w:val="18"/>
          <w:color w:val="auto"/>
        </w:rPr>
        <w:t>I hereby exercise the Options granted to me on</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 by Axsome Therapeutics, Inc. (the “Company”), subject to all the terms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2675890</wp:posOffset>
            </wp:positionH>
            <wp:positionV relativeFrom="paragraph">
              <wp:posOffset>-7620</wp:posOffset>
            </wp:positionV>
            <wp:extent cx="913765" cy="8255"/>
            <wp:wrapNone/>
            <wp:docPr id="824" name="Picture 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
                    <pic:cNvPicPr>
                      <a:picLocks noChangeAspect="1" noChangeArrowheads="1"/>
                    </pic:cNvPicPr>
                  </pic:nvPicPr>
                  <pic:blipFill>
                    <a:blip r:embed="rId832">
                      <a:extLst>
                        <a:ext uri="{28A0092B-C50C-407E-A947-70E740481C1C}"/>
                      </a:extLst>
                    </a:blip>
                    <a:srcRect/>
                    <a:stretch>
                      <a:fillRect/>
                    </a:stretch>
                  </pic:blipFill>
                  <pic:spPr bwMode="auto">
                    <a:xfrm>
                      <a:off x="0" y="0"/>
                      <a:ext cx="91376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provisions of the applicable grant agreement and of the Axsome Therapeutics, Inc. 2025 Long-Term Incentive Plan (the “Plan”), and notify you of my</w:t>
      </w:r>
    </w:p>
    <w:tbl>
      <w:tblPr>
        <w:tblLayout w:type="fixed"/>
        <w:tblInd w:w="0" w:type="dxa"/>
        <w:tblCellMar>
          <w:top w:w="0" w:type="dxa"/>
          <w:left w:w="0" w:type="dxa"/>
          <w:bottom w:w="0" w:type="dxa"/>
          <w:right w:w="0" w:type="dxa"/>
        </w:tblCellMar>
      </w:tblPr>
      <w:tr>
        <w:trPr>
          <w:trHeight w:val="185"/>
        </w:trPr>
        <w:tc>
          <w:tcPr>
            <w:tcW w:w="1400" w:type="dxa"/>
            <w:vAlign w:val="bottom"/>
          </w:tcPr>
          <w:p>
            <w:pPr>
              <w:spacing w:after="0" w:line="184" w:lineRule="exact"/>
              <w:rPr>
                <w:sz w:val="20"/>
                <w:szCs w:val="20"/>
                <w:color w:val="auto"/>
              </w:rPr>
            </w:pPr>
            <w:r>
              <w:rPr>
                <w:rFonts w:ascii="Times New Roman" w:cs="Times New Roman" w:eastAsia="Times New Roman" w:hAnsi="Times New Roman"/>
                <w:sz w:val="18"/>
                <w:szCs w:val="18"/>
                <w:color w:val="auto"/>
              </w:rPr>
              <w:t>desire to purchase</w:t>
            </w:r>
          </w:p>
        </w:tc>
        <w:tc>
          <w:tcPr>
            <w:tcW w:w="1400" w:type="dxa"/>
            <w:vAlign w:val="bottom"/>
          </w:tcPr>
          <w:p>
            <w:pPr>
              <w:spacing w:after="0"/>
              <w:rPr>
                <w:sz w:val="16"/>
                <w:szCs w:val="16"/>
                <w:color w:val="auto"/>
              </w:rPr>
            </w:pPr>
          </w:p>
        </w:tc>
        <w:tc>
          <w:tcPr>
            <w:tcW w:w="5300" w:type="dxa"/>
            <w:vAlign w:val="bottom"/>
            <w:gridSpan w:val="2"/>
          </w:tcPr>
          <w:p>
            <w:pPr>
              <w:ind w:left="40"/>
              <w:spacing w:after="0" w:line="184" w:lineRule="exact"/>
              <w:rPr>
                <w:sz w:val="20"/>
                <w:szCs w:val="20"/>
                <w:color w:val="auto"/>
              </w:rPr>
            </w:pPr>
            <w:r>
              <w:rPr>
                <w:rFonts w:ascii="Times New Roman" w:cs="Times New Roman" w:eastAsia="Times New Roman" w:hAnsi="Times New Roman"/>
                <w:sz w:val="18"/>
                <w:szCs w:val="18"/>
                <w:color w:val="auto"/>
              </w:rPr>
              <w:t>shares of Common Stock of the Company at a price of $</w:t>
            </w:r>
          </w:p>
        </w:tc>
        <w:tc>
          <w:tcPr>
            <w:tcW w:w="3080" w:type="dxa"/>
            <w:vAlign w:val="bottom"/>
          </w:tcPr>
          <w:p>
            <w:pPr>
              <w:ind w:left="140"/>
              <w:spacing w:after="0" w:line="184" w:lineRule="exact"/>
              <w:rPr>
                <w:sz w:val="20"/>
                <w:szCs w:val="20"/>
                <w:color w:val="auto"/>
              </w:rPr>
            </w:pPr>
            <w:r>
              <w:rPr>
                <w:rFonts w:ascii="Times New Roman" w:cs="Times New Roman" w:eastAsia="Times New Roman" w:hAnsi="Times New Roman"/>
                <w:sz w:val="18"/>
                <w:szCs w:val="18"/>
                <w:color w:val="auto"/>
                <w:w w:val="99"/>
              </w:rPr>
              <w:t>per share pursuant to the exercise of said</w:t>
            </w:r>
          </w:p>
        </w:tc>
        <w:tc>
          <w:tcPr>
            <w:tcW w:w="0" w:type="dxa"/>
            <w:vAlign w:val="bottom"/>
          </w:tcPr>
          <w:p>
            <w:pPr>
              <w:spacing w:after="0"/>
              <w:rPr>
                <w:sz w:val="1"/>
                <w:szCs w:val="1"/>
                <w:color w:val="auto"/>
              </w:rPr>
            </w:pPr>
          </w:p>
        </w:tc>
      </w:tr>
      <w:tr>
        <w:trPr>
          <w:trHeight w:val="237"/>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Options.</w:t>
            </w:r>
          </w:p>
        </w:tc>
        <w:tc>
          <w:tcPr>
            <w:tcW w:w="1400" w:type="dxa"/>
            <w:vAlign w:val="bottom"/>
            <w:tcBorders>
              <w:top w:val="single" w:sz="8" w:color="auto"/>
            </w:tcBorders>
          </w:tcPr>
          <w:p>
            <w:pPr>
              <w:spacing w:after="0"/>
              <w:rPr>
                <w:sz w:val="20"/>
                <w:szCs w:val="20"/>
                <w:color w:val="auto"/>
              </w:rPr>
            </w:pPr>
          </w:p>
        </w:tc>
        <w:tc>
          <w:tcPr>
            <w:tcW w:w="4080" w:type="dxa"/>
            <w:vAlign w:val="bottom"/>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3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28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Total Amount Enclosed: $</w:t>
            </w:r>
          </w:p>
        </w:tc>
        <w:tc>
          <w:tcPr>
            <w:tcW w:w="40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8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Date:</w:t>
            </w:r>
          </w:p>
        </w:tc>
        <w:tc>
          <w:tcPr>
            <w:tcW w:w="5300" w:type="dxa"/>
            <w:vAlign w:val="bottom"/>
            <w:gridSpan w:val="2"/>
            <w:vMerge w:val="restart"/>
          </w:tcPr>
          <w:p>
            <w:pPr>
              <w:ind w:left="1420"/>
              <w:spacing w:after="0"/>
              <w:rPr>
                <w:sz w:val="20"/>
                <w:szCs w:val="20"/>
                <w:color w:val="auto"/>
              </w:rPr>
            </w:pPr>
            <w:r>
              <w:rPr>
                <w:rFonts w:ascii="Times New Roman" w:cs="Times New Roman" w:eastAsia="Times New Roman" w:hAnsi="Times New Roman"/>
                <w:sz w:val="18"/>
                <w:szCs w:val="18"/>
                <w:color w:val="auto"/>
              </w:rPr>
              <w:t>(Optionee)</w:t>
            </w:r>
          </w:p>
        </w:tc>
        <w:tc>
          <w:tcPr>
            <w:tcW w:w="3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4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5300" w:type="dxa"/>
            <w:vAlign w:val="bottom"/>
            <w:gridSpan w:val="2"/>
            <w:vMerge w:val="continue"/>
          </w:tcPr>
          <w:p>
            <w:pPr>
              <w:spacing w:after="0"/>
              <w:rPr>
                <w:sz w:val="18"/>
                <w:szCs w:val="18"/>
                <w:color w:val="auto"/>
              </w:rPr>
            </w:pPr>
          </w:p>
        </w:tc>
        <w:tc>
          <w:tcPr>
            <w:tcW w:w="3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48"/>
        </w:trPr>
        <w:tc>
          <w:tcPr>
            <w:tcW w:w="14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5300" w:type="dxa"/>
            <w:vAlign w:val="bottom"/>
            <w:gridSpan w:val="2"/>
          </w:tcPr>
          <w:p>
            <w:pPr>
              <w:ind w:left="1420"/>
              <w:spacing w:after="0"/>
              <w:rPr>
                <w:sz w:val="20"/>
                <w:szCs w:val="20"/>
                <w:color w:val="auto"/>
              </w:rPr>
            </w:pPr>
            <w:r>
              <w:rPr>
                <w:rFonts w:ascii="Times New Roman" w:cs="Times New Roman" w:eastAsia="Times New Roman" w:hAnsi="Times New Roman"/>
                <w:sz w:val="18"/>
                <w:szCs w:val="18"/>
                <w:color w:val="auto"/>
              </w:rPr>
              <w:t>Received by AXSOME THERAPEUTICS, INC. on</w:t>
            </w:r>
          </w:p>
        </w:tc>
        <w:tc>
          <w:tcPr>
            <w:tcW w:w="3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1307465</wp:posOffset>
            </wp:positionV>
            <wp:extent cx="7157720" cy="42545"/>
            <wp:wrapNone/>
            <wp:docPr id="825" name="Picture 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
                    <pic:cNvPicPr>
                      <a:picLocks noChangeAspect="1" noChangeArrowheads="1"/>
                    </pic:cNvPicPr>
                  </pic:nvPicPr>
                  <pic:blipFill>
                    <a:blip r:embed="rId8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570" w:name="page571"/>
    <w:bookmarkEnd w:id="570"/>
    <w:p>
      <w:pPr>
        <w:jc w:val="right"/>
        <w:spacing w:after="0"/>
        <w:rPr>
          <w:sz w:val="20"/>
          <w:szCs w:val="20"/>
          <w:color w:val="auto"/>
        </w:rPr>
      </w:pPr>
      <w:r>
        <w:rPr>
          <w:rFonts w:ascii="Times New Roman" w:cs="Times New Roman" w:eastAsia="Times New Roman" w:hAnsi="Times New Roman"/>
          <w:sz w:val="18"/>
          <w:szCs w:val="18"/>
          <w:b w:val="1"/>
          <w:bCs w:val="1"/>
          <w:color w:val="auto"/>
        </w:rPr>
        <w:t>Exhibit 10.10</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Axsome Therapeutics, Inc.</w:t>
      </w:r>
    </w:p>
    <w:p>
      <w:pPr>
        <w:spacing w:after="0" w:line="225"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8"/>
          <w:szCs w:val="18"/>
          <w:b w:val="1"/>
          <w:bCs w:val="1"/>
          <w:color w:val="auto"/>
        </w:rPr>
        <w:t>Performance-Based Restricted Stock Unit Notice</w:t>
      </w:r>
    </w:p>
    <w:p>
      <w:pPr>
        <w:spacing w:after="0" w:line="31"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b w:val="1"/>
          <w:bCs w:val="1"/>
          <w:color w:val="auto"/>
        </w:rPr>
        <w:t>under the</w:t>
      </w:r>
    </w:p>
    <w:p>
      <w:pPr>
        <w:spacing w:after="0" w:line="9"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b w:val="1"/>
          <w:bCs w:val="1"/>
          <w:color w:val="auto"/>
        </w:rPr>
        <w:t>Axsome Therapeutics, Inc.</w:t>
      </w:r>
    </w:p>
    <w:p>
      <w:pPr>
        <w:spacing w:after="0" w:line="9"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b w:val="1"/>
          <w:bCs w:val="1"/>
          <w:color w:val="auto"/>
        </w:rPr>
        <w:t>2025 Long-Term Incentive Plan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Name of Grantee</w:t>
      </w:r>
      <w:r>
        <w:rPr>
          <w:rFonts w:ascii="Times New Roman" w:cs="Times New Roman" w:eastAsia="Times New Roman" w:hAnsi="Times New Roman"/>
          <w:sz w:val="18"/>
          <w:szCs w:val="18"/>
          <w:color w:val="auto"/>
        </w:rPr>
        <w:t>: __________________________________</w:t>
      </w:r>
    </w:p>
    <w:p>
      <w:pPr>
        <w:spacing w:after="0" w:line="200" w:lineRule="exact"/>
        <w:rPr>
          <w:sz w:val="20"/>
          <w:szCs w:val="20"/>
          <w:color w:val="auto"/>
        </w:rPr>
      </w:pPr>
    </w:p>
    <w:p>
      <w:pPr>
        <w:spacing w:after="0" w:line="24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This Notice evidences the award of performance-based restricted Stock Units (each, an “</w:t>
      </w:r>
      <w:r>
        <w:rPr>
          <w:rFonts w:ascii="Times New Roman" w:cs="Times New Roman" w:eastAsia="Times New Roman" w:hAnsi="Times New Roman"/>
          <w:sz w:val="18"/>
          <w:szCs w:val="18"/>
          <w:b w:val="1"/>
          <w:bCs w:val="1"/>
          <w:i w:val="1"/>
          <w:iCs w:val="1"/>
          <w:color w:val="auto"/>
        </w:rPr>
        <w:t>RSU</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b w:val="1"/>
          <w:bCs w:val="1"/>
          <w:i w:val="1"/>
          <w:iCs w:val="1"/>
          <w:color w:val="auto"/>
        </w:rPr>
        <w:t>RSUs</w:t>
      </w:r>
      <w:r>
        <w:rPr>
          <w:rFonts w:ascii="Times New Roman" w:cs="Times New Roman" w:eastAsia="Times New Roman" w:hAnsi="Times New Roman"/>
          <w:sz w:val="18"/>
          <w:szCs w:val="18"/>
          <w:color w:val="auto"/>
        </w:rPr>
        <w:t>”) of Axsome Therapeutics, Inc., a Delaware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that have been granted to you pursuant to the Axsome Therapeutics, Inc. 2025 Long-Term Incentive Plan (the “</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 and conditioned upon your agreement to the terms of the attached Stock Unit Agreement (the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This Notice constitutes part of and is subject to the terms and provisions of the Agreement and the Plan, which are incorporated by reference herein. Each RSU is equivalent in value to one share of Common Stock and represents the Company’s commitment to issue one share of Common Stock at a future date, subject to the terms of the Agreement and the Plan. The RSUs are credited to a separate account maintained for you on the books and records of the Company (the "</w:t>
      </w:r>
      <w:r>
        <w:rPr>
          <w:rFonts w:ascii="Times New Roman" w:cs="Times New Roman" w:eastAsia="Times New Roman" w:hAnsi="Times New Roman"/>
          <w:sz w:val="18"/>
          <w:szCs w:val="18"/>
          <w:b w:val="1"/>
          <w:bCs w:val="1"/>
          <w:i w:val="1"/>
          <w:iCs w:val="1"/>
          <w:color w:val="auto"/>
        </w:rPr>
        <w:t>Account</w:t>
      </w:r>
      <w:r>
        <w:rPr>
          <w:rFonts w:ascii="Times New Roman" w:cs="Times New Roman" w:eastAsia="Times New Roman" w:hAnsi="Times New Roman"/>
          <w:sz w:val="18"/>
          <w:szCs w:val="18"/>
          <w:color w:val="auto"/>
        </w:rPr>
        <w:t>"). All amounts credited to the Account will continue for all purposes to be part of the general assets of the Company.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Grant Date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Target Number of RSUs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Maximum Number of RSUs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Performance Period</w:t>
      </w:r>
      <w:r>
        <w:rPr>
          <w:rFonts w:ascii="Times New Roman" w:cs="Times New Roman" w:eastAsia="Times New Roman" w:hAnsi="Times New Roman"/>
          <w:sz w:val="18"/>
          <w:szCs w:val="18"/>
          <w:color w:val="auto"/>
        </w:rPr>
        <w:t>: The performance period beginning [____________] and ending [____________].</w:t>
      </w:r>
    </w:p>
    <w:p>
      <w:pPr>
        <w:spacing w:after="0" w:line="2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auto"/>
        </w:rPr>
        <w:t>Performance Goals</w:t>
      </w:r>
      <w:r>
        <w:rPr>
          <w:rFonts w:ascii="Times New Roman" w:cs="Times New Roman" w:eastAsia="Times New Roman" w:hAnsi="Times New Roman"/>
          <w:sz w:val="18"/>
          <w:szCs w:val="18"/>
          <w:color w:val="auto"/>
        </w:rPr>
        <w:t xml:space="preserve">: The Target Number of RSUs shall be subject to [____________], as defined and determined in accordance with the attached </w:t>
      </w:r>
      <w:r>
        <w:rPr>
          <w:rFonts w:ascii="Times New Roman" w:cs="Times New Roman" w:eastAsia="Times New Roman" w:hAnsi="Times New Roman"/>
          <w:sz w:val="18"/>
          <w:szCs w:val="18"/>
          <w:b w:val="1"/>
          <w:bCs w:val="1"/>
          <w:color w:val="auto"/>
        </w:rPr>
        <w:t>Exhibit</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jc w:val="both"/>
        <w:ind w:left="20" w:right="20"/>
        <w:spacing w:after="0" w:line="266" w:lineRule="auto"/>
        <w:rPr>
          <w:sz w:val="20"/>
          <w:szCs w:val="20"/>
          <w:color w:val="auto"/>
        </w:rPr>
      </w:pPr>
      <w:r>
        <w:rPr>
          <w:rFonts w:ascii="Times New Roman" w:cs="Times New Roman" w:eastAsia="Times New Roman" w:hAnsi="Times New Roman"/>
          <w:sz w:val="18"/>
          <w:szCs w:val="18"/>
          <w:u w:val="single" w:color="auto"/>
          <w:color w:val="auto"/>
        </w:rPr>
        <w:t>Earned RSUs</w:t>
      </w:r>
      <w:r>
        <w:rPr>
          <w:rFonts w:ascii="Times New Roman" w:cs="Times New Roman" w:eastAsia="Times New Roman" w:hAnsi="Times New Roman"/>
          <w:sz w:val="18"/>
          <w:szCs w:val="18"/>
          <w:color w:val="auto"/>
        </w:rPr>
        <w:t>: Except as provided by the Agreement or a Severance Agreement, if applicable (to the extent more favorable to Grantee), the number of RSUs that shall become “</w:t>
      </w:r>
      <w:r>
        <w:rPr>
          <w:rFonts w:ascii="Times New Roman" w:cs="Times New Roman" w:eastAsia="Times New Roman" w:hAnsi="Times New Roman"/>
          <w:sz w:val="18"/>
          <w:szCs w:val="18"/>
          <w:b w:val="1"/>
          <w:bCs w:val="1"/>
          <w:i w:val="1"/>
          <w:iCs w:val="1"/>
          <w:color w:val="auto"/>
        </w:rPr>
        <w:t>Earned RSUs</w:t>
      </w:r>
      <w:r>
        <w:rPr>
          <w:rFonts w:ascii="Times New Roman" w:cs="Times New Roman" w:eastAsia="Times New Roman" w:hAnsi="Times New Roman"/>
          <w:sz w:val="18"/>
          <w:szCs w:val="18"/>
          <w:color w:val="auto"/>
        </w:rPr>
        <w:t>” with respect to the Performance Period, if any (not to exceed the Maximum Number of RSUs) shall equal the sum of:</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u w:val="single" w:color="auto"/>
          <w:color w:val="auto"/>
        </w:rPr>
        <w:t>Vesting Schedule</w:t>
      </w:r>
      <w:r>
        <w:rPr>
          <w:rFonts w:ascii="Times New Roman" w:cs="Times New Roman" w:eastAsia="Times New Roman" w:hAnsi="Times New Roman"/>
          <w:sz w:val="18"/>
          <w:szCs w:val="18"/>
          <w:color w:val="auto"/>
        </w:rPr>
        <w:t>: All of the RSUs are nonvested and forfeitable as of the Grant Date. The Earned RSUs, if any, shall become vested on the Certification Date, so long as your employment or service is continuous from the Grant Date through the Certification Date. Except as provided by a Severance Agreement, if applicable (to the extent more favorable to Grantee), if the Grantee does not remain in continuous employment or service through the Certification Date, no RSUs shall become Earned RSUs and all RSUs shall be forfeited.</w:t>
      </w:r>
    </w:p>
    <w:p>
      <w:pPr>
        <w:spacing w:after="0" w:line="1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Certification Date</w:t>
      </w:r>
      <w:r>
        <w:rPr>
          <w:rFonts w:ascii="Times New Roman" w:cs="Times New Roman" w:eastAsia="Times New Roman" w:hAnsi="Times New Roman"/>
          <w:sz w:val="18"/>
          <w:szCs w:val="18"/>
          <w:color w:val="auto"/>
        </w:rPr>
        <w:t>” means the date on which the Compensation Committee or the Board certifies whether the Performance Goals have been met. The Certification Date with respect to the Performance Period will be no earlier than January 1st and no later than March 15th of the calendar year following the end of the Performance Period, except as set forth below.</w:t>
      </w:r>
    </w:p>
    <w:p>
      <w:pPr>
        <w:spacing w:after="0" w:line="17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Severance Agreement</w:t>
      </w:r>
      <w:r>
        <w:rPr>
          <w:rFonts w:ascii="Times New Roman" w:cs="Times New Roman" w:eastAsia="Times New Roman" w:hAnsi="Times New Roman"/>
          <w:sz w:val="18"/>
          <w:szCs w:val="18"/>
          <w:color w:val="auto"/>
        </w:rPr>
        <w:t>” means a severance and/or change in control agreement, plan or policy that may be adopted by the Company, but only to the extent you are an active participant in such plan as of the date of your termination of employment or service, or otherwise any employment or other agreement between you and the Company or any of its Affiliates, in each case, to the extent the terms of such Severance Agreement are applicable to this award of RSUs and are more favorable to you than the terms set forth in this Notice and the Agreement, provided that to the extent the terms set forth in this Notice and the Agreement are more favorable to you than the terms of a Severance Agreement, this Notice and the Agreement shall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1006475</wp:posOffset>
            </wp:positionV>
            <wp:extent cx="7157720" cy="42545"/>
            <wp:wrapNone/>
            <wp:docPr id="826" name="Picture 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
                    <pic:cNvPicPr>
                      <a:picLocks noChangeAspect="1" noChangeArrowheads="1"/>
                    </pic:cNvPicPr>
                  </pic:nvPicPr>
                  <pic:blipFill>
                    <a:blip r:embed="rId8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571" w:name="page572"/>
    <w:bookmarkEnd w:id="571"/>
    <w:p>
      <w:pPr>
        <w:ind w:left="40" w:right="60"/>
        <w:spacing w:after="0" w:line="282" w:lineRule="auto"/>
        <w:rPr>
          <w:sz w:val="20"/>
          <w:szCs w:val="20"/>
          <w:color w:val="auto"/>
        </w:rPr>
      </w:pPr>
      <w:r>
        <w:rPr>
          <w:rFonts w:ascii="Times New Roman" w:cs="Times New Roman" w:eastAsia="Times New Roman" w:hAnsi="Times New Roman"/>
          <w:sz w:val="18"/>
          <w:szCs w:val="18"/>
          <w:u w:val="single" w:color="auto"/>
          <w:color w:val="auto"/>
        </w:rPr>
        <w:t>Distribution Schedule</w:t>
      </w:r>
      <w:r>
        <w:rPr>
          <w:rFonts w:ascii="Times New Roman" w:cs="Times New Roman" w:eastAsia="Times New Roman" w:hAnsi="Times New Roman"/>
          <w:sz w:val="18"/>
          <w:szCs w:val="18"/>
          <w:color w:val="auto"/>
        </w:rPr>
        <w:t>: The RSUs, to the extent they become Earned RSUs, shall be distributable as they vest pursuant to the Vesting Schedule in accordance with Section 5 of the Agreement.</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120"/>
        <w:spacing w:after="0"/>
        <w:tabs>
          <w:tab w:leader="none" w:pos="9180" w:val="left"/>
        </w:tabs>
        <w:rPr>
          <w:sz w:val="20"/>
          <w:szCs w:val="20"/>
          <w:color w:val="auto"/>
        </w:rPr>
      </w:pPr>
      <w:r>
        <w:rPr>
          <w:rFonts w:ascii="Times New Roman" w:cs="Times New Roman" w:eastAsia="Times New Roman" w:hAnsi="Times New Roman"/>
          <w:sz w:val="18"/>
          <w:szCs w:val="18"/>
          <w:color w:val="auto"/>
        </w:rPr>
        <w:t>Axsome Therapeutics, Inc.</w:t>
      </w:r>
      <w:r>
        <w:rPr>
          <w:sz w:val="20"/>
          <w:szCs w:val="20"/>
          <w:color w:val="auto"/>
        </w:rPr>
        <w:tab/>
      </w: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255"/>
            <wp:wrapNone/>
            <wp:docPr id="827" name="Picture 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
                    <pic:cNvPicPr>
                      <a:picLocks noChangeAspect="1" noChangeArrowheads="1"/>
                    </pic:cNvPicPr>
                  </pic:nvPicPr>
                  <pic:blipFill>
                    <a:blip r:embed="rId83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300355</wp:posOffset>
            </wp:positionV>
            <wp:extent cx="7132320" cy="17145"/>
            <wp:wrapNone/>
            <wp:docPr id="828" name="Picture 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
                    <pic:cNvPicPr>
                      <a:picLocks noChangeAspect="1" noChangeArrowheads="1"/>
                    </pic:cNvPicPr>
                  </pic:nvPicPr>
                  <pic:blipFill>
                    <a:blip r:embed="rId8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 acknowledge that I have carefully read the Agreement and the prospectus for the Plan. I agree to be bound by all of the provisions set forth in those documents. I also consent to electronic delivery of all notices or other information with respect to the RSUs or the Company.</w:t>
      </w:r>
    </w:p>
    <w:p>
      <w:pPr>
        <w:spacing w:after="0" w:line="391" w:lineRule="exact"/>
        <w:rPr>
          <w:sz w:val="20"/>
          <w:szCs w:val="20"/>
          <w:color w:val="auto"/>
        </w:rPr>
      </w:pPr>
    </w:p>
    <w:p>
      <w:pPr>
        <w:ind w:left="120"/>
        <w:spacing w:after="0"/>
        <w:tabs>
          <w:tab w:leader="none" w:pos="8840" w:val="left"/>
        </w:tabs>
        <w:rPr>
          <w:sz w:val="20"/>
          <w:szCs w:val="20"/>
          <w:color w:val="auto"/>
        </w:rPr>
      </w:pPr>
      <w:r>
        <w:rPr>
          <w:rFonts w:ascii="Times New Roman" w:cs="Times New Roman" w:eastAsia="Times New Roman" w:hAnsi="Times New Roman"/>
          <w:sz w:val="18"/>
          <w:szCs w:val="18"/>
          <w:color w:val="auto"/>
        </w:rPr>
        <w:t>Signature of Grantee</w:t>
      </w:r>
      <w:r>
        <w:rPr>
          <w:sz w:val="20"/>
          <w:szCs w:val="20"/>
          <w:color w:val="auto"/>
        </w:rPr>
        <w:tab/>
      </w: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1444625</wp:posOffset>
            </wp:positionV>
            <wp:extent cx="7157720" cy="42545"/>
            <wp:wrapNone/>
            <wp:docPr id="829" name="Picture 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
                    <pic:cNvPicPr>
                      <a:picLocks noChangeAspect="1" noChangeArrowheads="1"/>
                    </pic:cNvPicPr>
                  </pic:nvPicPr>
                  <pic:blipFill>
                    <a:blip r:embed="rId8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255"/>
            <wp:wrapNone/>
            <wp:docPr id="830" name="Picture 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
                    <pic:cNvPicPr>
                      <a:picLocks noChangeAspect="1" noChangeArrowheads="1"/>
                    </pic:cNvPicPr>
                  </pic:nvPicPr>
                  <pic:blipFill>
                    <a:blip r:embed="rId8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572" w:name="page573"/>
    <w:bookmarkEnd w:id="572"/>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TO PERFORMANCE-BASED RESTRICTED STOCK UNIT AWARD NOTICE</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Performance Goals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1035685</wp:posOffset>
            </wp:positionV>
            <wp:extent cx="7157720" cy="42545"/>
            <wp:wrapNone/>
            <wp:docPr id="831" name="Picture 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
                    <pic:cNvPicPr>
                      <a:picLocks noChangeAspect="1" noChangeArrowheads="1"/>
                    </pic:cNvPicPr>
                  </pic:nvPicPr>
                  <pic:blipFill>
                    <a:blip r:embed="rId8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573" w:name="page574"/>
    <w:bookmarkEnd w:id="573"/>
    <w:p>
      <w:pPr>
        <w:jc w:val="center"/>
        <w:spacing w:after="0"/>
        <w:rPr>
          <w:sz w:val="20"/>
          <w:szCs w:val="20"/>
          <w:color w:val="auto"/>
        </w:rPr>
      </w:pPr>
      <w:r>
        <w:rPr>
          <w:rFonts w:ascii="Times New Roman" w:cs="Times New Roman" w:eastAsia="Times New Roman" w:hAnsi="Times New Roman"/>
          <w:sz w:val="18"/>
          <w:szCs w:val="18"/>
          <w:b w:val="1"/>
          <w:bCs w:val="1"/>
          <w:color w:val="auto"/>
        </w:rPr>
        <w:t>Axsome Therapeutics,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Performance-Based Restricted Stock Unit Agreement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 the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Axsome Therapeutics,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2025 Long-Term Incentive Plan</w:t>
      </w:r>
    </w:p>
    <w:p>
      <w:pPr>
        <w:spacing w:after="0" w:line="207" w:lineRule="exact"/>
        <w:rPr>
          <w:sz w:val="20"/>
          <w:szCs w:val="20"/>
          <w:color w:val="auto"/>
        </w:rPr>
      </w:pPr>
    </w:p>
    <w:p>
      <w:pPr>
        <w:ind w:firstLine="757"/>
        <w:spacing w:after="0" w:line="282" w:lineRule="auto"/>
        <w:tabs>
          <w:tab w:leader="none" w:pos="1018" w:val="left"/>
        </w:tabs>
        <w:numPr>
          <w:ilvl w:val="0"/>
          <w:numId w:val="3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Terminology</w:t>
      </w:r>
      <w:r>
        <w:rPr>
          <w:rFonts w:ascii="Times New Roman" w:cs="Times New Roman" w:eastAsia="Times New Roman" w:hAnsi="Times New Roman"/>
          <w:sz w:val="18"/>
          <w:szCs w:val="18"/>
          <w:color w:val="auto"/>
        </w:rPr>
        <w:t>. Unless otherwise provided in this Agreement, capitalized terms used herein or in the Notice are defined in the Glossary at the end of this Agreement, and to the extent not defined therein, have the meaning set forth in the Plan.</w:t>
      </w:r>
    </w:p>
    <w:p>
      <w:pPr>
        <w:spacing w:after="0" w:line="161" w:lineRule="exact"/>
        <w:rPr>
          <w:rFonts w:ascii="Times New Roman" w:cs="Times New Roman" w:eastAsia="Times New Roman" w:hAnsi="Times New Roman"/>
          <w:sz w:val="18"/>
          <w:szCs w:val="18"/>
          <w:color w:val="auto"/>
        </w:rPr>
      </w:pPr>
    </w:p>
    <w:p>
      <w:pPr>
        <w:jc w:val="both"/>
        <w:ind w:firstLine="757"/>
        <w:spacing w:after="0" w:line="261" w:lineRule="auto"/>
        <w:tabs>
          <w:tab w:leader="none" w:pos="1018" w:val="left"/>
        </w:tabs>
        <w:numPr>
          <w:ilvl w:val="0"/>
          <w:numId w:val="3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Vesting</w:t>
      </w:r>
      <w:r>
        <w:rPr>
          <w:rFonts w:ascii="Times New Roman" w:cs="Times New Roman" w:eastAsia="Times New Roman" w:hAnsi="Times New Roman"/>
          <w:sz w:val="18"/>
          <w:szCs w:val="18"/>
          <w:color w:val="auto"/>
        </w:rPr>
        <w:t>. All of the RSUs are nonvested and forfeitable as of the Grant Date. So long as your Service is continuous from the Grant Date through the applicable date upon which vesting is scheduled to occur, the RSUs will become vested and nonforfeitable in accordance with the vesting schedule set forth in the Notice. Except for the circumstances, if any, described in the Notice, none of the RSUs will become vested and nonforfeitable after your service or employment ceases.</w:t>
      </w:r>
    </w:p>
    <w:p>
      <w:pPr>
        <w:spacing w:after="0" w:line="179" w:lineRule="exact"/>
        <w:rPr>
          <w:rFonts w:ascii="Times New Roman" w:cs="Times New Roman" w:eastAsia="Times New Roman" w:hAnsi="Times New Roman"/>
          <w:sz w:val="18"/>
          <w:szCs w:val="18"/>
          <w:color w:val="auto"/>
        </w:rPr>
      </w:pPr>
    </w:p>
    <w:p>
      <w:pPr>
        <w:jc w:val="both"/>
        <w:ind w:firstLine="757"/>
        <w:spacing w:after="0" w:line="256" w:lineRule="auto"/>
        <w:tabs>
          <w:tab w:leader="none" w:pos="1018" w:val="left"/>
        </w:tabs>
        <w:numPr>
          <w:ilvl w:val="0"/>
          <w:numId w:val="3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of Employment or Service</w:t>
      </w:r>
      <w:r>
        <w:rPr>
          <w:rFonts w:ascii="Times New Roman" w:cs="Times New Roman" w:eastAsia="Times New Roman" w:hAnsi="Times New Roman"/>
          <w:sz w:val="18"/>
          <w:szCs w:val="18"/>
          <w:color w:val="auto"/>
        </w:rPr>
        <w:t>. Unless otherwise provided in the Notice, if your service or employment with the Company ceases for any reason, all RSUs that are not then vested and nonforfeitable will be forfeited to the Company immediately and automatically upon such cessation without payment of any consideration therefor and you will have no further right, title or interest in or to such RSUs or the underlying shares of Common Stock; provided that, in order to give effect to the applicable provisions of any applicable Severance Agreement providing for the accelerated vesting of the RSUs upon certain terminations of employment or service, and notwithstanding anything to the contrary set forth, the RSUs shall remain outstanding for a period of time following your termination of employment or service to give effect to any such acceleration, as applicable.</w:t>
      </w:r>
    </w:p>
    <w:p>
      <w:pPr>
        <w:spacing w:after="0" w:line="187" w:lineRule="exact"/>
        <w:rPr>
          <w:rFonts w:ascii="Times New Roman" w:cs="Times New Roman" w:eastAsia="Times New Roman" w:hAnsi="Times New Roman"/>
          <w:sz w:val="18"/>
          <w:szCs w:val="18"/>
          <w:color w:val="auto"/>
        </w:rPr>
      </w:pPr>
    </w:p>
    <w:p>
      <w:pPr>
        <w:jc w:val="both"/>
        <w:ind w:firstLine="757"/>
        <w:spacing w:after="0" w:line="261" w:lineRule="auto"/>
        <w:tabs>
          <w:tab w:leader="none" w:pos="1018" w:val="left"/>
        </w:tabs>
        <w:numPr>
          <w:ilvl w:val="0"/>
          <w:numId w:val="3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Restrictions on Transfer</w:t>
      </w:r>
      <w:r>
        <w:rPr>
          <w:rFonts w:ascii="Times New Roman" w:cs="Times New Roman" w:eastAsia="Times New Roman" w:hAnsi="Times New Roman"/>
          <w:sz w:val="18"/>
          <w:szCs w:val="18"/>
          <w:color w:val="auto"/>
        </w:rPr>
        <w:t>. Neither this Agreement nor any of the RSUs may be assigned, transferred, pledged, hypothecated or disposed of in any way, whether by operation of law or otherwise, and the RSUs shall not be subject to execution, attachment or similar process. All rights with respect to this Agreement and the RSUs shall be vested during your lifetime only by you or your guardian or legal representative. Notwithstanding the foregoing, the RSUs may be transferred upon your death by last will and testament or under the laws of descent and distribution.</w:t>
      </w:r>
    </w:p>
    <w:p>
      <w:pPr>
        <w:spacing w:after="0" w:line="179" w:lineRule="exact"/>
        <w:rPr>
          <w:rFonts w:ascii="Times New Roman" w:cs="Times New Roman" w:eastAsia="Times New Roman" w:hAnsi="Times New Roman"/>
          <w:sz w:val="18"/>
          <w:szCs w:val="18"/>
          <w:color w:val="auto"/>
        </w:rPr>
      </w:pPr>
    </w:p>
    <w:p>
      <w:pPr>
        <w:ind w:left="1020" w:hanging="263"/>
        <w:spacing w:after="0"/>
        <w:tabs>
          <w:tab w:leader="none" w:pos="1020" w:val="left"/>
        </w:tabs>
        <w:numPr>
          <w:ilvl w:val="0"/>
          <w:numId w:val="3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Settlement of RSUs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757"/>
        <w:spacing w:after="0" w:line="256" w:lineRule="auto"/>
        <w:tabs>
          <w:tab w:leader="none" w:pos="1018" w:val="left"/>
        </w:tabs>
        <w:numPr>
          <w:ilvl w:val="0"/>
          <w:numId w:val="3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Manner of Settlement</w:t>
      </w:r>
      <w:r>
        <w:rPr>
          <w:rFonts w:ascii="Times New Roman" w:cs="Times New Roman" w:eastAsia="Times New Roman" w:hAnsi="Times New Roman"/>
          <w:sz w:val="18"/>
          <w:szCs w:val="18"/>
          <w:color w:val="auto"/>
        </w:rPr>
        <w:t>. You are not required to make any monetary payment (other than applicable tax withholding, if required) as a condition to settlement of the RSUs. The Company will issue to you, in settlement of your vested RSUs and subject to the provisions of Section 6 below, the number of whole shares of Common Stock that equals the number of whole RSUs that become vested, and such vested RSUs will terminate and cease to be outstanding upon such issuance of the shares. Upon issuance of such shares, the Company will determine the form of delivery (e.g., a stock certificate or electronic entry evidencing such shares) and may deliver such shares on your behalf electronically to the Company’s designated stock plan administrator or such other broker-dealer as the Company may choose at its sole discretion, within reason.</w:t>
      </w:r>
    </w:p>
    <w:p>
      <w:pPr>
        <w:spacing w:after="0" w:line="187" w:lineRule="exact"/>
        <w:rPr>
          <w:rFonts w:ascii="Times New Roman" w:cs="Times New Roman" w:eastAsia="Times New Roman" w:hAnsi="Times New Roman"/>
          <w:sz w:val="18"/>
          <w:szCs w:val="18"/>
          <w:color w:val="auto"/>
        </w:rPr>
      </w:pPr>
    </w:p>
    <w:p>
      <w:pPr>
        <w:ind w:right="20" w:firstLine="757"/>
        <w:spacing w:after="0" w:line="256" w:lineRule="auto"/>
        <w:tabs>
          <w:tab w:leader="none" w:pos="1018" w:val="left"/>
        </w:tabs>
        <w:numPr>
          <w:ilvl w:val="0"/>
          <w:numId w:val="3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Timing of Settlement</w:t>
      </w:r>
      <w:r>
        <w:rPr>
          <w:rFonts w:ascii="Times New Roman" w:cs="Times New Roman" w:eastAsia="Times New Roman" w:hAnsi="Times New Roman"/>
          <w:sz w:val="18"/>
          <w:szCs w:val="18"/>
          <w:color w:val="auto"/>
        </w:rPr>
        <w:t>. Your vested RSUs will be settled by the Company, via the issuance of Common Stock as described herein, on the earliest of one of the following events: (1) Change in Control; (2) your “separation from service” as defined in Section 409A and applicable regulations and guidance thereunder (“Section 409A”), including your termination due to death or Total and Permanent Disability; or (3) the seventh (7th) anniversary of the Grant Date. However, if a scheduled issuance date falls on a Saturday, Sunday or federal holiday, such issuance date shall instead fall on the next following day that the principal executive offices of the Company are open for business. In all cases, the issuance and delivery of shares under this Agreement is intended to comply with Section 409A and shall be construed and administered in such a manner.</w:t>
      </w:r>
    </w:p>
    <w:p>
      <w:pPr>
        <w:spacing w:after="0" w:line="187" w:lineRule="exact"/>
        <w:rPr>
          <w:sz w:val="20"/>
          <w:szCs w:val="20"/>
          <w:color w:val="auto"/>
        </w:rPr>
      </w:pPr>
    </w:p>
    <w:p>
      <w:pPr>
        <w:jc w:val="both"/>
        <w:ind w:firstLine="757"/>
        <w:spacing w:after="0" w:line="266" w:lineRule="auto"/>
        <w:tabs>
          <w:tab w:leader="none" w:pos="1018" w:val="left"/>
        </w:tabs>
        <w:numPr>
          <w:ilvl w:val="0"/>
          <w:numId w:val="3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Withholding</w:t>
      </w:r>
      <w:r>
        <w:rPr>
          <w:rFonts w:ascii="Times New Roman" w:cs="Times New Roman" w:eastAsia="Times New Roman" w:hAnsi="Times New Roman"/>
          <w:sz w:val="18"/>
          <w:szCs w:val="18"/>
          <w:color w:val="auto"/>
        </w:rPr>
        <w:t>. On or before the time you receive a distribution of the shares subject to your RSUs, or at any time before or thereafter as requested by the Company, you hereby authorize any required withholding from the Common Stock issuable to you and/or otherwise agree to make adequate provision in cash for any sums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1002030</wp:posOffset>
            </wp:positionV>
            <wp:extent cx="7157720" cy="42545"/>
            <wp:wrapNone/>
            <wp:docPr id="832" name="Picture 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
                    <pic:cNvPicPr>
                      <a:picLocks noChangeAspect="1" noChangeArrowheads="1"/>
                    </pic:cNvPicPr>
                  </pic:nvPicPr>
                  <pic:blipFill>
                    <a:blip r:embed="rId8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574" w:name="page575"/>
    <w:bookmarkEnd w:id="574"/>
    <w:p>
      <w:pPr>
        <w:jc w:val="both"/>
        <w:spacing w:after="0" w:line="252" w:lineRule="auto"/>
        <w:rPr>
          <w:sz w:val="20"/>
          <w:szCs w:val="20"/>
          <w:color w:val="auto"/>
        </w:rPr>
      </w:pPr>
      <w:r>
        <w:rPr>
          <w:rFonts w:ascii="Times New Roman" w:cs="Times New Roman" w:eastAsia="Times New Roman" w:hAnsi="Times New Roman"/>
          <w:sz w:val="18"/>
          <w:szCs w:val="18"/>
          <w:color w:val="auto"/>
        </w:rPr>
        <w:t>required to satisfy the federal, state, local and foreign tax withholding obligations of the Company or any Affiliate which arise in connection with your RSUs (the “</w:t>
      </w:r>
      <w:r>
        <w:rPr>
          <w:rFonts w:ascii="Times New Roman" w:cs="Times New Roman" w:eastAsia="Times New Roman" w:hAnsi="Times New Roman"/>
          <w:sz w:val="18"/>
          <w:szCs w:val="18"/>
          <w:b w:val="1"/>
          <w:bCs w:val="1"/>
          <w:i w:val="1"/>
          <w:iCs w:val="1"/>
          <w:color w:val="auto"/>
        </w:rPr>
        <w:t>Withholding Taxes</w:t>
      </w:r>
      <w:r>
        <w:rPr>
          <w:rFonts w:ascii="Times New Roman" w:cs="Times New Roman" w:eastAsia="Times New Roman" w:hAnsi="Times New Roman"/>
          <w:sz w:val="18"/>
          <w:szCs w:val="18"/>
          <w:color w:val="auto"/>
        </w:rPr>
        <w:t>”). Additionally, the Company may, in its sole discretion, satisfy all or any portion of the Withholding Taxes obligation relating to your RSUs by any of the following means or by a combination of such means: (i) withholding from any compensation otherwise payable to you by the Company; (ii) causing you to tender a cash payment; (iii) permitting you to enter into a “same day sale” commitment with a broker-dealer that is a member of the Financial Industry Regulatory Authority (a “</w:t>
      </w:r>
      <w:r>
        <w:rPr>
          <w:rFonts w:ascii="Times New Roman" w:cs="Times New Roman" w:eastAsia="Times New Roman" w:hAnsi="Times New Roman"/>
          <w:sz w:val="18"/>
          <w:szCs w:val="18"/>
          <w:b w:val="1"/>
          <w:bCs w:val="1"/>
          <w:i w:val="1"/>
          <w:iCs w:val="1"/>
          <w:color w:val="auto"/>
        </w:rPr>
        <w:t>FINRA Dealer</w:t>
      </w:r>
      <w:r>
        <w:rPr>
          <w:rFonts w:ascii="Times New Roman" w:cs="Times New Roman" w:eastAsia="Times New Roman" w:hAnsi="Times New Roman"/>
          <w:sz w:val="18"/>
          <w:szCs w:val="18"/>
          <w:color w:val="auto"/>
        </w:rPr>
        <w:t>”) whereby you irrevocably elect to sell a portion of the shares to be delivered under the Agreement to satisfy the Withholding Taxes and whereby the FINRA Dealer irrevocably commits to forward the proceeds necessary to satisfy the Withholding Taxes directly to the Company; or (iv) withholding shares of Common Stock from the shares of Common Stock issued or otherwise issuable to you in connection with the RSUs with a Fair Market Value (measured as of the date shares of Common Stock are issued to you pursuant to Section 5) equal to the amount of such Withholding Taxes; provided, however, that the number of such shares of Common Stock so withheld shall not exceed the amount necessary to satisfy the Company’s required tax withholding obligations using the minimum statutory withholding rates for federal, state, local and foreign tax purposes, including payroll taxes, that are applicable to supplemental taxable income. Unless the tax withholding obligations of the Company and/or any Affiliate are satisfied, the Company shall have no obligation to deliver to you any Common Stock. In the event the Company’s obligation to withhold arises prior to the delivery to you of Common Stock or it is determined after the delivery of Common Stock to you that the amount of the Company’s withholding obligation was greater than the amount withheld by the Company, you agree to indemnify and hold the Company harmless from any failure by the Company to withhold the proper amount.</w:t>
      </w:r>
    </w:p>
    <w:p>
      <w:pPr>
        <w:spacing w:after="0" w:line="196" w:lineRule="exact"/>
        <w:rPr>
          <w:sz w:val="20"/>
          <w:szCs w:val="20"/>
          <w:color w:val="auto"/>
        </w:rPr>
      </w:pPr>
    </w:p>
    <w:p>
      <w:pPr>
        <w:ind w:left="1020" w:hanging="263"/>
        <w:spacing w:after="0"/>
        <w:tabs>
          <w:tab w:leader="none" w:pos="1020" w:val="left"/>
        </w:tabs>
        <w:numPr>
          <w:ilvl w:val="0"/>
          <w:numId w:val="3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Adjustments for Corporate Transactions and Other Events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40" w:right="20" w:firstLine="747"/>
        <w:spacing w:after="0" w:line="261" w:lineRule="auto"/>
        <w:tabs>
          <w:tab w:leader="none" w:pos="1028" w:val="left"/>
        </w:tabs>
        <w:numPr>
          <w:ilvl w:val="1"/>
          <w:numId w:val="3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Dividend, Stock Split and Reverse Stock Split</w:t>
      </w:r>
      <w:r>
        <w:rPr>
          <w:rFonts w:ascii="Times New Roman" w:cs="Times New Roman" w:eastAsia="Times New Roman" w:hAnsi="Times New Roman"/>
          <w:sz w:val="18"/>
          <w:szCs w:val="18"/>
          <w:color w:val="auto"/>
        </w:rPr>
        <w:t>. Upon a stock dividend of, or stock split or reverse stock split affecting, the Common Stock, the Target Number of RSUs and Maximum Number of RSUs shall be adjusted to reflect such event; provided, however, that any fractional RSUs resulting from any such adjustment shall be eliminated. Adjustments under this paragraph will be made by the Administrator, whose determination as to what adjustments, if any, will be made and the extent thereof will be final, binding and conclusive.</w:t>
      </w:r>
    </w:p>
    <w:p>
      <w:pPr>
        <w:spacing w:after="0" w:line="180" w:lineRule="exact"/>
        <w:rPr>
          <w:sz w:val="20"/>
          <w:szCs w:val="20"/>
          <w:color w:val="auto"/>
        </w:rPr>
      </w:pPr>
    </w:p>
    <w:p>
      <w:pPr>
        <w:jc w:val="both"/>
        <w:ind w:firstLine="757"/>
        <w:spacing w:after="0" w:line="255" w:lineRule="auto"/>
        <w:tabs>
          <w:tab w:leader="none" w:pos="1018" w:val="left"/>
        </w:tabs>
        <w:numPr>
          <w:ilvl w:val="0"/>
          <w:numId w:val="3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Merger, Consolidation and Other Events</w:t>
      </w:r>
      <w:r>
        <w:rPr>
          <w:rFonts w:ascii="Times New Roman" w:cs="Times New Roman" w:eastAsia="Times New Roman" w:hAnsi="Times New Roman"/>
          <w:sz w:val="18"/>
          <w:szCs w:val="18"/>
          <w:color w:val="auto"/>
        </w:rPr>
        <w:t>. If the Company shall be the surviving or resulting corporation in any merger or consolidation and the Common Stock shall be converted into other securities, the RSUs shall pertain to and apply to the securities to which a holder of the number of shares of Common Stock subject to the RSUs would have been entitled. If the stockholders of the Company receive by reason of any distribution in total or partial liquidation or pursuant to any merger of the Company or acquisition of its assets, securities of another entity or other property (including cash), then the rights of the Company under this Agreement shall inure to the benefit of the Company’s successor, and this Agreement shall apply to the securities or other property (including cash) to which a holder of the number of shares of Common Stock subject to the RSUs would have been entitled, in the same manner and to the same extent as the RSUs.</w:t>
      </w:r>
    </w:p>
    <w:p>
      <w:pPr>
        <w:spacing w:after="0" w:line="148" w:lineRule="exact"/>
        <w:rPr>
          <w:sz w:val="20"/>
          <w:szCs w:val="20"/>
          <w:color w:val="auto"/>
        </w:rPr>
      </w:pPr>
    </w:p>
    <w:p>
      <w:pPr>
        <w:jc w:val="both"/>
        <w:ind w:firstLine="757"/>
        <w:spacing w:after="0" w:line="228" w:lineRule="exact"/>
        <w:tabs>
          <w:tab w:leader="none" w:pos="1018" w:val="left"/>
        </w:tabs>
        <w:numPr>
          <w:ilvl w:val="0"/>
          <w:numId w:val="3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w:t>
      </w:r>
      <w:r>
        <w:rPr>
          <w:rFonts w:ascii="MS PGothic" w:cs="MS PGothic" w:eastAsia="MS PGothic" w:hAnsi="MS PGothic"/>
          <w:sz w:val="18"/>
          <w:szCs w:val="18"/>
          <w:u w:val="single" w:color="auto"/>
          <w:color w:val="auto"/>
        </w:rPr>
        <w:t>‑</w:t>
      </w:r>
      <w:r>
        <w:rPr>
          <w:rFonts w:ascii="Times New Roman" w:cs="Times New Roman" w:eastAsia="Times New Roman" w:hAnsi="Times New Roman"/>
          <w:sz w:val="18"/>
          <w:szCs w:val="18"/>
          <w:u w:val="single" w:color="auto"/>
          <w:color w:val="auto"/>
        </w:rPr>
        <w:t>Guarantee of Employment or Service Relationship</w:t>
      </w:r>
      <w:r>
        <w:rPr>
          <w:rFonts w:ascii="Times New Roman" w:cs="Times New Roman" w:eastAsia="Times New Roman" w:hAnsi="Times New Roman"/>
          <w:sz w:val="18"/>
          <w:szCs w:val="18"/>
          <w:color w:val="auto"/>
        </w:rPr>
        <w:t>. Nothing in the Plan or this Agreement shall alter your at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will or other employment status or other service relationship with the Company, nor be construed as a contract of employment or service relationship between the Company and you, or as a contractual right of you to continue in the employ of, or in a service relationship with, the Company for any period of time, or as a limitation of the right of the Company to discharge you at any time with or without cause or notice and whether or not such discharge results in the forfeiture of any nonvested and forfeitable RSUs or any other adverse effect on your interests under the Plan.</w:t>
      </w:r>
    </w:p>
    <w:p>
      <w:pPr>
        <w:spacing w:after="0" w:line="198" w:lineRule="exact"/>
        <w:rPr>
          <w:rFonts w:ascii="Times New Roman" w:cs="Times New Roman" w:eastAsia="Times New Roman" w:hAnsi="Times New Roman"/>
          <w:sz w:val="18"/>
          <w:szCs w:val="18"/>
          <w:color w:val="auto"/>
        </w:rPr>
      </w:pPr>
    </w:p>
    <w:p>
      <w:pPr>
        <w:ind w:right="20" w:firstLine="757"/>
        <w:spacing w:after="0" w:line="282" w:lineRule="auto"/>
        <w:tabs>
          <w:tab w:leader="none" w:pos="1018" w:val="left"/>
        </w:tabs>
        <w:numPr>
          <w:ilvl w:val="0"/>
          <w:numId w:val="3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Rights as Stockholder</w:t>
      </w:r>
      <w:r>
        <w:rPr>
          <w:rFonts w:ascii="Times New Roman" w:cs="Times New Roman" w:eastAsia="Times New Roman" w:hAnsi="Times New Roman"/>
          <w:sz w:val="18"/>
          <w:szCs w:val="18"/>
          <w:color w:val="auto"/>
        </w:rPr>
        <w:t>. You shall not have any of the rights of a stockholder with respect to any shares of Common Stock that may be issued in settlement of the RSUs until such shares of Common Stock have been issued to you.</w:t>
      </w:r>
    </w:p>
    <w:p>
      <w:pPr>
        <w:spacing w:after="0" w:line="161" w:lineRule="exact"/>
        <w:rPr>
          <w:rFonts w:ascii="Times New Roman" w:cs="Times New Roman" w:eastAsia="Times New Roman" w:hAnsi="Times New Roman"/>
          <w:sz w:val="18"/>
          <w:szCs w:val="18"/>
          <w:color w:val="auto"/>
        </w:rPr>
      </w:pPr>
    </w:p>
    <w:p>
      <w:pPr>
        <w:jc w:val="both"/>
        <w:ind w:firstLine="757"/>
        <w:spacing w:after="0" w:line="261" w:lineRule="auto"/>
        <w:tabs>
          <w:tab w:leader="none" w:pos="1018" w:val="left"/>
        </w:tabs>
        <w:numPr>
          <w:ilvl w:val="0"/>
          <w:numId w:val="3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The Company’s Rights</w:t>
      </w:r>
      <w:r>
        <w:rPr>
          <w:rFonts w:ascii="Times New Roman" w:cs="Times New Roman" w:eastAsia="Times New Roman" w:hAnsi="Times New Roman"/>
          <w:sz w:val="18"/>
          <w:szCs w:val="18"/>
          <w:color w:val="auto"/>
        </w:rPr>
        <w:t>. The existence of the RSUs shall not affect in any way the right or power of the Company or its stockholders to make or authorize any or all adjustments, recapitalizations, reorganizations, or other changes in the Company's capital structure or its business, or any merger or consolidation of the Company, or any issue of bonds, debentures, preferred or other stocks with preference ahead of or convertible into, or otherwise affecting the Common Stock or the rights thereof, or the dissolution or liquidation of the Company, or any sale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1004570</wp:posOffset>
            </wp:positionV>
            <wp:extent cx="7157720" cy="42545"/>
            <wp:wrapNone/>
            <wp:docPr id="833" name="Picture 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
                    <pic:cNvPicPr>
                      <a:picLocks noChangeAspect="1" noChangeArrowheads="1"/>
                    </pic:cNvPicPr>
                  </pic:nvPicPr>
                  <pic:blipFill>
                    <a:blip r:embed="rId8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575" w:name="page576"/>
    <w:bookmarkEnd w:id="575"/>
    <w:p>
      <w:pPr>
        <w:spacing w:after="0"/>
        <w:rPr>
          <w:sz w:val="20"/>
          <w:szCs w:val="20"/>
          <w:color w:val="auto"/>
        </w:rPr>
      </w:pPr>
      <w:r>
        <w:rPr>
          <w:rFonts w:ascii="Times New Roman" w:cs="Times New Roman" w:eastAsia="Times New Roman" w:hAnsi="Times New Roman"/>
          <w:sz w:val="18"/>
          <w:szCs w:val="18"/>
          <w:color w:val="auto"/>
        </w:rPr>
        <w:t>transfer of all or any part of the Company's assets or business, or any other corporate act or proceeding, whether of a similar character or otherwise.</w:t>
      </w:r>
    </w:p>
    <w:p>
      <w:pPr>
        <w:spacing w:after="0" w:line="225" w:lineRule="exact"/>
        <w:rPr>
          <w:sz w:val="20"/>
          <w:szCs w:val="20"/>
          <w:color w:val="auto"/>
        </w:rPr>
      </w:pPr>
    </w:p>
    <w:p>
      <w:pPr>
        <w:jc w:val="both"/>
        <w:ind w:firstLine="757"/>
        <w:spacing w:after="0" w:line="254" w:lineRule="auto"/>
        <w:tabs>
          <w:tab w:leader="none" w:pos="1018" w:val="left"/>
        </w:tabs>
        <w:numPr>
          <w:ilvl w:val="0"/>
          <w:numId w:val="3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Restrictions on Issuance of Shares</w:t>
      </w:r>
      <w:r>
        <w:rPr>
          <w:rFonts w:ascii="Times New Roman" w:cs="Times New Roman" w:eastAsia="Times New Roman" w:hAnsi="Times New Roman"/>
          <w:sz w:val="18"/>
          <w:szCs w:val="18"/>
          <w:color w:val="auto"/>
        </w:rPr>
        <w:t>. The issuance of shares of Common Stock upon settlement of the RSUs shall be subject to and in compliance with all applicable requirements of federal, state, or foreign law with respect to such securities. No shares of Common Stock may be issued hereunder if the issuance of such shares would constitute a violation of any applicable federal, state, or foreign securities laws or other law or regulations or the requirements of any stock exchange or market system upon which the Common Stock may then be listed. The inability of the Company to obtain from any regulatory body having jurisdiction the authority, if any, deemed by the Company’s legal counsel to be necessary to the lawful issuance of any shares subject to the RSUs shall relieve the Company of any liability in respect of the failure to issue such shares as to which such requisite authority shall not have been obtained. As a condition to the settlement of the RSUs, the Company may require you to satisfy any qualifications that may be necessary or appropriate, to evidence compliance with any applicable law or regulation, and to make any representation or warranty with respect thereto as may be requested by the Company.</w:t>
      </w:r>
    </w:p>
    <w:p>
      <w:pPr>
        <w:spacing w:after="0" w:line="188" w:lineRule="exact"/>
        <w:rPr>
          <w:rFonts w:ascii="Times New Roman" w:cs="Times New Roman" w:eastAsia="Times New Roman" w:hAnsi="Times New Roman"/>
          <w:sz w:val="18"/>
          <w:szCs w:val="18"/>
          <w:color w:val="auto"/>
        </w:rPr>
      </w:pPr>
    </w:p>
    <w:p>
      <w:pPr>
        <w:jc w:val="both"/>
        <w:ind w:firstLine="757"/>
        <w:spacing w:after="0" w:line="254" w:lineRule="auto"/>
        <w:tabs>
          <w:tab w:leader="none" w:pos="1018" w:val="left"/>
        </w:tabs>
        <w:numPr>
          <w:ilvl w:val="0"/>
          <w:numId w:val="3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notices and other communications made or given pursuant to this Agreement shall be given in writing and shall be deemed effectively given upon receipt or, in the case of notices delivered by the Company to you, five (5) days after deposit in the United States mail, postage prepaid, addressed to you at the last address you provided to the Company, or in the case of notices delivered to the Company by you, addressed to the Administrator, care of the Company for the attention of its Secretary at its principal executive office or, in either case, if the receiving party consents in advance, transmitted and received via telecopy or via such other electronic transmission mechanism as may be available to the parties. Notwithstanding the foregoing, the Company may, in its sole discretion, decide to deliver any documents related to participation in the Plan and this award of RSUs by electronic means or to request your consent to participate in the Plan or accept this award of RSUs by electronic means. You hereby consent to receive such documents by electronic delivery and, if requested, to agree to participate in the Plan through an on-line or electronic system established and maintained by the Company or another third party designated by the Company.</w:t>
      </w:r>
    </w:p>
    <w:p>
      <w:pPr>
        <w:spacing w:after="0" w:line="188" w:lineRule="exact"/>
        <w:rPr>
          <w:rFonts w:ascii="Times New Roman" w:cs="Times New Roman" w:eastAsia="Times New Roman" w:hAnsi="Times New Roman"/>
          <w:sz w:val="18"/>
          <w:szCs w:val="18"/>
          <w:color w:val="auto"/>
        </w:rPr>
      </w:pPr>
    </w:p>
    <w:p>
      <w:pPr>
        <w:jc w:val="both"/>
        <w:ind w:firstLine="757"/>
        <w:spacing w:after="0" w:line="266" w:lineRule="auto"/>
        <w:tabs>
          <w:tab w:leader="none" w:pos="1018" w:val="left"/>
        </w:tabs>
        <w:numPr>
          <w:ilvl w:val="0"/>
          <w:numId w:val="3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Agreement, together with the relevant Notice and the Plan, contain the entire agreement between the parties with respect to the RSUs granted hereunder. Any oral or written agreements, representations, warranties, written inducements, or other communications made prior to the execution of this Agreement with respect to the RSUs granted hereunder shall be void and ineffective for all purposes.</w:t>
      </w:r>
    </w:p>
    <w:p>
      <w:pPr>
        <w:spacing w:after="0" w:line="175" w:lineRule="exact"/>
        <w:rPr>
          <w:rFonts w:ascii="Times New Roman" w:cs="Times New Roman" w:eastAsia="Times New Roman" w:hAnsi="Times New Roman"/>
          <w:sz w:val="18"/>
          <w:szCs w:val="18"/>
          <w:color w:val="auto"/>
        </w:rPr>
      </w:pPr>
    </w:p>
    <w:p>
      <w:pPr>
        <w:jc w:val="both"/>
        <w:ind w:firstLine="757"/>
        <w:spacing w:after="0" w:line="266" w:lineRule="auto"/>
        <w:tabs>
          <w:tab w:leader="none" w:pos="1018" w:val="left"/>
        </w:tabs>
        <w:numPr>
          <w:ilvl w:val="0"/>
          <w:numId w:val="3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xml:space="preserve">. This Agreement may be amended from time to time by the Administrator in its discretion;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this Agreement may not be modified in a manner that would have a materially adverse effect on the RSUs as determined in the discretion of the Administrator, except as provided in the Plan or in a written document signed by each of the parties hereto.</w:t>
      </w:r>
    </w:p>
    <w:p>
      <w:pPr>
        <w:spacing w:after="0" w:line="175" w:lineRule="exact"/>
        <w:rPr>
          <w:rFonts w:ascii="Times New Roman" w:cs="Times New Roman" w:eastAsia="Times New Roman" w:hAnsi="Times New Roman"/>
          <w:sz w:val="18"/>
          <w:szCs w:val="18"/>
          <w:color w:val="auto"/>
        </w:rPr>
      </w:pPr>
    </w:p>
    <w:p>
      <w:pPr>
        <w:jc w:val="both"/>
        <w:ind w:firstLine="757"/>
        <w:spacing w:after="0" w:line="253" w:lineRule="auto"/>
        <w:tabs>
          <w:tab w:leader="none" w:pos="1018" w:val="left"/>
        </w:tabs>
        <w:numPr>
          <w:ilvl w:val="0"/>
          <w:numId w:val="3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Recoupment Policy</w:t>
      </w:r>
      <w:r>
        <w:rPr>
          <w:rFonts w:ascii="Times New Roman" w:cs="Times New Roman" w:eastAsia="Times New Roman" w:hAnsi="Times New Roman"/>
          <w:sz w:val="18"/>
          <w:szCs w:val="18"/>
          <w:color w:val="auto"/>
        </w:rPr>
        <w:t>. You agree that, subject to the requirements of applicable law, if you breach any restrictive covenant agreement between you and the Company or any of its Affiliates or you otherwise engage in activities that constitute Cause either while employed by, or providing service to, the Company or any of its Affiliates or within two years thereafter, the RSU shall terminate, and the Company may rescind any delivery of shares upon vesting or settlement, as applicable, on such terms as the Board or Compensation Committee shall determine, including the right to require that in the event of any such rescission, (a) you shall return to the Company the shares received upon settlement of the RSU or, (b) if you no longer owns the shares, you shall pay to the Company the amount of any gain realized or payment received as a result of any sale or other disposition of the shares (or, in the event you transfer the shares by gift or otherwise without consideration, the Fair Market Value of the shares on the date of the breach of any restrictive covenant agreement or activity constituting Cause). You agree that payment shall be made in such manner and on such terms and conditions as may be required by the Compensation Committee or the Board and you shall be entitled to set off against the amount of any such payment any amounts otherwise owed to you by the Company. In addition, you agree that the RSU shall be subject to any applicable clawback or recoupment policies, share trading policies and other policies that may be implemented by the Board from time to time.</w:t>
      </w:r>
    </w:p>
    <w:p>
      <w:pPr>
        <w:spacing w:after="0" w:line="191" w:lineRule="exact"/>
        <w:rPr>
          <w:rFonts w:ascii="Times New Roman" w:cs="Times New Roman" w:eastAsia="Times New Roman" w:hAnsi="Times New Roman"/>
          <w:sz w:val="18"/>
          <w:szCs w:val="18"/>
          <w:color w:val="auto"/>
        </w:rPr>
      </w:pPr>
    </w:p>
    <w:p>
      <w:pPr>
        <w:jc w:val="both"/>
        <w:ind w:right="20" w:firstLine="757"/>
        <w:spacing w:after="0" w:line="266" w:lineRule="auto"/>
        <w:tabs>
          <w:tab w:leader="none" w:pos="1018" w:val="left"/>
        </w:tabs>
        <w:numPr>
          <w:ilvl w:val="0"/>
          <w:numId w:val="3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409A Savings Clause</w:t>
      </w:r>
      <w:r>
        <w:rPr>
          <w:rFonts w:ascii="Times New Roman" w:cs="Times New Roman" w:eastAsia="Times New Roman" w:hAnsi="Times New Roman"/>
          <w:sz w:val="18"/>
          <w:szCs w:val="18"/>
          <w:color w:val="auto"/>
        </w:rPr>
        <w:t>. This Agreement and the RSUs granted hereunder are intended to either fit within the “short-term deferral” exemption from Section 409A of the Code as set forth in Treasury Regulation Section 1.409A-1(b)(4) or comply with Section 409A. In administering this Agreement, the Company shall interpret this Agreement in a manner consistent with such exemption or with Section 409A to the extent applicable. Notwithstanding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1002030</wp:posOffset>
            </wp:positionV>
            <wp:extent cx="7157720" cy="42545"/>
            <wp:wrapNone/>
            <wp:docPr id="834" name="Picture 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
                    <pic:cNvPicPr>
                      <a:picLocks noChangeAspect="1" noChangeArrowheads="1"/>
                    </pic:cNvPicPr>
                  </pic:nvPicPr>
                  <pic:blipFill>
                    <a:blip r:embed="rId8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576" w:name="page577"/>
    <w:bookmarkEnd w:id="576"/>
    <w:p>
      <w:pPr>
        <w:jc w:val="both"/>
        <w:spacing w:after="0" w:line="254" w:lineRule="auto"/>
        <w:rPr>
          <w:sz w:val="20"/>
          <w:szCs w:val="20"/>
          <w:color w:val="auto"/>
        </w:rPr>
      </w:pPr>
      <w:r>
        <w:rPr>
          <w:rFonts w:ascii="Times New Roman" w:cs="Times New Roman" w:eastAsia="Times New Roman" w:hAnsi="Times New Roman"/>
          <w:sz w:val="18"/>
          <w:szCs w:val="18"/>
          <w:color w:val="auto"/>
        </w:rPr>
        <w:t>the foregoing, if it is determined that the RSUs fail to satisfy the requirements of the short-term deferral rule and are otherwise deferred compensation subject to Section 409A, and if you are a “Specified Employee” (within the meaning set forth Section 409A(a)(2)(B)(i) of the Code) as of the date of your separation from service (within the meaning of Treasury Regulation Section 1.409A-1(h)), then the issuance of any shares that would otherwise be made upon the date of the separation from service or within the first six (6) months thereafter will not be made on the originally scheduled date(s) and will instead be issued in a lump sum on the date that is six (6) months and one day after the date of the separation from service, but if and only if such delay in the issuance of the shares is necessary to avoid the imposition of additional taxation on you in respect of the shares under Section 409A of the Code. Each installment of shares that vests and is settled is intended to constitute a “separate payment” for purposes of Section 409A of the Code and Treasury Regulation Section 1.409A-2(b)(2).</w:t>
      </w:r>
    </w:p>
    <w:p>
      <w:pPr>
        <w:spacing w:after="0" w:line="192" w:lineRule="exact"/>
        <w:rPr>
          <w:sz w:val="20"/>
          <w:szCs w:val="20"/>
          <w:color w:val="auto"/>
        </w:rPr>
      </w:pPr>
    </w:p>
    <w:p>
      <w:pPr>
        <w:jc w:val="both"/>
        <w:ind w:firstLine="757"/>
        <w:spacing w:after="0" w:line="261" w:lineRule="auto"/>
        <w:tabs>
          <w:tab w:leader="none" w:pos="1018" w:val="left"/>
        </w:tabs>
        <w:numPr>
          <w:ilvl w:val="0"/>
          <w:numId w:val="3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Obligation to Minimize Taxes</w:t>
      </w:r>
      <w:r>
        <w:rPr>
          <w:rFonts w:ascii="Times New Roman" w:cs="Times New Roman" w:eastAsia="Times New Roman" w:hAnsi="Times New Roman"/>
          <w:sz w:val="18"/>
          <w:szCs w:val="18"/>
          <w:color w:val="auto"/>
        </w:rPr>
        <w:t>. The Company has no duty or obligation to minimize the tax consequences to you of this award of RSUs and shall not be liable to you for any adverse tax consequences to you arising in connection with this award. You are hereby advised to consult with your own personal tax, financial and/or legal advisors regarding the tax consequences of this award and by signing the Notice, you have agreed that you have done so or knowingly and voluntarily declined to do so.</w:t>
      </w:r>
    </w:p>
    <w:p>
      <w:pPr>
        <w:spacing w:after="0" w:line="179" w:lineRule="exact"/>
        <w:rPr>
          <w:rFonts w:ascii="Times New Roman" w:cs="Times New Roman" w:eastAsia="Times New Roman" w:hAnsi="Times New Roman"/>
          <w:sz w:val="18"/>
          <w:szCs w:val="18"/>
          <w:color w:val="auto"/>
        </w:rPr>
      </w:pPr>
    </w:p>
    <w:p>
      <w:pPr>
        <w:jc w:val="both"/>
        <w:ind w:firstLine="757"/>
        <w:spacing w:after="0" w:line="266" w:lineRule="auto"/>
        <w:tabs>
          <w:tab w:leader="none" w:pos="1018" w:val="left"/>
        </w:tabs>
        <w:numPr>
          <w:ilvl w:val="0"/>
          <w:numId w:val="3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Conformity with Plan</w:t>
      </w:r>
      <w:r>
        <w:rPr>
          <w:rFonts w:ascii="Times New Roman" w:cs="Times New Roman" w:eastAsia="Times New Roman" w:hAnsi="Times New Roman"/>
          <w:sz w:val="18"/>
          <w:szCs w:val="18"/>
          <w:color w:val="auto"/>
        </w:rPr>
        <w:t>. This Agreement is intended to conform in all respects with, and is subject to all applicable provisions of, the Plan. Inconsistencies between this Agreement and the Plan shall be resolved in accordance with the terms of the Plan. In the event of any ambiguity in this Agreement or any matters as to which this Agreement is silent, the Plan shall govern. A copy of the Plan is available upon request to the Administrator.</w:t>
      </w:r>
    </w:p>
    <w:p>
      <w:pPr>
        <w:spacing w:after="0" w:line="175" w:lineRule="exact"/>
        <w:rPr>
          <w:rFonts w:ascii="Times New Roman" w:cs="Times New Roman" w:eastAsia="Times New Roman" w:hAnsi="Times New Roman"/>
          <w:sz w:val="18"/>
          <w:szCs w:val="18"/>
          <w:color w:val="auto"/>
        </w:rPr>
      </w:pPr>
    </w:p>
    <w:p>
      <w:pPr>
        <w:ind w:firstLine="757"/>
        <w:spacing w:after="0" w:line="282" w:lineRule="auto"/>
        <w:tabs>
          <w:tab w:leader="none" w:pos="1018" w:val="left"/>
        </w:tabs>
        <w:numPr>
          <w:ilvl w:val="0"/>
          <w:numId w:val="3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Funding</w:t>
      </w:r>
      <w:r>
        <w:rPr>
          <w:rFonts w:ascii="Times New Roman" w:cs="Times New Roman" w:eastAsia="Times New Roman" w:hAnsi="Times New Roman"/>
          <w:sz w:val="18"/>
          <w:szCs w:val="18"/>
          <w:color w:val="auto"/>
        </w:rPr>
        <w:t>. This Agreement constitutes an unfunded and unsecured promise by the Company to issue shares of Common Stock in the future in accordance with its terms. You have the status of a general unsecured creditor of the Company as a result of receiving the grant of RSUs.</w:t>
      </w:r>
    </w:p>
    <w:p>
      <w:pPr>
        <w:spacing w:after="0" w:line="161" w:lineRule="exact"/>
        <w:rPr>
          <w:rFonts w:ascii="Times New Roman" w:cs="Times New Roman" w:eastAsia="Times New Roman" w:hAnsi="Times New Roman"/>
          <w:sz w:val="18"/>
          <w:szCs w:val="18"/>
          <w:color w:val="auto"/>
        </w:rPr>
      </w:pPr>
    </w:p>
    <w:p>
      <w:pPr>
        <w:jc w:val="both"/>
        <w:ind w:firstLine="757"/>
        <w:spacing w:after="0" w:line="261" w:lineRule="auto"/>
        <w:tabs>
          <w:tab w:leader="none" w:pos="1018" w:val="left"/>
        </w:tabs>
        <w:numPr>
          <w:ilvl w:val="0"/>
          <w:numId w:val="3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 on Other Employee Benefit Plans</w:t>
      </w:r>
      <w:r>
        <w:rPr>
          <w:rFonts w:ascii="Times New Roman" w:cs="Times New Roman" w:eastAsia="Times New Roman" w:hAnsi="Times New Roman"/>
          <w:sz w:val="18"/>
          <w:szCs w:val="18"/>
          <w:color w:val="auto"/>
        </w:rPr>
        <w:t>. The value of the RSUs subject to this Agreement shall not be included as compensation, earnings, salaries, or other similar terms used when calculating your benefits under any employee benefit plan sponsored by the Company or any Affiliate, except as such plan otherwise expressly provides. The Company and its Affiliates expressly reserves its rights to amend, modify, or terminate any of the Company’s or any Affiliate’s employee benefit plans.</w:t>
      </w:r>
    </w:p>
    <w:p>
      <w:pPr>
        <w:spacing w:after="0" w:line="179" w:lineRule="exact"/>
        <w:rPr>
          <w:rFonts w:ascii="Times New Roman" w:cs="Times New Roman" w:eastAsia="Times New Roman" w:hAnsi="Times New Roman"/>
          <w:sz w:val="18"/>
          <w:szCs w:val="18"/>
          <w:color w:val="auto"/>
        </w:rPr>
      </w:pPr>
    </w:p>
    <w:p>
      <w:pPr>
        <w:jc w:val="both"/>
        <w:ind w:firstLine="757"/>
        <w:spacing w:after="0" w:line="255" w:lineRule="auto"/>
        <w:tabs>
          <w:tab w:leader="none" w:pos="1018" w:val="left"/>
        </w:tabs>
        <w:numPr>
          <w:ilvl w:val="0"/>
          <w:numId w:val="3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The validity, construction and effect of this Agreement, and of any determinations or decisions made by the Administrator relating to this Agreement, and the rights of any and all persons having or claiming to have any interest under this Agreement, shall be determined exclusively in accordance with the laws of the State of Delaware, without regard to its provisions concerning the applicability of laws of other jurisdictions. As a condition of this Agreement, you agree that you will not bring any action arising under, as a result of, pursuant to or relating to, this Agreement in any court other than a federal or state court in the districts which include Delaware, and you hereby agree and submit to the personal jurisdiction of any federal court located in the district which includes Delaware or any state court in the district which includes Delaware. You further agree that you will not deny or attempt to defeat such personal jurisdiction or object to venue by motion or other request for leave from any such court.</w:t>
      </w:r>
    </w:p>
    <w:p>
      <w:pPr>
        <w:spacing w:after="0" w:line="188" w:lineRule="exact"/>
        <w:rPr>
          <w:rFonts w:ascii="Times New Roman" w:cs="Times New Roman" w:eastAsia="Times New Roman" w:hAnsi="Times New Roman"/>
          <w:sz w:val="18"/>
          <w:szCs w:val="18"/>
          <w:color w:val="auto"/>
        </w:rPr>
      </w:pPr>
    </w:p>
    <w:p>
      <w:pPr>
        <w:jc w:val="both"/>
        <w:ind w:firstLine="757"/>
        <w:spacing w:after="0" w:line="254" w:lineRule="auto"/>
        <w:tabs>
          <w:tab w:leader="none" w:pos="1018" w:val="left"/>
        </w:tabs>
        <w:numPr>
          <w:ilvl w:val="0"/>
          <w:numId w:val="3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Resolution of Disputes</w:t>
      </w:r>
      <w:r>
        <w:rPr>
          <w:rFonts w:ascii="Times New Roman" w:cs="Times New Roman" w:eastAsia="Times New Roman" w:hAnsi="Times New Roman"/>
          <w:sz w:val="18"/>
          <w:szCs w:val="18"/>
          <w:color w:val="auto"/>
        </w:rPr>
        <w:t>. Any dispute or disagreement which shall arise under, or as a result of, or pursuant to or relating to, this Agreement shall be determined by the Administrator in good faith in its absolute and uncontrolled discretion, and any such determination or any other determination by the Administrator under or pursuant to this Agreement and any interpretation by the Administrator of the terms of this Agreement, will be final, binding and conclusive on all persons affected thereby. You agree that before you may bring any legal action arising under, as a result of, pursuant to or relating to, this Agreement you will first exhaust your administrative remedies before the Administrator. You further agree that in the event that the Administrator does not resolve any dispute or disagreement arising under, as a result of, pursuant to or relating to, this Agreement to your satisfaction, no legal action may be commenced or maintained relating to this Agreement more than twenty-four (24) months after the Administrator’s decision, and any such legal action shall be subject to, and must be brought in accordance with, any Dispute Resolution Protocol which you previously entered into in connection with your employment with the Company or any of its Affiliates, which agreement is incorporated herein by reference as if fully restated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1010285</wp:posOffset>
            </wp:positionV>
            <wp:extent cx="7157720" cy="42545"/>
            <wp:wrapNone/>
            <wp:docPr id="835" name="Picture 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
                    <pic:cNvPicPr>
                      <a:picLocks noChangeAspect="1" noChangeArrowheads="1"/>
                    </pic:cNvPicPr>
                  </pic:nvPicPr>
                  <pic:blipFill>
                    <a:blip r:embed="rId8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577" w:name="page578"/>
    <w:bookmarkEnd w:id="577"/>
    <w:p>
      <w:pPr>
        <w:ind w:left="1020" w:hanging="263"/>
        <w:spacing w:after="0"/>
        <w:tabs>
          <w:tab w:leader="none" w:pos="1020" w:val="left"/>
        </w:tabs>
        <w:numPr>
          <w:ilvl w:val="1"/>
          <w:numId w:val="3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headings in this Agreement are for reference purposes only and shall not affect the meaning or interpretation of this</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Agreement.</w:t>
      </w:r>
    </w:p>
    <w:p>
      <w:pPr>
        <w:spacing w:after="0" w:line="206" w:lineRule="exact"/>
        <w:rPr>
          <w:rFonts w:ascii="Times New Roman" w:cs="Times New Roman" w:eastAsia="Times New Roman" w:hAnsi="Times New Roman"/>
          <w:sz w:val="18"/>
          <w:szCs w:val="18"/>
          <w:color w:val="auto"/>
        </w:rPr>
      </w:pPr>
    </w:p>
    <w:p>
      <w:pPr>
        <w:jc w:val="both"/>
        <w:ind w:firstLine="757"/>
        <w:spacing w:after="0" w:line="257" w:lineRule="auto"/>
        <w:tabs>
          <w:tab w:leader="none" w:pos="1018" w:val="left"/>
        </w:tabs>
        <w:numPr>
          <w:ilvl w:val="1"/>
          <w:numId w:val="3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Electronic Delivery of Documents</w:t>
      </w:r>
      <w:r>
        <w:rPr>
          <w:rFonts w:ascii="Times New Roman" w:cs="Times New Roman" w:eastAsia="Times New Roman" w:hAnsi="Times New Roman"/>
          <w:sz w:val="18"/>
          <w:szCs w:val="18"/>
          <w:color w:val="auto"/>
        </w:rPr>
        <w:t>. By your signing the Notice, you (i) consent to the electronic delivery of this Agreement, all information with respect to the Plan and the RSUs, and any reports of the Company provided generally to the Company’s stockholders; (ii) acknowledge that you may receive from the Company a paper copy of any documents delivered electronically at no cost to you by contacting the Company by telephone or in writing;</w:t>
      </w:r>
    </w:p>
    <w:p>
      <w:pPr>
        <w:spacing w:after="0" w:line="1" w:lineRule="exact"/>
        <w:rPr>
          <w:rFonts w:ascii="Times New Roman" w:cs="Times New Roman" w:eastAsia="Times New Roman" w:hAnsi="Times New Roman"/>
          <w:sz w:val="18"/>
          <w:szCs w:val="18"/>
          <w:color w:val="auto"/>
        </w:rPr>
      </w:pPr>
    </w:p>
    <w:p>
      <w:pPr>
        <w:jc w:val="both"/>
        <w:ind w:firstLine="8"/>
        <w:spacing w:after="0" w:line="255" w:lineRule="auto"/>
        <w:tabs>
          <w:tab w:leader="none" w:pos="319" w:val="left"/>
        </w:tabs>
        <w:numPr>
          <w:ilvl w:val="0"/>
          <w:numId w:val="3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further acknowledge that you may revoke your consent to the electronic delivery of documents at any time by notifying the Company of such revoked consent by telephone, postal service or electronic mail; and (iv) further acknowledge that you understand that you are not required to consent to electronic delivery of documents.</w:t>
      </w:r>
    </w:p>
    <w:p>
      <w:pPr>
        <w:spacing w:after="0" w:line="185" w:lineRule="exact"/>
        <w:rPr>
          <w:rFonts w:ascii="Times New Roman" w:cs="Times New Roman" w:eastAsia="Times New Roman" w:hAnsi="Times New Roman"/>
          <w:sz w:val="18"/>
          <w:szCs w:val="18"/>
          <w:color w:val="auto"/>
        </w:rPr>
      </w:pPr>
    </w:p>
    <w:p>
      <w:pPr>
        <w:jc w:val="both"/>
        <w:ind w:firstLine="757"/>
        <w:spacing w:after="0" w:line="253" w:lineRule="auto"/>
        <w:tabs>
          <w:tab w:leader="none" w:pos="1018" w:val="left"/>
        </w:tabs>
        <w:numPr>
          <w:ilvl w:val="1"/>
          <w:numId w:val="3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Future Entitlement</w:t>
      </w:r>
      <w:r>
        <w:rPr>
          <w:rFonts w:ascii="Times New Roman" w:cs="Times New Roman" w:eastAsia="Times New Roman" w:hAnsi="Times New Roman"/>
          <w:sz w:val="18"/>
          <w:szCs w:val="18"/>
          <w:color w:val="auto"/>
        </w:rPr>
        <w:t>. By your signing the Notice, you acknowledge and agree that: (i) the grant of a restricted stock unit award is a one-time benefit which does not create any contractual or other right to receive future grants of restricted stock units, or compensation in lieu of restricted stock units, even if restricted stock units have been granted repeatedly in the past; (ii) all determinations with respect to any such future grants and the terms thereof will be at the sole discretion of the Administrator; (iii) the value of the restricted stock units is an extraordinary item of compensation which is outside the scope of your employment contract, if any; (iv) the value of the restricted stock units is not part of normal or expected compensation or salary for any purpose, including, but not limited to, calculating any termination, severance, resignation, redundancy, end of service payments or similar payments, or bonuses, long-service awards, pension or retirement benefits; (v) the vesting of the restricted stock units ceases upon termination of Service with the Company or transfer of employment from the Company, or other cessation of eligibility for any reason, except as may otherwise be explicitly provided in this Agreement; (vi) the Company does not guarantee any future value of the restricted stock units; and (vii) no claim or entitlement to compensation or damages arises if the restricted stock units decrease or do not increase in value and you irrevocably release the Company from any such claim that does arise.</w:t>
      </w:r>
    </w:p>
    <w:p>
      <w:pPr>
        <w:spacing w:after="0" w:line="191" w:lineRule="exact"/>
        <w:rPr>
          <w:rFonts w:ascii="Times New Roman" w:cs="Times New Roman" w:eastAsia="Times New Roman" w:hAnsi="Times New Roman"/>
          <w:sz w:val="18"/>
          <w:szCs w:val="18"/>
          <w:color w:val="auto"/>
        </w:rPr>
      </w:pPr>
    </w:p>
    <w:p>
      <w:pPr>
        <w:jc w:val="both"/>
        <w:ind w:firstLine="757"/>
        <w:spacing w:after="0" w:line="252" w:lineRule="auto"/>
        <w:tabs>
          <w:tab w:leader="none" w:pos="1018" w:val="left"/>
        </w:tabs>
        <w:numPr>
          <w:ilvl w:val="1"/>
          <w:numId w:val="3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Personal Data</w:t>
      </w:r>
      <w:r>
        <w:rPr>
          <w:rFonts w:ascii="Times New Roman" w:cs="Times New Roman" w:eastAsia="Times New Roman" w:hAnsi="Times New Roman"/>
          <w:sz w:val="18"/>
          <w:szCs w:val="18"/>
          <w:color w:val="auto"/>
        </w:rPr>
        <w:t>. For purposes of the implementation, administration and management of the restricted stock units or the effectuation of any acquisition, equity or debt financing, joint venture, merger, reorganization, consolidation, recapitalization, business combination, liquidation, dissolution, share exchange, sale of stock, sale of material assets or other similar corporate transaction involving the Company (a “</w:t>
      </w:r>
      <w:r>
        <w:rPr>
          <w:rFonts w:ascii="Times New Roman" w:cs="Times New Roman" w:eastAsia="Times New Roman" w:hAnsi="Times New Roman"/>
          <w:sz w:val="18"/>
          <w:szCs w:val="18"/>
          <w:b w:val="1"/>
          <w:bCs w:val="1"/>
          <w:i w:val="1"/>
          <w:iCs w:val="1"/>
          <w:color w:val="auto"/>
        </w:rPr>
        <w:t>Corporate Transaction</w:t>
      </w:r>
      <w:r>
        <w:rPr>
          <w:rFonts w:ascii="Times New Roman" w:cs="Times New Roman" w:eastAsia="Times New Roman" w:hAnsi="Times New Roman"/>
          <w:sz w:val="18"/>
          <w:szCs w:val="18"/>
          <w:color w:val="auto"/>
        </w:rPr>
        <w:t>”), you consent, by execution of the Notice, to the collection, receipt, use, retention and transfer, in electronic or other form, of your personal data by and among the Company and its third party vendors or any potential party to a potential Corporate Transaction. You understand that personal data (including but not limited to, name, home address, telephone number, employee number, employment status, social security number, tax identification number, date of birth, nationality, job and payroll location, data for tax withholding purposes and shares awarded, cancelled, vested and unvested) may be transferred to third parties assisting in the implementation, administration and management of the restricted stock units or the effectuation of a Corporate Transaction and you expressly authorize such transfer as well as the retention, use, and the subsequent transfer of the data by the recipient(s). You understand that these recipients may be located in your country or elsewhere, and that the recipient’s country may have different data privacy laws and protections than your country. You understand that data will be held only as long as is necessary to implement, administer and manage the restricted stock units or effect a Corporate Transaction. You understand that you may, at any time, request a list with the names and addresses of any potential recipients of the personal data, view data, request additional information about the storage and processing of data, require any necessary amendments to data or refuse or withdraw the consents herein, in any case without cost, by contacting in writing the Company’s Secretary. You understand, however, that refusing or withdrawing your consent may affect your ability to accept a restricted stock unit award.</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Glossary begins on next page</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1034415</wp:posOffset>
            </wp:positionV>
            <wp:extent cx="7157720" cy="42545"/>
            <wp:wrapNone/>
            <wp:docPr id="836" name="Picture 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
                    <pic:cNvPicPr>
                      <a:picLocks noChangeAspect="1" noChangeArrowheads="1"/>
                    </pic:cNvPicPr>
                  </pic:nvPicPr>
                  <pic:blipFill>
                    <a:blip r:embed="rId8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578" w:name="page579"/>
    <w:bookmarkEnd w:id="578"/>
    <w:p>
      <w:pPr>
        <w:jc w:val="center"/>
        <w:spacing w:after="0"/>
        <w:rPr>
          <w:sz w:val="20"/>
          <w:szCs w:val="20"/>
          <w:color w:val="auto"/>
        </w:rPr>
      </w:pPr>
      <w:r>
        <w:rPr>
          <w:rFonts w:ascii="Times New Roman" w:cs="Times New Roman" w:eastAsia="Times New Roman" w:hAnsi="Times New Roman"/>
          <w:sz w:val="18"/>
          <w:szCs w:val="18"/>
          <w:color w:val="auto"/>
        </w:rPr>
        <w:t>GLOSSARY</w:t>
      </w:r>
    </w:p>
    <w:p>
      <w:pPr>
        <w:spacing w:after="0" w:line="329" w:lineRule="exact"/>
        <w:rPr>
          <w:sz w:val="20"/>
          <w:szCs w:val="20"/>
          <w:color w:val="auto"/>
        </w:rPr>
      </w:pPr>
    </w:p>
    <w:p>
      <w:pPr>
        <w:ind w:left="1860" w:hanging="355"/>
        <w:spacing w:after="0"/>
        <w:tabs>
          <w:tab w:leader="none" w:pos="1860" w:val="left"/>
        </w:tabs>
        <w:numPr>
          <w:ilvl w:val="0"/>
          <w:numId w:val="3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Administrator</w:t>
      </w:r>
      <w:r>
        <w:rPr>
          <w:rFonts w:ascii="Times New Roman" w:cs="Times New Roman" w:eastAsia="Times New Roman" w:hAnsi="Times New Roman"/>
          <w:sz w:val="18"/>
          <w:szCs w:val="18"/>
          <w:color w:val="auto"/>
        </w:rPr>
        <w:t>” has the meaning set forth in the Plan.</w:t>
      </w:r>
    </w:p>
    <w:p>
      <w:pPr>
        <w:spacing w:after="0" w:line="225" w:lineRule="exact"/>
        <w:rPr>
          <w:rFonts w:ascii="Times New Roman" w:cs="Times New Roman" w:eastAsia="Times New Roman" w:hAnsi="Times New Roman"/>
          <w:sz w:val="18"/>
          <w:szCs w:val="18"/>
          <w:color w:val="auto"/>
        </w:rPr>
      </w:pPr>
    </w:p>
    <w:p>
      <w:pPr>
        <w:ind w:left="1860" w:hanging="355"/>
        <w:spacing w:after="0"/>
        <w:tabs>
          <w:tab w:leader="none" w:pos="1860" w:val="left"/>
        </w:tabs>
        <w:numPr>
          <w:ilvl w:val="0"/>
          <w:numId w:val="3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Affiliate</w:t>
      </w:r>
      <w:r>
        <w:rPr>
          <w:rFonts w:ascii="Times New Roman" w:cs="Times New Roman" w:eastAsia="Times New Roman" w:hAnsi="Times New Roman"/>
          <w:sz w:val="18"/>
          <w:szCs w:val="18"/>
          <w:color w:val="auto"/>
        </w:rPr>
        <w:t>” has the meaning set forth in the Plan.</w:t>
      </w:r>
    </w:p>
    <w:p>
      <w:pPr>
        <w:spacing w:after="0" w:line="225" w:lineRule="exact"/>
        <w:rPr>
          <w:rFonts w:ascii="Times New Roman" w:cs="Times New Roman" w:eastAsia="Times New Roman" w:hAnsi="Times New Roman"/>
          <w:sz w:val="18"/>
          <w:szCs w:val="18"/>
          <w:color w:val="auto"/>
        </w:rPr>
      </w:pPr>
    </w:p>
    <w:p>
      <w:pPr>
        <w:ind w:left="1860" w:hanging="355"/>
        <w:spacing w:after="0"/>
        <w:tabs>
          <w:tab w:leader="none" w:pos="1860" w:val="left"/>
        </w:tabs>
        <w:numPr>
          <w:ilvl w:val="0"/>
          <w:numId w:val="3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means this document, as amended from time to time, together with the Plan which is incorporated herein by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reference.</w:t>
      </w:r>
    </w:p>
    <w:p>
      <w:pPr>
        <w:spacing w:after="0" w:line="216" w:lineRule="exact"/>
        <w:rPr>
          <w:sz w:val="20"/>
          <w:szCs w:val="20"/>
          <w:color w:val="auto"/>
        </w:rPr>
      </w:pPr>
    </w:p>
    <w:p>
      <w:pPr>
        <w:ind w:left="1860" w:hanging="355"/>
        <w:spacing w:after="0"/>
        <w:tabs>
          <w:tab w:leader="none" w:pos="1860" w:val="left"/>
        </w:tabs>
        <w:numPr>
          <w:ilvl w:val="0"/>
          <w:numId w:val="3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Cause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has the meaning set forth in the Plan.</w:t>
      </w:r>
    </w:p>
    <w:p>
      <w:pPr>
        <w:spacing w:after="0" w:line="225" w:lineRule="exact"/>
        <w:rPr>
          <w:rFonts w:ascii="Times New Roman" w:cs="Times New Roman" w:eastAsia="Times New Roman" w:hAnsi="Times New Roman"/>
          <w:sz w:val="18"/>
          <w:szCs w:val="18"/>
          <w:color w:val="auto"/>
        </w:rPr>
      </w:pPr>
    </w:p>
    <w:p>
      <w:pPr>
        <w:ind w:left="1860" w:hanging="355"/>
        <w:spacing w:after="0"/>
        <w:tabs>
          <w:tab w:leader="none" w:pos="1860" w:val="left"/>
        </w:tabs>
        <w:numPr>
          <w:ilvl w:val="0"/>
          <w:numId w:val="3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Change in Control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shall have the meaning set forth in the Plan.</w:t>
      </w:r>
    </w:p>
    <w:p>
      <w:pPr>
        <w:spacing w:after="0" w:line="225" w:lineRule="exact"/>
        <w:rPr>
          <w:rFonts w:ascii="Times New Roman" w:cs="Times New Roman" w:eastAsia="Times New Roman" w:hAnsi="Times New Roman"/>
          <w:sz w:val="18"/>
          <w:szCs w:val="18"/>
          <w:color w:val="auto"/>
        </w:rPr>
      </w:pPr>
    </w:p>
    <w:p>
      <w:pPr>
        <w:ind w:left="1860" w:hanging="355"/>
        <w:spacing w:after="0"/>
        <w:tabs>
          <w:tab w:leader="none" w:pos="1860" w:val="left"/>
        </w:tabs>
        <w:numPr>
          <w:ilvl w:val="0"/>
          <w:numId w:val="3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 means the Internal Revenue Code of 1986, as amended, and the Treasury regulations and other guidance promulgated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thereunder.</w:t>
      </w:r>
    </w:p>
    <w:p>
      <w:pPr>
        <w:spacing w:after="0" w:line="203" w:lineRule="exact"/>
        <w:rPr>
          <w:sz w:val="20"/>
          <w:szCs w:val="20"/>
          <w:color w:val="auto"/>
        </w:rPr>
      </w:pPr>
    </w:p>
    <w:p>
      <w:pPr>
        <w:ind w:left="1860" w:hanging="355"/>
        <w:spacing w:after="0"/>
        <w:tabs>
          <w:tab w:leader="none" w:pos="1860" w:val="left"/>
        </w:tabs>
        <w:numPr>
          <w:ilvl w:val="0"/>
          <w:numId w:val="3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has the meaning set forth in the Plan.</w:t>
      </w:r>
    </w:p>
    <w:p>
      <w:pPr>
        <w:spacing w:after="0" w:line="225" w:lineRule="exact"/>
        <w:rPr>
          <w:rFonts w:ascii="Times New Roman" w:cs="Times New Roman" w:eastAsia="Times New Roman" w:hAnsi="Times New Roman"/>
          <w:sz w:val="18"/>
          <w:szCs w:val="18"/>
          <w:color w:val="auto"/>
        </w:rPr>
      </w:pPr>
    </w:p>
    <w:p>
      <w:pPr>
        <w:ind w:firstLine="1505"/>
        <w:spacing w:after="0" w:line="286" w:lineRule="auto"/>
        <w:tabs>
          <w:tab w:leader="none" w:pos="1857" w:val="left"/>
        </w:tabs>
        <w:numPr>
          <w:ilvl w:val="0"/>
          <w:numId w:val="3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means Axsome Therapeutics, Inc., and shall include all its successors except where the context otherwise requires. For purposes of determining whether a Change in Control has occurred, Company shall mean only Axsome Therapeutics, Inc.</w:t>
      </w:r>
    </w:p>
    <w:p>
      <w:pPr>
        <w:spacing w:after="0" w:line="154" w:lineRule="exact"/>
        <w:rPr>
          <w:rFonts w:ascii="Times New Roman" w:cs="Times New Roman" w:eastAsia="Times New Roman" w:hAnsi="Times New Roman"/>
          <w:sz w:val="18"/>
          <w:szCs w:val="18"/>
          <w:color w:val="auto"/>
        </w:rPr>
      </w:pPr>
    </w:p>
    <w:p>
      <w:pPr>
        <w:ind w:left="1860" w:hanging="355"/>
        <w:spacing w:after="0"/>
        <w:tabs>
          <w:tab w:leader="none" w:pos="1860" w:val="left"/>
        </w:tabs>
        <w:numPr>
          <w:ilvl w:val="0"/>
          <w:numId w:val="3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Fair Market Value</w:t>
      </w:r>
      <w:r>
        <w:rPr>
          <w:rFonts w:ascii="Times New Roman" w:cs="Times New Roman" w:eastAsia="Times New Roman" w:hAnsi="Times New Roman"/>
          <w:sz w:val="18"/>
          <w:szCs w:val="18"/>
          <w:color w:val="auto"/>
        </w:rPr>
        <w:t>” has the meaning set forth in the Plan.</w:t>
      </w:r>
    </w:p>
    <w:p>
      <w:pPr>
        <w:spacing w:after="0" w:line="225" w:lineRule="exact"/>
        <w:rPr>
          <w:rFonts w:ascii="Times New Roman" w:cs="Times New Roman" w:eastAsia="Times New Roman" w:hAnsi="Times New Roman"/>
          <w:sz w:val="18"/>
          <w:szCs w:val="18"/>
          <w:color w:val="auto"/>
        </w:rPr>
      </w:pPr>
    </w:p>
    <w:p>
      <w:pPr>
        <w:ind w:left="1860" w:hanging="355"/>
        <w:spacing w:after="0"/>
        <w:tabs>
          <w:tab w:leader="none" w:pos="1860" w:val="left"/>
        </w:tabs>
        <w:numPr>
          <w:ilvl w:val="0"/>
          <w:numId w:val="3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Grant Date</w:t>
      </w:r>
      <w:r>
        <w:rPr>
          <w:rFonts w:ascii="Times New Roman" w:cs="Times New Roman" w:eastAsia="Times New Roman" w:hAnsi="Times New Roman"/>
          <w:sz w:val="18"/>
          <w:szCs w:val="18"/>
          <w:color w:val="auto"/>
        </w:rPr>
        <w:t>” means the effective date of a grant of RSUs made to you as set forth in the relevant Notice.</w:t>
      </w:r>
    </w:p>
    <w:p>
      <w:pPr>
        <w:spacing w:after="0" w:line="225" w:lineRule="exact"/>
        <w:rPr>
          <w:rFonts w:ascii="Times New Roman" w:cs="Times New Roman" w:eastAsia="Times New Roman" w:hAnsi="Times New Roman"/>
          <w:sz w:val="18"/>
          <w:szCs w:val="18"/>
          <w:color w:val="auto"/>
        </w:rPr>
      </w:pPr>
    </w:p>
    <w:p>
      <w:pPr>
        <w:ind w:firstLine="1505"/>
        <w:spacing w:after="0" w:line="286" w:lineRule="auto"/>
        <w:tabs>
          <w:tab w:leader="none" w:pos="1857" w:val="left"/>
        </w:tabs>
        <w:numPr>
          <w:ilvl w:val="0"/>
          <w:numId w:val="3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Notice</w:t>
      </w:r>
      <w:r>
        <w:rPr>
          <w:rFonts w:ascii="Times New Roman" w:cs="Times New Roman" w:eastAsia="Times New Roman" w:hAnsi="Times New Roman"/>
          <w:sz w:val="18"/>
          <w:szCs w:val="18"/>
          <w:color w:val="auto"/>
        </w:rPr>
        <w:t>” means the statement, letter or other written notification provided to you by the Company setting forth the terms of a grant of RSUs made to you.</w:t>
      </w:r>
    </w:p>
    <w:p>
      <w:pPr>
        <w:spacing w:after="0" w:line="154" w:lineRule="exact"/>
        <w:rPr>
          <w:rFonts w:ascii="Times New Roman" w:cs="Times New Roman" w:eastAsia="Times New Roman" w:hAnsi="Times New Roman"/>
          <w:sz w:val="18"/>
          <w:szCs w:val="18"/>
          <w:color w:val="auto"/>
        </w:rPr>
      </w:pPr>
    </w:p>
    <w:p>
      <w:pPr>
        <w:ind w:left="1860" w:hanging="355"/>
        <w:spacing w:after="0"/>
        <w:tabs>
          <w:tab w:leader="none" w:pos="1860" w:val="left"/>
        </w:tabs>
        <w:numPr>
          <w:ilvl w:val="0"/>
          <w:numId w:val="3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 means the Axsome Therapeutics, Inc. 2025 Long-Term Incentive Plan, as in effect from time to time.</w:t>
      </w:r>
    </w:p>
    <w:p>
      <w:pPr>
        <w:spacing w:after="0" w:line="225" w:lineRule="exact"/>
        <w:rPr>
          <w:rFonts w:ascii="Times New Roman" w:cs="Times New Roman" w:eastAsia="Times New Roman" w:hAnsi="Times New Roman"/>
          <w:sz w:val="18"/>
          <w:szCs w:val="18"/>
          <w:color w:val="auto"/>
        </w:rPr>
      </w:pPr>
    </w:p>
    <w:p>
      <w:pPr>
        <w:ind w:left="1860" w:hanging="355"/>
        <w:spacing w:after="0"/>
        <w:tabs>
          <w:tab w:leader="none" w:pos="1860" w:val="left"/>
        </w:tabs>
        <w:numPr>
          <w:ilvl w:val="0"/>
          <w:numId w:val="3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RSU</w:t>
      </w:r>
      <w:r>
        <w:rPr>
          <w:rFonts w:ascii="Times New Roman" w:cs="Times New Roman" w:eastAsia="Times New Roman" w:hAnsi="Times New Roman"/>
          <w:sz w:val="18"/>
          <w:szCs w:val="18"/>
          <w:color w:val="auto"/>
        </w:rPr>
        <w:t>” means the Company’s commitment to issue one share of Common Stock at a future date, subject to the terms of the</w:t>
      </w:r>
    </w:p>
    <w:p>
      <w:pPr>
        <w:spacing w:after="0" w:line="3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Agreement and the Plan.</w:t>
      </w:r>
    </w:p>
    <w:p>
      <w:pPr>
        <w:spacing w:after="0" w:line="202" w:lineRule="exact"/>
        <w:rPr>
          <w:rFonts w:ascii="Times New Roman" w:cs="Times New Roman" w:eastAsia="Times New Roman" w:hAnsi="Times New Roman"/>
          <w:sz w:val="18"/>
          <w:szCs w:val="18"/>
          <w:color w:val="auto"/>
        </w:rPr>
      </w:pPr>
    </w:p>
    <w:p>
      <w:pPr>
        <w:jc w:val="both"/>
        <w:ind w:firstLine="1505"/>
        <w:spacing w:after="0" w:line="262" w:lineRule="auto"/>
        <w:tabs>
          <w:tab w:leader="none" w:pos="1857" w:val="left"/>
        </w:tabs>
        <w:numPr>
          <w:ilvl w:val="0"/>
          <w:numId w:val="3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Service</w:t>
      </w:r>
      <w:r>
        <w:rPr>
          <w:rFonts w:ascii="Times New Roman" w:cs="Times New Roman" w:eastAsia="Times New Roman" w:hAnsi="Times New Roman"/>
          <w:sz w:val="18"/>
          <w:szCs w:val="18"/>
          <w:color w:val="auto"/>
        </w:rPr>
        <w:t>” means your employment, service as a non-executive director, or other service relationship with the Company and its Affiliates. Your Service will be considered to have ceased with te3h Company and its Affiliates if, immediately after a sale, merger, or other corporate transaction, the trade, business, or entity with which you are employed or otherwise have a service relationship is not Axsome Therapeutics, Inc. or its successor or an Affiliate of Axsome Therapeutics, Inc. or its successor.</w:t>
      </w:r>
    </w:p>
    <w:p>
      <w:pPr>
        <w:spacing w:after="0" w:line="176" w:lineRule="exact"/>
        <w:rPr>
          <w:rFonts w:ascii="Times New Roman" w:cs="Times New Roman" w:eastAsia="Times New Roman" w:hAnsi="Times New Roman"/>
          <w:sz w:val="18"/>
          <w:szCs w:val="18"/>
          <w:color w:val="auto"/>
        </w:rPr>
      </w:pPr>
    </w:p>
    <w:p>
      <w:pPr>
        <w:ind w:firstLine="1505"/>
        <w:spacing w:after="0" w:line="286" w:lineRule="auto"/>
        <w:tabs>
          <w:tab w:leader="none" w:pos="1857" w:val="left"/>
        </w:tabs>
        <w:numPr>
          <w:ilvl w:val="0"/>
          <w:numId w:val="3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Total and Permanent Disability</w:t>
      </w:r>
      <w:r>
        <w:rPr>
          <w:rFonts w:ascii="Times New Roman" w:cs="Times New Roman" w:eastAsia="Times New Roman" w:hAnsi="Times New Roman"/>
          <w:sz w:val="18"/>
          <w:szCs w:val="18"/>
          <w:color w:val="auto"/>
        </w:rPr>
        <w:t>” has the meaning set forth in the Plan, subject to the requirements of, and provided that such event satisfies the definition of “disability” within the meaning of, Treasury Regulation Section 1.409A-3(i)(4).</w:t>
      </w:r>
    </w:p>
    <w:p>
      <w:pPr>
        <w:spacing w:after="0" w:line="154" w:lineRule="exact"/>
        <w:rPr>
          <w:rFonts w:ascii="Times New Roman" w:cs="Times New Roman" w:eastAsia="Times New Roman" w:hAnsi="Times New Roman"/>
          <w:sz w:val="18"/>
          <w:szCs w:val="18"/>
          <w:color w:val="auto"/>
        </w:rPr>
      </w:pPr>
    </w:p>
    <w:p>
      <w:pPr>
        <w:jc w:val="both"/>
        <w:ind w:firstLine="1505"/>
        <w:spacing w:after="0" w:line="262" w:lineRule="auto"/>
        <w:tabs>
          <w:tab w:leader="none" w:pos="1857" w:val="left"/>
        </w:tabs>
        <w:numPr>
          <w:ilvl w:val="0"/>
          <w:numId w:val="3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You</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Your</w:t>
      </w:r>
      <w:r>
        <w:rPr>
          <w:rFonts w:ascii="Times New Roman" w:cs="Times New Roman" w:eastAsia="Times New Roman" w:hAnsi="Times New Roman"/>
          <w:sz w:val="18"/>
          <w:szCs w:val="18"/>
          <w:color w:val="auto"/>
        </w:rPr>
        <w:t>” means the recipient of the RSUs as reflected on the applicable Notice. Whenever the word “you” or “your” is used in any provision of this Agreement under circumstances where the provision should logically be construed, as determined by the Administrator, to apply to the estate, personal representative, or beneficiary to whom the RSUs may be transferred by will or by the laws of descent and distribution, the words “you” and “your” shall be deemed to include such person.</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End of Agreement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897255</wp:posOffset>
            </wp:positionV>
            <wp:extent cx="7157720" cy="42545"/>
            <wp:wrapNone/>
            <wp:docPr id="837" name="Picture 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7"/>
                    <pic:cNvPicPr>
                      <a:picLocks noChangeAspect="1" noChangeArrowheads="1"/>
                    </pic:cNvPicPr>
                  </pic:nvPicPr>
                  <pic:blipFill>
                    <a:blip r:embed="rId8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579" w:name="page580"/>
    <w:bookmarkEnd w:id="579"/>
    <w:p>
      <w:pPr>
        <w:jc w:val="right"/>
        <w:spacing w:after="0"/>
        <w:rPr>
          <w:sz w:val="20"/>
          <w:szCs w:val="20"/>
          <w:color w:val="auto"/>
        </w:rPr>
      </w:pPr>
      <w:r>
        <w:rPr>
          <w:rFonts w:ascii="Times New Roman" w:cs="Times New Roman" w:eastAsia="Times New Roman" w:hAnsi="Times New Roman"/>
          <w:sz w:val="16"/>
          <w:szCs w:val="16"/>
          <w:b w:val="1"/>
          <w:bCs w:val="1"/>
          <w:color w:val="auto"/>
        </w:rPr>
        <w:t>Exhibit 31.1</w:t>
      </w: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CERTIFICATION OF PERIODIC REPORT</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PURSUANT TO SECTION 302 OF THE SARBANES-OXLEY ACT OF 2002</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Herriot Tabuteau, M.D., certify that:</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1.   I have reviewed this quarterly report on Form 10-Q of Axsome Therapeutics, Inc.;</w:t>
      </w:r>
    </w:p>
    <w:p>
      <w:pPr>
        <w:spacing w:after="0" w:line="235" w:lineRule="exact"/>
        <w:rPr>
          <w:sz w:val="20"/>
          <w:szCs w:val="20"/>
          <w:color w:val="auto"/>
        </w:rPr>
      </w:pPr>
    </w:p>
    <w:p>
      <w:pPr>
        <w:ind w:right="200"/>
        <w:spacing w:after="0" w:line="298" w:lineRule="auto"/>
        <w:rPr>
          <w:sz w:val="20"/>
          <w:szCs w:val="20"/>
          <w:color w:val="auto"/>
        </w:rPr>
      </w:pPr>
      <w:r>
        <w:rPr>
          <w:rFonts w:ascii="Times New Roman" w:cs="Times New Roman" w:eastAsia="Times New Roman" w:hAnsi="Times New Roman"/>
          <w:sz w:val="16"/>
          <w:szCs w:val="16"/>
          <w:color w:val="auto"/>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4" w:lineRule="exact"/>
        <w:rPr>
          <w:sz w:val="20"/>
          <w:szCs w:val="20"/>
          <w:color w:val="auto"/>
        </w:rPr>
      </w:pPr>
    </w:p>
    <w:p>
      <w:pPr>
        <w:ind w:right="200"/>
        <w:spacing w:after="0" w:line="298" w:lineRule="auto"/>
        <w:rPr>
          <w:sz w:val="20"/>
          <w:szCs w:val="20"/>
          <w:color w:val="auto"/>
        </w:rPr>
      </w:pPr>
      <w:r>
        <w:rPr>
          <w:rFonts w:ascii="Times New Roman" w:cs="Times New Roman" w:eastAsia="Times New Roman" w:hAnsi="Times New Roman"/>
          <w:sz w:val="16"/>
          <w:szCs w:val="16"/>
          <w:color w:val="auto"/>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4.   The registrant’s other certifying officer and I are responsible for establishing and maintaining disclosure controls and procedures (as defined in Exchange Act Rules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13a-15(e) and 15d-15(e)) and internal control over financial reporting (as defined in Exchange Act Rules 13a-15(f) and 15d-15(f)) for the registrant and have:</w:t>
      </w:r>
    </w:p>
    <w:p>
      <w:pPr>
        <w:spacing w:after="0" w:line="227" w:lineRule="exact"/>
        <w:rPr>
          <w:sz w:val="20"/>
          <w:szCs w:val="20"/>
          <w:color w:val="auto"/>
        </w:rPr>
      </w:pPr>
    </w:p>
    <w:p>
      <w:pPr>
        <w:jc w:val="both"/>
        <w:ind w:left="760" w:right="20" w:hanging="360"/>
        <w:spacing w:after="0" w:line="281" w:lineRule="auto"/>
        <w:rPr>
          <w:sz w:val="20"/>
          <w:szCs w:val="20"/>
          <w:color w:val="auto"/>
        </w:rPr>
      </w:pPr>
      <w:r>
        <w:rPr>
          <w:rFonts w:ascii="Times New Roman" w:cs="Times New Roman" w:eastAsia="Times New Roman" w:hAnsi="Times New Roman"/>
          <w:sz w:val="16"/>
          <w:szCs w:val="16"/>
          <w:color w:val="auto"/>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7" w:lineRule="exact"/>
        <w:rPr>
          <w:sz w:val="20"/>
          <w:szCs w:val="20"/>
          <w:color w:val="auto"/>
        </w:rPr>
      </w:pPr>
    </w:p>
    <w:p>
      <w:pPr>
        <w:ind w:left="760" w:right="20" w:hanging="360"/>
        <w:spacing w:after="0" w:line="281" w:lineRule="auto"/>
        <w:rPr>
          <w:sz w:val="20"/>
          <w:szCs w:val="20"/>
          <w:color w:val="auto"/>
        </w:rPr>
      </w:pPr>
      <w:r>
        <w:rPr>
          <w:rFonts w:ascii="Times New Roman" w:cs="Times New Roman" w:eastAsia="Times New Roman" w:hAnsi="Times New Roman"/>
          <w:sz w:val="16"/>
          <w:szCs w:val="16"/>
          <w:color w:val="auto"/>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7" w:lineRule="exact"/>
        <w:rPr>
          <w:sz w:val="20"/>
          <w:szCs w:val="20"/>
          <w:color w:val="auto"/>
        </w:rPr>
      </w:pPr>
    </w:p>
    <w:p>
      <w:pPr>
        <w:ind w:left="760" w:right="520" w:hanging="360"/>
        <w:spacing w:after="0" w:line="298" w:lineRule="auto"/>
        <w:rPr>
          <w:sz w:val="20"/>
          <w:szCs w:val="20"/>
          <w:color w:val="auto"/>
        </w:rPr>
      </w:pPr>
      <w:r>
        <w:rPr>
          <w:rFonts w:ascii="Times New Roman" w:cs="Times New Roman" w:eastAsia="Times New Roman" w:hAnsi="Times New Roman"/>
          <w:sz w:val="16"/>
          <w:szCs w:val="16"/>
          <w:color w:val="auto"/>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4" w:lineRule="exact"/>
        <w:rPr>
          <w:sz w:val="20"/>
          <w:szCs w:val="20"/>
          <w:color w:val="auto"/>
        </w:rPr>
      </w:pPr>
    </w:p>
    <w:p>
      <w:pPr>
        <w:jc w:val="both"/>
        <w:ind w:left="760" w:right="160" w:hanging="360"/>
        <w:spacing w:after="0" w:line="281" w:lineRule="auto"/>
        <w:rPr>
          <w:sz w:val="20"/>
          <w:szCs w:val="20"/>
          <w:color w:val="auto"/>
        </w:rPr>
      </w:pPr>
      <w:r>
        <w:rPr>
          <w:rFonts w:ascii="Times New Roman" w:cs="Times New Roman" w:eastAsia="Times New Roman" w:hAnsi="Times New Roman"/>
          <w:sz w:val="16"/>
          <w:szCs w:val="16"/>
          <w:color w:val="auto"/>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7" w:lineRule="exact"/>
        <w:rPr>
          <w:sz w:val="20"/>
          <w:szCs w:val="20"/>
          <w:color w:val="auto"/>
        </w:rPr>
      </w:pPr>
    </w:p>
    <w:p>
      <w:pPr>
        <w:ind w:right="80"/>
        <w:spacing w:after="0" w:line="298" w:lineRule="auto"/>
        <w:rPr>
          <w:sz w:val="20"/>
          <w:szCs w:val="20"/>
          <w:color w:val="auto"/>
        </w:rPr>
      </w:pPr>
      <w:r>
        <w:rPr>
          <w:rFonts w:ascii="Times New Roman" w:cs="Times New Roman" w:eastAsia="Times New Roman" w:hAnsi="Times New Roman"/>
          <w:sz w:val="16"/>
          <w:szCs w:val="16"/>
          <w:color w:val="auto"/>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4" w:lineRule="exact"/>
        <w:rPr>
          <w:sz w:val="20"/>
          <w:szCs w:val="20"/>
          <w:color w:val="auto"/>
        </w:rPr>
      </w:pPr>
    </w:p>
    <w:p>
      <w:pPr>
        <w:ind w:left="760" w:right="40" w:hanging="360"/>
        <w:spacing w:after="0" w:line="298" w:lineRule="auto"/>
        <w:rPr>
          <w:sz w:val="20"/>
          <w:szCs w:val="20"/>
          <w:color w:val="auto"/>
        </w:rPr>
      </w:pPr>
      <w:r>
        <w:rPr>
          <w:rFonts w:ascii="Times New Roman" w:cs="Times New Roman" w:eastAsia="Times New Roman" w:hAnsi="Times New Roman"/>
          <w:sz w:val="16"/>
          <w:szCs w:val="16"/>
          <w:color w:val="auto"/>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4" w:lineRule="exact"/>
        <w:rPr>
          <w:sz w:val="20"/>
          <w:szCs w:val="20"/>
          <w:color w:val="auto"/>
        </w:rPr>
      </w:pPr>
    </w:p>
    <w:p>
      <w:pPr>
        <w:ind w:left="760" w:right="280" w:hanging="360"/>
        <w:spacing w:after="0" w:line="298" w:lineRule="auto"/>
        <w:rPr>
          <w:sz w:val="20"/>
          <w:szCs w:val="20"/>
          <w:color w:val="auto"/>
        </w:rPr>
      </w:pPr>
      <w:r>
        <w:rPr>
          <w:rFonts w:ascii="Times New Roman" w:cs="Times New Roman" w:eastAsia="Times New Roman" w:hAnsi="Times New Roman"/>
          <w:sz w:val="16"/>
          <w:szCs w:val="16"/>
          <w:color w:val="auto"/>
        </w:rPr>
        <w:t>b)  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620" w:type="dxa"/>
            <w:vAlign w:val="bottom"/>
          </w:tcPr>
          <w:p>
            <w:pPr>
              <w:spacing w:after="0"/>
              <w:rPr>
                <w:sz w:val="20"/>
                <w:szCs w:val="20"/>
                <w:color w:val="auto"/>
              </w:rPr>
            </w:pPr>
            <w:r>
              <w:rPr>
                <w:rFonts w:ascii="Times New Roman" w:cs="Times New Roman" w:eastAsia="Times New Roman" w:hAnsi="Times New Roman"/>
                <w:sz w:val="16"/>
                <w:szCs w:val="16"/>
                <w:color w:val="auto"/>
              </w:rPr>
              <w:t>Date: August 4, 2025</w:t>
            </w:r>
          </w:p>
        </w:tc>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 Herriot Tabuteau, M.D.</w:t>
            </w:r>
          </w:p>
        </w:tc>
      </w:tr>
      <w:tr>
        <w:trPr>
          <w:trHeight w:val="207"/>
        </w:trPr>
        <w:tc>
          <w:tcPr>
            <w:tcW w:w="5620" w:type="dxa"/>
            <w:vAlign w:val="bottom"/>
          </w:tcPr>
          <w:p>
            <w:pPr>
              <w:spacing w:after="0"/>
              <w:rPr>
                <w:sz w:val="17"/>
                <w:szCs w:val="17"/>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6"/>
                <w:szCs w:val="16"/>
                <w:color w:val="auto"/>
              </w:rPr>
              <w:t>Herriot Tabuteau, M.D.</w:t>
            </w:r>
          </w:p>
        </w:tc>
      </w:tr>
      <w:tr>
        <w:trPr>
          <w:trHeight w:val="229"/>
        </w:trPr>
        <w:tc>
          <w:tcPr>
            <w:tcW w:w="5620" w:type="dxa"/>
            <w:vAlign w:val="bottom"/>
          </w:tcPr>
          <w:p>
            <w:pPr>
              <w:spacing w:after="0"/>
              <w:rPr>
                <w:sz w:val="19"/>
                <w:szCs w:val="19"/>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6"/>
                <w:szCs w:val="16"/>
                <w:color w:val="auto"/>
              </w:rPr>
              <w:t>Chief Executive Officer</w:t>
            </w:r>
          </w:p>
        </w:tc>
      </w:tr>
      <w:tr>
        <w:trPr>
          <w:trHeight w:val="243"/>
        </w:trPr>
        <w:tc>
          <w:tcPr>
            <w:tcW w:w="5620" w:type="dxa"/>
            <w:vAlign w:val="bottom"/>
          </w:tcPr>
          <w:p>
            <w:pPr>
              <w:spacing w:after="0"/>
              <w:rPr>
                <w:sz w:val="21"/>
                <w:szCs w:val="21"/>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6"/>
                <w:szCs w:val="16"/>
                <w:color w:val="auto"/>
              </w:rPr>
              <w:t>(Principal Executive Officer)</w:t>
            </w:r>
          </w:p>
        </w:tc>
      </w:tr>
      <w:tr>
        <w:trPr>
          <w:trHeight w:val="2376"/>
        </w:trPr>
        <w:tc>
          <w:tcPr>
            <w:tcW w:w="5620" w:type="dxa"/>
            <w:vAlign w:val="bottom"/>
            <w:tcBorders>
              <w:bottom w:val="single" w:sz="8" w:color="9A9A9A"/>
            </w:tcBorders>
          </w:tcPr>
          <w:p>
            <w:pPr>
              <w:spacing w:after="0"/>
              <w:rPr>
                <w:sz w:val="24"/>
                <w:szCs w:val="24"/>
                <w:color w:val="auto"/>
              </w:rPr>
            </w:pPr>
          </w:p>
        </w:tc>
        <w:tc>
          <w:tcPr>
            <w:tcW w:w="56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38" name="Picture 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8"/>
                    <pic:cNvPicPr>
                      <a:picLocks noChangeAspect="1" noChangeArrowheads="1"/>
                    </pic:cNvPicPr>
                  </pic:nvPicPr>
                  <pic:blipFill>
                    <a:blip r:embed="rId84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39" name="Picture 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9"/>
                    <pic:cNvPicPr>
                      <a:picLocks noChangeAspect="1" noChangeArrowheads="1"/>
                    </pic:cNvPicPr>
                  </pic:nvPicPr>
                  <pic:blipFill>
                    <a:blip r:embed="rId84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9" w:right="339" w:bottom="1440" w:gutter="0" w:footer="0" w:header="0"/>
        </w:sectPr>
      </w:pPr>
    </w:p>
    <w:bookmarkStart w:id="580" w:name="page581"/>
    <w:bookmarkEnd w:id="580"/>
    <w:p>
      <w:pPr>
        <w:jc w:val="right"/>
        <w:spacing w:after="0"/>
        <w:rPr>
          <w:sz w:val="20"/>
          <w:szCs w:val="20"/>
          <w:color w:val="auto"/>
        </w:rPr>
      </w:pPr>
      <w:r>
        <w:rPr>
          <w:rFonts w:ascii="Times New Roman" w:cs="Times New Roman" w:eastAsia="Times New Roman" w:hAnsi="Times New Roman"/>
          <w:sz w:val="16"/>
          <w:szCs w:val="16"/>
          <w:b w:val="1"/>
          <w:bCs w:val="1"/>
          <w:color w:val="auto"/>
        </w:rPr>
        <w:t>Exhibit 31.2</w:t>
      </w: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CERTIFICATION OF PERIODIC REPORT</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PURSUANT TO SECTION 302 OF THE SARBANES-OXLEY ACT OF 2002</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Nick Pizzie, certify that:</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1.   I have reviewed this quarterly report on Form 10-Q of Axsome Therapeutics, Inc.;</w:t>
      </w:r>
    </w:p>
    <w:p>
      <w:pPr>
        <w:spacing w:after="0" w:line="235" w:lineRule="exact"/>
        <w:rPr>
          <w:sz w:val="20"/>
          <w:szCs w:val="20"/>
          <w:color w:val="auto"/>
        </w:rPr>
      </w:pPr>
    </w:p>
    <w:p>
      <w:pPr>
        <w:ind w:right="200"/>
        <w:spacing w:after="0" w:line="298" w:lineRule="auto"/>
        <w:rPr>
          <w:sz w:val="20"/>
          <w:szCs w:val="20"/>
          <w:color w:val="auto"/>
        </w:rPr>
      </w:pPr>
      <w:r>
        <w:rPr>
          <w:rFonts w:ascii="Times New Roman" w:cs="Times New Roman" w:eastAsia="Times New Roman" w:hAnsi="Times New Roman"/>
          <w:sz w:val="16"/>
          <w:szCs w:val="16"/>
          <w:color w:val="auto"/>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4" w:lineRule="exact"/>
        <w:rPr>
          <w:sz w:val="20"/>
          <w:szCs w:val="20"/>
          <w:color w:val="auto"/>
        </w:rPr>
      </w:pPr>
    </w:p>
    <w:p>
      <w:pPr>
        <w:ind w:right="200"/>
        <w:spacing w:after="0" w:line="298" w:lineRule="auto"/>
        <w:rPr>
          <w:sz w:val="20"/>
          <w:szCs w:val="20"/>
          <w:color w:val="auto"/>
        </w:rPr>
      </w:pPr>
      <w:r>
        <w:rPr>
          <w:rFonts w:ascii="Times New Roman" w:cs="Times New Roman" w:eastAsia="Times New Roman" w:hAnsi="Times New Roman"/>
          <w:sz w:val="16"/>
          <w:szCs w:val="16"/>
          <w:color w:val="auto"/>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4.   The registrant’s other certifying officer and I are responsible for establishing and maintaining disclosure controls and procedures (as defined in Exchange Act Rules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13a-15(e) and 15d-15(e)) and internal control over financial reporting (as defined in Exchange Act Rules 13a-15(f) and 15d-15(f)) for the registrant and have:</w:t>
      </w:r>
    </w:p>
    <w:p>
      <w:pPr>
        <w:spacing w:after="0" w:line="227" w:lineRule="exact"/>
        <w:rPr>
          <w:sz w:val="20"/>
          <w:szCs w:val="20"/>
          <w:color w:val="auto"/>
        </w:rPr>
      </w:pPr>
    </w:p>
    <w:p>
      <w:pPr>
        <w:jc w:val="both"/>
        <w:ind w:left="760" w:right="20" w:hanging="360"/>
        <w:spacing w:after="0" w:line="281" w:lineRule="auto"/>
        <w:rPr>
          <w:sz w:val="20"/>
          <w:szCs w:val="20"/>
          <w:color w:val="auto"/>
        </w:rPr>
      </w:pPr>
      <w:r>
        <w:rPr>
          <w:rFonts w:ascii="Times New Roman" w:cs="Times New Roman" w:eastAsia="Times New Roman" w:hAnsi="Times New Roman"/>
          <w:sz w:val="16"/>
          <w:szCs w:val="16"/>
          <w:color w:val="auto"/>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7" w:lineRule="exact"/>
        <w:rPr>
          <w:sz w:val="20"/>
          <w:szCs w:val="20"/>
          <w:color w:val="auto"/>
        </w:rPr>
      </w:pPr>
    </w:p>
    <w:p>
      <w:pPr>
        <w:ind w:left="760" w:right="20" w:hanging="360"/>
        <w:spacing w:after="0" w:line="281" w:lineRule="auto"/>
        <w:rPr>
          <w:sz w:val="20"/>
          <w:szCs w:val="20"/>
          <w:color w:val="auto"/>
        </w:rPr>
      </w:pPr>
      <w:r>
        <w:rPr>
          <w:rFonts w:ascii="Times New Roman" w:cs="Times New Roman" w:eastAsia="Times New Roman" w:hAnsi="Times New Roman"/>
          <w:sz w:val="16"/>
          <w:szCs w:val="16"/>
          <w:color w:val="auto"/>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7" w:lineRule="exact"/>
        <w:rPr>
          <w:sz w:val="20"/>
          <w:szCs w:val="20"/>
          <w:color w:val="auto"/>
        </w:rPr>
      </w:pPr>
    </w:p>
    <w:p>
      <w:pPr>
        <w:ind w:left="760" w:right="520" w:hanging="360"/>
        <w:spacing w:after="0" w:line="298" w:lineRule="auto"/>
        <w:rPr>
          <w:sz w:val="20"/>
          <w:szCs w:val="20"/>
          <w:color w:val="auto"/>
        </w:rPr>
      </w:pPr>
      <w:r>
        <w:rPr>
          <w:rFonts w:ascii="Times New Roman" w:cs="Times New Roman" w:eastAsia="Times New Roman" w:hAnsi="Times New Roman"/>
          <w:sz w:val="16"/>
          <w:szCs w:val="16"/>
          <w:color w:val="auto"/>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4" w:lineRule="exact"/>
        <w:rPr>
          <w:sz w:val="20"/>
          <w:szCs w:val="20"/>
          <w:color w:val="auto"/>
        </w:rPr>
      </w:pPr>
    </w:p>
    <w:p>
      <w:pPr>
        <w:jc w:val="both"/>
        <w:ind w:left="760" w:right="160" w:hanging="360"/>
        <w:spacing w:after="0" w:line="281" w:lineRule="auto"/>
        <w:rPr>
          <w:sz w:val="20"/>
          <w:szCs w:val="20"/>
          <w:color w:val="auto"/>
        </w:rPr>
      </w:pPr>
      <w:r>
        <w:rPr>
          <w:rFonts w:ascii="Times New Roman" w:cs="Times New Roman" w:eastAsia="Times New Roman" w:hAnsi="Times New Roman"/>
          <w:sz w:val="16"/>
          <w:szCs w:val="16"/>
          <w:color w:val="auto"/>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7" w:lineRule="exact"/>
        <w:rPr>
          <w:sz w:val="20"/>
          <w:szCs w:val="20"/>
          <w:color w:val="auto"/>
        </w:rPr>
      </w:pPr>
    </w:p>
    <w:p>
      <w:pPr>
        <w:ind w:right="80"/>
        <w:spacing w:after="0" w:line="298" w:lineRule="auto"/>
        <w:rPr>
          <w:sz w:val="20"/>
          <w:szCs w:val="20"/>
          <w:color w:val="auto"/>
        </w:rPr>
      </w:pPr>
      <w:r>
        <w:rPr>
          <w:rFonts w:ascii="Times New Roman" w:cs="Times New Roman" w:eastAsia="Times New Roman" w:hAnsi="Times New Roman"/>
          <w:sz w:val="16"/>
          <w:szCs w:val="16"/>
          <w:color w:val="auto"/>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4" w:lineRule="exact"/>
        <w:rPr>
          <w:sz w:val="20"/>
          <w:szCs w:val="20"/>
          <w:color w:val="auto"/>
        </w:rPr>
      </w:pPr>
    </w:p>
    <w:p>
      <w:pPr>
        <w:ind w:left="760" w:right="40" w:hanging="360"/>
        <w:spacing w:after="0" w:line="298" w:lineRule="auto"/>
        <w:rPr>
          <w:sz w:val="20"/>
          <w:szCs w:val="20"/>
          <w:color w:val="auto"/>
        </w:rPr>
      </w:pPr>
      <w:r>
        <w:rPr>
          <w:rFonts w:ascii="Times New Roman" w:cs="Times New Roman" w:eastAsia="Times New Roman" w:hAnsi="Times New Roman"/>
          <w:sz w:val="16"/>
          <w:szCs w:val="16"/>
          <w:color w:val="auto"/>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4" w:lineRule="exact"/>
        <w:rPr>
          <w:sz w:val="20"/>
          <w:szCs w:val="20"/>
          <w:color w:val="auto"/>
        </w:rPr>
      </w:pPr>
    </w:p>
    <w:p>
      <w:pPr>
        <w:ind w:left="760" w:right="280" w:hanging="360"/>
        <w:spacing w:after="0" w:line="298" w:lineRule="auto"/>
        <w:rPr>
          <w:sz w:val="20"/>
          <w:szCs w:val="20"/>
          <w:color w:val="auto"/>
        </w:rPr>
      </w:pPr>
      <w:r>
        <w:rPr>
          <w:rFonts w:ascii="Times New Roman" w:cs="Times New Roman" w:eastAsia="Times New Roman" w:hAnsi="Times New Roman"/>
          <w:sz w:val="16"/>
          <w:szCs w:val="16"/>
          <w:color w:val="auto"/>
        </w:rPr>
        <w:t>b)  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620" w:type="dxa"/>
            <w:vAlign w:val="bottom"/>
          </w:tcPr>
          <w:p>
            <w:pPr>
              <w:spacing w:after="0"/>
              <w:rPr>
                <w:sz w:val="20"/>
                <w:szCs w:val="20"/>
                <w:color w:val="auto"/>
              </w:rPr>
            </w:pPr>
            <w:r>
              <w:rPr>
                <w:rFonts w:ascii="Times New Roman" w:cs="Times New Roman" w:eastAsia="Times New Roman" w:hAnsi="Times New Roman"/>
                <w:sz w:val="16"/>
                <w:szCs w:val="16"/>
                <w:color w:val="auto"/>
              </w:rPr>
              <w:t>Date: August 4, 2025</w:t>
            </w:r>
          </w:p>
        </w:tc>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 Nick Pizzie</w:t>
            </w:r>
          </w:p>
        </w:tc>
      </w:tr>
      <w:tr>
        <w:trPr>
          <w:trHeight w:val="207"/>
        </w:trPr>
        <w:tc>
          <w:tcPr>
            <w:tcW w:w="5620" w:type="dxa"/>
            <w:vAlign w:val="bottom"/>
          </w:tcPr>
          <w:p>
            <w:pPr>
              <w:spacing w:after="0"/>
              <w:rPr>
                <w:sz w:val="17"/>
                <w:szCs w:val="17"/>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6"/>
                <w:szCs w:val="16"/>
                <w:color w:val="auto"/>
              </w:rPr>
              <w:t>Nick Pizzie</w:t>
            </w:r>
          </w:p>
        </w:tc>
      </w:tr>
      <w:tr>
        <w:trPr>
          <w:trHeight w:val="229"/>
        </w:trPr>
        <w:tc>
          <w:tcPr>
            <w:tcW w:w="5620" w:type="dxa"/>
            <w:vAlign w:val="bottom"/>
          </w:tcPr>
          <w:p>
            <w:pPr>
              <w:spacing w:after="0"/>
              <w:rPr>
                <w:sz w:val="19"/>
                <w:szCs w:val="19"/>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6"/>
                <w:szCs w:val="16"/>
                <w:color w:val="auto"/>
              </w:rPr>
              <w:t>Chief Financial Officer</w:t>
            </w:r>
          </w:p>
        </w:tc>
      </w:tr>
      <w:tr>
        <w:trPr>
          <w:trHeight w:val="243"/>
        </w:trPr>
        <w:tc>
          <w:tcPr>
            <w:tcW w:w="5620" w:type="dxa"/>
            <w:vAlign w:val="bottom"/>
          </w:tcPr>
          <w:p>
            <w:pPr>
              <w:spacing w:after="0"/>
              <w:rPr>
                <w:sz w:val="21"/>
                <w:szCs w:val="21"/>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6"/>
                <w:szCs w:val="16"/>
                <w:color w:val="auto"/>
              </w:rPr>
              <w:t>(Principal Financial and Accounting Officer)</w:t>
            </w:r>
          </w:p>
        </w:tc>
      </w:tr>
      <w:tr>
        <w:trPr>
          <w:trHeight w:val="2376"/>
        </w:trPr>
        <w:tc>
          <w:tcPr>
            <w:tcW w:w="5620" w:type="dxa"/>
            <w:vAlign w:val="bottom"/>
            <w:tcBorders>
              <w:bottom w:val="single" w:sz="8" w:color="9A9A9A"/>
            </w:tcBorders>
          </w:tcPr>
          <w:p>
            <w:pPr>
              <w:spacing w:after="0"/>
              <w:rPr>
                <w:sz w:val="24"/>
                <w:szCs w:val="24"/>
                <w:color w:val="auto"/>
              </w:rPr>
            </w:pPr>
          </w:p>
        </w:tc>
        <w:tc>
          <w:tcPr>
            <w:tcW w:w="56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40" name="Picture 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0"/>
                    <pic:cNvPicPr>
                      <a:picLocks noChangeAspect="1" noChangeArrowheads="1"/>
                    </pic:cNvPicPr>
                  </pic:nvPicPr>
                  <pic:blipFill>
                    <a:blip r:embed="rId84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41" name="Picture 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1"/>
                    <pic:cNvPicPr>
                      <a:picLocks noChangeAspect="1" noChangeArrowheads="1"/>
                    </pic:cNvPicPr>
                  </pic:nvPicPr>
                  <pic:blipFill>
                    <a:blip r:embed="rId84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9" w:right="339" w:bottom="1440" w:gutter="0" w:footer="0" w:header="0"/>
        </w:sectPr>
      </w:pPr>
    </w:p>
    <w:bookmarkStart w:id="581" w:name="page582"/>
    <w:bookmarkEnd w:id="581"/>
    <w:p>
      <w:pPr>
        <w:jc w:val="right"/>
        <w:spacing w:after="0"/>
        <w:rPr>
          <w:sz w:val="20"/>
          <w:szCs w:val="20"/>
          <w:color w:val="auto"/>
        </w:rPr>
      </w:pPr>
      <w:r>
        <w:rPr>
          <w:rFonts w:ascii="Times New Roman" w:cs="Times New Roman" w:eastAsia="Times New Roman" w:hAnsi="Times New Roman"/>
          <w:sz w:val="16"/>
          <w:szCs w:val="16"/>
          <w:b w:val="1"/>
          <w:bCs w:val="1"/>
          <w:color w:val="auto"/>
        </w:rPr>
        <w:t>Exhibit 32.1</w:t>
      </w: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STATEMENT OF PRINCIPAL EXECUTIVE OFFICER OF</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AXSOME THERAPEUTICS, INC.</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PURSUANT TO 18 U.S.C. SECTION 1350,</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AS ADOPTED PURSUANT TO</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SECTION 906 OF THE SARBANES-OXLEY ACT OF 2002</w:t>
      </w:r>
    </w:p>
    <w:p>
      <w:pPr>
        <w:spacing w:after="0" w:line="254" w:lineRule="exact"/>
        <w:rPr>
          <w:sz w:val="20"/>
          <w:szCs w:val="20"/>
          <w:color w:val="auto"/>
        </w:rPr>
      </w:pPr>
    </w:p>
    <w:p>
      <w:pPr>
        <w:jc w:val="both"/>
        <w:ind w:right="40" w:firstLine="449"/>
        <w:spacing w:after="0" w:line="281" w:lineRule="auto"/>
        <w:rPr>
          <w:sz w:val="20"/>
          <w:szCs w:val="20"/>
          <w:color w:val="auto"/>
        </w:rPr>
      </w:pPr>
      <w:r>
        <w:rPr>
          <w:rFonts w:ascii="Times New Roman" w:cs="Times New Roman" w:eastAsia="Times New Roman" w:hAnsi="Times New Roman"/>
          <w:sz w:val="16"/>
          <w:szCs w:val="16"/>
          <w:color w:val="auto"/>
        </w:rPr>
        <w:t>In connection with the quarterly report of Axsome Therapeutics, Inc. (the “Company”) on Form 10-Q for the quarter ended June 30, 2025 as filed with the Securities and Exchange Commission (the “Report”), I, Herriot Tabuteau, M.D., Chief Executive Officer of the Company, certify, pursuant to 18 U.S.C. §1350, as adopted pursuant to §906 of the Sarbanes-Oxley Act of 2002, that, based on my knowledge:</w:t>
      </w:r>
    </w:p>
    <w:p>
      <w:pPr>
        <w:spacing w:after="0" w:line="204" w:lineRule="exact"/>
        <w:rPr>
          <w:sz w:val="20"/>
          <w:szCs w:val="20"/>
          <w:color w:val="auto"/>
        </w:rPr>
      </w:pPr>
    </w:p>
    <w:p>
      <w:pPr>
        <w:ind w:left="260" w:hanging="252"/>
        <w:spacing w:after="0"/>
        <w:tabs>
          <w:tab w:leader="none" w:pos="260" w:val="left"/>
        </w:tabs>
        <w:numPr>
          <w:ilvl w:val="0"/>
          <w:numId w:val="3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Report fully complies with the requirements of Section 13(a) or 15(d) of the Securities Exchange Act of 1934, as amended; and</w:t>
      </w:r>
    </w:p>
    <w:p>
      <w:pPr>
        <w:spacing w:after="0" w:line="261" w:lineRule="exact"/>
        <w:rPr>
          <w:rFonts w:ascii="Times New Roman" w:cs="Times New Roman" w:eastAsia="Times New Roman" w:hAnsi="Times New Roman"/>
          <w:sz w:val="16"/>
          <w:szCs w:val="16"/>
          <w:color w:val="auto"/>
        </w:rPr>
      </w:pPr>
    </w:p>
    <w:p>
      <w:pPr>
        <w:ind w:left="260" w:hanging="252"/>
        <w:spacing w:after="0"/>
        <w:tabs>
          <w:tab w:leader="none" w:pos="260" w:val="left"/>
        </w:tabs>
        <w:numPr>
          <w:ilvl w:val="0"/>
          <w:numId w:val="3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620" w:type="dxa"/>
            <w:vAlign w:val="bottom"/>
          </w:tcPr>
          <w:p>
            <w:pPr>
              <w:spacing w:after="0"/>
              <w:rPr>
                <w:sz w:val="20"/>
                <w:szCs w:val="20"/>
                <w:color w:val="auto"/>
              </w:rPr>
            </w:pPr>
            <w:r>
              <w:rPr>
                <w:rFonts w:ascii="Times New Roman" w:cs="Times New Roman" w:eastAsia="Times New Roman" w:hAnsi="Times New Roman"/>
                <w:sz w:val="16"/>
                <w:szCs w:val="16"/>
                <w:color w:val="auto"/>
              </w:rPr>
              <w:t>Date: August 4, 2025</w:t>
            </w:r>
          </w:p>
        </w:tc>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 Herriot Tabuteau, M.D.</w:t>
            </w:r>
          </w:p>
        </w:tc>
      </w:tr>
      <w:tr>
        <w:trPr>
          <w:trHeight w:val="185"/>
        </w:trPr>
        <w:tc>
          <w:tcPr>
            <w:tcW w:w="5620" w:type="dxa"/>
            <w:vAlign w:val="bottom"/>
          </w:tcPr>
          <w:p>
            <w:pPr>
              <w:spacing w:after="0"/>
              <w:rPr>
                <w:sz w:val="16"/>
                <w:szCs w:val="16"/>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6"/>
                <w:szCs w:val="16"/>
                <w:color w:val="auto"/>
              </w:rPr>
              <w:t>Herriot Tabuteau, M.D.</w:t>
            </w:r>
          </w:p>
        </w:tc>
      </w:tr>
      <w:tr>
        <w:trPr>
          <w:trHeight w:val="203"/>
        </w:trPr>
        <w:tc>
          <w:tcPr>
            <w:tcW w:w="5620" w:type="dxa"/>
            <w:vAlign w:val="bottom"/>
          </w:tcPr>
          <w:p>
            <w:pPr>
              <w:spacing w:after="0"/>
              <w:rPr>
                <w:sz w:val="17"/>
                <w:szCs w:val="17"/>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6"/>
                <w:szCs w:val="16"/>
                <w:color w:val="auto"/>
              </w:rPr>
              <w:t>Chief Executive Officer</w:t>
            </w:r>
          </w:p>
        </w:tc>
      </w:tr>
      <w:tr>
        <w:trPr>
          <w:trHeight w:val="210"/>
        </w:trPr>
        <w:tc>
          <w:tcPr>
            <w:tcW w:w="56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6"/>
                <w:szCs w:val="16"/>
                <w:color w:val="auto"/>
              </w:rPr>
              <w:t>(Principal Executive Officer)</w:t>
            </w:r>
          </w:p>
        </w:tc>
      </w:tr>
      <w:tr>
        <w:trPr>
          <w:trHeight w:val="2605"/>
        </w:trPr>
        <w:tc>
          <w:tcPr>
            <w:tcW w:w="5620" w:type="dxa"/>
            <w:vAlign w:val="bottom"/>
            <w:tcBorders>
              <w:bottom w:val="single" w:sz="8" w:color="9A9A9A"/>
            </w:tcBorders>
          </w:tcPr>
          <w:p>
            <w:pPr>
              <w:spacing w:after="0"/>
              <w:rPr>
                <w:sz w:val="24"/>
                <w:szCs w:val="24"/>
                <w:color w:val="auto"/>
              </w:rPr>
            </w:pPr>
          </w:p>
        </w:tc>
        <w:tc>
          <w:tcPr>
            <w:tcW w:w="56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42" name="Picture 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2"/>
                    <pic:cNvPicPr>
                      <a:picLocks noChangeAspect="1" noChangeArrowheads="1"/>
                    </pic:cNvPicPr>
                  </pic:nvPicPr>
                  <pic:blipFill>
                    <a:blip r:embed="rId85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43" name="Picture 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3"/>
                    <pic:cNvPicPr>
                      <a:picLocks noChangeAspect="1" noChangeArrowheads="1"/>
                    </pic:cNvPicPr>
                  </pic:nvPicPr>
                  <pic:blipFill>
                    <a:blip r:embed="rId85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9" w:right="339" w:bottom="1440" w:gutter="0" w:footer="0" w:header="0"/>
        </w:sectPr>
      </w:pPr>
    </w:p>
    <w:bookmarkStart w:id="582" w:name="page583"/>
    <w:bookmarkEnd w:id="582"/>
    <w:p>
      <w:pPr>
        <w:jc w:val="right"/>
        <w:spacing w:after="0"/>
        <w:rPr>
          <w:sz w:val="20"/>
          <w:szCs w:val="20"/>
          <w:color w:val="auto"/>
        </w:rPr>
      </w:pPr>
      <w:r>
        <w:rPr>
          <w:rFonts w:ascii="Times New Roman" w:cs="Times New Roman" w:eastAsia="Times New Roman" w:hAnsi="Times New Roman"/>
          <w:sz w:val="16"/>
          <w:szCs w:val="16"/>
          <w:b w:val="1"/>
          <w:bCs w:val="1"/>
          <w:color w:val="auto"/>
        </w:rPr>
        <w:t>Exhibit 32.2</w:t>
      </w: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STATEMENT OF PRINCIPAL FINANCIAL OFFICER OF</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AXSOME THERAPEUTICS, INC.</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PURSUANT TO 18 U.S.C. SECTION 1350,</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AS ADOPTED PURSUANT TO</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SECTION 906 OF THE SARBANES-OXLEY ACT OF 2002</w:t>
      </w:r>
    </w:p>
    <w:p>
      <w:pPr>
        <w:spacing w:after="0" w:line="254" w:lineRule="exact"/>
        <w:rPr>
          <w:sz w:val="20"/>
          <w:szCs w:val="20"/>
          <w:color w:val="auto"/>
        </w:rPr>
      </w:pPr>
    </w:p>
    <w:p>
      <w:pPr>
        <w:jc w:val="both"/>
        <w:ind w:right="80" w:firstLine="449"/>
        <w:spacing w:after="0" w:line="281" w:lineRule="auto"/>
        <w:rPr>
          <w:sz w:val="20"/>
          <w:szCs w:val="20"/>
          <w:color w:val="auto"/>
        </w:rPr>
      </w:pPr>
      <w:r>
        <w:rPr>
          <w:rFonts w:ascii="Times New Roman" w:cs="Times New Roman" w:eastAsia="Times New Roman" w:hAnsi="Times New Roman"/>
          <w:sz w:val="16"/>
          <w:szCs w:val="16"/>
          <w:color w:val="auto"/>
        </w:rPr>
        <w:t>In connection with the quarterly report of Axsome Therapeutics, Inc. (the “Company”) on Form 10-Q for the quarter ended June 30, 2025 as filed with the Securities and Exchange Commission (the “Report”), I, Nick Pizzie, Chief Financial Officer of the Company, certify, pursuant to 18 U.S.C. §1350, as adopted pursuant to §906 of the Sarbanes-Oxley Act of 2002, that, based on my knowledge:</w:t>
      </w:r>
    </w:p>
    <w:p>
      <w:pPr>
        <w:spacing w:after="0" w:line="204" w:lineRule="exact"/>
        <w:rPr>
          <w:sz w:val="20"/>
          <w:szCs w:val="20"/>
          <w:color w:val="auto"/>
        </w:rPr>
      </w:pPr>
    </w:p>
    <w:p>
      <w:pPr>
        <w:ind w:left="260" w:hanging="252"/>
        <w:spacing w:after="0"/>
        <w:tabs>
          <w:tab w:leader="none" w:pos="260" w:val="left"/>
        </w:tabs>
        <w:numPr>
          <w:ilvl w:val="0"/>
          <w:numId w:val="3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Report fully complies with the requirements of Section 13(a) or 15(d) of the Securities Exchange Act of 1934, as amended; and</w:t>
      </w:r>
    </w:p>
    <w:p>
      <w:pPr>
        <w:spacing w:after="0" w:line="261" w:lineRule="exact"/>
        <w:rPr>
          <w:rFonts w:ascii="Times New Roman" w:cs="Times New Roman" w:eastAsia="Times New Roman" w:hAnsi="Times New Roman"/>
          <w:sz w:val="16"/>
          <w:szCs w:val="16"/>
          <w:color w:val="auto"/>
        </w:rPr>
      </w:pPr>
    </w:p>
    <w:p>
      <w:pPr>
        <w:ind w:left="260" w:hanging="252"/>
        <w:spacing w:after="0"/>
        <w:tabs>
          <w:tab w:leader="none" w:pos="260" w:val="left"/>
        </w:tabs>
        <w:numPr>
          <w:ilvl w:val="0"/>
          <w:numId w:val="3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620" w:type="dxa"/>
            <w:vAlign w:val="bottom"/>
          </w:tcPr>
          <w:p>
            <w:pPr>
              <w:spacing w:after="0"/>
              <w:rPr>
                <w:sz w:val="20"/>
                <w:szCs w:val="20"/>
                <w:color w:val="auto"/>
              </w:rPr>
            </w:pPr>
            <w:r>
              <w:rPr>
                <w:rFonts w:ascii="Times New Roman" w:cs="Times New Roman" w:eastAsia="Times New Roman" w:hAnsi="Times New Roman"/>
                <w:sz w:val="16"/>
                <w:szCs w:val="16"/>
                <w:color w:val="auto"/>
              </w:rPr>
              <w:t>Date: August 4, 2025</w:t>
            </w:r>
          </w:p>
        </w:tc>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 Nick Pizzie</w:t>
            </w:r>
          </w:p>
        </w:tc>
      </w:tr>
      <w:tr>
        <w:trPr>
          <w:trHeight w:val="185"/>
        </w:trPr>
        <w:tc>
          <w:tcPr>
            <w:tcW w:w="5620" w:type="dxa"/>
            <w:vAlign w:val="bottom"/>
          </w:tcPr>
          <w:p>
            <w:pPr>
              <w:spacing w:after="0"/>
              <w:rPr>
                <w:sz w:val="16"/>
                <w:szCs w:val="16"/>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6"/>
                <w:szCs w:val="16"/>
                <w:color w:val="auto"/>
              </w:rPr>
              <w:t>Nick Pizzie</w:t>
            </w:r>
          </w:p>
        </w:tc>
      </w:tr>
      <w:tr>
        <w:trPr>
          <w:trHeight w:val="203"/>
        </w:trPr>
        <w:tc>
          <w:tcPr>
            <w:tcW w:w="5620" w:type="dxa"/>
            <w:vAlign w:val="bottom"/>
          </w:tcPr>
          <w:p>
            <w:pPr>
              <w:spacing w:after="0"/>
              <w:rPr>
                <w:sz w:val="17"/>
                <w:szCs w:val="17"/>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6"/>
                <w:szCs w:val="16"/>
                <w:color w:val="auto"/>
              </w:rPr>
              <w:t>Chief Financial Officer</w:t>
            </w:r>
          </w:p>
        </w:tc>
      </w:tr>
      <w:tr>
        <w:trPr>
          <w:trHeight w:val="210"/>
        </w:trPr>
        <w:tc>
          <w:tcPr>
            <w:tcW w:w="56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6"/>
                <w:szCs w:val="16"/>
                <w:color w:val="auto"/>
              </w:rPr>
              <w:t>(Principal Financial and Accounting Officer)</w:t>
            </w:r>
          </w:p>
        </w:tc>
      </w:tr>
      <w:tr>
        <w:trPr>
          <w:trHeight w:val="2605"/>
        </w:trPr>
        <w:tc>
          <w:tcPr>
            <w:tcW w:w="5620" w:type="dxa"/>
            <w:vAlign w:val="bottom"/>
            <w:tcBorders>
              <w:bottom w:val="single" w:sz="8" w:color="9A9A9A"/>
            </w:tcBorders>
          </w:tcPr>
          <w:p>
            <w:pPr>
              <w:spacing w:after="0"/>
              <w:rPr>
                <w:sz w:val="24"/>
                <w:szCs w:val="24"/>
                <w:color w:val="auto"/>
              </w:rPr>
            </w:pPr>
          </w:p>
        </w:tc>
        <w:tc>
          <w:tcPr>
            <w:tcW w:w="56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44" name="Picture 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4"/>
                    <pic:cNvPicPr>
                      <a:picLocks noChangeAspect="1" noChangeArrowheads="1"/>
                    </pic:cNvPicPr>
                  </pic:nvPicPr>
                  <pic:blipFill>
                    <a:blip r:embed="rId85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45" name="Picture 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5"/>
                    <pic:cNvPicPr>
                      <a:picLocks noChangeAspect="1" noChangeArrowheads="1"/>
                    </pic:cNvPicPr>
                  </pic:nvPicPr>
                  <pic:blipFill>
                    <a:blip r:embed="rId85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9" w:right="339" w:bottom="1440" w:gutter="0" w:footer="0" w:header="0"/>
        </w:sectPr>
      </w:pPr>
    </w:p>
    <w:bookmarkStart w:id="583" w:name="page584"/>
    <w:bookmarkEnd w:id="58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FCFAED9"/>
    <w:multiLevelType w:val="hybridMultilevel"/>
    <w:lvl w:ilvl="0">
      <w:lvlJc w:val="left"/>
      <w:lvlText w:val="☒"/>
      <w:numFmt w:val="bullet"/>
      <w:start w:val="1"/>
    </w:lvl>
    <w:lvl w:ilvl="1">
      <w:lvlJc w:val="left"/>
      <w:lvlText w:val="☐"/>
      <w:numFmt w:val="bullet"/>
      <w:start w:val="1"/>
    </w:lvl>
  </w:abstractNum>
  <w:abstractNum w:abstractNumId="1">
    <w:nsid w:val="F856867"/>
    <w:multiLevelType w:val="hybridMultilevel"/>
    <w:lvl w:ilvl="0">
      <w:lvlJc w:val="left"/>
      <w:lvlText w:val="•"/>
      <w:numFmt w:val="bullet"/>
      <w:start w:val="1"/>
    </w:lvl>
  </w:abstractNum>
  <w:abstractNum w:abstractNumId="2">
    <w:nsid w:val="11B1CC33"/>
    <w:multiLevelType w:val="hybridMultilevel"/>
    <w:lvl w:ilvl="0">
      <w:lvlJc w:val="left"/>
      <w:lvlText w:val="%1."/>
      <w:numFmt w:val="decimal"/>
      <w:start w:val="14"/>
    </w:lvl>
  </w:abstractNum>
  <w:abstractNum w:abstractNumId="3">
    <w:nsid w:val="2E22FBB7"/>
    <w:multiLevelType w:val="hybridMultilevel"/>
    <w:lvl w:ilvl="0">
      <w:lvlJc w:val="left"/>
      <w:lvlText w:val="(%1)"/>
      <w:numFmt w:val="lowerLetter"/>
      <w:start w:val="1"/>
    </w:lvl>
  </w:abstractNum>
  <w:abstractNum w:abstractNumId="4">
    <w:nsid w:val="29934699"/>
    <w:multiLevelType w:val="hybridMultilevel"/>
    <w:lvl w:ilvl="0">
      <w:lvlJc w:val="left"/>
      <w:lvlText w:val="%1."/>
      <w:numFmt w:val="decimal"/>
      <w:start w:val="1"/>
    </w:lvl>
  </w:abstractNum>
  <w:abstractNum w:abstractNumId="5">
    <w:nsid w:val="77485850"/>
    <w:multiLevelType w:val="hybridMultilevel"/>
    <w:lvl w:ilvl="0">
      <w:lvlJc w:val="left"/>
      <w:lvlText w:val="•"/>
      <w:numFmt w:val="bullet"/>
      <w:start w:val="1"/>
    </w:lvl>
  </w:abstractNum>
  <w:abstractNum w:abstractNumId="6">
    <w:nsid w:val="744939A3"/>
    <w:multiLevelType w:val="hybridMultilevel"/>
    <w:lvl w:ilvl="0">
      <w:lvlJc w:val="left"/>
      <w:lvlText w:val="•"/>
      <w:numFmt w:val="bullet"/>
      <w:start w:val="1"/>
    </w:lvl>
  </w:abstractNum>
  <w:abstractNum w:abstractNumId="7">
    <w:nsid w:val="4FA0D2E3"/>
    <w:multiLevelType w:val="hybridMultilevel"/>
    <w:lvl w:ilvl="0">
      <w:lvlJc w:val="left"/>
      <w:lvlText w:val="•"/>
      <w:numFmt w:val="bullet"/>
      <w:start w:val="1"/>
    </w:lvl>
  </w:abstractNum>
  <w:abstractNum w:abstractNumId="8">
    <w:nsid w:val="6B1D2C14"/>
    <w:multiLevelType w:val="hybridMultilevel"/>
    <w:lvl w:ilvl="0">
      <w:lvlJc w:val="left"/>
      <w:lvlText w:val="•"/>
      <w:numFmt w:val="bullet"/>
      <w:start w:val="1"/>
    </w:lvl>
  </w:abstractNum>
  <w:abstractNum w:abstractNumId="9">
    <w:nsid w:val="68B867D3"/>
    <w:multiLevelType w:val="hybridMultilevel"/>
    <w:lvl w:ilvl="0">
      <w:lvlJc w:val="left"/>
      <w:lvlText w:val="•"/>
      <w:numFmt w:val="bullet"/>
      <w:start w:val="1"/>
    </w:lvl>
  </w:abstractNum>
  <w:abstractNum w:abstractNumId="10">
    <w:nsid w:val="3F7F5DD9"/>
    <w:multiLevelType w:val="hybridMultilevel"/>
    <w:lvl w:ilvl="0">
      <w:lvlJc w:val="left"/>
      <w:lvlText w:val="•"/>
      <w:numFmt w:val="bullet"/>
      <w:start w:val="1"/>
    </w:lvl>
  </w:abstractNum>
  <w:abstractNum w:abstractNumId="11">
    <w:nsid w:val="2AE05A34"/>
    <w:multiLevelType w:val="hybridMultilevel"/>
    <w:lvl w:ilvl="0">
      <w:lvlJc w:val="left"/>
      <w:lvlText w:val="•"/>
      <w:numFmt w:val="bullet"/>
      <w:start w:val="1"/>
    </w:lvl>
  </w:abstractNum>
  <w:abstractNum w:abstractNumId="12">
    <w:nsid w:val="32794FF7"/>
    <w:multiLevelType w:val="hybridMultilevel"/>
    <w:lvl w:ilvl="0">
      <w:lvlJc w:val="left"/>
      <w:lvlText w:val="•"/>
      <w:numFmt w:val="bullet"/>
      <w:start w:val="1"/>
    </w:lvl>
  </w:abstractNum>
  <w:abstractNum w:abstractNumId="13">
    <w:nsid w:val="5454945E"/>
    <w:multiLevelType w:val="hybridMultilevel"/>
    <w:lvl w:ilvl="0">
      <w:lvlJc w:val="left"/>
      <w:lvlText w:val="•"/>
      <w:numFmt w:val="bullet"/>
      <w:start w:val="1"/>
    </w:lvl>
  </w:abstractNum>
  <w:abstractNum w:abstractNumId="14">
    <w:nsid w:val="4DEFDFA0"/>
    <w:multiLevelType w:val="hybridMultilevel"/>
    <w:lvl w:ilvl="0">
      <w:lvlJc w:val="left"/>
      <w:lvlText w:val="•"/>
      <w:numFmt w:val="bullet"/>
      <w:start w:val="1"/>
    </w:lvl>
  </w:abstractNum>
  <w:abstractNum w:abstractNumId="15">
    <w:nsid w:val="2123D5F2"/>
    <w:multiLevelType w:val="hybridMultilevel"/>
    <w:lvl w:ilvl="0">
      <w:lvlJc w:val="left"/>
      <w:lvlText w:val="•"/>
      <w:numFmt w:val="bullet"/>
      <w:start w:val="1"/>
    </w:lvl>
  </w:abstractNum>
  <w:abstractNum w:abstractNumId="16">
    <w:nsid w:val="135B8110"/>
    <w:multiLevelType w:val="hybridMultilevel"/>
    <w:lvl w:ilvl="0">
      <w:lvlJc w:val="left"/>
      <w:lvlText w:val="•"/>
      <w:numFmt w:val="bullet"/>
      <w:start w:val="1"/>
    </w:lvl>
  </w:abstractNum>
  <w:abstractNum w:abstractNumId="17">
    <w:nsid w:val="94927A8"/>
    <w:multiLevelType w:val="hybridMultilevel"/>
    <w:lvl w:ilvl="0">
      <w:lvlJc w:val="left"/>
      <w:lvlText w:val="•"/>
      <w:numFmt w:val="bullet"/>
      <w:start w:val="1"/>
    </w:lvl>
  </w:abstractNum>
  <w:abstractNum w:abstractNumId="18">
    <w:nsid w:val="DCDF8F6"/>
    <w:multiLevelType w:val="hybridMultilevel"/>
    <w:lvl w:ilvl="0">
      <w:lvlJc w:val="left"/>
      <w:lvlText w:val="•"/>
      <w:numFmt w:val="bullet"/>
      <w:start w:val="1"/>
    </w:lvl>
  </w:abstractNum>
  <w:abstractNum w:abstractNumId="19">
    <w:nsid w:val="52D7B105"/>
    <w:multiLevelType w:val="hybridMultilevel"/>
    <w:lvl w:ilvl="0">
      <w:lvlJc w:val="left"/>
      <w:lvlText w:val="•"/>
      <w:numFmt w:val="bullet"/>
      <w:start w:val="1"/>
    </w:lvl>
  </w:abstractNum>
  <w:abstractNum w:abstractNumId="20">
    <w:nsid w:val="2E8A6394"/>
    <w:multiLevelType w:val="hybridMultilevel"/>
    <w:lvl w:ilvl="0">
      <w:lvlJc w:val="left"/>
      <w:lvlText w:val="•"/>
      <w:numFmt w:val="bullet"/>
      <w:start w:val="1"/>
    </w:lvl>
  </w:abstractNum>
  <w:abstractNum w:abstractNumId="21">
    <w:nsid w:val="24E60401"/>
    <w:multiLevelType w:val="hybridMultilevel"/>
    <w:lvl w:ilvl="0">
      <w:lvlJc w:val="left"/>
      <w:lvlText w:val="•"/>
      <w:numFmt w:val="bullet"/>
      <w:start w:val="1"/>
    </w:lvl>
  </w:abstractNum>
  <w:abstractNum w:abstractNumId="22">
    <w:nsid w:val="2A6AD9BE"/>
    <w:multiLevelType w:val="hybridMultilevel"/>
    <w:lvl w:ilvl="0">
      <w:lvlJc w:val="left"/>
      <w:lvlText w:val="•"/>
      <w:numFmt w:val="bullet"/>
      <w:start w:val="1"/>
    </w:lvl>
  </w:abstractNum>
  <w:abstractNum w:abstractNumId="23">
    <w:nsid w:val="BAAC1B4"/>
    <w:multiLevelType w:val="hybridMultilevel"/>
    <w:lvl w:ilvl="0">
      <w:lvlJc w:val="left"/>
      <w:lvlText w:val="•"/>
      <w:numFmt w:val="bullet"/>
      <w:start w:val="1"/>
    </w:lvl>
  </w:abstractNum>
  <w:abstractNum w:abstractNumId="24">
    <w:nsid w:val="36B2ACBC"/>
    <w:multiLevelType w:val="hybridMultilevel"/>
    <w:lvl w:ilvl="0">
      <w:lvlJc w:val="left"/>
      <w:lvlText w:val="•"/>
      <w:numFmt w:val="bullet"/>
      <w:start w:val="1"/>
    </w:lvl>
  </w:abstractNum>
  <w:abstractNum w:abstractNumId="25">
    <w:nsid w:val="779D8544"/>
    <w:multiLevelType w:val="hybridMultilevel"/>
    <w:lvl w:ilvl="0">
      <w:lvlJc w:val="left"/>
      <w:lvlText w:val="•"/>
      <w:numFmt w:val="bullet"/>
      <w:start w:val="1"/>
    </w:lvl>
  </w:abstractNum>
  <w:abstractNum w:abstractNumId="26">
    <w:nsid w:val="4AB26E78"/>
    <w:multiLevelType w:val="hybridMultilevel"/>
    <w:lvl w:ilvl="0">
      <w:lvlJc w:val="left"/>
      <w:lvlText w:val="•"/>
      <w:numFmt w:val="bullet"/>
      <w:start w:val="1"/>
    </w:lvl>
  </w:abstractNum>
  <w:abstractNum w:abstractNumId="27">
    <w:nsid w:val="21FAA2FA"/>
    <w:multiLevelType w:val="hybridMultilevel"/>
    <w:lvl w:ilvl="0">
      <w:lvlJc w:val="left"/>
      <w:lvlText w:val="•"/>
      <w:numFmt w:val="bullet"/>
      <w:start w:val="1"/>
    </w:lvl>
  </w:abstractNum>
  <w:abstractNum w:abstractNumId="28">
    <w:nsid w:val="5451CF49"/>
    <w:multiLevelType w:val="hybridMultilevel"/>
    <w:lvl w:ilvl="0">
      <w:lvlJc w:val="left"/>
      <w:lvlText w:val="•"/>
      <w:numFmt w:val="bullet"/>
      <w:start w:val="1"/>
    </w:lvl>
  </w:abstractNum>
  <w:abstractNum w:abstractNumId="29">
    <w:nsid w:val="6181EF69"/>
    <w:multiLevelType w:val="hybridMultilevel"/>
    <w:lvl w:ilvl="0">
      <w:lvlJc w:val="left"/>
      <w:lvlText w:val="•"/>
      <w:numFmt w:val="bullet"/>
      <w:start w:val="1"/>
    </w:lvl>
  </w:abstractNum>
  <w:abstractNum w:abstractNumId="30">
    <w:nsid w:val="3E6400E6"/>
    <w:multiLevelType w:val="hybridMultilevel"/>
    <w:lvl w:ilvl="0">
      <w:lvlJc w:val="left"/>
      <w:lvlText w:val="•"/>
      <w:numFmt w:val="bullet"/>
      <w:start w:val="1"/>
    </w:lvl>
  </w:abstractNum>
  <w:abstractNum w:abstractNumId="31">
    <w:nsid w:val="14217E23"/>
    <w:multiLevelType w:val="hybridMultilevel"/>
    <w:lvl w:ilvl="0">
      <w:lvlJc w:val="left"/>
      <w:lvlText w:val="•"/>
      <w:numFmt w:val="bullet"/>
      <w:start w:val="1"/>
    </w:lvl>
  </w:abstractNum>
  <w:abstractNum w:abstractNumId="32">
    <w:nsid w:val="710757D0"/>
    <w:multiLevelType w:val="hybridMultilevel"/>
    <w:lvl w:ilvl="0">
      <w:lvlJc w:val="left"/>
      <w:lvlText w:val="•"/>
      <w:numFmt w:val="bullet"/>
      <w:start w:val="1"/>
    </w:lvl>
  </w:abstractNum>
  <w:abstractNum w:abstractNumId="33">
    <w:nsid w:val="5015CD1A"/>
    <w:multiLevelType w:val="hybridMultilevel"/>
    <w:lvl w:ilvl="0">
      <w:lvlJc w:val="left"/>
      <w:lvlText w:val="•"/>
      <w:numFmt w:val="bullet"/>
      <w:start w:val="1"/>
    </w:lvl>
  </w:abstractNum>
  <w:abstractNum w:abstractNumId="34">
    <w:nsid w:val="424479DA"/>
    <w:multiLevelType w:val="hybridMultilevel"/>
    <w:lvl w:ilvl="0">
      <w:lvlJc w:val="left"/>
      <w:lvlText w:val="•"/>
      <w:numFmt w:val="bullet"/>
      <w:start w:val="1"/>
    </w:lvl>
  </w:abstractNum>
  <w:abstractNum w:abstractNumId="35">
    <w:nsid w:val="1A9A9E69"/>
    <w:multiLevelType w:val="hybridMultilevel"/>
    <w:lvl w:ilvl="0">
      <w:lvlJc w:val="left"/>
      <w:lvlText w:val="•"/>
      <w:numFmt w:val="bullet"/>
      <w:start w:val="1"/>
    </w:lvl>
  </w:abstractNum>
  <w:abstractNum w:abstractNumId="36">
    <w:nsid w:val="475E256A"/>
    <w:multiLevelType w:val="hybridMultilevel"/>
    <w:lvl w:ilvl="0">
      <w:lvlJc w:val="left"/>
      <w:lvlText w:val="•"/>
      <w:numFmt w:val="bullet"/>
      <w:start w:val="1"/>
    </w:lvl>
  </w:abstractNum>
  <w:abstractNum w:abstractNumId="37">
    <w:nsid w:val="368DB37E"/>
    <w:multiLevelType w:val="hybridMultilevel"/>
    <w:lvl w:ilvl="0">
      <w:lvlJc w:val="left"/>
      <w:lvlText w:val="•"/>
      <w:numFmt w:val="bullet"/>
      <w:start w:val="1"/>
    </w:lvl>
  </w:abstractNum>
  <w:abstractNum w:abstractNumId="38">
    <w:nsid w:val="6A3B714C"/>
    <w:multiLevelType w:val="hybridMultilevel"/>
    <w:lvl w:ilvl="0">
      <w:lvlJc w:val="left"/>
      <w:lvlText w:val="•"/>
      <w:numFmt w:val="bullet"/>
      <w:start w:val="1"/>
    </w:lvl>
  </w:abstractNum>
  <w:abstractNum w:abstractNumId="39">
    <w:nsid w:val="327B517E"/>
    <w:multiLevelType w:val="hybridMultilevel"/>
    <w:lvl w:ilvl="0">
      <w:lvlJc w:val="left"/>
      <w:lvlText w:val="•"/>
      <w:numFmt w:val="bullet"/>
      <w:start w:val="1"/>
    </w:lvl>
  </w:abstractNum>
  <w:abstractNum w:abstractNumId="40">
    <w:nsid w:val="1F461B51"/>
    <w:multiLevelType w:val="hybridMultilevel"/>
    <w:lvl w:ilvl="0">
      <w:lvlJc w:val="left"/>
      <w:lvlText w:val="(%1)"/>
      <w:numFmt w:val="decimal"/>
      <w:start w:val="1"/>
    </w:lvl>
  </w:abstractNum>
  <w:abstractNum w:abstractNumId="41">
    <w:nsid w:val="29BACF25"/>
    <w:multiLevelType w:val="hybridMultilevel"/>
    <w:lvl w:ilvl="0">
      <w:lvlJc w:val="left"/>
      <w:lvlText w:val="##"/>
      <w:numFmt w:val="bullet"/>
      <w:start w:val="1"/>
    </w:lvl>
  </w:abstractNum>
  <w:abstractNum w:abstractNumId="42">
    <w:nsid w:val="5D5BABB3"/>
    <w:multiLevelType w:val="hybridMultilevel"/>
    <w:lvl w:ilvl="0">
      <w:lvlJc w:val="left"/>
      <w:lvlText w:val="%1."/>
      <w:numFmt w:val="decimal"/>
      <w:start w:val="5"/>
    </w:lvl>
  </w:abstractNum>
  <w:abstractNum w:abstractNumId="43">
    <w:nsid w:val="51BF6B48"/>
    <w:multiLevelType w:val="hybridMultilevel"/>
    <w:lvl w:ilvl="0">
      <w:lvlJc w:val="left"/>
      <w:lvlText w:val="%1."/>
      <w:numFmt w:val="decimal"/>
      <w:start w:val="6"/>
    </w:lvl>
  </w:abstractNum>
  <w:abstractNum w:abstractNumId="44">
    <w:nsid w:val="7E0F6384"/>
    <w:multiLevelType w:val="hybridMultilevel"/>
    <w:lvl w:ilvl="0">
      <w:lvlJc w:val="left"/>
      <w:lvlText w:val="%1."/>
      <w:numFmt w:val="decimal"/>
      <w:start w:val="1"/>
    </w:lvl>
  </w:abstractNum>
  <w:abstractNum w:abstractNumId="45">
    <w:nsid w:val="2B4B8B53"/>
    <w:multiLevelType w:val="hybridMultilevel"/>
    <w:lvl w:ilvl="0">
      <w:lvlJc w:val="left"/>
      <w:lvlText w:val="%1."/>
      <w:numFmt w:val="decimal"/>
      <w:start w:val="2"/>
    </w:lvl>
  </w:abstractNum>
  <w:abstractNum w:abstractNumId="46">
    <w:nsid w:val="72E3413A"/>
    <w:multiLevelType w:val="hybridMultilevel"/>
    <w:lvl w:ilvl="0">
      <w:lvlJc w:val="left"/>
      <w:lvlText w:val="2.%1."/>
      <w:numFmt w:val="decimal"/>
      <w:start w:val="1"/>
    </w:lvl>
  </w:abstractNum>
  <w:abstractNum w:abstractNumId="47">
    <w:nsid w:val="116AE494"/>
    <w:multiLevelType w:val="hybridMultilevel"/>
    <w:lvl w:ilvl="0">
      <w:lvlJc w:val="left"/>
      <w:lvlText w:val="(%1)"/>
      <w:numFmt w:val="lowerRoman"/>
      <w:start w:val="1"/>
    </w:lvl>
  </w:abstractNum>
  <w:abstractNum w:abstractNumId="48">
    <w:nsid w:val="3494B2FB"/>
    <w:multiLevelType w:val="hybridMultilevel"/>
    <w:lvl w:ilvl="0">
      <w:lvlJc w:val="left"/>
      <w:lvlText w:val="(%1)"/>
      <w:numFmt w:val="lowerRoman"/>
      <w:start w:val="1"/>
    </w:lvl>
  </w:abstractNum>
  <w:abstractNum w:abstractNumId="49">
    <w:nsid w:val="B13A31"/>
    <w:multiLevelType w:val="hybridMultilevel"/>
    <w:lvl w:ilvl="0">
      <w:lvlJc w:val="left"/>
      <w:lvlText w:val="(%1)"/>
      <w:numFmt w:val="lowerLetter"/>
      <w:start w:val="2"/>
    </w:lvl>
    <w:lvl w:ilvl="1">
      <w:lvlJc w:val="left"/>
      <w:lvlText w:val="(%2)"/>
      <w:numFmt w:val="lowerLetter"/>
      <w:start w:val="9"/>
    </w:lvl>
  </w:abstractNum>
  <w:abstractNum w:abstractNumId="50">
    <w:nsid w:val="64429599"/>
    <w:multiLevelType w:val="hybridMultilevel"/>
    <w:lvl w:ilvl="0">
      <w:lvlJc w:val="left"/>
      <w:lvlText w:val="(%1)"/>
      <w:numFmt w:val="upperLetter"/>
      <w:start w:val="2"/>
    </w:lvl>
  </w:abstractNum>
  <w:abstractNum w:abstractNumId="51">
    <w:nsid w:val="631F1690"/>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2"/>
    </w:lvl>
  </w:abstractNum>
  <w:abstractNum w:abstractNumId="52">
    <w:nsid w:val="25973E32"/>
    <w:multiLevelType w:val="hybridMultilevel"/>
    <w:lvl w:ilvl="0">
      <w:lvlJc w:val="left"/>
      <w:lvlText w:val="%1"/>
      <w:numFmt w:val="decimal"/>
      <w:start w:val="1"/>
    </w:lvl>
    <w:lvl w:ilvl="1">
      <w:lvlJc w:val="left"/>
      <w:lvlText w:val="(%2)"/>
      <w:numFmt w:val="lowerLetter"/>
      <w:start w:val="4"/>
    </w:lvl>
    <w:lvl w:ilvl="2">
      <w:lvlJc w:val="left"/>
      <w:lvlText w:val="%3"/>
      <w:numFmt w:val="lowerLetter"/>
      <w:start w:val="1"/>
    </w:lvl>
  </w:abstractNum>
  <w:abstractNum w:abstractNumId="53">
    <w:nsid w:val="EAD6F57"/>
    <w:multiLevelType w:val="hybridMultilevel"/>
    <w:lvl w:ilvl="0">
      <w:lvlJc w:val="left"/>
      <w:lvlText w:val="(%1)"/>
      <w:numFmt w:val="decimal"/>
      <w:start w:val="2"/>
    </w:lvl>
    <w:lvl w:ilvl="1">
      <w:lvlJc w:val="left"/>
      <w:lvlText w:val="%2"/>
      <w:numFmt w:val="lowerLetter"/>
      <w:start w:val="1"/>
    </w:lvl>
    <w:lvl w:ilvl="2">
      <w:lvlJc w:val="left"/>
      <w:lvlText w:val="%3"/>
      <w:numFmt w:val="lowerLetter"/>
      <w:start w:val="1"/>
    </w:lvl>
  </w:abstractNum>
  <w:abstractNum w:abstractNumId="54">
    <w:nsid w:val="6EC9D844"/>
    <w:multiLevelType w:val="hybridMultilevel"/>
    <w:lvl w:ilvl="0">
      <w:lvlJc w:val="left"/>
      <w:lvlText w:val="(%1)"/>
      <w:numFmt w:val="lowerLetter"/>
      <w:start w:val="6"/>
    </w:lvl>
  </w:abstractNum>
  <w:abstractNum w:abstractNumId="55">
    <w:nsid w:val="5C49EAEE"/>
    <w:multiLevelType w:val="hybridMultilevel"/>
    <w:lvl w:ilvl="0">
      <w:lvlJc w:val="left"/>
      <w:lvlText w:val="(%1)"/>
      <w:numFmt w:val="lowerLetter"/>
      <w:start w:val="1"/>
    </w:lvl>
    <w:lvl w:ilvl="1">
      <w:lvlJc w:val="left"/>
      <w:lvlText w:val="(%2)"/>
      <w:numFmt w:val="lowerLetter"/>
      <w:start w:val="9"/>
    </w:lvl>
  </w:abstractNum>
  <w:abstractNum w:abstractNumId="56">
    <w:nsid w:val="64AF49B"/>
    <w:multiLevelType w:val="hybridMultilevel"/>
    <w:lvl w:ilvl="0">
      <w:lvlJc w:val="left"/>
      <w:lvlText w:val="(%1)"/>
      <w:numFmt w:val="lowerLetter"/>
      <w:start w:val="2"/>
    </w:lvl>
    <w:lvl w:ilvl="1">
      <w:lvlJc w:val="left"/>
      <w:lvlText w:val="(%2)"/>
      <w:numFmt w:val="lowerLetter"/>
      <w:start w:val="9"/>
    </w:lvl>
  </w:abstractNum>
  <w:abstractNum w:abstractNumId="57">
    <w:nsid w:val="397C46BC"/>
    <w:multiLevelType w:val="hybridMultilevel"/>
    <w:lvl w:ilvl="0">
      <w:lvlJc w:val="left"/>
      <w:lvlText w:val="(%1)"/>
      <w:numFmt w:val="lowerRoman"/>
      <w:start w:val="1"/>
    </w:lvl>
  </w:abstractNum>
  <w:abstractNum w:abstractNumId="58">
    <w:nsid w:val="7E448DE9"/>
    <w:multiLevelType w:val="hybridMultilevel"/>
    <w:lvl w:ilvl="0">
      <w:lvlJc w:val="left"/>
      <w:lvlText w:val="(%1)"/>
      <w:numFmt w:val="lowerLetter"/>
      <w:start w:val="6"/>
    </w:lvl>
  </w:abstractNum>
  <w:abstractNum w:abstractNumId="59">
    <w:nsid w:val="5A9CC3E5"/>
    <w:multiLevelType w:val="hybridMultilevel"/>
    <w:lvl w:ilvl="0">
      <w:lvlJc w:val="left"/>
      <w:lvlText w:val="(%1)"/>
      <w:numFmt w:val="lowerLetter"/>
      <w:start w:val="1"/>
    </w:lvl>
  </w:abstractNum>
  <w:abstractNum w:abstractNumId="60">
    <w:nsid w:val="1AFE3625"/>
    <w:multiLevelType w:val="hybridMultilevel"/>
    <w:lvl w:ilvl="0">
      <w:lvlJc w:val="left"/>
      <w:lvlText w:val="(%1)"/>
      <w:numFmt w:val="lowerLetter"/>
      <w:start w:val="2"/>
    </w:lvl>
  </w:abstractNum>
  <w:abstractNum w:abstractNumId="61">
    <w:nsid w:val="3CA88ECF"/>
    <w:multiLevelType w:val="hybridMultilevel"/>
    <w:lvl w:ilvl="0">
      <w:lvlJc w:val="left"/>
      <w:lvlText w:val="%1"/>
      <w:numFmt w:val="lowerLetter"/>
      <w:start w:val="1"/>
    </w:lvl>
    <w:lvl w:ilvl="1">
      <w:lvlJc w:val="left"/>
      <w:lvlText w:val="(%2)"/>
      <w:numFmt w:val="lowerLetter"/>
      <w:start w:val="1"/>
    </w:lvl>
  </w:abstractNum>
  <w:abstractNum w:abstractNumId="62">
    <w:nsid w:val="6EBE4208"/>
    <w:multiLevelType w:val="hybridMultilevel"/>
    <w:lvl w:ilvl="0">
      <w:lvlJc w:val="left"/>
      <w:lvlText w:val="(%1)"/>
      <w:numFmt w:val="lowerLetter"/>
      <w:start w:val="35"/>
    </w:lvl>
    <w:lvl w:ilvl="1">
      <w:lvlJc w:val="left"/>
      <w:lvlText w:val="%2"/>
      <w:numFmt w:val="lowerLetter"/>
      <w:start w:val="1"/>
    </w:lvl>
  </w:abstractNum>
  <w:abstractNum w:abstractNumId="63">
    <w:nsid w:val="C058DF5"/>
    <w:multiLevelType w:val="hybridMultilevel"/>
    <w:lvl w:ilvl="0">
      <w:lvlJc w:val="left"/>
      <w:lvlText w:val="%1"/>
      <w:numFmt w:val="decimal"/>
      <w:start w:val="1"/>
    </w:lvl>
    <w:lvl w:ilvl="1">
      <w:lvlJc w:val="left"/>
      <w:lvlText w:val="(%2)"/>
      <w:numFmt w:val="lowerLetter"/>
      <w:start w:val="3"/>
    </w:lvl>
    <w:lvl w:ilvl="2">
      <w:lvlJc w:val="left"/>
      <w:lvlText w:val="(%3)"/>
      <w:numFmt w:val="lowerLetter"/>
      <w:start w:val="9"/>
    </w:lvl>
  </w:abstractNum>
  <w:abstractNum w:abstractNumId="64">
    <w:nsid w:val="CBE5BE9"/>
    <w:multiLevelType w:val="hybridMultilevel"/>
    <w:lvl w:ilvl="0">
      <w:lvlJc w:val="left"/>
      <w:lvlText w:val="(%1)"/>
      <w:numFmt w:val="decimal"/>
      <w:start w:val="2"/>
    </w:lvl>
    <w:lvl w:ilvl="1">
      <w:lvlJc w:val="left"/>
      <w:lvlText w:val="%2"/>
      <w:numFmt w:val="lowerLetter"/>
      <w:start w:val="1"/>
    </w:lvl>
    <w:lvl w:ilvl="2">
      <w:lvlJc w:val="left"/>
      <w:lvlText w:val="%3"/>
      <w:numFmt w:val="lowerLetter"/>
      <w:start w:val="1"/>
    </w:lvl>
  </w:abstractNum>
  <w:abstractNum w:abstractNumId="65">
    <w:nsid w:val="3102BBE2"/>
    <w:multiLevelType w:val="hybridMultilevel"/>
    <w:lvl w:ilvl="0">
      <w:lvlJc w:val="left"/>
      <w:lvlText w:val="(%1)"/>
      <w:numFmt w:val="decimal"/>
      <w:start w:val="1"/>
    </w:lvl>
  </w:abstractNum>
  <w:abstractNum w:abstractNumId="66">
    <w:nsid w:val="26A02C5E"/>
    <w:multiLevelType w:val="hybridMultilevel"/>
    <w:lvl w:ilvl="0">
      <w:lvlJc w:val="left"/>
      <w:lvlText w:val="(%1)"/>
      <w:numFmt w:val="decimal"/>
      <w:start w:val="2"/>
    </w:lvl>
    <w:lvl w:ilvl="1">
      <w:lvlJc w:val="left"/>
      <w:lvlText w:val="(%2)"/>
      <w:numFmt w:val="lowerLetter"/>
      <w:start w:val="1"/>
    </w:lvl>
  </w:abstractNum>
  <w:abstractNum w:abstractNumId="67">
    <w:nsid w:val="541C8153"/>
    <w:multiLevelType w:val="hybridMultilevel"/>
    <w:lvl w:ilvl="0">
      <w:lvlJc w:val="left"/>
      <w:lvlText w:val="(%1)"/>
      <w:numFmt w:val="decimal"/>
      <w:start w:val="4"/>
    </w:lvl>
  </w:abstractNum>
  <w:abstractNum w:abstractNumId="68">
    <w:nsid w:val="67906F60"/>
    <w:multiLevelType w:val="hybridMultilevel"/>
    <w:lvl w:ilvl="0">
      <w:lvlJc w:val="left"/>
      <w:lvlText w:val="(%1)"/>
      <w:numFmt w:val="lowerLetter"/>
      <w:start w:val="6"/>
    </w:lvl>
  </w:abstractNum>
  <w:abstractNum w:abstractNumId="69">
    <w:nsid w:val="10DB9DAA"/>
    <w:multiLevelType w:val="hybridMultilevel"/>
    <w:lvl w:ilvl="0">
      <w:lvlJc w:val="left"/>
      <w:lvlText w:val="(%1)"/>
      <w:numFmt w:val="lowerLetter"/>
      <w:start w:val="8"/>
    </w:lvl>
  </w:abstractNum>
  <w:abstractNum w:abstractNumId="70">
    <w:nsid w:val="697D2D2"/>
    <w:multiLevelType w:val="hybridMultilevel"/>
    <w:lvl w:ilvl="0">
      <w:lvlJc w:val="left"/>
      <w:lvlText w:val="(%1)"/>
      <w:numFmt w:val="lowerLetter"/>
      <w:start w:val="1"/>
    </w:lvl>
  </w:abstractNum>
  <w:abstractNum w:abstractNumId="71">
    <w:nsid w:val="6D68AB2"/>
    <w:multiLevelType w:val="hybridMultilevel"/>
    <w:lvl w:ilvl="0">
      <w:lvlJc w:val="left"/>
      <w:lvlText w:val="%1"/>
      <w:numFmt w:val="lowerLetter"/>
      <w:start w:val="1"/>
    </w:lvl>
    <w:lvl w:ilvl="1">
      <w:lvlJc w:val="left"/>
      <w:lvlText w:val="(%2)"/>
      <w:numFmt w:val="lowerLetter"/>
      <w:start w:val="1"/>
    </w:lvl>
  </w:abstractNum>
  <w:abstractNum w:abstractNumId="72">
    <w:nsid w:val="3A966CD0"/>
    <w:multiLevelType w:val="hybridMultilevel"/>
    <w:lvl w:ilvl="0">
      <w:lvlJc w:val="left"/>
      <w:lvlText w:val="(%1)"/>
      <w:numFmt w:val="lowerLetter"/>
      <w:start w:val="1"/>
    </w:lvl>
    <w:lvl w:ilvl="1">
      <w:lvlJc w:val="left"/>
      <w:lvlText w:val="%2"/>
      <w:numFmt w:val="lowerLetter"/>
      <w:start w:val="1"/>
    </w:lvl>
  </w:abstractNum>
  <w:abstractNum w:abstractNumId="73">
    <w:nsid w:val="63F37E85"/>
    <w:multiLevelType w:val="hybridMultilevel"/>
    <w:lvl w:ilvl="0">
      <w:lvlJc w:val="left"/>
      <w:lvlText w:val="(%1)"/>
      <w:numFmt w:val="lowerLetter"/>
      <w:start w:val="1"/>
    </w:lvl>
  </w:abstractNum>
  <w:abstractNum w:abstractNumId="74">
    <w:nsid w:val="5895F5FA"/>
    <w:multiLevelType w:val="hybridMultilevel"/>
    <w:lvl w:ilvl="0">
      <w:lvlJc w:val="left"/>
      <w:lvlText w:val="(%1)"/>
      <w:numFmt w:val="lowerLetter"/>
      <w:start w:val="1"/>
    </w:lvl>
  </w:abstractNum>
  <w:abstractNum w:abstractNumId="75">
    <w:nsid w:val="38A5D054"/>
    <w:multiLevelType w:val="hybridMultilevel"/>
    <w:lvl w:ilvl="0">
      <w:lvlJc w:val="left"/>
      <w:lvlText w:val="(%1)"/>
      <w:numFmt w:val="lowerLetter"/>
      <w:start w:val="3"/>
    </w:lvl>
  </w:abstractNum>
  <w:abstractNum w:abstractNumId="76">
    <w:nsid w:val="F3F09D8"/>
    <w:multiLevelType w:val="hybridMultilevel"/>
    <w:lvl w:ilvl="0">
      <w:lvlJc w:val="left"/>
      <w:lvlText w:val="%1."/>
      <w:numFmt w:val="decimal"/>
      <w:start w:val="3"/>
    </w:lvl>
  </w:abstractNum>
  <w:abstractNum w:abstractNumId="77">
    <w:nsid w:val="4B793735"/>
    <w:multiLevelType w:val="hybridMultilevel"/>
    <w:lvl w:ilvl="0">
      <w:lvlJc w:val="left"/>
      <w:lvlText w:val="(%1)"/>
      <w:numFmt w:val="lowerLetter"/>
      <w:start w:val="1"/>
    </w:lvl>
  </w:abstractNum>
  <w:abstractNum w:abstractNumId="78">
    <w:nsid w:val="4A10B4E8"/>
    <w:multiLevelType w:val="hybridMultilevel"/>
    <w:lvl w:ilvl="0">
      <w:lvlJc w:val="left"/>
      <w:lvlText w:val="%1"/>
      <w:numFmt w:val="upperLetter"/>
      <w:start w:val="1"/>
    </w:lvl>
    <w:lvl w:ilvl="1">
      <w:lvlJc w:val="left"/>
      <w:lvlText w:val="(%2)"/>
      <w:numFmt w:val="lowerLetter"/>
      <w:start w:val="3"/>
    </w:lvl>
  </w:abstractNum>
  <w:abstractNum w:abstractNumId="79">
    <w:nsid w:val="43D3BCD4"/>
    <w:multiLevelType w:val="hybridMultilevel"/>
    <w:lvl w:ilvl="0">
      <w:lvlJc w:val="left"/>
      <w:lvlText w:val="(%1)"/>
      <w:numFmt w:val="lowerLetter"/>
      <w:start w:val="15"/>
    </w:lvl>
  </w:abstractNum>
  <w:abstractNum w:abstractNumId="80">
    <w:nsid w:val="4C2A7166"/>
    <w:multiLevelType w:val="hybridMultilevel"/>
    <w:lvl w:ilvl="0">
      <w:lvlJc w:val="left"/>
      <w:lvlText w:val="(%1)"/>
      <w:numFmt w:val="lowerLetter"/>
      <w:start w:val="1"/>
    </w:lvl>
  </w:abstractNum>
  <w:abstractNum w:abstractNumId="81">
    <w:nsid w:val="2E534A82"/>
    <w:multiLevelType w:val="hybridMultilevel"/>
    <w:lvl w:ilvl="0">
      <w:lvlJc w:val="left"/>
      <w:lvlText w:val="%1."/>
      <w:numFmt w:val="decimal"/>
      <w:start w:val="4"/>
    </w:lvl>
  </w:abstractNum>
  <w:abstractNum w:abstractNumId="82">
    <w:nsid w:val="26F2D364"/>
    <w:multiLevelType w:val="hybridMultilevel"/>
    <w:lvl w:ilvl="0">
      <w:lvlJc w:val="left"/>
      <w:lvlText w:val="(%1)"/>
      <w:numFmt w:val="lowerLetter"/>
      <w:start w:val="1"/>
    </w:lvl>
  </w:abstractNum>
  <w:abstractNum w:abstractNumId="83">
    <w:nsid w:val="71C1AF98"/>
    <w:multiLevelType w:val="hybridMultilevel"/>
    <w:lvl w:ilvl="0">
      <w:lvlJc w:val="left"/>
      <w:lvlText w:val="(%1)"/>
      <w:numFmt w:val="lowerLetter"/>
      <w:start w:val="9"/>
    </w:lvl>
  </w:abstractNum>
  <w:abstractNum w:abstractNumId="84">
    <w:nsid w:val="3D00B9D9"/>
    <w:multiLevelType w:val="hybridMultilevel"/>
    <w:lvl w:ilvl="0">
      <w:lvlJc w:val="left"/>
      <w:lvlText w:val="(%1)"/>
      <w:numFmt w:val="lowerLetter"/>
      <w:start w:val="1"/>
    </w:lvl>
  </w:abstractNum>
  <w:abstractNum w:abstractNumId="85">
    <w:nsid w:val="15BCABA8"/>
    <w:multiLevelType w:val="hybridMultilevel"/>
    <w:lvl w:ilvl="0">
      <w:lvlJc w:val="left"/>
      <w:lvlText w:val="(%1)"/>
      <w:numFmt w:val="lowerLetter"/>
      <w:start w:val="4"/>
    </w:lvl>
  </w:abstractNum>
  <w:abstractNum w:abstractNumId="86">
    <w:nsid w:val="4E0B9A87"/>
    <w:multiLevelType w:val="hybridMultilevel"/>
    <w:lvl w:ilvl="0">
      <w:lvlJc w:val="left"/>
      <w:lvlText w:val="(%1)"/>
      <w:numFmt w:val="lowerLetter"/>
      <w:start w:val="9"/>
    </w:lvl>
  </w:abstractNum>
  <w:abstractNum w:abstractNumId="87">
    <w:nsid w:val="434BAE75"/>
    <w:multiLevelType w:val="hybridMultilevel"/>
    <w:lvl w:ilvl="0">
      <w:lvlJc w:val="left"/>
      <w:lvlText w:val="(%1)"/>
      <w:numFmt w:val="lowerLetter"/>
      <w:start w:val="16"/>
    </w:lvl>
  </w:abstractNum>
  <w:abstractNum w:abstractNumId="88">
    <w:nsid w:val="4F38F265"/>
    <w:multiLevelType w:val="hybridMultilevel"/>
    <w:lvl w:ilvl="0">
      <w:lvlJc w:val="left"/>
      <w:lvlText w:val="(%1)"/>
      <w:numFmt w:val="lowerLetter"/>
      <w:start w:val="1"/>
    </w:lvl>
  </w:abstractNum>
  <w:abstractNum w:abstractNumId="89">
    <w:nsid w:val="4C502870"/>
    <w:multiLevelType w:val="hybridMultilevel"/>
    <w:lvl w:ilvl="0">
      <w:lvlJc w:val="left"/>
      <w:lvlText w:val="(%1)"/>
      <w:numFmt w:val="lowerLetter"/>
      <w:start w:val="2"/>
    </w:lvl>
  </w:abstractNum>
  <w:abstractNum w:abstractNumId="90">
    <w:nsid w:val="1DE8725A"/>
    <w:multiLevelType w:val="hybridMultilevel"/>
    <w:lvl w:ilvl="0">
      <w:lvlJc w:val="left"/>
      <w:lvlText w:val="(%1)"/>
      <w:numFmt w:val="lowerLetter"/>
      <w:start w:val="1"/>
    </w:lvl>
  </w:abstractNum>
  <w:abstractNum w:abstractNumId="91">
    <w:nsid w:val="6A37288A"/>
    <w:multiLevelType w:val="hybridMultilevel"/>
    <w:lvl w:ilvl="0">
      <w:lvlJc w:val="left"/>
      <w:lvlText w:val="(%1)"/>
      <w:numFmt w:val="lowerLetter"/>
      <w:start w:val="3"/>
    </w:lvl>
  </w:abstractNum>
  <w:abstractNum w:abstractNumId="92">
    <w:nsid w:val="8F8B73F"/>
    <w:multiLevelType w:val="hybridMultilevel"/>
    <w:lvl w:ilvl="0">
      <w:lvlJc w:val="left"/>
      <w:lvlText w:val="(%1)"/>
      <w:numFmt w:val="lowerLetter"/>
      <w:start w:val="1"/>
    </w:lvl>
    <w:lvl w:ilvl="1">
      <w:lvlJc w:val="left"/>
      <w:lvlText w:val="(%2)"/>
      <w:numFmt w:val="lowerLetter"/>
      <w:start w:val="9"/>
    </w:lvl>
  </w:abstractNum>
  <w:abstractNum w:abstractNumId="93">
    <w:nsid w:val="CA6B462"/>
    <w:multiLevelType w:val="hybridMultilevel"/>
    <w:lvl w:ilvl="0">
      <w:lvlJc w:val="left"/>
      <w:lvlText w:val="(%1)"/>
      <w:numFmt w:val="lowerLetter"/>
      <w:start w:val="3"/>
    </w:lvl>
  </w:abstractNum>
  <w:abstractNum w:abstractNumId="94">
    <w:nsid w:val="763CB680"/>
    <w:multiLevelType w:val="hybridMultilevel"/>
    <w:lvl w:ilvl="0">
      <w:lvlJc w:val="left"/>
      <w:lvlText w:val="(%1)"/>
      <w:numFmt w:val="lowerLetter"/>
      <w:start w:val="4"/>
    </w:lvl>
  </w:abstractNum>
  <w:abstractNum w:abstractNumId="95">
    <w:nsid w:val="15B71329"/>
    <w:multiLevelType w:val="hybridMultilevel"/>
    <w:lvl w:ilvl="0">
      <w:lvlJc w:val="left"/>
      <w:lvlText w:val="(%1)"/>
      <w:numFmt w:val="lowerLetter"/>
      <w:start w:val="8"/>
    </w:lvl>
  </w:abstractNum>
  <w:abstractNum w:abstractNumId="96">
    <w:nsid w:val="3DA97044"/>
    <w:multiLevelType w:val="hybridMultilevel"/>
    <w:lvl w:ilvl="0">
      <w:lvlJc w:val="left"/>
      <w:lvlText w:val="(%1)"/>
      <w:numFmt w:val="lowerLetter"/>
      <w:start w:val="1"/>
    </w:lvl>
  </w:abstractNum>
  <w:abstractNum w:abstractNumId="97">
    <w:nsid w:val="1CDCE2DE"/>
    <w:multiLevelType w:val="hybridMultilevel"/>
    <w:lvl w:ilvl="0">
      <w:lvlJc w:val="left"/>
      <w:lvlText w:val="(%1)"/>
      <w:numFmt w:val="lowerLetter"/>
      <w:start w:val="1"/>
    </w:lvl>
  </w:abstractNum>
  <w:abstractNum w:abstractNumId="98">
    <w:nsid w:val="69D3947C"/>
    <w:multiLevelType w:val="hybridMultilevel"/>
    <w:lvl w:ilvl="0">
      <w:lvlJc w:val="left"/>
      <w:lvlText w:val="(%1)"/>
      <w:numFmt w:val="lowerLetter"/>
      <w:start w:val="1"/>
    </w:lvl>
  </w:abstractNum>
  <w:abstractNum w:abstractNumId="99">
    <w:nsid w:val="2539DFA5"/>
    <w:multiLevelType w:val="hybridMultilevel"/>
    <w:lvl w:ilvl="0">
      <w:lvlJc w:val="left"/>
      <w:lvlText w:val="(%1)"/>
      <w:numFmt w:val="lowerLetter"/>
      <w:start w:val="2"/>
    </w:lvl>
  </w:abstractNum>
  <w:abstractNum w:abstractNumId="100">
    <w:nsid w:val="2DB88089"/>
    <w:multiLevelType w:val="hybridMultilevel"/>
    <w:lvl w:ilvl="0">
      <w:lvlJc w:val="left"/>
      <w:lvlText w:val="%1"/>
      <w:numFmt w:val="lowerLetter"/>
      <w:start w:val="1"/>
    </w:lvl>
    <w:lvl w:ilvl="1">
      <w:lvlJc w:val="left"/>
      <w:lvlText w:val="(%2)"/>
      <w:numFmt w:val="lowerLetter"/>
      <w:start w:val="1"/>
    </w:lvl>
  </w:abstractNum>
  <w:abstractNum w:abstractNumId="101">
    <w:nsid w:val="706B674E"/>
    <w:multiLevelType w:val="hybridMultilevel"/>
    <w:lvl w:ilvl="0">
      <w:lvlJc w:val="left"/>
      <w:lvlText w:val="(%1)"/>
      <w:numFmt w:val="lowerLetter"/>
      <w:start w:val="5"/>
    </w:lvl>
    <w:lvl w:ilvl="1">
      <w:lvlJc w:val="left"/>
      <w:lvlText w:val="(%2)"/>
      <w:numFmt w:val="lowerLetter"/>
      <w:start w:val="2"/>
    </w:lvl>
  </w:abstractNum>
  <w:abstractNum w:abstractNumId="102">
    <w:nsid w:val="2C106A57"/>
    <w:multiLevelType w:val="hybridMultilevel"/>
    <w:lvl w:ilvl="0">
      <w:lvlJc w:val="left"/>
      <w:lvlText w:val="%1."/>
      <w:numFmt w:val="decimal"/>
      <w:start w:val="5"/>
    </w:lvl>
  </w:abstractNum>
  <w:abstractNum w:abstractNumId="103">
    <w:nsid w:val="684EED59"/>
    <w:multiLevelType w:val="hybridMultilevel"/>
    <w:lvl w:ilvl="0">
      <w:lvlJc w:val="left"/>
      <w:lvlText w:val="(%1)"/>
      <w:numFmt w:val="lowerLetter"/>
      <w:start w:val="1"/>
    </w:lvl>
    <w:lvl w:ilvl="1">
      <w:lvlJc w:val="left"/>
      <w:lvlText w:val="(%2)"/>
      <w:numFmt w:val="lowerLetter"/>
      <w:start w:val="9"/>
    </w:lvl>
  </w:abstractNum>
  <w:abstractNum w:abstractNumId="104">
    <w:nsid w:val="545EE5D3"/>
    <w:multiLevelType w:val="hybridMultilevel"/>
    <w:lvl w:ilvl="0">
      <w:lvlJc w:val="left"/>
      <w:lvlText w:val="(%1)"/>
      <w:numFmt w:val="lowerLetter"/>
      <w:start w:val="2"/>
    </w:lvl>
    <w:lvl w:ilvl="1">
      <w:lvlJc w:val="left"/>
      <w:lvlText w:val="(%2)"/>
      <w:numFmt w:val="lowerLetter"/>
      <w:start w:val="9"/>
    </w:lvl>
  </w:abstractNum>
  <w:abstractNum w:abstractNumId="105">
    <w:nsid w:val="4A66051"/>
    <w:multiLevelType w:val="hybridMultilevel"/>
    <w:lvl w:ilvl="0">
      <w:lvlJc w:val="left"/>
      <w:lvlText w:val="(%1)"/>
      <w:numFmt w:val="lowerLetter"/>
      <w:start w:val="4"/>
    </w:lvl>
  </w:abstractNum>
  <w:abstractNum w:abstractNumId="106">
    <w:nsid w:val="20F4BDAD"/>
    <w:multiLevelType w:val="hybridMultilevel"/>
    <w:lvl w:ilvl="0">
      <w:lvlJc w:val="left"/>
      <w:lvlText w:val="(%1)"/>
      <w:numFmt w:val="upperLetter"/>
      <w:start w:val="2"/>
    </w:lvl>
  </w:abstractNum>
  <w:abstractNum w:abstractNumId="107">
    <w:nsid w:val="639DEFAC"/>
    <w:multiLevelType w:val="hybridMultilevel"/>
    <w:lvl w:ilvl="0">
      <w:lvlJc w:val="left"/>
      <w:lvlText w:val="(%1)"/>
      <w:numFmt w:val="lowerLetter"/>
      <w:start w:val="6"/>
    </w:lvl>
  </w:abstractNum>
  <w:abstractNum w:abstractNumId="108">
    <w:nsid w:val="501F9786"/>
    <w:multiLevelType w:val="hybridMultilevel"/>
    <w:lvl w:ilvl="0">
      <w:lvlJc w:val="left"/>
      <w:lvlText w:val="(%1)"/>
      <w:numFmt w:val="decimal"/>
      <w:start w:val="10"/>
    </w:lvl>
  </w:abstractNum>
  <w:abstractNum w:abstractNumId="109">
    <w:nsid w:val="6B057295"/>
    <w:multiLevelType w:val="hybridMultilevel"/>
    <w:lvl w:ilvl="0">
      <w:lvlJc w:val="left"/>
      <w:lvlText w:val="(%1)"/>
      <w:numFmt w:val="lowerLetter"/>
      <w:start w:val="1"/>
    </w:lvl>
  </w:abstractNum>
  <w:abstractNum w:abstractNumId="110">
    <w:nsid w:val="2771AC80"/>
    <w:multiLevelType w:val="hybridMultilevel"/>
    <w:lvl w:ilvl="0">
      <w:lvlJc w:val="left"/>
      <w:lvlText w:val="(%1)"/>
      <w:numFmt w:val="lowerLetter"/>
      <w:start w:val="2"/>
    </w:lvl>
  </w:abstractNum>
  <w:abstractNum w:abstractNumId="111">
    <w:nsid w:val="1C4A08EC"/>
    <w:multiLevelType w:val="hybridMultilevel"/>
    <w:lvl w:ilvl="0">
      <w:lvlJc w:val="left"/>
      <w:lvlText w:val="(%1)"/>
      <w:numFmt w:val="lowerLetter"/>
      <w:start w:val="1"/>
    </w:lvl>
  </w:abstractNum>
  <w:abstractNum w:abstractNumId="112">
    <w:nsid w:val="1958BD17"/>
    <w:multiLevelType w:val="hybridMultilevel"/>
    <w:lvl w:ilvl="0">
      <w:lvlJc w:val="left"/>
      <w:lvlText w:val="%1"/>
      <w:numFmt w:val="decimal"/>
      <w:start w:val="1"/>
    </w:lvl>
    <w:lvl w:ilvl="1">
      <w:lvlJc w:val="left"/>
      <w:lvlText w:val="(%2)"/>
      <w:numFmt w:val="lowerLetter"/>
      <w:start w:val="2"/>
    </w:lvl>
  </w:abstractNum>
  <w:abstractNum w:abstractNumId="113">
    <w:nsid w:val="4E647FE4"/>
    <w:multiLevelType w:val="hybridMultilevel"/>
    <w:lvl w:ilvl="0">
      <w:lvlJc w:val="left"/>
      <w:lvlText w:val="(%1)"/>
      <w:numFmt w:val="decimal"/>
      <w:start w:val="45"/>
    </w:lvl>
    <w:lvl w:ilvl="1">
      <w:lvlJc w:val="left"/>
      <w:lvlText w:val="%2"/>
      <w:numFmt w:val="lowerLetter"/>
      <w:start w:val="1"/>
    </w:lvl>
  </w:abstractNum>
  <w:abstractNum w:abstractNumId="114">
    <w:nsid w:val="E0BB885"/>
    <w:multiLevelType w:val="hybridMultilevel"/>
    <w:lvl w:ilvl="0">
      <w:lvlJc w:val="left"/>
      <w:lvlText w:val="(%1)"/>
      <w:numFmt w:val="lowerLetter"/>
      <w:start w:val="1"/>
    </w:lvl>
  </w:abstractNum>
  <w:abstractNum w:abstractNumId="115">
    <w:nsid w:val="565976F1"/>
    <w:multiLevelType w:val="hybridMultilevel"/>
    <w:lvl w:ilvl="0">
      <w:lvlJc w:val="left"/>
      <w:lvlText w:val="(%1)"/>
      <w:numFmt w:val="lowerLetter"/>
      <w:start w:val="1"/>
    </w:lvl>
    <w:lvl w:ilvl="1">
      <w:lvlJc w:val="left"/>
      <w:lvlText w:val="(%2)"/>
      <w:numFmt w:val="lowerLetter"/>
      <w:start w:val="9"/>
    </w:lvl>
  </w:abstractNum>
  <w:abstractNum w:abstractNumId="116">
    <w:nsid w:val="64212B8C"/>
    <w:multiLevelType w:val="hybridMultilevel"/>
    <w:lvl w:ilvl="0">
      <w:lvlJc w:val="left"/>
      <w:lvlText w:val="(%1)"/>
      <w:numFmt w:val="lowerLetter"/>
      <w:start w:val="2"/>
    </w:lvl>
  </w:abstractNum>
  <w:abstractNum w:abstractNumId="117">
    <w:nsid w:val="5C17530C"/>
    <w:multiLevelType w:val="hybridMultilevel"/>
    <w:lvl w:ilvl="0">
      <w:lvlJc w:val="left"/>
      <w:lvlText w:val="(%1)"/>
      <w:numFmt w:val="lowerLetter"/>
      <w:start w:val="1"/>
    </w:lvl>
  </w:abstractNum>
  <w:abstractNum w:abstractNumId="118">
    <w:nsid w:val="19A52566"/>
    <w:multiLevelType w:val="hybridMultilevel"/>
    <w:lvl w:ilvl="0">
      <w:lvlJc w:val="left"/>
      <w:lvlText w:val="%1."/>
      <w:numFmt w:val="decimal"/>
      <w:start w:val="6"/>
    </w:lvl>
  </w:abstractNum>
  <w:abstractNum w:abstractNumId="119">
    <w:nsid w:val="335A1DF1"/>
    <w:multiLevelType w:val="hybridMultilevel"/>
    <w:lvl w:ilvl="0">
      <w:lvlJc w:val="left"/>
      <w:lvlText w:val="(%1)"/>
      <w:numFmt w:val="lowerLetter"/>
      <w:start w:val="1"/>
    </w:lvl>
  </w:abstractNum>
  <w:abstractNum w:abstractNumId="120">
    <w:nsid w:val="28677B7C"/>
    <w:multiLevelType w:val="hybridMultilevel"/>
    <w:lvl w:ilvl="0">
      <w:lvlJc w:val="left"/>
      <w:lvlText w:val="(%1)"/>
      <w:numFmt w:val="lowerLetter"/>
      <w:start w:val="1"/>
    </w:lvl>
  </w:abstractNum>
  <w:abstractNum w:abstractNumId="121">
    <w:nsid w:val="378D97C0"/>
    <w:multiLevelType w:val="hybridMultilevel"/>
    <w:lvl w:ilvl="0">
      <w:lvlJc w:val="left"/>
      <w:lvlText w:val="(%1)"/>
      <w:numFmt w:val="lowerLetter"/>
      <w:start w:val="2"/>
    </w:lvl>
  </w:abstractNum>
  <w:abstractNum w:abstractNumId="122">
    <w:nsid w:val="1D91467C"/>
    <w:multiLevelType w:val="hybridMultilevel"/>
    <w:lvl w:ilvl="0">
      <w:lvlJc w:val="left"/>
      <w:lvlText w:val="(%1)"/>
      <w:numFmt w:val="lowerLetter"/>
      <w:start w:val="1"/>
    </w:lvl>
  </w:abstractNum>
  <w:abstractNum w:abstractNumId="123">
    <w:nsid w:val="316032BB"/>
    <w:multiLevelType w:val="hybridMultilevel"/>
    <w:lvl w:ilvl="0">
      <w:lvlJc w:val="left"/>
      <w:lvlText w:val="(%1)"/>
      <w:numFmt w:val="lowerRoman"/>
      <w:start w:val="3"/>
    </w:lvl>
  </w:abstractNum>
  <w:abstractNum w:abstractNumId="124">
    <w:nsid w:val="44344C22"/>
    <w:multiLevelType w:val="hybridMultilevel"/>
    <w:lvl w:ilvl="0">
      <w:lvlJc w:val="left"/>
      <w:lvlText w:val="(%1)"/>
      <w:numFmt w:val="lowerLetter"/>
      <w:start w:val="1"/>
    </w:lvl>
  </w:abstractNum>
  <w:abstractNum w:abstractNumId="125">
    <w:nsid w:val="13CDFCFC"/>
    <w:multiLevelType w:val="hybridMultilevel"/>
    <w:lvl w:ilvl="0">
      <w:lvlJc w:val="left"/>
      <w:lvlText w:val="(%1)"/>
      <w:numFmt w:val="lowerLetter"/>
      <w:start w:val="1"/>
    </w:lvl>
  </w:abstractNum>
  <w:abstractNum w:abstractNumId="126">
    <w:nsid w:val="471745E4"/>
    <w:multiLevelType w:val="hybridMultilevel"/>
    <w:lvl w:ilvl="0">
      <w:lvlJc w:val="left"/>
      <w:lvlText w:val="(%1)"/>
      <w:numFmt w:val="lowerLetter"/>
      <w:start w:val="1"/>
    </w:lvl>
  </w:abstractNum>
  <w:abstractNum w:abstractNumId="127">
    <w:nsid w:val="1DDBC66"/>
    <w:multiLevelType w:val="hybridMultilevel"/>
    <w:lvl w:ilvl="0">
      <w:lvlJc w:val="left"/>
      <w:lvlText w:val="(%1)"/>
      <w:numFmt w:val="lowerLetter"/>
      <w:start w:val="1"/>
    </w:lvl>
  </w:abstractNum>
  <w:abstractNum w:abstractNumId="128">
    <w:nsid w:val="30AADFDA"/>
    <w:multiLevelType w:val="hybridMultilevel"/>
    <w:lvl w:ilvl="0">
      <w:lvlJc w:val="left"/>
      <w:lvlText w:val="%1."/>
      <w:numFmt w:val="decimal"/>
      <w:start w:val="7"/>
    </w:lvl>
  </w:abstractNum>
  <w:abstractNum w:abstractNumId="129">
    <w:nsid w:val="30EADA61"/>
    <w:multiLevelType w:val="hybridMultilevel"/>
    <w:lvl w:ilvl="0">
      <w:lvlJc w:val="left"/>
      <w:lvlText w:val="(%1)"/>
      <w:numFmt w:val="lowerLetter"/>
      <w:start w:val="1"/>
    </w:lvl>
  </w:abstractNum>
  <w:abstractNum w:abstractNumId="130">
    <w:nsid w:val="27179C0B"/>
    <w:multiLevelType w:val="hybridMultilevel"/>
    <w:lvl w:ilvl="0">
      <w:lvlJc w:val="left"/>
      <w:lvlText w:val="(%1)"/>
      <w:numFmt w:val="lowerLetter"/>
      <w:start w:val="1"/>
    </w:lvl>
  </w:abstractNum>
  <w:abstractNum w:abstractNumId="131">
    <w:nsid w:val="5E636063"/>
    <w:multiLevelType w:val="hybridMultilevel"/>
    <w:lvl w:ilvl="0">
      <w:lvlJc w:val="left"/>
      <w:lvlText w:val="(%1)"/>
      <w:numFmt w:val="lowerLetter"/>
      <w:start w:val="1"/>
    </w:lvl>
  </w:abstractNum>
  <w:abstractNum w:abstractNumId="132">
    <w:nsid w:val="215641AF"/>
    <w:multiLevelType w:val="hybridMultilevel"/>
    <w:lvl w:ilvl="0">
      <w:lvlJc w:val="left"/>
      <w:lvlText w:val="(%1)"/>
      <w:numFmt w:val="lowerLetter"/>
      <w:start w:val="3"/>
    </w:lvl>
  </w:abstractNum>
  <w:abstractNum w:abstractNumId="133">
    <w:nsid w:val="53280662"/>
    <w:multiLevelType w:val="hybridMultilevel"/>
    <w:lvl w:ilvl="0">
      <w:lvlJc w:val="left"/>
      <w:lvlText w:val="(%1)"/>
      <w:numFmt w:val="lowerLetter"/>
      <w:start w:val="1"/>
    </w:lvl>
  </w:abstractNum>
  <w:abstractNum w:abstractNumId="134">
    <w:nsid w:val="46B24DBC"/>
    <w:multiLevelType w:val="hybridMultilevel"/>
    <w:lvl w:ilvl="0">
      <w:lvlJc w:val="left"/>
      <w:lvlText w:val="%1."/>
      <w:numFmt w:val="decimal"/>
      <w:start w:val="8"/>
    </w:lvl>
  </w:abstractNum>
  <w:abstractNum w:abstractNumId="135">
    <w:nsid w:val="75B52783"/>
    <w:multiLevelType w:val="hybridMultilevel"/>
    <w:lvl w:ilvl="0">
      <w:lvlJc w:val="left"/>
      <w:lvlText w:val="(%1)"/>
      <w:numFmt w:val="lowerLetter"/>
      <w:start w:val="1"/>
    </w:lvl>
  </w:abstractNum>
  <w:abstractNum w:abstractNumId="136">
    <w:nsid w:val="57CE66B4"/>
    <w:multiLevelType w:val="hybridMultilevel"/>
    <w:lvl w:ilvl="0">
      <w:lvlJc w:val="left"/>
      <w:lvlText w:val="(%1)"/>
      <w:numFmt w:val="lowerLetter"/>
      <w:start w:val="7"/>
    </w:lvl>
  </w:abstractNum>
  <w:abstractNum w:abstractNumId="137">
    <w:nsid w:val="67A70B69"/>
    <w:multiLevelType w:val="hybridMultilevel"/>
    <w:lvl w:ilvl="0">
      <w:lvlJc w:val="left"/>
      <w:lvlText w:val="(%1)"/>
      <w:numFmt w:val="lowerLetter"/>
      <w:start w:val="1"/>
    </w:lvl>
  </w:abstractNum>
  <w:abstractNum w:abstractNumId="138">
    <w:nsid w:val="5953172F"/>
    <w:multiLevelType w:val="hybridMultilevel"/>
    <w:lvl w:ilvl="0">
      <w:lvlJc w:val="left"/>
      <w:lvlText w:val="(%1)"/>
      <w:numFmt w:val="lowerRoman"/>
      <w:start w:val="1"/>
    </w:lvl>
  </w:abstractNum>
  <w:abstractNum w:abstractNumId="139">
    <w:nsid w:val="27EDFE3A"/>
    <w:multiLevelType w:val="hybridMultilevel"/>
    <w:lvl w:ilvl="0">
      <w:lvlJc w:val="left"/>
      <w:lvlText w:val="%1."/>
      <w:numFmt w:val="decimal"/>
      <w:start w:val="9"/>
    </w:lvl>
  </w:abstractNum>
  <w:abstractNum w:abstractNumId="140">
    <w:nsid w:val="52AC7DFF"/>
    <w:multiLevelType w:val="hybridMultilevel"/>
    <w:lvl w:ilvl="0">
      <w:lvlJc w:val="left"/>
      <w:lvlText w:val="(%1)"/>
      <w:numFmt w:val="lowerLetter"/>
      <w:start w:val="1"/>
    </w:lvl>
  </w:abstractNum>
  <w:abstractNum w:abstractNumId="141">
    <w:nsid w:val="C4C3AF"/>
    <w:multiLevelType w:val="hybridMultilevel"/>
    <w:lvl w:ilvl="0">
      <w:lvlJc w:val="left"/>
      <w:lvlText w:val="(%1)"/>
      <w:numFmt w:val="lowerLetter"/>
      <w:start w:val="2"/>
    </w:lvl>
  </w:abstractNum>
  <w:abstractNum w:abstractNumId="142">
    <w:nsid w:val="44380727"/>
    <w:multiLevelType w:val="hybridMultilevel"/>
    <w:lvl w:ilvl="0">
      <w:lvlJc w:val="left"/>
      <w:lvlText w:val="(%1)"/>
      <w:numFmt w:val="lowerLetter"/>
      <w:start w:val="25"/>
    </w:lvl>
    <w:lvl w:ilvl="1">
      <w:lvlJc w:val="left"/>
      <w:lvlText w:val="(%2)"/>
      <w:numFmt w:val="lowerLetter"/>
      <w:start w:val="3"/>
    </w:lvl>
  </w:abstractNum>
  <w:abstractNum w:abstractNumId="143">
    <w:nsid w:val="6C053B16"/>
    <w:multiLevelType w:val="hybridMultilevel"/>
    <w:lvl w:ilvl="0">
      <w:lvlJc w:val="left"/>
      <w:lvlText w:val="(%1)"/>
      <w:numFmt w:val="lowerLetter"/>
      <w:start w:val="2"/>
    </w:lvl>
    <w:lvl w:ilvl="1">
      <w:lvlJc w:val="left"/>
      <w:lvlText w:val="(%2)"/>
      <w:numFmt w:val="lowerLetter"/>
      <w:start w:val="4"/>
    </w:lvl>
  </w:abstractNum>
  <w:abstractNum w:abstractNumId="144">
    <w:nsid w:val="4F294393"/>
    <w:multiLevelType w:val="hybridMultilevel"/>
    <w:lvl w:ilvl="0">
      <w:lvlJc w:val="left"/>
      <w:lvlText w:val="(%1)"/>
      <w:numFmt w:val="lowerLetter"/>
      <w:start w:val="5"/>
    </w:lvl>
  </w:abstractNum>
  <w:abstractNum w:abstractNumId="145">
    <w:nsid w:val="5243BFAC"/>
    <w:multiLevelType w:val="hybridMultilevel"/>
    <w:lvl w:ilvl="0">
      <w:lvlJc w:val="left"/>
      <w:lvlText w:val="(%1)"/>
      <w:numFmt w:val="lowerLetter"/>
      <w:start w:val="1"/>
    </w:lvl>
  </w:abstractNum>
  <w:abstractNum w:abstractNumId="146">
    <w:nsid w:val="425EB207"/>
    <w:multiLevelType w:val="hybridMultilevel"/>
    <w:lvl w:ilvl="0">
      <w:lvlJc w:val="left"/>
      <w:lvlText w:val="(%1)"/>
      <w:numFmt w:val="lowerRoman"/>
      <w:start w:val="4"/>
    </w:lvl>
    <w:lvl w:ilvl="1">
      <w:lvlJc w:val="left"/>
      <w:lvlText w:val="(%2)"/>
      <w:numFmt w:val="lowerLetter"/>
      <w:start w:val="2"/>
    </w:lvl>
  </w:abstractNum>
  <w:abstractNum w:abstractNumId="147">
    <w:nsid w:val="334A6F1F"/>
    <w:multiLevelType w:val="hybridMultilevel"/>
    <w:lvl w:ilvl="0">
      <w:lvlJc w:val="left"/>
      <w:lvlText w:val="(%1)"/>
      <w:numFmt w:val="lowerLetter"/>
      <w:start w:val="1"/>
    </w:lvl>
    <w:lvl w:ilvl="1">
      <w:lvlJc w:val="left"/>
      <w:lvlText w:val="(%2)"/>
      <w:numFmt w:val="lowerLetter"/>
      <w:start w:val="9"/>
    </w:lvl>
  </w:abstractNum>
  <w:abstractNum w:abstractNumId="148">
    <w:nsid w:val="2E5B12B8"/>
    <w:multiLevelType w:val="hybridMultilevel"/>
    <w:lvl w:ilvl="0">
      <w:lvlJc w:val="left"/>
      <w:lvlText w:val="(%1)"/>
      <w:numFmt w:val="lowerLetter"/>
      <w:start w:val="2"/>
    </w:lvl>
  </w:abstractNum>
  <w:abstractNum w:abstractNumId="149">
    <w:nsid w:val="5C03D76D"/>
    <w:multiLevelType w:val="hybridMultilevel"/>
    <w:lvl w:ilvl="0">
      <w:lvlJc w:val="left"/>
      <w:lvlText w:val="(%1)"/>
      <w:numFmt w:val="lowerLetter"/>
      <w:start w:val="1"/>
    </w:lvl>
  </w:abstractNum>
  <w:abstractNum w:abstractNumId="150">
    <w:nsid w:val="66A48D11"/>
    <w:multiLevelType w:val="hybridMultilevel"/>
    <w:lvl w:ilvl="0">
      <w:lvlJc w:val="left"/>
      <w:lvlText w:val="(%1)"/>
      <w:numFmt w:val="lowerLetter"/>
      <w:start w:val="1"/>
    </w:lvl>
    <w:lvl w:ilvl="1">
      <w:lvlJc w:val="left"/>
      <w:lvlText w:val="(%2)"/>
      <w:numFmt w:val="lowerLetter"/>
      <w:start w:val="9"/>
    </w:lvl>
  </w:abstractNum>
  <w:abstractNum w:abstractNumId="151">
    <w:nsid w:val="56C28E34"/>
    <w:multiLevelType w:val="hybridMultilevel"/>
    <w:lvl w:ilvl="0">
      <w:lvlJc w:val="left"/>
      <w:lvlText w:val="(%1)"/>
      <w:numFmt w:val="lowerLetter"/>
      <w:start w:val="2"/>
    </w:lvl>
  </w:abstractNum>
  <w:abstractNum w:abstractNumId="152">
    <w:nsid w:val="13916F2D"/>
    <w:multiLevelType w:val="hybridMultilevel"/>
    <w:lvl w:ilvl="0">
      <w:lvlJc w:val="left"/>
      <w:lvlText w:val="(%1)"/>
      <w:numFmt w:val="lowerLetter"/>
      <w:start w:val="1"/>
    </w:lvl>
  </w:abstractNum>
  <w:abstractNum w:abstractNumId="153">
    <w:nsid w:val="435D38D"/>
    <w:multiLevelType w:val="hybridMultilevel"/>
    <w:lvl w:ilvl="0">
      <w:lvlJc w:val="left"/>
      <w:lvlText w:val="%1."/>
      <w:numFmt w:val="decimal"/>
      <w:start w:val="12"/>
    </w:lvl>
  </w:abstractNum>
  <w:abstractNum w:abstractNumId="154">
    <w:nsid w:val="822C0EF"/>
    <w:multiLevelType w:val="hybridMultilevel"/>
    <w:lvl w:ilvl="0">
      <w:lvlJc w:val="left"/>
      <w:lvlText w:val="(%1)"/>
      <w:numFmt w:val="lowerLetter"/>
      <w:start w:val="1"/>
    </w:lvl>
  </w:abstractNum>
  <w:abstractNum w:abstractNumId="155">
    <w:nsid w:val="57C5BB4F"/>
    <w:multiLevelType w:val="hybridMultilevel"/>
    <w:lvl w:ilvl="0">
      <w:lvlJc w:val="left"/>
      <w:lvlText w:val="(%1)"/>
      <w:numFmt w:val="lowerLetter"/>
      <w:start w:val="1"/>
    </w:lvl>
  </w:abstractNum>
  <w:abstractNum w:abstractNumId="156">
    <w:nsid w:val="1803D089"/>
    <w:multiLevelType w:val="hybridMultilevel"/>
    <w:lvl w:ilvl="0">
      <w:lvlJc w:val="left"/>
      <w:lvlText w:val="%1"/>
      <w:numFmt w:val="lowerRoman"/>
      <w:start w:val="1"/>
    </w:lvl>
    <w:lvl w:ilvl="1">
      <w:lvlJc w:val="left"/>
      <w:lvlText w:val="(%2)"/>
      <w:numFmt w:val="lowerLetter"/>
      <w:start w:val="5"/>
    </w:lvl>
  </w:abstractNum>
  <w:abstractNum w:abstractNumId="157">
    <w:nsid w:val="4F3A06D4"/>
    <w:multiLevelType w:val="hybridMultilevel"/>
    <w:lvl w:ilvl="0">
      <w:lvlJc w:val="left"/>
      <w:lvlText w:val="(%1)"/>
      <w:numFmt w:val="lowerRoman"/>
      <w:start w:val="4"/>
    </w:lvl>
    <w:lvl w:ilvl="1">
      <w:lvlJc w:val="left"/>
      <w:lvlText w:val="(%2)"/>
      <w:numFmt w:val="lowerLetter"/>
      <w:start w:val="7"/>
    </w:lvl>
  </w:abstractNum>
  <w:abstractNum w:abstractNumId="158">
    <w:nsid w:val="59A377B6"/>
    <w:multiLevelType w:val="hybridMultilevel"/>
    <w:lvl w:ilvl="0">
      <w:lvlJc w:val="left"/>
      <w:lvlText w:val="(%1)"/>
      <w:numFmt w:val="lowerRoman"/>
      <w:start w:val="2"/>
    </w:lvl>
    <w:lvl w:ilvl="1">
      <w:lvlJc w:val="left"/>
      <w:lvlText w:val="%2"/>
      <w:numFmt w:val="lowerLetter"/>
      <w:start w:val="1"/>
    </w:lvl>
  </w:abstractNum>
  <w:abstractNum w:abstractNumId="159">
    <w:nsid w:val="48AEB063"/>
    <w:multiLevelType w:val="hybridMultilevel"/>
    <w:lvl w:ilvl="0">
      <w:lvlJc w:val="left"/>
      <w:lvlText w:val="(%1)"/>
      <w:numFmt w:val="lowerLetter"/>
      <w:start w:val="12"/>
    </w:lvl>
  </w:abstractNum>
  <w:abstractNum w:abstractNumId="160">
    <w:nsid w:val="24E135"/>
    <w:multiLevelType w:val="hybridMultilevel"/>
    <w:lvl w:ilvl="0">
      <w:lvlJc w:val="left"/>
      <w:lvlText w:val="(%1)"/>
      <w:numFmt w:val="lowerLetter"/>
      <w:start w:val="1"/>
    </w:lvl>
  </w:abstractNum>
  <w:abstractNum w:abstractNumId="161">
    <w:nsid w:val="BB13C1"/>
    <w:multiLevelType w:val="hybridMultilevel"/>
    <w:lvl w:ilvl="0">
      <w:lvlJc w:val="left"/>
      <w:lvlText w:val="(%1)"/>
      <w:numFmt w:val="lowerLetter"/>
      <w:start w:val="1"/>
    </w:lvl>
  </w:abstractNum>
  <w:abstractNum w:abstractNumId="162">
    <w:nsid w:val="271210C7"/>
    <w:multiLevelType w:val="hybridMultilevel"/>
    <w:lvl w:ilvl="0">
      <w:lvlJc w:val="left"/>
      <w:lvlText w:val="(%1)"/>
      <w:numFmt w:val="lowerLetter"/>
      <w:start w:val="2"/>
    </w:lvl>
  </w:abstractNum>
  <w:abstractNum w:abstractNumId="163">
    <w:nsid w:val="217B22E4"/>
    <w:multiLevelType w:val="hybridMultilevel"/>
    <w:lvl w:ilvl="0">
      <w:lvlJc w:val="left"/>
      <w:lvlText w:val="(%1)"/>
      <w:numFmt w:val="lowerRoman"/>
      <w:start w:val="4"/>
    </w:lvl>
  </w:abstractNum>
  <w:abstractNum w:abstractNumId="164">
    <w:nsid w:val="53E31A24"/>
    <w:multiLevelType w:val="hybridMultilevel"/>
    <w:lvl w:ilvl="0">
      <w:lvlJc w:val="left"/>
      <w:lvlText w:val="(%1)"/>
      <w:numFmt w:val="lowerLetter"/>
      <w:start w:val="2"/>
    </w:lvl>
    <w:lvl w:ilvl="1">
      <w:lvlJc w:val="left"/>
      <w:lvlText w:val="(%2)"/>
      <w:numFmt w:val="lowerLetter"/>
      <w:start w:val="9"/>
    </w:lvl>
  </w:abstractNum>
  <w:abstractNum w:abstractNumId="165">
    <w:nsid w:val="6DC45E83"/>
    <w:multiLevelType w:val="hybridMultilevel"/>
    <w:lvl w:ilvl="0">
      <w:lvlJc w:val="left"/>
      <w:lvlText w:val="(%1)"/>
      <w:numFmt w:val="lowerLetter"/>
      <w:start w:val="3"/>
    </w:lvl>
  </w:abstractNum>
  <w:abstractNum w:abstractNumId="166">
    <w:nsid w:val="17304A67"/>
    <w:multiLevelType w:val="hybridMultilevel"/>
    <w:lvl w:ilvl="0">
      <w:lvlJc w:val="left"/>
      <w:lvlText w:val="(%1)"/>
      <w:numFmt w:val="lowerLetter"/>
      <w:start w:val="4"/>
    </w:lvl>
  </w:abstractNum>
  <w:abstractNum w:abstractNumId="167">
    <w:nsid w:val="2BB180D8"/>
    <w:multiLevelType w:val="hybridMultilevel"/>
    <w:lvl w:ilvl="0">
      <w:lvlJc w:val="left"/>
      <w:lvlText w:val="%1."/>
      <w:numFmt w:val="decimal"/>
      <w:start w:val="13"/>
    </w:lvl>
  </w:abstractNum>
  <w:abstractNum w:abstractNumId="168">
    <w:nsid w:val="556B69ED"/>
    <w:multiLevelType w:val="hybridMultilevel"/>
    <w:lvl w:ilvl="0">
      <w:lvlJc w:val="left"/>
      <w:lvlText w:val="(%1)"/>
      <w:numFmt w:val="lowerLetter"/>
      <w:start w:val="1"/>
    </w:lvl>
  </w:abstractNum>
  <w:abstractNum w:abstractNumId="169">
    <w:nsid w:val="70836196"/>
    <w:multiLevelType w:val="hybridMultilevel"/>
    <w:lvl w:ilvl="0">
      <w:lvlJc w:val="left"/>
      <w:lvlText w:val="(%1)"/>
      <w:numFmt w:val="lowerLetter"/>
      <w:start w:val="35"/>
    </w:lvl>
    <w:lvl w:ilvl="1">
      <w:lvlJc w:val="left"/>
      <w:lvlText w:val="(%2)"/>
      <w:numFmt w:val="lowerLetter"/>
      <w:start w:val="5"/>
    </w:lvl>
  </w:abstractNum>
  <w:abstractNum w:abstractNumId="170">
    <w:nsid w:val="539F7F12"/>
    <w:multiLevelType w:val="hybridMultilevel"/>
    <w:lvl w:ilvl="0">
      <w:lvlJc w:val="left"/>
      <w:lvlText w:val="(%1)"/>
      <w:numFmt w:val="lowerLetter"/>
      <w:start w:val="1"/>
    </w:lvl>
  </w:abstractNum>
  <w:abstractNum w:abstractNumId="171">
    <w:nsid w:val="2817E7EC"/>
    <w:multiLevelType w:val="hybridMultilevel"/>
    <w:lvl w:ilvl="0">
      <w:lvlJc w:val="left"/>
      <w:lvlText w:val="(%1)"/>
      <w:numFmt w:val="lowerRoman"/>
      <w:start w:val="10"/>
    </w:lvl>
  </w:abstractNum>
  <w:abstractNum w:abstractNumId="172">
    <w:nsid w:val="71482545"/>
    <w:multiLevelType w:val="hybridMultilevel"/>
    <w:lvl w:ilvl="0">
      <w:lvlJc w:val="left"/>
      <w:lvlText w:val="(%1)"/>
      <w:numFmt w:val="lowerLetter"/>
      <w:start w:val="1"/>
    </w:lvl>
  </w:abstractNum>
  <w:abstractNum w:abstractNumId="173">
    <w:nsid w:val="17D78639"/>
    <w:multiLevelType w:val="hybridMultilevel"/>
    <w:lvl w:ilvl="0">
      <w:lvlJc w:val="left"/>
      <w:lvlText w:val="%1."/>
      <w:numFmt w:val="decimal"/>
      <w:start w:val="14"/>
    </w:lvl>
  </w:abstractNum>
  <w:abstractNum w:abstractNumId="174">
    <w:nsid w:val="141D2302"/>
    <w:multiLevelType w:val="hybridMultilevel"/>
    <w:lvl w:ilvl="0">
      <w:lvlJc w:val="left"/>
      <w:lvlText w:val="(%1)"/>
      <w:numFmt w:val="lowerRoman"/>
      <w:start w:val="2"/>
    </w:lvl>
  </w:abstractNum>
  <w:abstractNum w:abstractNumId="175">
    <w:nsid w:val="407168D8"/>
    <w:multiLevelType w:val="hybridMultilevel"/>
    <w:lvl w:ilvl="0">
      <w:lvlJc w:val="left"/>
      <w:lvlText w:val="(%1)"/>
      <w:numFmt w:val="lowerLetter"/>
      <w:start w:val="1"/>
    </w:lvl>
  </w:abstractNum>
  <w:abstractNum w:abstractNumId="176">
    <w:nsid w:val="6A1B45E5"/>
    <w:multiLevelType w:val="hybridMultilevel"/>
    <w:lvl w:ilvl="0">
      <w:lvlJc w:val="left"/>
      <w:lvlText w:val="(%1)"/>
      <w:numFmt w:val="lowerLetter"/>
      <w:start w:val="1"/>
    </w:lvl>
  </w:abstractNum>
  <w:abstractNum w:abstractNumId="177">
    <w:nsid w:val="567BD50A"/>
    <w:multiLevelType w:val="hybridMultilevel"/>
    <w:lvl w:ilvl="0">
      <w:lvlJc w:val="left"/>
      <w:lvlText w:val="(%1)"/>
      <w:numFmt w:val="lowerLetter"/>
      <w:start w:val="1"/>
    </w:lvl>
  </w:abstractNum>
  <w:abstractNum w:abstractNumId="178">
    <w:nsid w:val="73BBD7F8"/>
    <w:multiLevelType w:val="hybridMultilevel"/>
    <w:lvl w:ilvl="0">
      <w:lvlJc w:val="left"/>
      <w:lvlText w:val="(%1)"/>
      <w:numFmt w:val="lowerLetter"/>
      <w:start w:val="2"/>
    </w:lvl>
  </w:abstractNum>
  <w:abstractNum w:abstractNumId="179">
    <w:nsid w:val="1876589D"/>
    <w:multiLevelType w:val="hybridMultilevel"/>
    <w:lvl w:ilvl="0">
      <w:lvlJc w:val="left"/>
      <w:lvlText w:val="(%1)"/>
      <w:numFmt w:val="lowerRoman"/>
      <w:start w:val="2"/>
    </w:lvl>
  </w:abstractNum>
  <w:abstractNum w:abstractNumId="180">
    <w:nsid w:val="327FAC77"/>
    <w:multiLevelType w:val="hybridMultilevel"/>
    <w:lvl w:ilvl="0">
      <w:lvlJc w:val="left"/>
      <w:lvlText w:val="(%1)"/>
      <w:numFmt w:val="lowerLetter"/>
      <w:start w:val="1"/>
    </w:lvl>
  </w:abstractNum>
  <w:abstractNum w:abstractNumId="181">
    <w:nsid w:val="5A606509"/>
    <w:multiLevelType w:val="hybridMultilevel"/>
    <w:lvl w:ilvl="0">
      <w:lvlJc w:val="left"/>
      <w:lvlText w:val="(%1)"/>
      <w:numFmt w:val="lowerLetter"/>
      <w:start w:val="1"/>
    </w:lvl>
  </w:abstractNum>
  <w:abstractNum w:abstractNumId="182">
    <w:nsid w:val="6F38E6D1"/>
    <w:multiLevelType w:val="hybridMultilevel"/>
    <w:lvl w:ilvl="0">
      <w:lvlJc w:val="left"/>
      <w:lvlText w:val="(%1)"/>
      <w:numFmt w:val="lowerLetter"/>
      <w:start w:val="4"/>
    </w:lvl>
  </w:abstractNum>
  <w:abstractNum w:abstractNumId="183">
    <w:nsid w:val="46111BA5"/>
    <w:multiLevelType w:val="hybridMultilevel"/>
    <w:lvl w:ilvl="0">
      <w:lvlJc w:val="left"/>
      <w:lvlText w:val="(%1)"/>
      <w:numFmt w:val="decimal"/>
      <w:start w:val="3"/>
    </w:lvl>
  </w:abstractNum>
  <w:abstractNum w:abstractNumId="184">
    <w:nsid w:val="5E963896"/>
    <w:multiLevelType w:val="hybridMultilevel"/>
    <w:lvl w:ilvl="0">
      <w:lvlJc w:val="left"/>
      <w:lvlText w:val="(%1)"/>
      <w:numFmt w:val="lowerRoman"/>
      <w:start w:val="1"/>
    </w:lvl>
  </w:abstractNum>
  <w:abstractNum w:abstractNumId="185">
    <w:nsid w:val="775BA7C1"/>
    <w:multiLevelType w:val="hybridMultilevel"/>
    <w:lvl w:ilvl="0">
      <w:lvlJc w:val="left"/>
      <w:lvlText w:val="(%1)"/>
      <w:numFmt w:val="lowerRoman"/>
      <w:start w:val="1"/>
    </w:lvl>
  </w:abstractNum>
  <w:abstractNum w:abstractNumId="186">
    <w:nsid w:val="1DD6D6F4"/>
    <w:multiLevelType w:val="hybridMultilevel"/>
    <w:lvl w:ilvl="0">
      <w:lvlJc w:val="left"/>
      <w:lvlText w:val="(%1)"/>
      <w:numFmt w:val="lowerLetter"/>
      <w:start w:val="1"/>
    </w:lvl>
  </w:abstractNum>
  <w:abstractNum w:abstractNumId="187">
    <w:nsid w:val="769A091F"/>
    <w:multiLevelType w:val="hybridMultilevel"/>
    <w:lvl w:ilvl="0">
      <w:lvlJc w:val="left"/>
      <w:lvlText w:val="(%1)"/>
      <w:numFmt w:val="lowerRoman"/>
      <w:start w:val="4"/>
    </w:lvl>
  </w:abstractNum>
  <w:abstractNum w:abstractNumId="188">
    <w:nsid w:val="4695AE95"/>
    <w:multiLevelType w:val="hybridMultilevel"/>
    <w:lvl w:ilvl="0">
      <w:lvlJc w:val="left"/>
      <w:lvlText w:val="(%1)"/>
      <w:numFmt w:val="lowerLetter"/>
      <w:start w:val="4"/>
    </w:lvl>
  </w:abstractNum>
  <w:abstractNum w:abstractNumId="189">
    <w:nsid w:val="777A4EAA"/>
    <w:multiLevelType w:val="hybridMultilevel"/>
    <w:lvl w:ilvl="0">
      <w:lvlJc w:val="left"/>
      <w:lvlText w:val="(%1)"/>
      <w:numFmt w:val="lowerLetter"/>
      <w:start w:val="1"/>
    </w:lvl>
  </w:abstractNum>
  <w:abstractNum w:abstractNumId="190">
    <w:nsid w:val="3F48B982"/>
    <w:multiLevelType w:val="hybridMultilevel"/>
    <w:lvl w:ilvl="0">
      <w:lvlJc w:val="left"/>
      <w:lvlText w:val="(%1)"/>
      <w:numFmt w:val="upperLetter"/>
      <w:start w:val="2"/>
    </w:lvl>
  </w:abstractNum>
  <w:abstractNum w:abstractNumId="191">
    <w:nsid w:val="46BA8FCA"/>
    <w:multiLevelType w:val="hybridMultilevel"/>
    <w:lvl w:ilvl="0">
      <w:lvlJc w:val="left"/>
      <w:lvlText w:val="(%1)"/>
      <w:numFmt w:val="lowerRoman"/>
      <w:start w:val="1"/>
    </w:lvl>
  </w:abstractNum>
  <w:abstractNum w:abstractNumId="192">
    <w:nsid w:val="7835626C"/>
    <w:multiLevelType w:val="hybridMultilevel"/>
    <w:lvl w:ilvl="0">
      <w:lvlJc w:val="left"/>
      <w:lvlText w:val="(%1)"/>
      <w:numFmt w:val="lowerRoman"/>
      <w:start w:val="4"/>
    </w:lvl>
  </w:abstractNum>
  <w:abstractNum w:abstractNumId="193">
    <w:nsid w:val="665ACA49"/>
    <w:multiLevelType w:val="hybridMultilevel"/>
    <w:lvl w:ilvl="0">
      <w:lvlJc w:val="left"/>
      <w:lvlText w:val="(%1)"/>
      <w:numFmt w:val="lowerLetter"/>
      <w:start w:val="1"/>
    </w:lvl>
  </w:abstractNum>
  <w:abstractNum w:abstractNumId="194">
    <w:nsid w:val="6835B2AE"/>
    <w:multiLevelType w:val="hybridMultilevel"/>
    <w:lvl w:ilvl="0">
      <w:lvlJc w:val="left"/>
      <w:lvlText w:val="(%1)"/>
      <w:numFmt w:val="lowerLetter"/>
      <w:start w:val="15"/>
    </w:lvl>
  </w:abstractNum>
  <w:abstractNum w:abstractNumId="195">
    <w:nsid w:val="4C187C90"/>
    <w:multiLevelType w:val="hybridMultilevel"/>
    <w:lvl w:ilvl="0">
      <w:lvlJc w:val="left"/>
      <w:lvlText w:val="(%1)"/>
      <w:numFmt w:val="lowerLetter"/>
      <w:start w:val="25"/>
    </w:lvl>
  </w:abstractNum>
  <w:abstractNum w:abstractNumId="196">
    <w:nsid w:val="541F28CD"/>
    <w:multiLevelType w:val="hybridMultilevel"/>
    <w:lvl w:ilvl="0">
      <w:lvlJc w:val="left"/>
      <w:lvlText w:val="(%1)"/>
      <w:numFmt w:val="lowerRoman"/>
      <w:start w:val="4"/>
    </w:lvl>
  </w:abstractNum>
  <w:abstractNum w:abstractNumId="197">
    <w:nsid w:val="7F65FD16"/>
    <w:multiLevelType w:val="hybridMultilevel"/>
    <w:lvl w:ilvl="0">
      <w:lvlJc w:val="left"/>
      <w:lvlText w:val="(%1)"/>
      <w:numFmt w:val="lowerLetter"/>
      <w:start w:val="1"/>
    </w:lvl>
  </w:abstractNum>
  <w:abstractNum w:abstractNumId="198">
    <w:nsid w:val="77C9FD68"/>
    <w:multiLevelType w:val="hybridMultilevel"/>
    <w:lvl w:ilvl="0">
      <w:lvlJc w:val="left"/>
      <w:lvlText w:val="(%1)"/>
      <w:numFmt w:val="lowerRoman"/>
      <w:start w:val="1"/>
    </w:lvl>
  </w:abstractNum>
  <w:abstractNum w:abstractNumId="199">
    <w:nsid w:val="298A92BA"/>
    <w:multiLevelType w:val="hybridMultilevel"/>
    <w:lvl w:ilvl="0">
      <w:lvlJc w:val="left"/>
      <w:lvlText w:val="(%1)"/>
      <w:numFmt w:val="lowerRoman"/>
      <w:start w:val="7"/>
    </w:lvl>
  </w:abstractNum>
  <w:abstractNum w:abstractNumId="200">
    <w:nsid w:val="6FE95EAC"/>
    <w:multiLevelType w:val="hybridMultilevel"/>
    <w:lvl w:ilvl="0">
      <w:lvlJc w:val="left"/>
      <w:lvlText w:val="(%1)"/>
      <w:numFmt w:val="lowerLetter"/>
      <w:start w:val="1"/>
    </w:lvl>
    <w:lvl w:ilvl="1">
      <w:lvlJc w:val="left"/>
      <w:lvlText w:val="(%2)"/>
      <w:numFmt w:val="lowerLetter"/>
      <w:start w:val="9"/>
    </w:lvl>
  </w:abstractNum>
  <w:abstractNum w:abstractNumId="201">
    <w:nsid w:val="4B697C7A"/>
    <w:multiLevelType w:val="hybridMultilevel"/>
    <w:lvl w:ilvl="0">
      <w:lvlJc w:val="left"/>
      <w:lvlText w:val="%1"/>
      <w:numFmt w:val="lowerLetter"/>
      <w:start w:val="1"/>
    </w:lvl>
    <w:lvl w:ilvl="1">
      <w:lvlJc w:val="left"/>
      <w:lvlText w:val="(%2)"/>
      <w:numFmt w:val="lowerLetter"/>
      <w:start w:val="1"/>
    </w:lvl>
  </w:abstractNum>
  <w:abstractNum w:abstractNumId="202">
    <w:nsid w:val="51A27AA6"/>
    <w:multiLevelType w:val="hybridMultilevel"/>
    <w:lvl w:ilvl="0">
      <w:lvlJc w:val="left"/>
      <w:lvlText w:val="(%1)"/>
      <w:numFmt w:val="lowerLetter"/>
      <w:start w:val="35"/>
    </w:lvl>
    <w:lvl w:ilvl="1">
      <w:lvlJc w:val="left"/>
      <w:lvlText w:val="(%2)"/>
      <w:numFmt w:val="lowerLetter"/>
      <w:start w:val="2"/>
    </w:lvl>
  </w:abstractNum>
  <w:abstractNum w:abstractNumId="203">
    <w:nsid w:val="613183F2"/>
    <w:multiLevelType w:val="hybridMultilevel"/>
    <w:lvl w:ilvl="0">
      <w:lvlJc w:val="left"/>
      <w:lvlText w:val="(%1)"/>
      <w:numFmt w:val="lowerLetter"/>
      <w:start w:val="4"/>
    </w:lvl>
  </w:abstractNum>
  <w:abstractNum w:abstractNumId="204">
    <w:nsid w:val="634102B4"/>
    <w:multiLevelType w:val="hybridMultilevel"/>
    <w:lvl w:ilvl="0">
      <w:lvlJc w:val="left"/>
      <w:lvlText w:val="%1."/>
      <w:numFmt w:val="decimal"/>
      <w:start w:val="1"/>
    </w:lvl>
  </w:abstractNum>
  <w:abstractNum w:abstractNumId="205">
    <w:nsid w:val="65BF9DA8"/>
    <w:multiLevelType w:val="hybridMultilevel"/>
    <w:lvl w:ilvl="0">
      <w:lvlJc w:val="left"/>
      <w:lvlText w:val="%1."/>
      <w:numFmt w:val="decimal"/>
      <w:start w:val="2"/>
    </w:lvl>
  </w:abstractNum>
  <w:abstractNum w:abstractNumId="206">
    <w:nsid w:val="21A2ECCA"/>
    <w:multiLevelType w:val="hybridMultilevel"/>
    <w:lvl w:ilvl="0">
      <w:lvlJc w:val="left"/>
      <w:lvlText w:val="%1."/>
      <w:numFmt w:val="decimal"/>
      <w:start w:val="3"/>
    </w:lvl>
  </w:abstractNum>
  <w:abstractNum w:abstractNumId="207">
    <w:nsid w:val="4D5C4899"/>
    <w:multiLevelType w:val="hybridMultilevel"/>
    <w:lvl w:ilvl="0">
      <w:lvlJc w:val="left"/>
      <w:lvlText w:val="(%1)"/>
      <w:numFmt w:val="lowerLetter"/>
      <w:start w:val="1"/>
    </w:lvl>
  </w:abstractNum>
  <w:abstractNum w:abstractNumId="208">
    <w:nsid w:val="3C3B72B2"/>
    <w:multiLevelType w:val="hybridMultilevel"/>
    <w:lvl w:ilvl="0">
      <w:lvlJc w:val="left"/>
      <w:lvlText w:val="%1."/>
      <w:numFmt w:val="decimal"/>
      <w:start w:val="4"/>
    </w:lvl>
  </w:abstractNum>
  <w:abstractNum w:abstractNumId="209">
    <w:nsid w:val="155EC4C2"/>
    <w:multiLevelType w:val="hybridMultilevel"/>
    <w:lvl w:ilvl="0">
      <w:lvlJc w:val="left"/>
      <w:lvlText w:val="(%1)"/>
      <w:numFmt w:val="lowerLetter"/>
      <w:start w:val="1"/>
    </w:lvl>
  </w:abstractNum>
  <w:abstractNum w:abstractNumId="210">
    <w:nsid w:val="65D2A137"/>
    <w:multiLevelType w:val="hybridMultilevel"/>
    <w:lvl w:ilvl="0">
      <w:lvlJc w:val="left"/>
      <w:lvlText w:val="(%1)"/>
      <w:numFmt w:val="lowerLetter"/>
      <w:start w:val="2"/>
    </w:lvl>
  </w:abstractNum>
  <w:abstractNum w:abstractNumId="211">
    <w:nsid w:val="6EBB1F2A"/>
    <w:multiLevelType w:val="hybridMultilevel"/>
    <w:lvl w:ilvl="0">
      <w:lvlJc w:val="left"/>
      <w:lvlText w:val="(%1)"/>
      <w:numFmt w:val="lowerLetter"/>
      <w:start w:val="1"/>
    </w:lvl>
  </w:abstractNum>
  <w:abstractNum w:abstractNumId="212">
    <w:nsid w:val="6FBF29CB"/>
    <w:multiLevelType w:val="hybridMultilevel"/>
    <w:lvl w:ilvl="0">
      <w:lvlJc w:val="left"/>
      <w:lvlText w:val="(%1)"/>
      <w:numFmt w:val="lowerRoman"/>
      <w:start w:val="1"/>
    </w:lvl>
  </w:abstractNum>
  <w:abstractNum w:abstractNumId="213">
    <w:nsid w:val="550B8808"/>
    <w:multiLevelType w:val="hybridMultilevel"/>
    <w:lvl w:ilvl="0">
      <w:lvlJc w:val="left"/>
      <w:lvlText w:val="%1."/>
      <w:numFmt w:val="decimal"/>
      <w:start w:val="5"/>
    </w:lvl>
  </w:abstractNum>
  <w:abstractNum w:abstractNumId="214">
    <w:nsid w:val="34CC3ACF"/>
    <w:multiLevelType w:val="hybridMultilevel"/>
    <w:lvl w:ilvl="0">
      <w:lvlJc w:val="left"/>
      <w:lvlText w:val="(%1)"/>
      <w:numFmt w:val="lowerLetter"/>
      <w:start w:val="1"/>
    </w:lvl>
    <w:lvl w:ilvl="1">
      <w:lvlJc w:val="left"/>
      <w:lvlText w:val="(%2)"/>
      <w:numFmt w:val="lowerRoman"/>
      <w:start w:val="1"/>
    </w:lvl>
  </w:abstractNum>
  <w:abstractNum w:abstractNumId="215">
    <w:nsid w:val="4E556261"/>
    <w:multiLevelType w:val="hybridMultilevel"/>
    <w:lvl w:ilvl="0">
      <w:lvlJc w:val="left"/>
      <w:lvlText w:val="%1"/>
      <w:numFmt w:val="decimal"/>
      <w:start w:val="1"/>
    </w:lvl>
    <w:lvl w:ilvl="1">
      <w:lvlJc w:val="left"/>
      <w:lvlText w:val="(%2)"/>
      <w:numFmt w:val="lowerLetter"/>
      <w:start w:val="3"/>
    </w:lvl>
  </w:abstractNum>
  <w:abstractNum w:abstractNumId="216">
    <w:nsid w:val="4C672FC9"/>
    <w:multiLevelType w:val="hybridMultilevel"/>
    <w:lvl w:ilvl="0">
      <w:lvlJc w:val="left"/>
      <w:lvlText w:val="%1."/>
      <w:numFmt w:val="decimal"/>
      <w:start w:val="6"/>
    </w:lvl>
    <w:lvl w:ilvl="1">
      <w:lvlJc w:val="left"/>
      <w:lvlText w:val="%2"/>
      <w:numFmt w:val="lowerLetter"/>
      <w:start w:val="1"/>
    </w:lvl>
  </w:abstractNum>
  <w:abstractNum w:abstractNumId="217">
    <w:nsid w:val="52A311C3"/>
    <w:multiLevelType w:val="hybridMultilevel"/>
    <w:lvl w:ilvl="0">
      <w:lvlJc w:val="left"/>
      <w:lvlText w:val="(%1)"/>
      <w:numFmt w:val="lowerLetter"/>
      <w:start w:val="2"/>
    </w:lvl>
  </w:abstractNum>
  <w:abstractNum w:abstractNumId="218">
    <w:nsid w:val="44EF6B80"/>
    <w:multiLevelType w:val="hybridMultilevel"/>
    <w:lvl w:ilvl="0">
      <w:lvlJc w:val="left"/>
      <w:lvlText w:val="(%1)"/>
      <w:numFmt w:val="lowerLetter"/>
      <w:start w:val="1"/>
    </w:lvl>
  </w:abstractNum>
  <w:abstractNum w:abstractNumId="219">
    <w:nsid w:val="12FCDE5E"/>
    <w:multiLevelType w:val="hybridMultilevel"/>
    <w:lvl w:ilvl="0">
      <w:lvlJc w:val="left"/>
      <w:lvlText w:val="%1."/>
      <w:numFmt w:val="decimal"/>
      <w:start w:val="7"/>
    </w:lvl>
  </w:abstractNum>
  <w:abstractNum w:abstractNumId="220">
    <w:nsid w:val="4A1D606E"/>
    <w:multiLevelType w:val="hybridMultilevel"/>
    <w:lvl w:ilvl="0">
      <w:lvlJc w:val="left"/>
      <w:lvlText w:val="%1."/>
      <w:numFmt w:val="decimal"/>
      <w:start w:val="8"/>
    </w:lvl>
  </w:abstractNum>
  <w:abstractNum w:abstractNumId="221">
    <w:nsid w:val="4382503"/>
    <w:multiLevelType w:val="hybridMultilevel"/>
    <w:lvl w:ilvl="0">
      <w:lvlJc w:val="left"/>
      <w:lvlText w:val="(%1)"/>
      <w:numFmt w:val="lowerLetter"/>
      <w:start w:val="1"/>
    </w:lvl>
  </w:abstractNum>
  <w:abstractNum w:abstractNumId="222">
    <w:nsid w:val="59B76E28"/>
    <w:multiLevelType w:val="hybridMultilevel"/>
    <w:lvl w:ilvl="0">
      <w:lvlJc w:val="left"/>
      <w:lvlText w:val="%1."/>
      <w:numFmt w:val="decimal"/>
      <w:start w:val="9"/>
    </w:lvl>
  </w:abstractNum>
  <w:abstractNum w:abstractNumId="223">
    <w:nsid w:val="4252C2DA"/>
    <w:multiLevelType w:val="hybridMultilevel"/>
    <w:lvl w:ilvl="0">
      <w:lvlJc w:val="left"/>
      <w:lvlText w:val="%1."/>
      <w:numFmt w:val="decimal"/>
      <w:start w:val="1"/>
    </w:lvl>
  </w:abstractNum>
  <w:abstractNum w:abstractNumId="224">
    <w:nsid w:val="6A92EF4C"/>
    <w:multiLevelType w:val="hybridMultilevel"/>
    <w:lvl w:ilvl="0">
      <w:lvlJc w:val="left"/>
      <w:lvlText w:val="%1."/>
      <w:numFmt w:val="decimal"/>
      <w:start w:val="2"/>
    </w:lvl>
  </w:abstractNum>
  <w:abstractNum w:abstractNumId="225">
    <w:nsid w:val="41ED20D7"/>
    <w:multiLevelType w:val="hybridMultilevel"/>
    <w:lvl w:ilvl="0">
      <w:lvlJc w:val="left"/>
      <w:lvlText w:val="(%1)"/>
      <w:numFmt w:val="lowerLetter"/>
      <w:start w:val="1"/>
    </w:lvl>
  </w:abstractNum>
  <w:abstractNum w:abstractNumId="226">
    <w:nsid w:val="E6B3F6A"/>
    <w:multiLevelType w:val="hybridMultilevel"/>
    <w:lvl w:ilvl="0">
      <w:lvlJc w:val="left"/>
      <w:lvlText w:val="%1."/>
      <w:numFmt w:val="decimal"/>
      <w:start w:val="3"/>
    </w:lvl>
  </w:abstractNum>
  <w:abstractNum w:abstractNumId="227">
    <w:nsid w:val="3EB21819"/>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228">
    <w:nsid w:val="41531DED"/>
    <w:multiLevelType w:val="hybridMultilevel"/>
    <w:lvl w:ilvl="0">
      <w:lvlJc w:val="left"/>
      <w:lvlText w:val="%1"/>
      <w:numFmt w:val="lowerLetter"/>
      <w:start w:val="1"/>
    </w:lvl>
    <w:lvl w:ilvl="1">
      <w:lvlJc w:val="left"/>
      <w:lvlText w:val="(%2)"/>
      <w:numFmt w:val="lowerRoman"/>
      <w:start w:val="5"/>
    </w:lvl>
  </w:abstractNum>
  <w:abstractNum w:abstractNumId="229">
    <w:nsid w:val="6353CD2"/>
    <w:multiLevelType w:val="hybridMultilevel"/>
    <w:lvl w:ilvl="0">
      <w:lvlJc w:val="left"/>
      <w:lvlText w:val="(%1)"/>
      <w:numFmt w:val="lowerLetter"/>
      <w:start w:val="3"/>
    </w:lvl>
    <w:lvl w:ilvl="1">
      <w:lvlJc w:val="left"/>
      <w:lvlText w:val="%2"/>
      <w:numFmt w:val="lowerRoman"/>
      <w:start w:val="1"/>
    </w:lvl>
  </w:abstractNum>
  <w:abstractNum w:abstractNumId="230">
    <w:nsid w:val="683CAAD3"/>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231">
    <w:nsid w:val="313C7C99"/>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232">
    <w:nsid w:val="519EB94C"/>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3"/>
    </w:lvl>
  </w:abstractNum>
  <w:abstractNum w:abstractNumId="233">
    <w:nsid w:val="39DF2579"/>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234">
    <w:nsid w:val="126E008B"/>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235">
    <w:nsid w:val="34DFBC00"/>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236">
    <w:nsid w:val="1F9EC322"/>
    <w:multiLevelType w:val="hybridMultilevel"/>
    <w:lvl w:ilvl="0">
      <w:lvlJc w:val="left"/>
      <w:lvlText w:val="%1"/>
      <w:numFmt w:val="lowerLetter"/>
      <w:start w:val="1"/>
    </w:lvl>
    <w:lvl w:ilvl="1">
      <w:lvlJc w:val="left"/>
      <w:lvlText w:val="(%2)"/>
      <w:numFmt w:val="lowerRoman"/>
      <w:start w:val="2"/>
    </w:lvl>
  </w:abstractNum>
  <w:abstractNum w:abstractNumId="237">
    <w:nsid w:val="3410ED56"/>
    <w:multiLevelType w:val="hybridMultilevel"/>
    <w:lvl w:ilvl="0">
      <w:lvlJc w:val="left"/>
      <w:lvlText w:val="(%1)"/>
      <w:numFmt w:val="lowerLetter"/>
      <w:start w:val="5"/>
    </w:lvl>
    <w:lvl w:ilvl="1">
      <w:lvlJc w:val="left"/>
      <w:lvlText w:val="(%2)"/>
      <w:numFmt w:val="lowerRoman"/>
      <w:start w:val="1"/>
    </w:lvl>
  </w:abstractNum>
  <w:abstractNum w:abstractNumId="238">
    <w:nsid w:val="23C049A"/>
    <w:multiLevelType w:val="hybridMultilevel"/>
    <w:lvl w:ilvl="0">
      <w:lvlJc w:val="left"/>
      <w:lvlText w:val="%1"/>
      <w:numFmt w:val="lowerLetter"/>
      <w:start w:val="1"/>
    </w:lvl>
    <w:lvl w:ilvl="1">
      <w:lvlJc w:val="left"/>
      <w:lvlText w:val="(%2)"/>
      <w:numFmt w:val="lowerRoman"/>
      <w:start w:val="4"/>
    </w:lvl>
  </w:abstractNum>
  <w:abstractNum w:abstractNumId="239">
    <w:nsid w:val="5BDA35D4"/>
    <w:multiLevelType w:val="hybridMultilevel"/>
    <w:lvl w:ilvl="0">
      <w:lvlJc w:val="left"/>
      <w:lvlText w:val="(%1)"/>
      <w:numFmt w:val="lowerLetter"/>
      <w:start w:val="7"/>
    </w:lvl>
    <w:lvl w:ilvl="1">
      <w:lvlJc w:val="left"/>
      <w:lvlText w:val="(%2)"/>
      <w:numFmt w:val="lowerRoman"/>
      <w:start w:val="1"/>
    </w:lvl>
  </w:abstractNum>
  <w:abstractNum w:abstractNumId="240">
    <w:nsid w:val="496FB218"/>
    <w:multiLevelType w:val="hybridMultilevel"/>
    <w:lvl w:ilvl="0">
      <w:lvlJc w:val="left"/>
      <w:lvlText w:val="%1"/>
      <w:numFmt w:val="lowerLetter"/>
      <w:start w:val="1"/>
    </w:lvl>
    <w:lvl w:ilvl="1">
      <w:lvlJc w:val="left"/>
      <w:lvlText w:val="(%2)"/>
      <w:numFmt w:val="lowerLetter"/>
      <w:start w:val="22"/>
    </w:lvl>
  </w:abstractNum>
  <w:abstractNum w:abstractNumId="241">
    <w:nsid w:val="680EA5D1"/>
    <w:multiLevelType w:val="hybridMultilevel"/>
    <w:lvl w:ilvl="0">
      <w:lvlJc w:val="left"/>
      <w:lvlText w:val="(%1)"/>
      <w:numFmt w:val="lowerLetter"/>
      <w:start w:val="8"/>
    </w:lvl>
    <w:lvl w:ilvl="1">
      <w:lvlJc w:val="left"/>
      <w:lvlText w:val="(%2)"/>
      <w:numFmt w:val="lowerLetter"/>
      <w:start w:val="9"/>
    </w:lvl>
  </w:abstractNum>
  <w:abstractNum w:abstractNumId="242">
    <w:nsid w:val="4A9554FE"/>
    <w:multiLevelType w:val="hybridMultilevel"/>
    <w:lvl w:ilvl="0">
      <w:lvlJc w:val="left"/>
      <w:lvlText w:val="(%1)"/>
      <w:numFmt w:val="lowerRoman"/>
      <w:start w:val="2"/>
    </w:lvl>
  </w:abstractNum>
  <w:abstractNum w:abstractNumId="243">
    <w:nsid w:val="392EDBE4"/>
    <w:multiLevelType w:val="hybridMultilevel"/>
    <w:lvl w:ilvl="0">
      <w:lvlJc w:val="left"/>
      <w:lvlText w:val="%1"/>
      <w:numFmt w:val="decimal"/>
      <w:start w:val="1"/>
    </w:lvl>
    <w:lvl w:ilvl="1">
      <w:lvlJc w:val="left"/>
      <w:lvlText w:val="(%2)"/>
      <w:numFmt w:val="lowerLetter"/>
      <w:start w:val="9"/>
    </w:lvl>
  </w:abstractNum>
  <w:abstractNum w:abstractNumId="244">
    <w:nsid w:val="3D1A2DD9"/>
    <w:multiLevelType w:val="hybridMultilevel"/>
    <w:lvl w:ilvl="0">
      <w:lvlJc w:val="left"/>
      <w:lvlText w:val="%1."/>
      <w:numFmt w:val="decimal"/>
      <w:start w:val="8"/>
    </w:lvl>
    <w:lvl w:ilvl="1">
      <w:lvlJc w:val="left"/>
      <w:lvlText w:val="%2"/>
      <w:numFmt w:val="lowerLetter"/>
      <w:start w:val="1"/>
    </w:lvl>
  </w:abstractNum>
  <w:abstractNum w:abstractNumId="245">
    <w:nsid w:val="7F618FCD"/>
    <w:multiLevelType w:val="hybridMultilevel"/>
    <w:lvl w:ilvl="0">
      <w:lvlJc w:val="left"/>
      <w:lvlText w:val="%1."/>
      <w:numFmt w:val="decimal"/>
      <w:start w:val="9"/>
    </w:lvl>
    <w:lvl w:ilvl="1">
      <w:lvlJc w:val="left"/>
      <w:lvlText w:val="(%2)"/>
      <w:numFmt w:val="lowerLetter"/>
      <w:start w:val="1"/>
    </w:lvl>
  </w:abstractNum>
  <w:abstractNum w:abstractNumId="246">
    <w:nsid w:val="7843E45"/>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247">
    <w:nsid w:val="9815DA3"/>
    <w:multiLevelType w:val="hybridMultilevel"/>
    <w:lvl w:ilvl="0">
      <w:lvlJc w:val="left"/>
      <w:lvlText w:val="%1."/>
      <w:numFmt w:val="decimal"/>
      <w:start w:val="11"/>
    </w:lvl>
    <w:lvl w:ilvl="1">
      <w:lvlJc w:val="left"/>
      <w:lvlText w:val="(%2)"/>
      <w:numFmt w:val="lowerLetter"/>
      <w:start w:val="1"/>
    </w:lvl>
    <w:lvl w:ilvl="2">
      <w:lvlJc w:val="left"/>
      <w:lvlText w:val="(%3)"/>
      <w:numFmt w:val="lowerRoman"/>
      <w:start w:val="1"/>
    </w:lvl>
  </w:abstractNum>
  <w:abstractNum w:abstractNumId="248">
    <w:nsid w:val="5204A191"/>
    <w:multiLevelType w:val="hybridMultilevel"/>
    <w:lvl w:ilvl="0">
      <w:lvlJc w:val="left"/>
      <w:lvlText w:val="(%1)"/>
      <w:numFmt w:val="lowerRoman"/>
      <w:start w:val="3"/>
    </w:lvl>
  </w:abstractNum>
  <w:abstractNum w:abstractNumId="249">
    <w:nsid w:val="4C73A9C6"/>
    <w:multiLevelType w:val="hybridMultilevel"/>
    <w:lvl w:ilvl="0">
      <w:lvlJc w:val="left"/>
      <w:lvlText w:val="%1"/>
      <w:numFmt w:val="decimal"/>
      <w:start w:val="1"/>
    </w:lvl>
    <w:lvl w:ilvl="1">
      <w:lvlJc w:val="left"/>
      <w:lvlText w:val="(%2)"/>
      <w:numFmt w:val="lowerLetter"/>
      <w:start w:val="2"/>
    </w:lvl>
  </w:abstractNum>
  <w:abstractNum w:abstractNumId="250">
    <w:nsid w:val="1C7E3C01"/>
    <w:multiLevelType w:val="hybridMultilevel"/>
    <w:lvl w:ilvl="0">
      <w:lvlJc w:val="left"/>
      <w:lvlText w:val="%1."/>
      <w:numFmt w:val="decimal"/>
      <w:start w:val="12"/>
    </w:lvl>
    <w:lvl w:ilvl="1">
      <w:lvlJc w:val="left"/>
      <w:lvlText w:val="%2"/>
      <w:numFmt w:val="lowerLetter"/>
      <w:start w:val="1"/>
    </w:lvl>
  </w:abstractNum>
  <w:abstractNum w:abstractNumId="251">
    <w:nsid w:val="1C2201FF"/>
    <w:multiLevelType w:val="hybridMultilevel"/>
    <w:lvl w:ilvl="0">
      <w:lvlJc w:val="left"/>
      <w:lvlText w:val="%1."/>
      <w:numFmt w:val="decimal"/>
      <w:start w:val="13"/>
    </w:lvl>
    <w:lvl w:ilvl="1">
      <w:lvlJc w:val="left"/>
      <w:lvlText w:val="(%2)"/>
      <w:numFmt w:val="lowerLetter"/>
      <w:start w:val="1"/>
    </w:lvl>
  </w:abstractNum>
  <w:abstractNum w:abstractNumId="252">
    <w:nsid w:val="50ABCEC9"/>
    <w:multiLevelType w:val="hybridMultilevel"/>
    <w:lvl w:ilvl="0">
      <w:lvlJc w:val="left"/>
      <w:lvlText w:val="%1."/>
      <w:numFmt w:val="decimal"/>
      <w:start w:val="15"/>
    </w:lvl>
    <w:lvl w:ilvl="1">
      <w:lvlJc w:val="left"/>
      <w:lvlText w:val="(%2)"/>
      <w:numFmt w:val="lowerLetter"/>
      <w:start w:val="1"/>
    </w:lvl>
  </w:abstractNum>
  <w:abstractNum w:abstractNumId="253">
    <w:nsid w:val="7635AA2A"/>
    <w:multiLevelType w:val="hybridMultilevel"/>
    <w:lvl w:ilvl="0">
      <w:lvlJc w:val="left"/>
      <w:lvlText w:val="(%1)"/>
      <w:numFmt w:val="lowerLetter"/>
      <w:start w:val="2"/>
    </w:lvl>
  </w:abstractNum>
  <w:abstractNum w:abstractNumId="254">
    <w:nsid w:val="5E74C4D9"/>
    <w:multiLevelType w:val="hybridMultilevel"/>
    <w:lvl w:ilvl="0">
      <w:lvlJc w:val="left"/>
      <w:lvlText w:val="(%1)"/>
      <w:numFmt w:val="lowerRoman"/>
      <w:start w:val="1"/>
    </w:lvl>
  </w:abstractNum>
  <w:abstractNum w:abstractNumId="255">
    <w:nsid w:val="3B3EBE15"/>
    <w:multiLevelType w:val="hybridMultilevel"/>
    <w:lvl w:ilvl="0">
      <w:lvlJc w:val="left"/>
      <w:lvlText w:val="(%1)"/>
      <w:numFmt w:val="upperLetter"/>
      <w:start w:val="1"/>
    </w:lvl>
  </w:abstractNum>
  <w:abstractNum w:abstractNumId="256">
    <w:nsid w:val="3822CB01"/>
    <w:multiLevelType w:val="hybridMultilevel"/>
    <w:lvl w:ilvl="0">
      <w:lvlJc w:val="left"/>
      <w:lvlText w:val="(%1)"/>
      <w:numFmt w:val="lowerRoman"/>
      <w:start w:val="1"/>
    </w:lvl>
  </w:abstractNum>
  <w:abstractNum w:abstractNumId="257">
    <w:nsid w:val="6CE00443"/>
    <w:multiLevelType w:val="hybridMultilevel"/>
    <w:lvl w:ilvl="0">
      <w:lvlJc w:val="left"/>
      <w:lvlText w:val="(%1)"/>
      <w:numFmt w:val="lowerRoman"/>
      <w:start w:val="1"/>
    </w:lvl>
  </w:abstractNum>
  <w:abstractNum w:abstractNumId="258">
    <w:nsid w:val="79F0D62F"/>
    <w:multiLevelType w:val="hybridMultilevel"/>
    <w:lvl w:ilvl="0">
      <w:lvlJc w:val="left"/>
      <w:lvlText w:val="(%1)"/>
      <w:numFmt w:val="upperLetter"/>
      <w:start w:val="2"/>
    </w:lvl>
  </w:abstractNum>
  <w:abstractNum w:abstractNumId="259">
    <w:nsid w:val="7975E8EE"/>
    <w:multiLevelType w:val="hybridMultilevel"/>
    <w:lvl w:ilvl="0">
      <w:lvlJc w:val="left"/>
      <w:lvlText w:val="%1."/>
      <w:numFmt w:val="decimal"/>
      <w:start w:val="1"/>
    </w:lvl>
    <w:lvl w:ilvl="1">
      <w:lvlJc w:val="left"/>
      <w:lvlText w:val="(%2)"/>
      <w:numFmt w:val="lowerLetter"/>
      <w:start w:val="1"/>
    </w:lvl>
  </w:abstractNum>
  <w:abstractNum w:abstractNumId="260">
    <w:nsid w:val="73154115"/>
    <w:multiLevelType w:val="hybridMultilevel"/>
    <w:lvl w:ilvl="0">
      <w:lvlJc w:val="left"/>
      <w:lvlText w:val="%1."/>
      <w:numFmt w:val="decimal"/>
      <w:start w:val="6"/>
    </w:lvl>
    <w:lvl w:ilvl="1">
      <w:lvlJc w:val="left"/>
      <w:lvlText w:val="(%2)"/>
      <w:numFmt w:val="lowerLetter"/>
      <w:start w:val="1"/>
    </w:lvl>
  </w:abstractNum>
  <w:abstractNum w:abstractNumId="261">
    <w:nsid w:val="622D8102"/>
    <w:multiLevelType w:val="hybridMultilevel"/>
    <w:lvl w:ilvl="0">
      <w:lvlJc w:val="left"/>
      <w:lvlText w:val="%1."/>
      <w:numFmt w:val="decimal"/>
      <w:start w:val="10"/>
    </w:lvl>
  </w:abstractNum>
  <w:abstractNum w:abstractNumId="262">
    <w:nsid w:val="2AB26587"/>
    <w:multiLevelType w:val="hybridMultilevel"/>
    <w:lvl w:ilvl="0">
      <w:lvlJc w:val="left"/>
      <w:lvlText w:val="%1."/>
      <w:numFmt w:val="decimal"/>
      <w:start w:val="16"/>
    </w:lvl>
  </w:abstractNum>
  <w:abstractNum w:abstractNumId="263">
    <w:nsid w:val="44B3FA61"/>
    <w:multiLevelType w:val="hybridMultilevel"/>
    <w:lvl w:ilvl="0">
      <w:lvlJc w:val="left"/>
      <w:lvlText w:val="%1"/>
      <w:numFmt w:val="lowerRoman"/>
      <w:start w:val="1"/>
    </w:lvl>
    <w:lvl w:ilvl="1">
      <w:lvlJc w:val="left"/>
      <w:lvlText w:val="%2."/>
      <w:numFmt w:val="decimal"/>
      <w:start w:val="23"/>
    </w:lvl>
  </w:abstractNum>
  <w:abstractNum w:abstractNumId="264">
    <w:nsid w:val="1C0CA67C"/>
    <w:multiLevelType w:val="hybridMultilevel"/>
    <w:lvl w:ilvl="0">
      <w:lvlJc w:val="left"/>
      <w:lvlText w:val="(%1)"/>
      <w:numFmt w:val="lowerRoman"/>
      <w:start w:val="3"/>
    </w:lvl>
    <w:lvl w:ilvl="1">
      <w:lvlJc w:val="left"/>
      <w:lvlText w:val="%2."/>
      <w:numFmt w:val="decimal"/>
      <w:start w:val="25"/>
    </w:lvl>
  </w:abstractNum>
  <w:abstractNum w:abstractNumId="265">
    <w:nsid w:val="3D206613"/>
    <w:multiLevelType w:val="hybridMultilevel"/>
    <w:lvl w:ilvl="0">
      <w:lvlJc w:val="left"/>
      <w:lvlText w:val="(%1)"/>
      <w:numFmt w:val="lowerLetter"/>
      <w:start w:val="1"/>
    </w:lvl>
  </w:abstractNum>
  <w:abstractNum w:abstractNumId="266">
    <w:nsid w:val="7993B662"/>
    <w:multiLevelType w:val="hybridMultilevel"/>
    <w:lvl w:ilvl="0">
      <w:lvlJc w:val="left"/>
      <w:lvlText w:val="(%1)"/>
      <w:numFmt w:val="lowerLetter"/>
      <w:start w:val="4"/>
    </w:lvl>
  </w:abstractNum>
  <w:abstractNum w:abstractNumId="267">
    <w:nsid w:val="3BAB699E"/>
    <w:multiLevelType w:val="hybridMultilevel"/>
    <w:lvl w:ilvl="0">
      <w:lvlJc w:val="left"/>
      <w:lvlText w:val="(%1)"/>
      <w:numFmt w:val="lowerLetter"/>
      <w:start w:val="7"/>
    </w:lvl>
  </w:abstractNum>
  <w:abstractNum w:abstractNumId="268">
    <w:nsid w:val="71315369"/>
    <w:multiLevelType w:val="hybridMultilevel"/>
    <w:lvl w:ilvl="0">
      <w:lvlJc w:val="left"/>
      <w:lvlText w:val="%1."/>
      <w:numFmt w:val="decimal"/>
      <w:start w:val="1"/>
    </w:lvl>
    <w:lvl w:ilvl="1">
      <w:lvlJc w:val="left"/>
      <w:lvlText w:val="(%2)"/>
      <w:numFmt w:val="lowerLetter"/>
      <w:start w:val="1"/>
    </w:lvl>
  </w:abstractNum>
  <w:abstractNum w:abstractNumId="269">
    <w:nsid w:val="7BCFBAFC"/>
    <w:multiLevelType w:val="hybridMultilevel"/>
    <w:lvl w:ilvl="0">
      <w:lvlJc w:val="left"/>
      <w:lvlText w:val="%1."/>
      <w:numFmt w:val="decimal"/>
      <w:start w:val="6"/>
    </w:lvl>
    <w:lvl w:ilvl="1">
      <w:lvlJc w:val="left"/>
      <w:lvlText w:val="(%2)"/>
      <w:numFmt w:val="lowerLetter"/>
      <w:start w:val="1"/>
    </w:lvl>
  </w:abstractNum>
  <w:abstractNum w:abstractNumId="270">
    <w:nsid w:val="17859F72"/>
    <w:multiLevelType w:val="hybridMultilevel"/>
    <w:lvl w:ilvl="0">
      <w:lvlJc w:val="left"/>
      <w:lvlText w:val="%1."/>
      <w:numFmt w:val="decimal"/>
      <w:start w:val="10"/>
    </w:lvl>
  </w:abstractNum>
  <w:abstractNum w:abstractNumId="271">
    <w:nsid w:val="3AA10581"/>
    <w:multiLevelType w:val="hybridMultilevel"/>
    <w:lvl w:ilvl="0">
      <w:lvlJc w:val="left"/>
      <w:lvlText w:val="%1."/>
      <w:numFmt w:val="decimal"/>
      <w:start w:val="16"/>
    </w:lvl>
  </w:abstractNum>
  <w:abstractNum w:abstractNumId="272">
    <w:nsid w:val="63DE60CD"/>
    <w:multiLevelType w:val="hybridMultilevel"/>
    <w:lvl w:ilvl="0">
      <w:lvlJc w:val="left"/>
      <w:lvlText w:val="%1"/>
      <w:numFmt w:val="lowerRoman"/>
      <w:start w:val="1"/>
    </w:lvl>
    <w:lvl w:ilvl="1">
      <w:lvlJc w:val="left"/>
      <w:lvlText w:val="%2."/>
      <w:numFmt w:val="decimal"/>
      <w:start w:val="23"/>
    </w:lvl>
  </w:abstractNum>
  <w:abstractNum w:abstractNumId="273">
    <w:nsid w:val="621AF471"/>
    <w:multiLevelType w:val="hybridMultilevel"/>
    <w:lvl w:ilvl="0">
      <w:lvlJc w:val="left"/>
      <w:lvlText w:val="(%1)"/>
      <w:numFmt w:val="lowerRoman"/>
      <w:start w:val="3"/>
    </w:lvl>
    <w:lvl w:ilvl="1">
      <w:lvlJc w:val="left"/>
      <w:lvlText w:val="%2."/>
      <w:numFmt w:val="decimal"/>
      <w:start w:val="25"/>
    </w:lvl>
  </w:abstractNum>
  <w:abstractNum w:abstractNumId="274">
    <w:nsid w:val="73CFE165"/>
    <w:multiLevelType w:val="hybridMultilevel"/>
    <w:lvl w:ilvl="0">
      <w:lvlJc w:val="left"/>
      <w:lvlText w:val="(%1)"/>
      <w:numFmt w:val="lowerLetter"/>
      <w:start w:val="1"/>
    </w:lvl>
  </w:abstractNum>
  <w:abstractNum w:abstractNumId="275">
    <w:nsid w:val="20F88EA6"/>
    <w:multiLevelType w:val="hybridMultilevel"/>
    <w:lvl w:ilvl="0">
      <w:lvlJc w:val="left"/>
      <w:lvlText w:val="(%1)"/>
      <w:numFmt w:val="lowerLetter"/>
      <w:start w:val="4"/>
    </w:lvl>
  </w:abstractNum>
  <w:abstractNum w:abstractNumId="276">
    <w:nsid w:val="617C843E"/>
    <w:multiLevelType w:val="hybridMultilevel"/>
    <w:lvl w:ilvl="0">
      <w:lvlJc w:val="left"/>
      <w:lvlText w:val="(%1)"/>
      <w:numFmt w:val="lowerLetter"/>
      <w:start w:val="7"/>
    </w:lvl>
  </w:abstractNum>
  <w:abstractNum w:abstractNumId="277">
    <w:nsid w:val="7B541FAB"/>
    <w:multiLevelType w:val="hybridMultilevel"/>
    <w:lvl w:ilvl="0">
      <w:lvlJc w:val="left"/>
      <w:lvlText w:val="%1."/>
      <w:numFmt w:val="decimal"/>
      <w:start w:val="1"/>
    </w:lvl>
    <w:lvl w:ilvl="1">
      <w:lvlJc w:val="left"/>
      <w:lvlText w:val="(%2)"/>
      <w:numFmt w:val="lowerLetter"/>
      <w:start w:val="1"/>
    </w:lvl>
  </w:abstractNum>
  <w:abstractNum w:abstractNumId="278">
    <w:nsid w:val="2A79EC49"/>
    <w:multiLevelType w:val="hybridMultilevel"/>
    <w:lvl w:ilvl="0">
      <w:lvlJc w:val="left"/>
      <w:lvlText w:val="%1."/>
      <w:numFmt w:val="decimal"/>
      <w:start w:val="7"/>
    </w:lvl>
    <w:lvl w:ilvl="1">
      <w:lvlJc w:val="left"/>
      <w:lvlText w:val="(%2)"/>
      <w:numFmt w:val="lowerLetter"/>
      <w:start w:val="1"/>
    </w:lvl>
  </w:abstractNum>
  <w:abstractNum w:abstractNumId="279">
    <w:nsid w:val="338125CF"/>
    <w:multiLevelType w:val="hybridMultilevel"/>
    <w:lvl w:ilvl="0">
      <w:lvlJc w:val="left"/>
      <w:lvlText w:val="%1."/>
      <w:numFmt w:val="decimal"/>
      <w:start w:val="12"/>
    </w:lvl>
  </w:abstractNum>
  <w:abstractNum w:abstractNumId="280">
    <w:nsid w:val="47C7C971"/>
    <w:multiLevelType w:val="hybridMultilevel"/>
    <w:lvl w:ilvl="0">
      <w:lvlJc w:val="left"/>
      <w:lvlText w:val="%1."/>
      <w:numFmt w:val="decimal"/>
      <w:start w:val="17"/>
    </w:lvl>
  </w:abstractNum>
  <w:abstractNum w:abstractNumId="281">
    <w:nsid w:val="46F8284B"/>
    <w:multiLevelType w:val="hybridMultilevel"/>
    <w:lvl w:ilvl="0">
      <w:lvlJc w:val="left"/>
      <w:lvlText w:val="%1."/>
      <w:numFmt w:val="decimal"/>
      <w:start w:val="25"/>
    </w:lvl>
  </w:abstractNum>
  <w:abstractNum w:abstractNumId="282">
    <w:nsid w:val="4FA327CE"/>
    <w:multiLevelType w:val="hybridMultilevel"/>
    <w:lvl w:ilvl="0">
      <w:lvlJc w:val="left"/>
      <w:lvlText w:val="(%1)"/>
      <w:numFmt w:val="lowerLetter"/>
      <w:start w:val="1"/>
    </w:lvl>
  </w:abstractNum>
  <w:abstractNum w:abstractNumId="283">
    <w:nsid w:val="1873983A"/>
    <w:multiLevelType w:val="hybridMultilevel"/>
    <w:lvl w:ilvl="0">
      <w:lvlJc w:val="left"/>
      <w:lvlText w:val="(%1)"/>
      <w:numFmt w:val="lowerLetter"/>
      <w:start w:val="4"/>
    </w:lvl>
  </w:abstractNum>
  <w:abstractNum w:abstractNumId="284">
    <w:nsid w:val="3D2DD275"/>
    <w:multiLevelType w:val="hybridMultilevel"/>
    <w:lvl w:ilvl="0">
      <w:lvlJc w:val="left"/>
      <w:lvlText w:val="(%1)"/>
      <w:numFmt w:val="lowerLetter"/>
      <w:start w:val="7"/>
    </w:lvl>
  </w:abstractNum>
  <w:abstractNum w:abstractNumId="285">
    <w:nsid w:val="2E17ECA7"/>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286">
    <w:nsid w:val="53B2564F"/>
    <w:multiLevelType w:val="hybridMultilevel"/>
    <w:lvl w:ilvl="0">
      <w:lvlJc w:val="left"/>
      <w:lvlText w:val="(%1)"/>
      <w:numFmt w:val="lowerLetter"/>
      <w:start w:val="3"/>
    </w:lvl>
    <w:lvl w:ilvl="1">
      <w:lvlJc w:val="left"/>
      <w:lvlText w:val="(%2)"/>
      <w:numFmt w:val="lowerLetter"/>
      <w:start w:val="9"/>
    </w:lvl>
  </w:abstractNum>
  <w:abstractNum w:abstractNumId="287">
    <w:nsid w:val="75509D76"/>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abstractNum>
  <w:abstractNum w:abstractNumId="288">
    <w:nsid w:val="1AF7F0EA"/>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289">
    <w:nsid w:val="4DA32C7E"/>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290">
    <w:nsid w:val="6EC68664"/>
    <w:multiLevelType w:val="hybridMultilevel"/>
    <w:lvl w:ilvl="0">
      <w:lvlJc w:val="left"/>
      <w:lvlText w:val="(%1)"/>
      <w:numFmt w:val="lowerLetter"/>
      <w:start w:val="3"/>
    </w:lvl>
  </w:abstractNum>
  <w:abstractNum w:abstractNumId="291">
    <w:nsid w:val="E0D31FF"/>
    <w:multiLevelType w:val="hybridMultilevel"/>
    <w:lvl w:ilvl="0">
      <w:lvlJc w:val="left"/>
      <w:lvlText w:val="%1"/>
      <w:numFmt w:val="decimal"/>
      <w:start w:val="1"/>
    </w:lvl>
    <w:lvl w:ilvl="1">
      <w:lvlJc w:val="left"/>
      <w:lvlText w:val="(%2)"/>
      <w:numFmt w:val="lowerLetter"/>
      <w:start w:val="4"/>
    </w:lvl>
  </w:abstractNum>
  <w:abstractNum w:abstractNumId="292">
    <w:nsid w:val="2FD0AD81"/>
    <w:multiLevelType w:val="hybridMultilevel"/>
    <w:lvl w:ilvl="0">
      <w:lvlJc w:val="left"/>
      <w:lvlText w:val="%1."/>
      <w:numFmt w:val="decimal"/>
      <w:start w:val="4"/>
    </w:lvl>
    <w:lvl w:ilvl="1">
      <w:lvlJc w:val="left"/>
      <w:lvlText w:val="(%2)"/>
      <w:numFmt w:val="lowerLetter"/>
      <w:start w:val="1"/>
    </w:lvl>
  </w:abstractNum>
  <w:abstractNum w:abstractNumId="293">
    <w:nsid w:val="1978EBEB"/>
    <w:multiLevelType w:val="hybridMultilevel"/>
    <w:lvl w:ilvl="0">
      <w:lvlJc w:val="left"/>
      <w:lvlText w:val="%1."/>
      <w:numFmt w:val="decimal"/>
      <w:start w:val="10"/>
    </w:lvl>
  </w:abstractNum>
  <w:abstractNum w:abstractNumId="294">
    <w:nsid w:val="52C12C61"/>
    <w:multiLevelType w:val="hybridMultilevel"/>
    <w:lvl w:ilvl="0">
      <w:lvlJc w:val="left"/>
      <w:lvlText w:val="%1."/>
      <w:numFmt w:val="decimal"/>
      <w:start w:val="17"/>
    </w:lvl>
  </w:abstractNum>
  <w:abstractNum w:abstractNumId="295">
    <w:nsid w:val="4BDD53FD"/>
    <w:multiLevelType w:val="hybridMultilevel"/>
    <w:lvl w:ilvl="0">
      <w:lvlJc w:val="left"/>
      <w:lvlText w:val="%1."/>
      <w:numFmt w:val="decimal"/>
      <w:start w:val="21"/>
    </w:lvl>
  </w:abstractNum>
  <w:abstractNum w:abstractNumId="296">
    <w:nsid w:val="569951FE"/>
    <w:multiLevelType w:val="hybridMultilevel"/>
    <w:lvl w:ilvl="0">
      <w:lvlJc w:val="left"/>
      <w:lvlText w:val="(%1)"/>
      <w:numFmt w:val="lowerLetter"/>
      <w:start w:val="1"/>
    </w:lvl>
  </w:abstractNum>
  <w:abstractNum w:abstractNumId="297">
    <w:nsid w:val="4C54E2C3"/>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298">
    <w:nsid w:val="788BD9B"/>
    <w:multiLevelType w:val="hybridMultilevel"/>
    <w:lvl w:ilvl="0">
      <w:lvlJc w:val="left"/>
      <w:lvlText w:val="(%1)"/>
      <w:numFmt w:val="lowerLetter"/>
      <w:start w:val="3"/>
    </w:lvl>
    <w:lvl w:ilvl="1">
      <w:lvlJc w:val="left"/>
      <w:lvlText w:val="(%2)"/>
      <w:numFmt w:val="lowerLetter"/>
      <w:start w:val="9"/>
    </w:lvl>
  </w:abstractNum>
  <w:abstractNum w:abstractNumId="299">
    <w:nsid w:val="47CAA567"/>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abstractNum>
  <w:abstractNum w:abstractNumId="300">
    <w:nsid w:val="48249DBF"/>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301">
    <w:nsid w:val="1F0E5D0D"/>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302">
    <w:nsid w:val="26BAAE9"/>
    <w:multiLevelType w:val="hybridMultilevel"/>
    <w:lvl w:ilvl="0">
      <w:lvlJc w:val="left"/>
      <w:lvlText w:val="(%1)"/>
      <w:numFmt w:val="lowerLetter"/>
      <w:start w:val="3"/>
    </w:lvl>
  </w:abstractNum>
  <w:abstractNum w:abstractNumId="303">
    <w:nsid w:val="2C02FE8C"/>
    <w:multiLevelType w:val="hybridMultilevel"/>
    <w:lvl w:ilvl="0">
      <w:lvlJc w:val="left"/>
      <w:lvlText w:val="%1"/>
      <w:numFmt w:val="decimal"/>
      <w:start w:val="1"/>
    </w:lvl>
    <w:lvl w:ilvl="1">
      <w:lvlJc w:val="left"/>
      <w:lvlText w:val="(%2)"/>
      <w:numFmt w:val="lowerLetter"/>
      <w:start w:val="4"/>
    </w:lvl>
  </w:abstractNum>
  <w:abstractNum w:abstractNumId="304">
    <w:nsid w:val="129517E"/>
    <w:multiLevelType w:val="hybridMultilevel"/>
    <w:lvl w:ilvl="0">
      <w:lvlJc w:val="left"/>
      <w:lvlText w:val="%1."/>
      <w:numFmt w:val="decimal"/>
      <w:start w:val="4"/>
    </w:lvl>
    <w:lvl w:ilvl="1">
      <w:lvlJc w:val="left"/>
      <w:lvlText w:val="(%2)"/>
      <w:numFmt w:val="lowerLetter"/>
      <w:start w:val="1"/>
    </w:lvl>
  </w:abstractNum>
  <w:abstractNum w:abstractNumId="305">
    <w:nsid w:val="763B8C4E"/>
    <w:multiLevelType w:val="hybridMultilevel"/>
    <w:lvl w:ilvl="0">
      <w:lvlJc w:val="left"/>
      <w:lvlText w:val="%1."/>
      <w:numFmt w:val="decimal"/>
      <w:start w:val="10"/>
    </w:lvl>
  </w:abstractNum>
  <w:abstractNum w:abstractNumId="306">
    <w:nsid w:val="4CFB8D32"/>
    <w:multiLevelType w:val="hybridMultilevel"/>
    <w:lvl w:ilvl="0">
      <w:lvlJc w:val="left"/>
      <w:lvlText w:val="%1."/>
      <w:numFmt w:val="decimal"/>
      <w:start w:val="17"/>
    </w:lvl>
  </w:abstractNum>
  <w:abstractNum w:abstractNumId="307">
    <w:nsid w:val="62A5D5BD"/>
    <w:multiLevelType w:val="hybridMultilevel"/>
    <w:lvl w:ilvl="0">
      <w:lvlJc w:val="left"/>
      <w:lvlText w:val="%1."/>
      <w:numFmt w:val="decimal"/>
      <w:start w:val="21"/>
    </w:lvl>
  </w:abstractNum>
  <w:abstractNum w:abstractNumId="308">
    <w:nsid w:val="718FABF9"/>
    <w:multiLevelType w:val="hybridMultilevel"/>
    <w:lvl w:ilvl="0">
      <w:lvlJc w:val="left"/>
      <w:lvlText w:val="(%1)"/>
      <w:numFmt w:val="lowerLetter"/>
      <w:start w:val="1"/>
    </w:lvl>
  </w:abstractNum>
  <w:abstractNum w:abstractNumId="309">
    <w:nsid w:val="7775797C"/>
    <w:multiLevelType w:val="hybridMultilevel"/>
    <w:lvl w:ilvl="0">
      <w:lvlJc w:val="left"/>
      <w:lvlText w:val="%1."/>
      <w:numFmt w:val="decimal"/>
      <w:start w:val="1"/>
    </w:lvl>
  </w:abstractNum>
  <w:abstractNum w:abstractNumId="310">
    <w:nsid w:val="1626FB8C"/>
    <w:multiLevelType w:val="hybridMultilevel"/>
    <w:lvl w:ilvl="0">
      <w:lvlJc w:val="left"/>
      <w:lvlText w:val="(%1)"/>
      <w:numFmt w:val="lowerLetter"/>
      <w:start w:val="1"/>
    </w:lvl>
  </w:abstractNum>
  <w:abstractNum w:abstractNumId="311">
    <w:nsid w:val="3957756A"/>
    <w:multiLevelType w:val="hybridMultilevel"/>
    <w:lvl w:ilvl="0">
      <w:lvlJc w:val="left"/>
      <w:lvlText w:val="%1."/>
      <w:numFmt w:val="decimal"/>
      <w:start w:val="6"/>
    </w:lvl>
  </w:abstractNum>
  <w:abstractNum w:abstractNumId="312">
    <w:nsid w:val="3E6DA1C7"/>
    <w:multiLevelType w:val="hybridMultilevel"/>
    <w:lvl w:ilvl="0">
      <w:lvlJc w:val="left"/>
      <w:lvlText w:val="%1."/>
      <w:numFmt w:val="decimal"/>
      <w:start w:val="7"/>
    </w:lvl>
    <w:lvl w:ilvl="1">
      <w:lvlJc w:val="left"/>
      <w:lvlText w:val="(%2)"/>
      <w:numFmt w:val="lowerLetter"/>
      <w:start w:val="1"/>
    </w:lvl>
  </w:abstractNum>
  <w:abstractNum w:abstractNumId="313">
    <w:nsid w:val="65CA235B"/>
    <w:multiLevelType w:val="hybridMultilevel"/>
    <w:lvl w:ilvl="0">
      <w:lvlJc w:val="left"/>
      <w:lvlText w:val="(%1)"/>
      <w:numFmt w:val="lowerLetter"/>
      <w:start w:val="2"/>
    </w:lvl>
  </w:abstractNum>
  <w:abstractNum w:abstractNumId="314">
    <w:nsid w:val="51CB0DA4"/>
    <w:multiLevelType w:val="hybridMultilevel"/>
    <w:lvl w:ilvl="0">
      <w:lvlJc w:val="left"/>
      <w:lvlText w:val="%1."/>
      <w:numFmt w:val="decimal"/>
      <w:start w:val="8"/>
    </w:lvl>
  </w:abstractNum>
  <w:abstractNum w:abstractNumId="315">
    <w:nsid w:val="7B9B743C"/>
    <w:multiLevelType w:val="hybridMultilevel"/>
    <w:lvl w:ilvl="0">
      <w:lvlJc w:val="left"/>
      <w:lvlText w:val="%1."/>
      <w:numFmt w:val="decimal"/>
      <w:start w:val="11"/>
    </w:lvl>
  </w:abstractNum>
  <w:abstractNum w:abstractNumId="316">
    <w:nsid w:val="13E21002"/>
    <w:multiLevelType w:val="hybridMultilevel"/>
    <w:lvl w:ilvl="0">
      <w:lvlJc w:val="left"/>
      <w:lvlText w:val="%1."/>
      <w:numFmt w:val="decimal"/>
      <w:start w:val="17"/>
    </w:lvl>
  </w:abstractNum>
  <w:abstractNum w:abstractNumId="317">
    <w:nsid w:val="257D63F4"/>
    <w:multiLevelType w:val="hybridMultilevel"/>
    <w:lvl w:ilvl="0">
      <w:lvlJc w:val="left"/>
      <w:lvlText w:val="%1"/>
      <w:numFmt w:val="lowerRoman"/>
      <w:start w:val="1"/>
    </w:lvl>
    <w:lvl w:ilvl="1">
      <w:lvlJc w:val="left"/>
      <w:lvlText w:val="%2."/>
      <w:numFmt w:val="decimal"/>
      <w:start w:val="23"/>
    </w:lvl>
  </w:abstractNum>
  <w:abstractNum w:abstractNumId="318">
    <w:nsid w:val="70EC11B2"/>
    <w:multiLevelType w:val="hybridMultilevel"/>
    <w:lvl w:ilvl="0">
      <w:lvlJc w:val="left"/>
      <w:lvlText w:val="(%1)"/>
      <w:numFmt w:val="lowerRoman"/>
      <w:start w:val="3"/>
    </w:lvl>
    <w:lvl w:ilvl="1">
      <w:lvlJc w:val="left"/>
      <w:lvlText w:val="%2."/>
      <w:numFmt w:val="decimal"/>
      <w:start w:val="25"/>
    </w:lvl>
  </w:abstractNum>
  <w:abstractNum w:abstractNumId="319">
    <w:nsid w:val="2EDA00ED"/>
    <w:multiLevelType w:val="hybridMultilevel"/>
    <w:lvl w:ilvl="0">
      <w:lvlJc w:val="left"/>
      <w:lvlText w:val="(%1)"/>
      <w:numFmt w:val="lowerLetter"/>
      <w:start w:val="1"/>
    </w:lvl>
  </w:abstractNum>
  <w:abstractNum w:abstractNumId="320">
    <w:nsid w:val="73209072"/>
    <w:multiLevelType w:val="hybridMultilevel"/>
    <w:lvl w:ilvl="0">
      <w:lvlJc w:val="left"/>
      <w:lvlText w:val="(%1)"/>
      <w:numFmt w:val="lowerLetter"/>
      <w:start w:val="4"/>
    </w:lvl>
  </w:abstractNum>
  <w:abstractNum w:abstractNumId="321">
    <w:nsid w:val="5FB29816"/>
    <w:multiLevelType w:val="hybridMultilevel"/>
    <w:lvl w:ilvl="0">
      <w:lvlJc w:val="left"/>
      <w:lvlText w:val="(%1)"/>
      <w:numFmt w:val="lowerLetter"/>
      <w:start w:val="7"/>
    </w:lvl>
  </w:abstractNum>
  <w:abstractNum w:abstractNumId="322">
    <w:nsid w:val="3CE732EC"/>
    <w:multiLevelType w:val="hybridMultilevel"/>
    <w:lvl w:ilvl="0">
      <w:lvlJc w:val="left"/>
      <w:lvlText w:val="%1)"/>
      <w:numFmt w:val="decimal"/>
      <w:start w:val="1"/>
    </w:lvl>
  </w:abstractNum>
  <w:abstractNum w:abstractNumId="323">
    <w:nsid w:val="22F13DF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3" Type="http://schemas.openxmlformats.org/officeDocument/2006/relationships/image" Target="media/image305.png"/><Relationship Id="rId314" Type="http://schemas.openxmlformats.org/officeDocument/2006/relationships/image" Target="media/image306.png"/><Relationship Id="rId315" Type="http://schemas.openxmlformats.org/officeDocument/2006/relationships/image" Target="media/image307.png"/><Relationship Id="rId316" Type="http://schemas.openxmlformats.org/officeDocument/2006/relationships/image" Target="media/image308.png"/><Relationship Id="rId317" Type="http://schemas.openxmlformats.org/officeDocument/2006/relationships/image" Target="media/image309.png"/><Relationship Id="rId318" Type="http://schemas.openxmlformats.org/officeDocument/2006/relationships/image" Target="media/image310.png"/><Relationship Id="rId319" Type="http://schemas.openxmlformats.org/officeDocument/2006/relationships/image" Target="media/image311.png"/><Relationship Id="rId320" Type="http://schemas.openxmlformats.org/officeDocument/2006/relationships/image" Target="media/image312.png"/><Relationship Id="rId321" Type="http://schemas.openxmlformats.org/officeDocument/2006/relationships/image" Target="media/image313.png"/><Relationship Id="rId322" Type="http://schemas.openxmlformats.org/officeDocument/2006/relationships/image" Target="media/image314.png"/><Relationship Id="rId323" Type="http://schemas.openxmlformats.org/officeDocument/2006/relationships/image" Target="media/image315.png"/><Relationship Id="rId324" Type="http://schemas.openxmlformats.org/officeDocument/2006/relationships/image" Target="media/image316.png"/><Relationship Id="rId325" Type="http://schemas.openxmlformats.org/officeDocument/2006/relationships/image" Target="media/image317.png"/><Relationship Id="rId326" Type="http://schemas.openxmlformats.org/officeDocument/2006/relationships/image" Target="media/image318.png"/><Relationship Id="rId327" Type="http://schemas.openxmlformats.org/officeDocument/2006/relationships/image" Target="media/image319.png"/><Relationship Id="rId328" Type="http://schemas.openxmlformats.org/officeDocument/2006/relationships/image" Target="media/image320.png"/><Relationship Id="rId329" Type="http://schemas.openxmlformats.org/officeDocument/2006/relationships/image" Target="media/image321.png"/><Relationship Id="rId330" Type="http://schemas.openxmlformats.org/officeDocument/2006/relationships/image" Target="media/image322.png"/><Relationship Id="rId331" Type="http://schemas.openxmlformats.org/officeDocument/2006/relationships/image" Target="media/image323.png"/><Relationship Id="rId332" Type="http://schemas.openxmlformats.org/officeDocument/2006/relationships/image" Target="media/image324.png"/><Relationship Id="rId333" Type="http://schemas.openxmlformats.org/officeDocument/2006/relationships/image" Target="media/image325.png"/><Relationship Id="rId334" Type="http://schemas.openxmlformats.org/officeDocument/2006/relationships/image" Target="media/image326.png"/><Relationship Id="rId335" Type="http://schemas.openxmlformats.org/officeDocument/2006/relationships/image" Target="media/image327.png"/><Relationship Id="rId336" Type="http://schemas.openxmlformats.org/officeDocument/2006/relationships/image" Target="media/image328.png"/><Relationship Id="rId337" Type="http://schemas.openxmlformats.org/officeDocument/2006/relationships/image" Target="media/image329.png"/><Relationship Id="rId338" Type="http://schemas.openxmlformats.org/officeDocument/2006/relationships/image" Target="media/image330.png"/><Relationship Id="rId339" Type="http://schemas.openxmlformats.org/officeDocument/2006/relationships/image" Target="media/image331.png"/><Relationship Id="rId340" Type="http://schemas.openxmlformats.org/officeDocument/2006/relationships/image" Target="media/image332.png"/><Relationship Id="rId341" Type="http://schemas.openxmlformats.org/officeDocument/2006/relationships/image" Target="media/image333.png"/><Relationship Id="rId342" Type="http://schemas.openxmlformats.org/officeDocument/2006/relationships/image" Target="media/image334.png"/><Relationship Id="rId343" Type="http://schemas.openxmlformats.org/officeDocument/2006/relationships/image" Target="media/image335.png"/><Relationship Id="rId344" Type="http://schemas.openxmlformats.org/officeDocument/2006/relationships/image" Target="media/image336.png"/><Relationship Id="rId345" Type="http://schemas.openxmlformats.org/officeDocument/2006/relationships/image" Target="media/image337.png"/><Relationship Id="rId346" Type="http://schemas.openxmlformats.org/officeDocument/2006/relationships/image" Target="media/image338.png"/><Relationship Id="rId347" Type="http://schemas.openxmlformats.org/officeDocument/2006/relationships/image" Target="media/image339.png"/><Relationship Id="rId348" Type="http://schemas.openxmlformats.org/officeDocument/2006/relationships/image" Target="media/image340.png"/><Relationship Id="rId349" Type="http://schemas.openxmlformats.org/officeDocument/2006/relationships/image" Target="media/image341.png"/><Relationship Id="rId350" Type="http://schemas.openxmlformats.org/officeDocument/2006/relationships/image" Target="media/image342.png"/><Relationship Id="rId351" Type="http://schemas.openxmlformats.org/officeDocument/2006/relationships/image" Target="media/image343.png"/><Relationship Id="rId352" Type="http://schemas.openxmlformats.org/officeDocument/2006/relationships/image" Target="media/image344.png"/><Relationship Id="rId353" Type="http://schemas.openxmlformats.org/officeDocument/2006/relationships/image" Target="media/image345.png"/><Relationship Id="rId354" Type="http://schemas.openxmlformats.org/officeDocument/2006/relationships/image" Target="media/image346.png"/><Relationship Id="rId355" Type="http://schemas.openxmlformats.org/officeDocument/2006/relationships/image" Target="media/image347.png"/><Relationship Id="rId356" Type="http://schemas.openxmlformats.org/officeDocument/2006/relationships/image" Target="media/image348.png"/><Relationship Id="rId357" Type="http://schemas.openxmlformats.org/officeDocument/2006/relationships/image" Target="media/image349.png"/><Relationship Id="rId358" Type="http://schemas.openxmlformats.org/officeDocument/2006/relationships/image" Target="media/image350.png"/><Relationship Id="rId359" Type="http://schemas.openxmlformats.org/officeDocument/2006/relationships/image" Target="media/image351.png"/><Relationship Id="rId360" Type="http://schemas.openxmlformats.org/officeDocument/2006/relationships/image" Target="media/image352.png"/><Relationship Id="rId361" Type="http://schemas.openxmlformats.org/officeDocument/2006/relationships/image" Target="media/image353.png"/><Relationship Id="rId362" Type="http://schemas.openxmlformats.org/officeDocument/2006/relationships/image" Target="media/image354.png"/><Relationship Id="rId363" Type="http://schemas.openxmlformats.org/officeDocument/2006/relationships/image" Target="media/image355.png"/><Relationship Id="rId364" Type="http://schemas.openxmlformats.org/officeDocument/2006/relationships/image" Target="media/image356.png"/><Relationship Id="rId365" Type="http://schemas.openxmlformats.org/officeDocument/2006/relationships/image" Target="media/image357.png"/><Relationship Id="rId366" Type="http://schemas.openxmlformats.org/officeDocument/2006/relationships/image" Target="media/image358.png"/><Relationship Id="rId367" Type="http://schemas.openxmlformats.org/officeDocument/2006/relationships/image" Target="media/image359.png"/><Relationship Id="rId368" Type="http://schemas.openxmlformats.org/officeDocument/2006/relationships/image" Target="media/image360.png"/><Relationship Id="rId369" Type="http://schemas.openxmlformats.org/officeDocument/2006/relationships/image" Target="media/image361.png"/><Relationship Id="rId370" Type="http://schemas.openxmlformats.org/officeDocument/2006/relationships/image" Target="media/image362.png"/><Relationship Id="rId371" Type="http://schemas.openxmlformats.org/officeDocument/2006/relationships/image" Target="media/image363.png"/><Relationship Id="rId372" Type="http://schemas.openxmlformats.org/officeDocument/2006/relationships/image" Target="media/image364.png"/><Relationship Id="rId373" Type="http://schemas.openxmlformats.org/officeDocument/2006/relationships/image" Target="media/image365.png"/><Relationship Id="rId374" Type="http://schemas.openxmlformats.org/officeDocument/2006/relationships/image" Target="media/image366.png"/><Relationship Id="rId375" Type="http://schemas.openxmlformats.org/officeDocument/2006/relationships/image" Target="media/image367.png"/><Relationship Id="rId376" Type="http://schemas.openxmlformats.org/officeDocument/2006/relationships/image" Target="media/image368.png"/><Relationship Id="rId377" Type="http://schemas.openxmlformats.org/officeDocument/2006/relationships/image" Target="media/image369.png"/><Relationship Id="rId378" Type="http://schemas.openxmlformats.org/officeDocument/2006/relationships/image" Target="media/image370.png"/><Relationship Id="rId379" Type="http://schemas.openxmlformats.org/officeDocument/2006/relationships/image" Target="media/image371.png"/><Relationship Id="rId380" Type="http://schemas.openxmlformats.org/officeDocument/2006/relationships/image" Target="media/image372.png"/><Relationship Id="rId381" Type="http://schemas.openxmlformats.org/officeDocument/2006/relationships/image" Target="media/image373.png"/><Relationship Id="rId382" Type="http://schemas.openxmlformats.org/officeDocument/2006/relationships/image" Target="media/image374.png"/><Relationship Id="rId383" Type="http://schemas.openxmlformats.org/officeDocument/2006/relationships/image" Target="media/image375.png"/><Relationship Id="rId384" Type="http://schemas.openxmlformats.org/officeDocument/2006/relationships/image" Target="media/image376.png"/><Relationship Id="rId385" Type="http://schemas.openxmlformats.org/officeDocument/2006/relationships/image" Target="media/image377.png"/><Relationship Id="rId386" Type="http://schemas.openxmlformats.org/officeDocument/2006/relationships/image" Target="media/image378.png"/><Relationship Id="rId387" Type="http://schemas.openxmlformats.org/officeDocument/2006/relationships/image" Target="media/image379.png"/><Relationship Id="rId388" Type="http://schemas.openxmlformats.org/officeDocument/2006/relationships/image" Target="media/image380.png"/><Relationship Id="rId389" Type="http://schemas.openxmlformats.org/officeDocument/2006/relationships/image" Target="media/image381.png"/><Relationship Id="rId390" Type="http://schemas.openxmlformats.org/officeDocument/2006/relationships/image" Target="media/image382.png"/><Relationship Id="rId391" Type="http://schemas.openxmlformats.org/officeDocument/2006/relationships/image" Target="media/image383.png"/><Relationship Id="rId392" Type="http://schemas.openxmlformats.org/officeDocument/2006/relationships/image" Target="media/image384.png"/><Relationship Id="rId393" Type="http://schemas.openxmlformats.org/officeDocument/2006/relationships/image" Target="media/image385.png"/><Relationship Id="rId394" Type="http://schemas.openxmlformats.org/officeDocument/2006/relationships/image" Target="media/image386.png"/><Relationship Id="rId395" Type="http://schemas.openxmlformats.org/officeDocument/2006/relationships/image" Target="media/image387.png"/><Relationship Id="rId396" Type="http://schemas.openxmlformats.org/officeDocument/2006/relationships/image" Target="media/image388.png"/><Relationship Id="rId397" Type="http://schemas.openxmlformats.org/officeDocument/2006/relationships/image" Target="media/image389.png"/><Relationship Id="rId398" Type="http://schemas.openxmlformats.org/officeDocument/2006/relationships/image" Target="media/image390.png"/><Relationship Id="rId399" Type="http://schemas.openxmlformats.org/officeDocument/2006/relationships/image" Target="media/image391.png"/><Relationship Id="rId400" Type="http://schemas.openxmlformats.org/officeDocument/2006/relationships/image" Target="media/image392.png"/><Relationship Id="rId401" Type="http://schemas.openxmlformats.org/officeDocument/2006/relationships/image" Target="media/image393.png"/><Relationship Id="rId402" Type="http://schemas.openxmlformats.org/officeDocument/2006/relationships/image" Target="media/image394.png"/><Relationship Id="rId403" Type="http://schemas.openxmlformats.org/officeDocument/2006/relationships/image" Target="media/image395.png"/><Relationship Id="rId404" Type="http://schemas.openxmlformats.org/officeDocument/2006/relationships/image" Target="media/image396.png"/><Relationship Id="rId405" Type="http://schemas.openxmlformats.org/officeDocument/2006/relationships/image" Target="media/image397.png"/><Relationship Id="rId406" Type="http://schemas.openxmlformats.org/officeDocument/2006/relationships/image" Target="media/image398.png"/><Relationship Id="rId407" Type="http://schemas.openxmlformats.org/officeDocument/2006/relationships/image" Target="media/image399.png"/><Relationship Id="rId408" Type="http://schemas.openxmlformats.org/officeDocument/2006/relationships/image" Target="media/image400.png"/><Relationship Id="rId409" Type="http://schemas.openxmlformats.org/officeDocument/2006/relationships/image" Target="media/image401.png"/><Relationship Id="rId410" Type="http://schemas.openxmlformats.org/officeDocument/2006/relationships/image" Target="media/image402.png"/><Relationship Id="rId411" Type="http://schemas.openxmlformats.org/officeDocument/2006/relationships/image" Target="media/image403.png"/><Relationship Id="rId412" Type="http://schemas.openxmlformats.org/officeDocument/2006/relationships/image" Target="media/image404.png"/><Relationship Id="rId413" Type="http://schemas.openxmlformats.org/officeDocument/2006/relationships/image" Target="media/image405.png"/><Relationship Id="rId414" Type="http://schemas.openxmlformats.org/officeDocument/2006/relationships/image" Target="media/image406.png"/><Relationship Id="rId415" Type="http://schemas.openxmlformats.org/officeDocument/2006/relationships/image" Target="media/image407.png"/><Relationship Id="rId416" Type="http://schemas.openxmlformats.org/officeDocument/2006/relationships/image" Target="media/image408.png"/><Relationship Id="rId417" Type="http://schemas.openxmlformats.org/officeDocument/2006/relationships/image" Target="media/image409.png"/><Relationship Id="rId418" Type="http://schemas.openxmlformats.org/officeDocument/2006/relationships/image" Target="media/image410.png"/><Relationship Id="rId419" Type="http://schemas.openxmlformats.org/officeDocument/2006/relationships/image" Target="media/image411.png"/><Relationship Id="rId420" Type="http://schemas.openxmlformats.org/officeDocument/2006/relationships/image" Target="media/image412.png"/><Relationship Id="rId421" Type="http://schemas.openxmlformats.org/officeDocument/2006/relationships/image" Target="media/image413.png"/><Relationship Id="rId422" Type="http://schemas.openxmlformats.org/officeDocument/2006/relationships/image" Target="media/image414.png"/><Relationship Id="rId423" Type="http://schemas.openxmlformats.org/officeDocument/2006/relationships/image" Target="media/image415.png"/><Relationship Id="rId424" Type="http://schemas.openxmlformats.org/officeDocument/2006/relationships/image" Target="media/image416.png"/><Relationship Id="rId425" Type="http://schemas.openxmlformats.org/officeDocument/2006/relationships/image" Target="media/image417.png"/><Relationship Id="rId426" Type="http://schemas.openxmlformats.org/officeDocument/2006/relationships/image" Target="media/image418.png"/><Relationship Id="rId427" Type="http://schemas.openxmlformats.org/officeDocument/2006/relationships/image" Target="media/image419.png"/><Relationship Id="rId428" Type="http://schemas.openxmlformats.org/officeDocument/2006/relationships/image" Target="media/image420.png"/><Relationship Id="rId429" Type="http://schemas.openxmlformats.org/officeDocument/2006/relationships/image" Target="media/image421.png"/><Relationship Id="rId430" Type="http://schemas.openxmlformats.org/officeDocument/2006/relationships/image" Target="media/image422.png"/><Relationship Id="rId431" Type="http://schemas.openxmlformats.org/officeDocument/2006/relationships/image" Target="media/image423.png"/><Relationship Id="rId432" Type="http://schemas.openxmlformats.org/officeDocument/2006/relationships/image" Target="media/image424.png"/><Relationship Id="rId433" Type="http://schemas.openxmlformats.org/officeDocument/2006/relationships/image" Target="media/image425.png"/><Relationship Id="rId434" Type="http://schemas.openxmlformats.org/officeDocument/2006/relationships/image" Target="media/image426.png"/><Relationship Id="rId435" Type="http://schemas.openxmlformats.org/officeDocument/2006/relationships/image" Target="media/image427.png"/><Relationship Id="rId436" Type="http://schemas.openxmlformats.org/officeDocument/2006/relationships/image" Target="media/image428.png"/><Relationship Id="rId437" Type="http://schemas.openxmlformats.org/officeDocument/2006/relationships/image" Target="media/image429.png"/><Relationship Id="rId438" Type="http://schemas.openxmlformats.org/officeDocument/2006/relationships/image" Target="media/image430.png"/><Relationship Id="rId439" Type="http://schemas.openxmlformats.org/officeDocument/2006/relationships/image" Target="media/image431.png"/><Relationship Id="rId440" Type="http://schemas.openxmlformats.org/officeDocument/2006/relationships/image" Target="media/image432.png"/><Relationship Id="rId441" Type="http://schemas.openxmlformats.org/officeDocument/2006/relationships/image" Target="media/image433.png"/><Relationship Id="rId442" Type="http://schemas.openxmlformats.org/officeDocument/2006/relationships/image" Target="media/image434.png"/><Relationship Id="rId443" Type="http://schemas.openxmlformats.org/officeDocument/2006/relationships/image" Target="media/image435.png"/><Relationship Id="rId444" Type="http://schemas.openxmlformats.org/officeDocument/2006/relationships/image" Target="media/image436.png"/><Relationship Id="rId445" Type="http://schemas.openxmlformats.org/officeDocument/2006/relationships/image" Target="media/image437.png"/><Relationship Id="rId446" Type="http://schemas.openxmlformats.org/officeDocument/2006/relationships/image" Target="media/image438.png"/><Relationship Id="rId447" Type="http://schemas.openxmlformats.org/officeDocument/2006/relationships/image" Target="media/image439.png"/><Relationship Id="rId448" Type="http://schemas.openxmlformats.org/officeDocument/2006/relationships/image" Target="media/image440.png"/><Relationship Id="rId449" Type="http://schemas.openxmlformats.org/officeDocument/2006/relationships/image" Target="media/image441.png"/><Relationship Id="rId450" Type="http://schemas.openxmlformats.org/officeDocument/2006/relationships/image" Target="media/image442.png"/><Relationship Id="rId451" Type="http://schemas.openxmlformats.org/officeDocument/2006/relationships/image" Target="media/image443.png"/><Relationship Id="rId452" Type="http://schemas.openxmlformats.org/officeDocument/2006/relationships/image" Target="media/image444.png"/><Relationship Id="rId453" Type="http://schemas.openxmlformats.org/officeDocument/2006/relationships/image" Target="media/image445.png"/><Relationship Id="rId454" Type="http://schemas.openxmlformats.org/officeDocument/2006/relationships/image" Target="media/image446.png"/><Relationship Id="rId455" Type="http://schemas.openxmlformats.org/officeDocument/2006/relationships/image" Target="media/image447.png"/><Relationship Id="rId456" Type="http://schemas.openxmlformats.org/officeDocument/2006/relationships/image" Target="media/image448.png"/><Relationship Id="rId457" Type="http://schemas.openxmlformats.org/officeDocument/2006/relationships/image" Target="media/image449.png"/><Relationship Id="rId458" Type="http://schemas.openxmlformats.org/officeDocument/2006/relationships/image" Target="media/image450.png"/><Relationship Id="rId459" Type="http://schemas.openxmlformats.org/officeDocument/2006/relationships/image" Target="media/image451.png"/><Relationship Id="rId460" Type="http://schemas.openxmlformats.org/officeDocument/2006/relationships/image" Target="media/image452.png"/><Relationship Id="rId461" Type="http://schemas.openxmlformats.org/officeDocument/2006/relationships/image" Target="media/image453.png"/><Relationship Id="rId462" Type="http://schemas.openxmlformats.org/officeDocument/2006/relationships/image" Target="media/image454.png"/><Relationship Id="rId463" Type="http://schemas.openxmlformats.org/officeDocument/2006/relationships/image" Target="media/image455.png"/><Relationship Id="rId464" Type="http://schemas.openxmlformats.org/officeDocument/2006/relationships/image" Target="media/image456.png"/><Relationship Id="rId465" Type="http://schemas.openxmlformats.org/officeDocument/2006/relationships/image" Target="media/image457.png"/><Relationship Id="rId466" Type="http://schemas.openxmlformats.org/officeDocument/2006/relationships/image" Target="media/image458.png"/><Relationship Id="rId467" Type="http://schemas.openxmlformats.org/officeDocument/2006/relationships/image" Target="media/image459.png"/><Relationship Id="rId468" Type="http://schemas.openxmlformats.org/officeDocument/2006/relationships/image" Target="media/image460.png"/><Relationship Id="rId469" Type="http://schemas.openxmlformats.org/officeDocument/2006/relationships/image" Target="media/image461.png"/><Relationship Id="rId470" Type="http://schemas.openxmlformats.org/officeDocument/2006/relationships/image" Target="media/image462.png"/><Relationship Id="rId471" Type="http://schemas.openxmlformats.org/officeDocument/2006/relationships/image" Target="media/image463.png"/><Relationship Id="rId472" Type="http://schemas.openxmlformats.org/officeDocument/2006/relationships/image" Target="media/image464.png"/><Relationship Id="rId473" Type="http://schemas.openxmlformats.org/officeDocument/2006/relationships/image" Target="media/image465.png"/><Relationship Id="rId474" Type="http://schemas.openxmlformats.org/officeDocument/2006/relationships/image" Target="media/image466.png"/><Relationship Id="rId475" Type="http://schemas.openxmlformats.org/officeDocument/2006/relationships/image" Target="media/image467.png"/><Relationship Id="rId476" Type="http://schemas.openxmlformats.org/officeDocument/2006/relationships/image" Target="media/image468.png"/><Relationship Id="rId477" Type="http://schemas.openxmlformats.org/officeDocument/2006/relationships/image" Target="media/image469.png"/><Relationship Id="rId478" Type="http://schemas.openxmlformats.org/officeDocument/2006/relationships/image" Target="media/image470.png"/><Relationship Id="rId479" Type="http://schemas.openxmlformats.org/officeDocument/2006/relationships/image" Target="media/image471.png"/><Relationship Id="rId480" Type="http://schemas.openxmlformats.org/officeDocument/2006/relationships/image" Target="media/image472.png"/><Relationship Id="rId481" Type="http://schemas.openxmlformats.org/officeDocument/2006/relationships/image" Target="media/image473.png"/><Relationship Id="rId482" Type="http://schemas.openxmlformats.org/officeDocument/2006/relationships/image" Target="media/image474.png"/><Relationship Id="rId483" Type="http://schemas.openxmlformats.org/officeDocument/2006/relationships/image" Target="media/image475.png"/><Relationship Id="rId484" Type="http://schemas.openxmlformats.org/officeDocument/2006/relationships/image" Target="media/image476.png"/><Relationship Id="rId485" Type="http://schemas.openxmlformats.org/officeDocument/2006/relationships/image" Target="media/image477.png"/><Relationship Id="rId486" Type="http://schemas.openxmlformats.org/officeDocument/2006/relationships/image" Target="media/image478.png"/><Relationship Id="rId487" Type="http://schemas.openxmlformats.org/officeDocument/2006/relationships/image" Target="media/image479.png"/><Relationship Id="rId488" Type="http://schemas.openxmlformats.org/officeDocument/2006/relationships/image" Target="media/image480.png"/><Relationship Id="rId489" Type="http://schemas.openxmlformats.org/officeDocument/2006/relationships/image" Target="media/image481.png"/><Relationship Id="rId490" Type="http://schemas.openxmlformats.org/officeDocument/2006/relationships/image" Target="media/image482.png"/><Relationship Id="rId491" Type="http://schemas.openxmlformats.org/officeDocument/2006/relationships/image" Target="media/image483.png"/><Relationship Id="rId492" Type="http://schemas.openxmlformats.org/officeDocument/2006/relationships/image" Target="media/image484.png"/><Relationship Id="rId493" Type="http://schemas.openxmlformats.org/officeDocument/2006/relationships/image" Target="media/image485.png"/><Relationship Id="rId494" Type="http://schemas.openxmlformats.org/officeDocument/2006/relationships/image" Target="media/image486.png"/><Relationship Id="rId495" Type="http://schemas.openxmlformats.org/officeDocument/2006/relationships/image" Target="media/image487.png"/><Relationship Id="rId496" Type="http://schemas.openxmlformats.org/officeDocument/2006/relationships/image" Target="media/image488.png"/><Relationship Id="rId497" Type="http://schemas.openxmlformats.org/officeDocument/2006/relationships/image" Target="media/image489.png"/><Relationship Id="rId498" Type="http://schemas.openxmlformats.org/officeDocument/2006/relationships/image" Target="media/image490.png"/><Relationship Id="rId499" Type="http://schemas.openxmlformats.org/officeDocument/2006/relationships/image" Target="media/image491.png"/><Relationship Id="rId500" Type="http://schemas.openxmlformats.org/officeDocument/2006/relationships/image" Target="media/image492.png"/><Relationship Id="rId501" Type="http://schemas.openxmlformats.org/officeDocument/2006/relationships/image" Target="media/image493.png"/><Relationship Id="rId502" Type="http://schemas.openxmlformats.org/officeDocument/2006/relationships/image" Target="media/image494.png"/><Relationship Id="rId503" Type="http://schemas.openxmlformats.org/officeDocument/2006/relationships/image" Target="media/image495.png"/><Relationship Id="rId504" Type="http://schemas.openxmlformats.org/officeDocument/2006/relationships/image" Target="media/image496.png"/><Relationship Id="rId505" Type="http://schemas.openxmlformats.org/officeDocument/2006/relationships/image" Target="media/image497.png"/><Relationship Id="rId506" Type="http://schemas.openxmlformats.org/officeDocument/2006/relationships/image" Target="media/image498.png"/><Relationship Id="rId507" Type="http://schemas.openxmlformats.org/officeDocument/2006/relationships/image" Target="media/image499.png"/><Relationship Id="rId508" Type="http://schemas.openxmlformats.org/officeDocument/2006/relationships/image" Target="media/image500.png"/><Relationship Id="rId509" Type="http://schemas.openxmlformats.org/officeDocument/2006/relationships/image" Target="media/image501.png"/><Relationship Id="rId510" Type="http://schemas.openxmlformats.org/officeDocument/2006/relationships/image" Target="media/image502.png"/><Relationship Id="rId511" Type="http://schemas.openxmlformats.org/officeDocument/2006/relationships/image" Target="media/image503.png"/><Relationship Id="rId512" Type="http://schemas.openxmlformats.org/officeDocument/2006/relationships/image" Target="media/image504.png"/><Relationship Id="rId513" Type="http://schemas.openxmlformats.org/officeDocument/2006/relationships/image" Target="media/image505.png"/><Relationship Id="rId514" Type="http://schemas.openxmlformats.org/officeDocument/2006/relationships/image" Target="media/image506.png"/><Relationship Id="rId515" Type="http://schemas.openxmlformats.org/officeDocument/2006/relationships/image" Target="media/image507.png"/><Relationship Id="rId516" Type="http://schemas.openxmlformats.org/officeDocument/2006/relationships/image" Target="media/image508.png"/><Relationship Id="rId517" Type="http://schemas.openxmlformats.org/officeDocument/2006/relationships/image" Target="media/image509.png"/><Relationship Id="rId518" Type="http://schemas.openxmlformats.org/officeDocument/2006/relationships/image" Target="media/image510.png"/><Relationship Id="rId519" Type="http://schemas.openxmlformats.org/officeDocument/2006/relationships/image" Target="media/image511.png"/><Relationship Id="rId520" Type="http://schemas.openxmlformats.org/officeDocument/2006/relationships/image" Target="media/image512.png"/><Relationship Id="rId521" Type="http://schemas.openxmlformats.org/officeDocument/2006/relationships/image" Target="media/image513.png"/><Relationship Id="rId522" Type="http://schemas.openxmlformats.org/officeDocument/2006/relationships/image" Target="media/image514.png"/><Relationship Id="rId523" Type="http://schemas.openxmlformats.org/officeDocument/2006/relationships/image" Target="media/image515.png"/><Relationship Id="rId524" Type="http://schemas.openxmlformats.org/officeDocument/2006/relationships/image" Target="media/image516.png"/><Relationship Id="rId525" Type="http://schemas.openxmlformats.org/officeDocument/2006/relationships/image" Target="media/image517.png"/><Relationship Id="rId526" Type="http://schemas.openxmlformats.org/officeDocument/2006/relationships/image" Target="media/image518.png"/><Relationship Id="rId527" Type="http://schemas.openxmlformats.org/officeDocument/2006/relationships/image" Target="media/image519.png"/><Relationship Id="rId528" Type="http://schemas.openxmlformats.org/officeDocument/2006/relationships/image" Target="media/image520.png"/><Relationship Id="rId529" Type="http://schemas.openxmlformats.org/officeDocument/2006/relationships/image" Target="media/image521.png"/><Relationship Id="rId530" Type="http://schemas.openxmlformats.org/officeDocument/2006/relationships/image" Target="media/image522.png"/><Relationship Id="rId531" Type="http://schemas.openxmlformats.org/officeDocument/2006/relationships/image" Target="media/image523.png"/><Relationship Id="rId532" Type="http://schemas.openxmlformats.org/officeDocument/2006/relationships/image" Target="media/image524.png"/><Relationship Id="rId533" Type="http://schemas.openxmlformats.org/officeDocument/2006/relationships/image" Target="media/image525.png"/><Relationship Id="rId534" Type="http://schemas.openxmlformats.org/officeDocument/2006/relationships/image" Target="media/image526.png"/><Relationship Id="rId535" Type="http://schemas.openxmlformats.org/officeDocument/2006/relationships/image" Target="media/image527.png"/><Relationship Id="rId536" Type="http://schemas.openxmlformats.org/officeDocument/2006/relationships/image" Target="media/image528.png"/><Relationship Id="rId537" Type="http://schemas.openxmlformats.org/officeDocument/2006/relationships/image" Target="media/image529.png"/><Relationship Id="rId538" Type="http://schemas.openxmlformats.org/officeDocument/2006/relationships/image" Target="media/image530.png"/><Relationship Id="rId539" Type="http://schemas.openxmlformats.org/officeDocument/2006/relationships/image" Target="media/image531.png"/><Relationship Id="rId540" Type="http://schemas.openxmlformats.org/officeDocument/2006/relationships/image" Target="media/image532.png"/><Relationship Id="rId541" Type="http://schemas.openxmlformats.org/officeDocument/2006/relationships/image" Target="media/image533.png"/><Relationship Id="rId542" Type="http://schemas.openxmlformats.org/officeDocument/2006/relationships/image" Target="media/image534.png"/><Relationship Id="rId543" Type="http://schemas.openxmlformats.org/officeDocument/2006/relationships/image" Target="media/image535.png"/><Relationship Id="rId544" Type="http://schemas.openxmlformats.org/officeDocument/2006/relationships/image" Target="media/image536.png"/><Relationship Id="rId545" Type="http://schemas.openxmlformats.org/officeDocument/2006/relationships/image" Target="media/image537.png"/><Relationship Id="rId546" Type="http://schemas.openxmlformats.org/officeDocument/2006/relationships/image" Target="media/image538.png"/><Relationship Id="rId547" Type="http://schemas.openxmlformats.org/officeDocument/2006/relationships/image" Target="media/image539.png"/><Relationship Id="rId548" Type="http://schemas.openxmlformats.org/officeDocument/2006/relationships/image" Target="media/image540.png"/><Relationship Id="rId549" Type="http://schemas.openxmlformats.org/officeDocument/2006/relationships/image" Target="media/image541.png"/><Relationship Id="rId550" Type="http://schemas.openxmlformats.org/officeDocument/2006/relationships/image" Target="media/image542.png"/><Relationship Id="rId551" Type="http://schemas.openxmlformats.org/officeDocument/2006/relationships/image" Target="media/image543.png"/><Relationship Id="rId552" Type="http://schemas.openxmlformats.org/officeDocument/2006/relationships/image" Target="media/image544.png"/><Relationship Id="rId553" Type="http://schemas.openxmlformats.org/officeDocument/2006/relationships/image" Target="media/image545.png"/><Relationship Id="rId554" Type="http://schemas.openxmlformats.org/officeDocument/2006/relationships/image" Target="media/image546.png"/><Relationship Id="rId555" Type="http://schemas.openxmlformats.org/officeDocument/2006/relationships/image" Target="media/image547.png"/><Relationship Id="rId556" Type="http://schemas.openxmlformats.org/officeDocument/2006/relationships/image" Target="media/image548.png"/><Relationship Id="rId557" Type="http://schemas.openxmlformats.org/officeDocument/2006/relationships/image" Target="media/image549.png"/><Relationship Id="rId558" Type="http://schemas.openxmlformats.org/officeDocument/2006/relationships/image" Target="media/image550.png"/><Relationship Id="rId559" Type="http://schemas.openxmlformats.org/officeDocument/2006/relationships/image" Target="media/image551.png"/><Relationship Id="rId560" Type="http://schemas.openxmlformats.org/officeDocument/2006/relationships/image" Target="media/image552.png"/><Relationship Id="rId561" Type="http://schemas.openxmlformats.org/officeDocument/2006/relationships/image" Target="media/image553.png"/><Relationship Id="rId562" Type="http://schemas.openxmlformats.org/officeDocument/2006/relationships/image" Target="media/image554.png"/><Relationship Id="rId563" Type="http://schemas.openxmlformats.org/officeDocument/2006/relationships/image" Target="media/image555.png"/><Relationship Id="rId564" Type="http://schemas.openxmlformats.org/officeDocument/2006/relationships/image" Target="media/image556.png"/><Relationship Id="rId565" Type="http://schemas.openxmlformats.org/officeDocument/2006/relationships/image" Target="media/image557.png"/><Relationship Id="rId566" Type="http://schemas.openxmlformats.org/officeDocument/2006/relationships/image" Target="media/image558.png"/><Relationship Id="rId567" Type="http://schemas.openxmlformats.org/officeDocument/2006/relationships/image" Target="media/image559.png"/><Relationship Id="rId568" Type="http://schemas.openxmlformats.org/officeDocument/2006/relationships/image" Target="media/image560.png"/><Relationship Id="rId569" Type="http://schemas.openxmlformats.org/officeDocument/2006/relationships/image" Target="media/image561.png"/><Relationship Id="rId570" Type="http://schemas.openxmlformats.org/officeDocument/2006/relationships/image" Target="media/image562.png"/><Relationship Id="rId571" Type="http://schemas.openxmlformats.org/officeDocument/2006/relationships/image" Target="media/image563.png"/><Relationship Id="rId572" Type="http://schemas.openxmlformats.org/officeDocument/2006/relationships/image" Target="media/image564.png"/><Relationship Id="rId573" Type="http://schemas.openxmlformats.org/officeDocument/2006/relationships/image" Target="media/image565.png"/><Relationship Id="rId574" Type="http://schemas.openxmlformats.org/officeDocument/2006/relationships/image" Target="media/image566.png"/><Relationship Id="rId575" Type="http://schemas.openxmlformats.org/officeDocument/2006/relationships/image" Target="media/image567.png"/><Relationship Id="rId576" Type="http://schemas.openxmlformats.org/officeDocument/2006/relationships/image" Target="media/image568.png"/><Relationship Id="rId577" Type="http://schemas.openxmlformats.org/officeDocument/2006/relationships/image" Target="media/image569.png"/><Relationship Id="rId578" Type="http://schemas.openxmlformats.org/officeDocument/2006/relationships/image" Target="media/image570.png"/><Relationship Id="rId579" Type="http://schemas.openxmlformats.org/officeDocument/2006/relationships/image" Target="media/image571.png"/><Relationship Id="rId580" Type="http://schemas.openxmlformats.org/officeDocument/2006/relationships/image" Target="media/image572.png"/><Relationship Id="rId581" Type="http://schemas.openxmlformats.org/officeDocument/2006/relationships/image" Target="media/image573.png"/><Relationship Id="rId582" Type="http://schemas.openxmlformats.org/officeDocument/2006/relationships/image" Target="media/image574.png"/><Relationship Id="rId583" Type="http://schemas.openxmlformats.org/officeDocument/2006/relationships/image" Target="media/image575.png"/><Relationship Id="rId584" Type="http://schemas.openxmlformats.org/officeDocument/2006/relationships/image" Target="media/image576.png"/><Relationship Id="rId585" Type="http://schemas.openxmlformats.org/officeDocument/2006/relationships/image" Target="media/image577.png"/><Relationship Id="rId586" Type="http://schemas.openxmlformats.org/officeDocument/2006/relationships/image" Target="media/image578.png"/><Relationship Id="rId587" Type="http://schemas.openxmlformats.org/officeDocument/2006/relationships/image" Target="media/image579.png"/><Relationship Id="rId588" Type="http://schemas.openxmlformats.org/officeDocument/2006/relationships/image" Target="media/image580.png"/><Relationship Id="rId589" Type="http://schemas.openxmlformats.org/officeDocument/2006/relationships/image" Target="media/image581.png"/><Relationship Id="rId590" Type="http://schemas.openxmlformats.org/officeDocument/2006/relationships/image" Target="media/image582.png"/><Relationship Id="rId591" Type="http://schemas.openxmlformats.org/officeDocument/2006/relationships/image" Target="media/image583.png"/><Relationship Id="rId592" Type="http://schemas.openxmlformats.org/officeDocument/2006/relationships/image" Target="media/image584.png"/><Relationship Id="rId593" Type="http://schemas.openxmlformats.org/officeDocument/2006/relationships/image" Target="media/image585.png"/><Relationship Id="rId594" Type="http://schemas.openxmlformats.org/officeDocument/2006/relationships/image" Target="media/image586.png"/><Relationship Id="rId595" Type="http://schemas.openxmlformats.org/officeDocument/2006/relationships/image" Target="media/image587.png"/><Relationship Id="rId596" Type="http://schemas.openxmlformats.org/officeDocument/2006/relationships/image" Target="media/image588.png"/><Relationship Id="rId597" Type="http://schemas.openxmlformats.org/officeDocument/2006/relationships/image" Target="media/image589.png"/><Relationship Id="rId598" Type="http://schemas.openxmlformats.org/officeDocument/2006/relationships/image" Target="media/image590.png"/><Relationship Id="rId599" Type="http://schemas.openxmlformats.org/officeDocument/2006/relationships/image" Target="media/image591.png"/><Relationship Id="rId600" Type="http://schemas.openxmlformats.org/officeDocument/2006/relationships/image" Target="media/image592.png"/><Relationship Id="rId601" Type="http://schemas.openxmlformats.org/officeDocument/2006/relationships/image" Target="media/image593.png"/><Relationship Id="rId602" Type="http://schemas.openxmlformats.org/officeDocument/2006/relationships/image" Target="media/image594.png"/><Relationship Id="rId603" Type="http://schemas.openxmlformats.org/officeDocument/2006/relationships/image" Target="media/image595.jpeg"/><Relationship Id="rId604" Type="http://schemas.openxmlformats.org/officeDocument/2006/relationships/image" Target="media/image596.png"/><Relationship Id="rId605" Type="http://schemas.openxmlformats.org/officeDocument/2006/relationships/image" Target="media/image597.jpeg"/><Relationship Id="rId606" Type="http://schemas.openxmlformats.org/officeDocument/2006/relationships/image" Target="media/image598.jpeg"/><Relationship Id="rId607" Type="http://schemas.openxmlformats.org/officeDocument/2006/relationships/image" Target="media/image599.jpeg"/><Relationship Id="rId608" Type="http://schemas.openxmlformats.org/officeDocument/2006/relationships/image" Target="media/image600.png"/><Relationship Id="rId609" Type="http://schemas.openxmlformats.org/officeDocument/2006/relationships/image" Target="media/image601.jpeg"/><Relationship Id="rId610" Type="http://schemas.openxmlformats.org/officeDocument/2006/relationships/image" Target="media/image602.png"/><Relationship Id="rId611" Type="http://schemas.openxmlformats.org/officeDocument/2006/relationships/image" Target="media/image603.jpeg"/><Relationship Id="rId612" Type="http://schemas.openxmlformats.org/officeDocument/2006/relationships/image" Target="media/image604.png"/><Relationship Id="rId613" Type="http://schemas.openxmlformats.org/officeDocument/2006/relationships/image" Target="media/image605.jpeg"/><Relationship Id="rId614" Type="http://schemas.openxmlformats.org/officeDocument/2006/relationships/image" Target="media/image606.png"/><Relationship Id="rId615" Type="http://schemas.openxmlformats.org/officeDocument/2006/relationships/image" Target="media/image607.png"/><Relationship Id="rId616" Type="http://schemas.openxmlformats.org/officeDocument/2006/relationships/image" Target="media/image608.png"/><Relationship Id="rId617" Type="http://schemas.openxmlformats.org/officeDocument/2006/relationships/image" Target="media/image609.png"/><Relationship Id="rId618" Type="http://schemas.openxmlformats.org/officeDocument/2006/relationships/image" Target="media/image610.jpeg"/><Relationship Id="rId619" Type="http://schemas.openxmlformats.org/officeDocument/2006/relationships/image" Target="media/image611.png"/><Relationship Id="rId620" Type="http://schemas.openxmlformats.org/officeDocument/2006/relationships/image" Target="media/image612.png"/><Relationship Id="rId621" Type="http://schemas.openxmlformats.org/officeDocument/2006/relationships/image" Target="media/image613.png"/><Relationship Id="rId622" Type="http://schemas.openxmlformats.org/officeDocument/2006/relationships/image" Target="media/image614.png"/><Relationship Id="rId623" Type="http://schemas.openxmlformats.org/officeDocument/2006/relationships/image" Target="media/image615.png"/><Relationship Id="rId624" Type="http://schemas.openxmlformats.org/officeDocument/2006/relationships/image" Target="media/image616.png"/><Relationship Id="rId625" Type="http://schemas.openxmlformats.org/officeDocument/2006/relationships/image" Target="media/image617.png"/><Relationship Id="rId626" Type="http://schemas.openxmlformats.org/officeDocument/2006/relationships/image" Target="media/image618.png"/><Relationship Id="rId627" Type="http://schemas.openxmlformats.org/officeDocument/2006/relationships/image" Target="media/image619.png"/><Relationship Id="rId628" Type="http://schemas.openxmlformats.org/officeDocument/2006/relationships/image" Target="media/image620.png"/><Relationship Id="rId629" Type="http://schemas.openxmlformats.org/officeDocument/2006/relationships/image" Target="media/image621.png"/><Relationship Id="rId630" Type="http://schemas.openxmlformats.org/officeDocument/2006/relationships/image" Target="media/image622.png"/><Relationship Id="rId631" Type="http://schemas.openxmlformats.org/officeDocument/2006/relationships/image" Target="media/image623.png"/><Relationship Id="rId632" Type="http://schemas.openxmlformats.org/officeDocument/2006/relationships/image" Target="media/image624.png"/><Relationship Id="rId633" Type="http://schemas.openxmlformats.org/officeDocument/2006/relationships/image" Target="media/image625.png"/><Relationship Id="rId634" Type="http://schemas.openxmlformats.org/officeDocument/2006/relationships/image" Target="media/image626.png"/><Relationship Id="rId635" Type="http://schemas.openxmlformats.org/officeDocument/2006/relationships/image" Target="media/image627.png"/><Relationship Id="rId636" Type="http://schemas.openxmlformats.org/officeDocument/2006/relationships/image" Target="media/image628.png"/><Relationship Id="rId637" Type="http://schemas.openxmlformats.org/officeDocument/2006/relationships/image" Target="media/image629.png"/><Relationship Id="rId638" Type="http://schemas.openxmlformats.org/officeDocument/2006/relationships/image" Target="media/image630.png"/><Relationship Id="rId639" Type="http://schemas.openxmlformats.org/officeDocument/2006/relationships/image" Target="media/image631.png"/><Relationship Id="rId640" Type="http://schemas.openxmlformats.org/officeDocument/2006/relationships/image" Target="media/image632.png"/><Relationship Id="rId641" Type="http://schemas.openxmlformats.org/officeDocument/2006/relationships/image" Target="media/image633.png"/><Relationship Id="rId642" Type="http://schemas.openxmlformats.org/officeDocument/2006/relationships/image" Target="media/image634.png"/><Relationship Id="rId643" Type="http://schemas.openxmlformats.org/officeDocument/2006/relationships/image" Target="media/image635.png"/><Relationship Id="rId644" Type="http://schemas.openxmlformats.org/officeDocument/2006/relationships/image" Target="media/image636.png"/><Relationship Id="rId645" Type="http://schemas.openxmlformats.org/officeDocument/2006/relationships/image" Target="media/image637.png"/><Relationship Id="rId646" Type="http://schemas.openxmlformats.org/officeDocument/2006/relationships/image" Target="media/image638.png"/><Relationship Id="rId647" Type="http://schemas.openxmlformats.org/officeDocument/2006/relationships/image" Target="media/image639.png"/><Relationship Id="rId648" Type="http://schemas.openxmlformats.org/officeDocument/2006/relationships/image" Target="media/image640.png"/><Relationship Id="rId649" Type="http://schemas.openxmlformats.org/officeDocument/2006/relationships/image" Target="media/image641.png"/><Relationship Id="rId650" Type="http://schemas.openxmlformats.org/officeDocument/2006/relationships/image" Target="media/image642.png"/><Relationship Id="rId651" Type="http://schemas.openxmlformats.org/officeDocument/2006/relationships/image" Target="media/image643.png"/><Relationship Id="rId652" Type="http://schemas.openxmlformats.org/officeDocument/2006/relationships/image" Target="media/image644.png"/><Relationship Id="rId653" Type="http://schemas.openxmlformats.org/officeDocument/2006/relationships/image" Target="media/image645.png"/><Relationship Id="rId654" Type="http://schemas.openxmlformats.org/officeDocument/2006/relationships/image" Target="media/image646.png"/><Relationship Id="rId655" Type="http://schemas.openxmlformats.org/officeDocument/2006/relationships/image" Target="media/image647.png"/><Relationship Id="rId656" Type="http://schemas.openxmlformats.org/officeDocument/2006/relationships/image" Target="media/image648.png"/><Relationship Id="rId657" Type="http://schemas.openxmlformats.org/officeDocument/2006/relationships/image" Target="media/image649.png"/><Relationship Id="rId658" Type="http://schemas.openxmlformats.org/officeDocument/2006/relationships/image" Target="media/image650.png"/><Relationship Id="rId659" Type="http://schemas.openxmlformats.org/officeDocument/2006/relationships/image" Target="media/image651.png"/><Relationship Id="rId660" Type="http://schemas.openxmlformats.org/officeDocument/2006/relationships/image" Target="media/image652.png"/><Relationship Id="rId661" Type="http://schemas.openxmlformats.org/officeDocument/2006/relationships/image" Target="media/image653.png"/><Relationship Id="rId662" Type="http://schemas.openxmlformats.org/officeDocument/2006/relationships/image" Target="media/image654.png"/><Relationship Id="rId663" Type="http://schemas.openxmlformats.org/officeDocument/2006/relationships/image" Target="media/image655.png"/><Relationship Id="rId664" Type="http://schemas.openxmlformats.org/officeDocument/2006/relationships/image" Target="media/image656.png"/><Relationship Id="rId665" Type="http://schemas.openxmlformats.org/officeDocument/2006/relationships/image" Target="media/image657.png"/><Relationship Id="rId666" Type="http://schemas.openxmlformats.org/officeDocument/2006/relationships/image" Target="media/image658.png"/><Relationship Id="rId667" Type="http://schemas.openxmlformats.org/officeDocument/2006/relationships/image" Target="media/image659.png"/><Relationship Id="rId668" Type="http://schemas.openxmlformats.org/officeDocument/2006/relationships/image" Target="media/image660.png"/><Relationship Id="rId669" Type="http://schemas.openxmlformats.org/officeDocument/2006/relationships/image" Target="media/image661.png"/><Relationship Id="rId670" Type="http://schemas.openxmlformats.org/officeDocument/2006/relationships/image" Target="media/image662.png"/><Relationship Id="rId671" Type="http://schemas.openxmlformats.org/officeDocument/2006/relationships/image" Target="media/image663.png"/><Relationship Id="rId672" Type="http://schemas.openxmlformats.org/officeDocument/2006/relationships/image" Target="media/image664.png"/><Relationship Id="rId673" Type="http://schemas.openxmlformats.org/officeDocument/2006/relationships/image" Target="media/image665.png"/><Relationship Id="rId674" Type="http://schemas.openxmlformats.org/officeDocument/2006/relationships/image" Target="media/image666.png"/><Relationship Id="rId675" Type="http://schemas.openxmlformats.org/officeDocument/2006/relationships/image" Target="media/image667.png"/><Relationship Id="rId676" Type="http://schemas.openxmlformats.org/officeDocument/2006/relationships/image" Target="media/image668.png"/><Relationship Id="rId677" Type="http://schemas.openxmlformats.org/officeDocument/2006/relationships/image" Target="media/image669.png"/><Relationship Id="rId678" Type="http://schemas.openxmlformats.org/officeDocument/2006/relationships/image" Target="media/image670.png"/><Relationship Id="rId679" Type="http://schemas.openxmlformats.org/officeDocument/2006/relationships/image" Target="media/image671.png"/><Relationship Id="rId680" Type="http://schemas.openxmlformats.org/officeDocument/2006/relationships/image" Target="media/image672.png"/><Relationship Id="rId681" Type="http://schemas.openxmlformats.org/officeDocument/2006/relationships/image" Target="media/image673.png"/><Relationship Id="rId682" Type="http://schemas.openxmlformats.org/officeDocument/2006/relationships/image" Target="media/image674.png"/><Relationship Id="rId683" Type="http://schemas.openxmlformats.org/officeDocument/2006/relationships/image" Target="media/image675.png"/><Relationship Id="rId684" Type="http://schemas.openxmlformats.org/officeDocument/2006/relationships/image" Target="media/image676.png"/><Relationship Id="rId685" Type="http://schemas.openxmlformats.org/officeDocument/2006/relationships/image" Target="media/image677.png"/><Relationship Id="rId686" Type="http://schemas.openxmlformats.org/officeDocument/2006/relationships/image" Target="media/image678.png"/><Relationship Id="rId687" Type="http://schemas.openxmlformats.org/officeDocument/2006/relationships/image" Target="media/image679.png"/><Relationship Id="rId688" Type="http://schemas.openxmlformats.org/officeDocument/2006/relationships/image" Target="media/image680.png"/><Relationship Id="rId689" Type="http://schemas.openxmlformats.org/officeDocument/2006/relationships/image" Target="media/image681.png"/><Relationship Id="rId690" Type="http://schemas.openxmlformats.org/officeDocument/2006/relationships/image" Target="media/image682.png"/><Relationship Id="rId691" Type="http://schemas.openxmlformats.org/officeDocument/2006/relationships/image" Target="media/image683.png"/><Relationship Id="rId692" Type="http://schemas.openxmlformats.org/officeDocument/2006/relationships/image" Target="media/image684.png"/><Relationship Id="rId693" Type="http://schemas.openxmlformats.org/officeDocument/2006/relationships/image" Target="media/image685.png"/><Relationship Id="rId694" Type="http://schemas.openxmlformats.org/officeDocument/2006/relationships/image" Target="media/image686.png"/><Relationship Id="rId695" Type="http://schemas.openxmlformats.org/officeDocument/2006/relationships/image" Target="media/image687.png"/><Relationship Id="rId696" Type="http://schemas.openxmlformats.org/officeDocument/2006/relationships/image" Target="media/image688.png"/><Relationship Id="rId697" Type="http://schemas.openxmlformats.org/officeDocument/2006/relationships/image" Target="media/image689.png"/><Relationship Id="rId698" Type="http://schemas.openxmlformats.org/officeDocument/2006/relationships/image" Target="media/image690.png"/><Relationship Id="rId699" Type="http://schemas.openxmlformats.org/officeDocument/2006/relationships/image" Target="media/image691.png"/><Relationship Id="rId700" Type="http://schemas.openxmlformats.org/officeDocument/2006/relationships/image" Target="media/image692.png"/><Relationship Id="rId701" Type="http://schemas.openxmlformats.org/officeDocument/2006/relationships/image" Target="media/image693.png"/><Relationship Id="rId702" Type="http://schemas.openxmlformats.org/officeDocument/2006/relationships/image" Target="media/image694.png"/><Relationship Id="rId703" Type="http://schemas.openxmlformats.org/officeDocument/2006/relationships/image" Target="media/image695.png"/><Relationship Id="rId704" Type="http://schemas.openxmlformats.org/officeDocument/2006/relationships/image" Target="media/image696.png"/><Relationship Id="rId705" Type="http://schemas.openxmlformats.org/officeDocument/2006/relationships/image" Target="media/image697.png"/><Relationship Id="rId706" Type="http://schemas.openxmlformats.org/officeDocument/2006/relationships/image" Target="media/image698.png"/><Relationship Id="rId707" Type="http://schemas.openxmlformats.org/officeDocument/2006/relationships/image" Target="media/image699.png"/><Relationship Id="rId708" Type="http://schemas.openxmlformats.org/officeDocument/2006/relationships/image" Target="media/image700.png"/><Relationship Id="rId709" Type="http://schemas.openxmlformats.org/officeDocument/2006/relationships/image" Target="media/image701.png"/><Relationship Id="rId710" Type="http://schemas.openxmlformats.org/officeDocument/2006/relationships/image" Target="media/image702.png"/><Relationship Id="rId711" Type="http://schemas.openxmlformats.org/officeDocument/2006/relationships/image" Target="media/image703.png"/><Relationship Id="rId712" Type="http://schemas.openxmlformats.org/officeDocument/2006/relationships/image" Target="media/image704.png"/><Relationship Id="rId713" Type="http://schemas.openxmlformats.org/officeDocument/2006/relationships/image" Target="media/image705.png"/><Relationship Id="rId714" Type="http://schemas.openxmlformats.org/officeDocument/2006/relationships/image" Target="media/image706.png"/><Relationship Id="rId715" Type="http://schemas.openxmlformats.org/officeDocument/2006/relationships/image" Target="media/image707.png"/><Relationship Id="rId716" Type="http://schemas.openxmlformats.org/officeDocument/2006/relationships/image" Target="media/image708.png"/><Relationship Id="rId717" Type="http://schemas.openxmlformats.org/officeDocument/2006/relationships/image" Target="media/image709.png"/><Relationship Id="rId718" Type="http://schemas.openxmlformats.org/officeDocument/2006/relationships/image" Target="media/image710.png"/><Relationship Id="rId719" Type="http://schemas.openxmlformats.org/officeDocument/2006/relationships/image" Target="media/image711.png"/><Relationship Id="rId720" Type="http://schemas.openxmlformats.org/officeDocument/2006/relationships/image" Target="media/image712.png"/><Relationship Id="rId721" Type="http://schemas.openxmlformats.org/officeDocument/2006/relationships/image" Target="media/image713.png"/><Relationship Id="rId722" Type="http://schemas.openxmlformats.org/officeDocument/2006/relationships/image" Target="media/image714.png"/><Relationship Id="rId723" Type="http://schemas.openxmlformats.org/officeDocument/2006/relationships/image" Target="media/image715.png"/><Relationship Id="rId724" Type="http://schemas.openxmlformats.org/officeDocument/2006/relationships/image" Target="media/image716.png"/><Relationship Id="rId725" Type="http://schemas.openxmlformats.org/officeDocument/2006/relationships/image" Target="media/image717.png"/><Relationship Id="rId726" Type="http://schemas.openxmlformats.org/officeDocument/2006/relationships/image" Target="media/image718.png"/><Relationship Id="rId727" Type="http://schemas.openxmlformats.org/officeDocument/2006/relationships/image" Target="media/image719.png"/><Relationship Id="rId728" Type="http://schemas.openxmlformats.org/officeDocument/2006/relationships/image" Target="media/image720.png"/><Relationship Id="rId729" Type="http://schemas.openxmlformats.org/officeDocument/2006/relationships/image" Target="media/image721.png"/><Relationship Id="rId730" Type="http://schemas.openxmlformats.org/officeDocument/2006/relationships/image" Target="media/image722.png"/><Relationship Id="rId731" Type="http://schemas.openxmlformats.org/officeDocument/2006/relationships/image" Target="media/image723.png"/><Relationship Id="rId732" Type="http://schemas.openxmlformats.org/officeDocument/2006/relationships/image" Target="media/image724.png"/><Relationship Id="rId733" Type="http://schemas.openxmlformats.org/officeDocument/2006/relationships/image" Target="media/image725.png"/><Relationship Id="rId734" Type="http://schemas.openxmlformats.org/officeDocument/2006/relationships/image" Target="media/image726.png"/><Relationship Id="rId735" Type="http://schemas.openxmlformats.org/officeDocument/2006/relationships/image" Target="media/image727.png"/><Relationship Id="rId736" Type="http://schemas.openxmlformats.org/officeDocument/2006/relationships/image" Target="media/image728.png"/><Relationship Id="rId737" Type="http://schemas.openxmlformats.org/officeDocument/2006/relationships/image" Target="media/image729.png"/><Relationship Id="rId738" Type="http://schemas.openxmlformats.org/officeDocument/2006/relationships/image" Target="media/image730.png"/><Relationship Id="rId739" Type="http://schemas.openxmlformats.org/officeDocument/2006/relationships/image" Target="media/image731.png"/><Relationship Id="rId740" Type="http://schemas.openxmlformats.org/officeDocument/2006/relationships/image" Target="media/image732.png"/><Relationship Id="rId741" Type="http://schemas.openxmlformats.org/officeDocument/2006/relationships/image" Target="media/image733.png"/><Relationship Id="rId742" Type="http://schemas.openxmlformats.org/officeDocument/2006/relationships/image" Target="media/image734.png"/><Relationship Id="rId743" Type="http://schemas.openxmlformats.org/officeDocument/2006/relationships/image" Target="media/image735.png"/><Relationship Id="rId744" Type="http://schemas.openxmlformats.org/officeDocument/2006/relationships/image" Target="media/image736.png"/><Relationship Id="rId745" Type="http://schemas.openxmlformats.org/officeDocument/2006/relationships/image" Target="media/image737.png"/><Relationship Id="rId746" Type="http://schemas.openxmlformats.org/officeDocument/2006/relationships/image" Target="media/image738.png"/><Relationship Id="rId747" Type="http://schemas.openxmlformats.org/officeDocument/2006/relationships/image" Target="media/image739.jpeg"/><Relationship Id="rId748" Type="http://schemas.openxmlformats.org/officeDocument/2006/relationships/image" Target="media/image740.jpeg"/><Relationship Id="rId749" Type="http://schemas.openxmlformats.org/officeDocument/2006/relationships/image" Target="media/image741.png"/><Relationship Id="rId750" Type="http://schemas.openxmlformats.org/officeDocument/2006/relationships/image" Target="media/image742.jpeg"/><Relationship Id="rId751" Type="http://schemas.openxmlformats.org/officeDocument/2006/relationships/image" Target="media/image743.png"/><Relationship Id="rId752" Type="http://schemas.openxmlformats.org/officeDocument/2006/relationships/image" Target="media/image744.png"/><Relationship Id="rId753" Type="http://schemas.openxmlformats.org/officeDocument/2006/relationships/image" Target="media/image745.png"/><Relationship Id="rId754" Type="http://schemas.openxmlformats.org/officeDocument/2006/relationships/image" Target="media/image746.png"/><Relationship Id="rId755" Type="http://schemas.openxmlformats.org/officeDocument/2006/relationships/image" Target="media/image747.png"/><Relationship Id="rId756" Type="http://schemas.openxmlformats.org/officeDocument/2006/relationships/image" Target="media/image748.png"/><Relationship Id="rId757" Type="http://schemas.openxmlformats.org/officeDocument/2006/relationships/image" Target="media/image749.png"/><Relationship Id="rId758" Type="http://schemas.openxmlformats.org/officeDocument/2006/relationships/image" Target="media/image750.png"/><Relationship Id="rId759" Type="http://schemas.openxmlformats.org/officeDocument/2006/relationships/image" Target="media/image751.png"/><Relationship Id="rId760" Type="http://schemas.openxmlformats.org/officeDocument/2006/relationships/image" Target="media/image752.png"/><Relationship Id="rId761" Type="http://schemas.openxmlformats.org/officeDocument/2006/relationships/image" Target="media/image753.png"/><Relationship Id="rId762" Type="http://schemas.openxmlformats.org/officeDocument/2006/relationships/image" Target="media/image754.png"/><Relationship Id="rId763" Type="http://schemas.openxmlformats.org/officeDocument/2006/relationships/image" Target="media/image755.png"/><Relationship Id="rId764" Type="http://schemas.openxmlformats.org/officeDocument/2006/relationships/image" Target="media/image756.png"/><Relationship Id="rId765" Type="http://schemas.openxmlformats.org/officeDocument/2006/relationships/image" Target="media/image757.png"/><Relationship Id="rId766" Type="http://schemas.openxmlformats.org/officeDocument/2006/relationships/image" Target="media/image758.png"/><Relationship Id="rId767" Type="http://schemas.openxmlformats.org/officeDocument/2006/relationships/image" Target="media/image759.png"/><Relationship Id="rId768" Type="http://schemas.openxmlformats.org/officeDocument/2006/relationships/image" Target="media/image760.png"/><Relationship Id="rId769" Type="http://schemas.openxmlformats.org/officeDocument/2006/relationships/image" Target="media/image761.png"/><Relationship Id="rId770" Type="http://schemas.openxmlformats.org/officeDocument/2006/relationships/image" Target="media/image762.png"/><Relationship Id="rId771" Type="http://schemas.openxmlformats.org/officeDocument/2006/relationships/image" Target="media/image763.png"/><Relationship Id="rId772" Type="http://schemas.openxmlformats.org/officeDocument/2006/relationships/image" Target="media/image764.png"/><Relationship Id="rId773" Type="http://schemas.openxmlformats.org/officeDocument/2006/relationships/image" Target="media/image765.png"/><Relationship Id="rId774" Type="http://schemas.openxmlformats.org/officeDocument/2006/relationships/image" Target="media/image766.png"/><Relationship Id="rId775" Type="http://schemas.openxmlformats.org/officeDocument/2006/relationships/image" Target="media/image767.png"/><Relationship Id="rId776" Type="http://schemas.openxmlformats.org/officeDocument/2006/relationships/image" Target="media/image768.png"/><Relationship Id="rId777" Type="http://schemas.openxmlformats.org/officeDocument/2006/relationships/image" Target="media/image769.png"/><Relationship Id="rId778" Type="http://schemas.openxmlformats.org/officeDocument/2006/relationships/image" Target="media/image770.png"/><Relationship Id="rId779" Type="http://schemas.openxmlformats.org/officeDocument/2006/relationships/image" Target="media/image771.png"/><Relationship Id="rId780" Type="http://schemas.openxmlformats.org/officeDocument/2006/relationships/image" Target="media/image772.png"/><Relationship Id="rId781" Type="http://schemas.openxmlformats.org/officeDocument/2006/relationships/image" Target="media/image773.png"/><Relationship Id="rId782" Type="http://schemas.openxmlformats.org/officeDocument/2006/relationships/image" Target="media/image774.png"/><Relationship Id="rId783" Type="http://schemas.openxmlformats.org/officeDocument/2006/relationships/image" Target="media/image775.png"/><Relationship Id="rId784" Type="http://schemas.openxmlformats.org/officeDocument/2006/relationships/image" Target="media/image776.png"/><Relationship Id="rId785" Type="http://schemas.openxmlformats.org/officeDocument/2006/relationships/image" Target="media/image777.png"/><Relationship Id="rId786" Type="http://schemas.openxmlformats.org/officeDocument/2006/relationships/image" Target="media/image778.png"/><Relationship Id="rId787" Type="http://schemas.openxmlformats.org/officeDocument/2006/relationships/image" Target="media/image779.png"/><Relationship Id="rId788" Type="http://schemas.openxmlformats.org/officeDocument/2006/relationships/image" Target="media/image780.png"/><Relationship Id="rId789" Type="http://schemas.openxmlformats.org/officeDocument/2006/relationships/image" Target="media/image781.png"/><Relationship Id="rId790" Type="http://schemas.openxmlformats.org/officeDocument/2006/relationships/image" Target="media/image782.png"/><Relationship Id="rId791" Type="http://schemas.openxmlformats.org/officeDocument/2006/relationships/image" Target="media/image783.png"/><Relationship Id="rId792" Type="http://schemas.openxmlformats.org/officeDocument/2006/relationships/image" Target="media/image784.png"/><Relationship Id="rId793" Type="http://schemas.openxmlformats.org/officeDocument/2006/relationships/image" Target="media/image785.png"/><Relationship Id="rId794" Type="http://schemas.openxmlformats.org/officeDocument/2006/relationships/image" Target="media/image786.png"/><Relationship Id="rId795" Type="http://schemas.openxmlformats.org/officeDocument/2006/relationships/image" Target="media/image787.png"/><Relationship Id="rId796" Type="http://schemas.openxmlformats.org/officeDocument/2006/relationships/image" Target="media/image788.png"/><Relationship Id="rId797" Type="http://schemas.openxmlformats.org/officeDocument/2006/relationships/image" Target="media/image789.png"/><Relationship Id="rId798" Type="http://schemas.openxmlformats.org/officeDocument/2006/relationships/image" Target="media/image790.png"/><Relationship Id="rId799" Type="http://schemas.openxmlformats.org/officeDocument/2006/relationships/image" Target="media/image791.png"/><Relationship Id="rId800" Type="http://schemas.openxmlformats.org/officeDocument/2006/relationships/image" Target="media/image792.png"/><Relationship Id="rId801" Type="http://schemas.openxmlformats.org/officeDocument/2006/relationships/image" Target="media/image793.png"/><Relationship Id="rId802" Type="http://schemas.openxmlformats.org/officeDocument/2006/relationships/image" Target="media/image794.png"/><Relationship Id="rId803" Type="http://schemas.openxmlformats.org/officeDocument/2006/relationships/image" Target="media/image795.png"/><Relationship Id="rId804" Type="http://schemas.openxmlformats.org/officeDocument/2006/relationships/image" Target="media/image796.png"/><Relationship Id="rId805" Type="http://schemas.openxmlformats.org/officeDocument/2006/relationships/image" Target="media/image797.png"/><Relationship Id="rId806" Type="http://schemas.openxmlformats.org/officeDocument/2006/relationships/image" Target="media/image798.png"/><Relationship Id="rId807" Type="http://schemas.openxmlformats.org/officeDocument/2006/relationships/image" Target="media/image799.png"/><Relationship Id="rId808" Type="http://schemas.openxmlformats.org/officeDocument/2006/relationships/image" Target="media/image800.png"/><Relationship Id="rId809" Type="http://schemas.openxmlformats.org/officeDocument/2006/relationships/image" Target="media/image801.png"/><Relationship Id="rId810" Type="http://schemas.openxmlformats.org/officeDocument/2006/relationships/image" Target="media/image802.png"/><Relationship Id="rId811" Type="http://schemas.openxmlformats.org/officeDocument/2006/relationships/image" Target="media/image803.png"/><Relationship Id="rId812" Type="http://schemas.openxmlformats.org/officeDocument/2006/relationships/image" Target="media/image804.png"/><Relationship Id="rId813" Type="http://schemas.openxmlformats.org/officeDocument/2006/relationships/image" Target="media/image805.png"/><Relationship Id="rId814" Type="http://schemas.openxmlformats.org/officeDocument/2006/relationships/image" Target="media/image806.png"/><Relationship Id="rId815" Type="http://schemas.openxmlformats.org/officeDocument/2006/relationships/image" Target="media/image807.png"/><Relationship Id="rId816" Type="http://schemas.openxmlformats.org/officeDocument/2006/relationships/image" Target="media/image808.png"/><Relationship Id="rId817" Type="http://schemas.openxmlformats.org/officeDocument/2006/relationships/image" Target="media/image809.png"/><Relationship Id="rId818" Type="http://schemas.openxmlformats.org/officeDocument/2006/relationships/image" Target="media/image810.png"/><Relationship Id="rId819" Type="http://schemas.openxmlformats.org/officeDocument/2006/relationships/image" Target="media/image811.png"/><Relationship Id="rId820" Type="http://schemas.openxmlformats.org/officeDocument/2006/relationships/image" Target="media/image812.png"/><Relationship Id="rId821" Type="http://schemas.openxmlformats.org/officeDocument/2006/relationships/image" Target="media/image813.png"/><Relationship Id="rId822" Type="http://schemas.openxmlformats.org/officeDocument/2006/relationships/image" Target="media/image814.png"/><Relationship Id="rId823" Type="http://schemas.openxmlformats.org/officeDocument/2006/relationships/image" Target="media/image815.png"/><Relationship Id="rId824" Type="http://schemas.openxmlformats.org/officeDocument/2006/relationships/image" Target="media/image816.png"/><Relationship Id="rId825" Type="http://schemas.openxmlformats.org/officeDocument/2006/relationships/image" Target="media/image817.png"/><Relationship Id="rId826" Type="http://schemas.openxmlformats.org/officeDocument/2006/relationships/image" Target="media/image818.png"/><Relationship Id="rId827" Type="http://schemas.openxmlformats.org/officeDocument/2006/relationships/image" Target="media/image819.png"/><Relationship Id="rId828" Type="http://schemas.openxmlformats.org/officeDocument/2006/relationships/image" Target="media/image820.png"/><Relationship Id="rId829" Type="http://schemas.openxmlformats.org/officeDocument/2006/relationships/image" Target="media/image821.png"/><Relationship Id="rId830" Type="http://schemas.openxmlformats.org/officeDocument/2006/relationships/image" Target="media/image822.png"/><Relationship Id="rId831" Type="http://schemas.openxmlformats.org/officeDocument/2006/relationships/image" Target="media/image823.png"/><Relationship Id="rId832" Type="http://schemas.openxmlformats.org/officeDocument/2006/relationships/image" Target="media/image824.png"/><Relationship Id="rId833" Type="http://schemas.openxmlformats.org/officeDocument/2006/relationships/image" Target="media/image825.png"/><Relationship Id="rId834" Type="http://schemas.openxmlformats.org/officeDocument/2006/relationships/image" Target="media/image826.png"/><Relationship Id="rId835" Type="http://schemas.openxmlformats.org/officeDocument/2006/relationships/image" Target="media/image827.png"/><Relationship Id="rId836" Type="http://schemas.openxmlformats.org/officeDocument/2006/relationships/image" Target="media/image828.png"/><Relationship Id="rId837" Type="http://schemas.openxmlformats.org/officeDocument/2006/relationships/image" Target="media/image829.png"/><Relationship Id="rId838" Type="http://schemas.openxmlformats.org/officeDocument/2006/relationships/image" Target="media/image830.png"/><Relationship Id="rId839" Type="http://schemas.openxmlformats.org/officeDocument/2006/relationships/image" Target="media/image831.png"/><Relationship Id="rId840" Type="http://schemas.openxmlformats.org/officeDocument/2006/relationships/image" Target="media/image832.png"/><Relationship Id="rId841" Type="http://schemas.openxmlformats.org/officeDocument/2006/relationships/image" Target="media/image833.png"/><Relationship Id="rId842" Type="http://schemas.openxmlformats.org/officeDocument/2006/relationships/image" Target="media/image834.png"/><Relationship Id="rId843" Type="http://schemas.openxmlformats.org/officeDocument/2006/relationships/image" Target="media/image835.png"/><Relationship Id="rId844" Type="http://schemas.openxmlformats.org/officeDocument/2006/relationships/image" Target="media/image836.png"/><Relationship Id="rId845" Type="http://schemas.openxmlformats.org/officeDocument/2006/relationships/image" Target="media/image837.png"/><Relationship Id="rId846" Type="http://schemas.openxmlformats.org/officeDocument/2006/relationships/image" Target="media/image838.png"/><Relationship Id="rId847" Type="http://schemas.openxmlformats.org/officeDocument/2006/relationships/image" Target="media/image839.png"/><Relationship Id="rId848" Type="http://schemas.openxmlformats.org/officeDocument/2006/relationships/image" Target="media/image840.png"/><Relationship Id="rId849" Type="http://schemas.openxmlformats.org/officeDocument/2006/relationships/image" Target="media/image841.png"/><Relationship Id="rId850" Type="http://schemas.openxmlformats.org/officeDocument/2006/relationships/image" Target="media/image842.png"/><Relationship Id="rId851" Type="http://schemas.openxmlformats.org/officeDocument/2006/relationships/image" Target="media/image843.png"/><Relationship Id="rId852" Type="http://schemas.openxmlformats.org/officeDocument/2006/relationships/image" Target="media/image844.png"/><Relationship Id="rId853" Type="http://schemas.openxmlformats.org/officeDocument/2006/relationships/image" Target="media/image845.png"/><Relationship Id="rId312" Type="http://schemas.openxmlformats.org/officeDocument/2006/relationships/hyperlink" Target="https://www.sec.gov/Archives/edgar/data/1579428/000095017025063634/axsm-ex10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2025-08-04T16:34:02Z</dcterms:created>
  <dcterms:modified xsi:type="dcterms:W3CDTF">2025-08-04T16:34:02Z</dcterms:modified>
</cp:coreProperties>
</file>