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Axsome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065" w:type="dxa"/>
        <w:tblCellMar>
          <w:top w:w="0" w:type="dxa"/>
          <w:left w:w="0" w:type="dxa"/>
          <w:bottom w:w="0" w:type="dxa"/>
          <w:right w:w="0" w:type="dxa"/>
        </w:tblCellMar>
      </w:tblPr>
      <w:tr>
        <w:trPr>
          <w:trHeight w:val="19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001-37635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30"/>
        </w:trPr>
        <w:tc>
          <w:tcPr>
            <w:tcW w:w="3180" w:type="dxa"/>
            <w:vAlign w:val="bottom"/>
          </w:tcPr>
          <w:p>
            <w:pPr>
              <w:jc w:val="center"/>
              <w:ind w:right="6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160" w:type="dxa"/>
            <w:vAlign w:val="bottom"/>
          </w:tcPr>
          <w:p>
            <w:pPr>
              <w:jc w:val="center"/>
              <w:ind w:right="3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8"/>
              </w:rPr>
              <w:t>One World Trade Center, 29th Floor</w:t>
            </w:r>
          </w:p>
        </w:tc>
        <w:tc>
          <w:tcPr>
            <w:tcW w:w="3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1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5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AXSM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right="380" w:firstLine="510"/>
        <w:spacing w:after="0" w:line="276" w:lineRule="auto"/>
        <w:rPr>
          <w:sz w:val="20"/>
          <w:szCs w:val="20"/>
          <w:color w:val="auto"/>
        </w:rPr>
      </w:pPr>
      <w:r>
        <w:rPr>
          <w:rFonts w:ascii="Times New Roman" w:cs="Times New Roman" w:eastAsia="Times New Roman" w:hAnsi="Times New Roman"/>
          <w:sz w:val="16"/>
          <w:szCs w:val="16"/>
          <w:color w:val="auto"/>
        </w:rPr>
        <w:t>On May 5, 2025, Axsome Therapeutics, Inc. (the “Company”) issued a press release announcing its financial results for the three months ended March 31, 2025 and provided an update on the Company’s operations. The Company is furnishing a copy of the press release, which is attached hereto as Exhibit 99.1.</w:t>
      </w:r>
    </w:p>
    <w:p>
      <w:pPr>
        <w:spacing w:after="0" w:line="145"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6"/>
          <w:szCs w:val="16"/>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ind w:right="140" w:firstLine="510"/>
        <w:spacing w:after="0" w:line="276" w:lineRule="auto"/>
        <w:rPr>
          <w:sz w:val="20"/>
          <w:szCs w:val="20"/>
          <w:color w:val="auto"/>
        </w:rPr>
      </w:pPr>
      <w:r>
        <w:rPr>
          <w:rFonts w:ascii="Times New Roman" w:cs="Times New Roman" w:eastAsia="Times New Roman" w:hAnsi="Times New Roman"/>
          <w:sz w:val="16"/>
          <w:szCs w:val="16"/>
          <w:color w:val="auto"/>
        </w:rPr>
        <w:t>On May 5, 2025, the Company updated its corporate presentation and posted such corporate presentation to the Company’s website. The updated corporate presentation is filed as Exhibit 99.2 hereto and incorporated by reference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2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78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81"/>
        </w:trPr>
        <w:tc>
          <w:tcPr>
            <w:tcW w:w="12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5"/>
                <w:szCs w:val="15"/>
                <w:color w:val="auto"/>
              </w:rPr>
            </w:pPr>
          </w:p>
        </w:tc>
        <w:tc>
          <w:tcPr>
            <w:tcW w:w="990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0000FF"/>
              </w:rPr>
              <w:t>Press Release dated May 5, 2025.</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4"/>
                <w:szCs w:val="14"/>
                <w:color w:val="auto"/>
              </w:rPr>
            </w:pPr>
          </w:p>
        </w:tc>
        <w:tc>
          <w:tcPr>
            <w:tcW w:w="15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7"/>
              </w:rPr>
              <w:t>Corporate Presentation.</w:t>
            </w:r>
          </w:p>
        </w:tc>
        <w:tc>
          <w:tcPr>
            <w:tcW w:w="20" w:type="dxa"/>
            <w:vAlign w:val="bottom"/>
            <w:tcBorders>
              <w:top w:val="single" w:sz="8" w:color="0000FF"/>
              <w:bottom w:val="single" w:sz="8" w:color="0000EE"/>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7780" w:type="dxa"/>
            <w:vAlign w:val="bottom"/>
          </w:tcPr>
          <w:p>
            <w:pPr>
              <w:spacing w:after="0"/>
              <w:rPr>
                <w:sz w:val="14"/>
                <w:szCs w:val="14"/>
                <w:color w:val="auto"/>
              </w:rPr>
            </w:pPr>
          </w:p>
        </w:tc>
      </w:tr>
      <w:tr>
        <w:trPr>
          <w:trHeight w:val="205"/>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r>
      <w:tr>
        <w:trPr>
          <w:trHeight w:val="5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May 5, 2025</w:t>
            </w:r>
          </w:p>
        </w:tc>
        <w:tc>
          <w:tcPr>
            <w:tcW w:w="274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65"/>
        </w:trPr>
        <w:tc>
          <w:tcPr>
            <w:tcW w:w="5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740" w:type="dxa"/>
            <w:vAlign w:val="bottom"/>
          </w:tcPr>
          <w:p>
            <w:pPr>
              <w:ind w:left="208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Herriot Tabuteau, M.D.</w:t>
            </w:r>
          </w:p>
        </w:tc>
      </w:tr>
      <w:tr>
        <w:trPr>
          <w:trHeight w:val="218"/>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996"/>
        </w:trPr>
        <w:tc>
          <w:tcPr>
            <w:tcW w:w="5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81050" cy="443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81050" cy="443230"/>
                    </a:xfrm>
                    <a:prstGeom prst="rect">
                      <a:avLst/>
                    </a:prstGeom>
                    <a:noFill/>
                  </pic:spPr>
                </pic:pic>
              </a:graphicData>
            </a:graphic>
          </wp:anchor>
        </w:drawing>
        <w:t>Exhibit 99.1</w:t>
      </w:r>
    </w:p>
    <w:p>
      <w:pPr>
        <w:spacing w:after="0" w:line="331" w:lineRule="exact"/>
        <w:rPr>
          <w:sz w:val="20"/>
          <w:szCs w:val="20"/>
          <w:color w:val="auto"/>
        </w:rPr>
      </w:pPr>
    </w:p>
    <w:p>
      <w:pPr>
        <w:ind w:left="1945"/>
        <w:spacing w:after="0"/>
        <w:rPr>
          <w:sz w:val="20"/>
          <w:szCs w:val="20"/>
          <w:color w:val="auto"/>
        </w:rPr>
      </w:pPr>
      <w:r>
        <w:rPr>
          <w:rFonts w:ascii="Arial" w:cs="Arial" w:eastAsia="Arial" w:hAnsi="Arial"/>
          <w:sz w:val="16"/>
          <w:szCs w:val="16"/>
          <w:b w:val="1"/>
          <w:bCs w:val="1"/>
          <w:color w:val="auto"/>
        </w:rPr>
        <w:t>Axsome Therapeutics Reports First Quarter 2025 Financial Results and Provides Business Update</w:t>
      </w:r>
    </w:p>
    <w:p>
      <w:pPr>
        <w:spacing w:after="0" w:line="161" w:lineRule="exact"/>
        <w:rPr>
          <w:sz w:val="20"/>
          <w:szCs w:val="20"/>
          <w:color w:val="auto"/>
        </w:rPr>
      </w:pPr>
    </w:p>
    <w:p>
      <w:pPr>
        <w:ind w:left="2365"/>
        <w:spacing w:after="0"/>
        <w:rPr>
          <w:sz w:val="20"/>
          <w:szCs w:val="20"/>
          <w:color w:val="auto"/>
        </w:rPr>
      </w:pPr>
      <w:r>
        <w:rPr>
          <w:rFonts w:ascii="Arial" w:cs="Arial" w:eastAsia="Arial" w:hAnsi="Arial"/>
          <w:sz w:val="16"/>
          <w:szCs w:val="16"/>
          <w:i w:val="1"/>
          <w:iCs w:val="1"/>
          <w:color w:val="auto"/>
        </w:rPr>
        <w:t>Total 1Q 2025 net product revenue of $121.5 million, representing 62% year-over-year growth</w:t>
      </w:r>
    </w:p>
    <w:p>
      <w:pPr>
        <w:spacing w:after="0" w:line="153" w:lineRule="exact"/>
        <w:rPr>
          <w:sz w:val="20"/>
          <w:szCs w:val="20"/>
          <w:color w:val="auto"/>
        </w:rPr>
      </w:pPr>
    </w:p>
    <w:p>
      <w:pPr>
        <w:ind w:left="2265"/>
        <w:spacing w:after="0"/>
        <w:rPr>
          <w:sz w:val="20"/>
          <w:szCs w:val="20"/>
          <w:color w:val="auto"/>
        </w:rPr>
      </w:pPr>
      <w:r>
        <w:rPr>
          <w:rFonts w:ascii="Arial" w:cs="Arial" w:eastAsia="Arial" w:hAnsi="Arial"/>
          <w:sz w:val="16"/>
          <w:szCs w:val="16"/>
          <w:i w:val="1"/>
          <w:iCs w:val="1"/>
          <w:color w:val="auto"/>
        </w:rPr>
        <w:t>AUVELITY</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1Q 2025 net product sales of $96.2 million, representing 80% year-over-year growth</w:t>
      </w:r>
    </w:p>
    <w:p>
      <w:pPr>
        <w:spacing w:after="0" w:line="101" w:lineRule="exact"/>
        <w:rPr>
          <w:sz w:val="20"/>
          <w:szCs w:val="20"/>
          <w:color w:val="auto"/>
        </w:rPr>
      </w:pPr>
    </w:p>
    <w:p>
      <w:pPr>
        <w:ind w:left="2225"/>
        <w:spacing w:after="0"/>
        <w:rPr>
          <w:sz w:val="20"/>
          <w:szCs w:val="20"/>
          <w:color w:val="auto"/>
        </w:rPr>
      </w:pPr>
      <w:r>
        <w:rPr>
          <w:rFonts w:ascii="Arial" w:cs="Arial" w:eastAsia="Arial" w:hAnsi="Arial"/>
          <w:sz w:val="16"/>
          <w:szCs w:val="16"/>
          <w:i w:val="1"/>
          <w:iCs w:val="1"/>
          <w:color w:val="auto"/>
        </w:rPr>
        <w:t>SUNOSI</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1Q 2025 net product revenue of $25.2 million, representing 17% year-over-year growth</w:t>
      </w:r>
    </w:p>
    <w:p>
      <w:pPr>
        <w:spacing w:after="0" w:line="113" w:lineRule="exact"/>
        <w:rPr>
          <w:sz w:val="20"/>
          <w:szCs w:val="20"/>
          <w:color w:val="auto"/>
        </w:rPr>
      </w:pPr>
    </w:p>
    <w:p>
      <w:pPr>
        <w:ind w:left="2065"/>
        <w:spacing w:after="0"/>
        <w:rPr>
          <w:sz w:val="20"/>
          <w:szCs w:val="20"/>
          <w:color w:val="auto"/>
        </w:rPr>
      </w:pPr>
      <w:r>
        <w:rPr>
          <w:rFonts w:ascii="Arial" w:cs="Arial" w:eastAsia="Arial" w:hAnsi="Arial"/>
          <w:sz w:val="16"/>
          <w:szCs w:val="16"/>
          <w:i w:val="1"/>
          <w:iCs w:val="1"/>
          <w:color w:val="auto"/>
        </w:rPr>
        <w:t>SYMBRAVO</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approved for the acute treatment of migraine; commercial launch on track for June 2025</w:t>
      </w:r>
    </w:p>
    <w:p>
      <w:pPr>
        <w:spacing w:after="0" w:line="96" w:lineRule="exact"/>
        <w:rPr>
          <w:sz w:val="20"/>
          <w:szCs w:val="20"/>
          <w:color w:val="auto"/>
        </w:rPr>
      </w:pPr>
    </w:p>
    <w:p>
      <w:pPr>
        <w:jc w:val="center"/>
        <w:ind w:right="-4"/>
        <w:spacing w:after="0"/>
        <w:rPr>
          <w:sz w:val="20"/>
          <w:szCs w:val="20"/>
          <w:color w:val="auto"/>
        </w:rPr>
      </w:pPr>
      <w:r>
        <w:rPr>
          <w:rFonts w:ascii="Arial" w:cs="Arial" w:eastAsia="Arial" w:hAnsi="Arial"/>
          <w:sz w:val="16"/>
          <w:szCs w:val="16"/>
          <w:i w:val="1"/>
          <w:iCs w:val="1"/>
          <w:color w:val="auto"/>
        </w:rPr>
        <w:t>NDA for AXS-14 for the management of fibromyalgia submitted to the FDA</w:t>
      </w:r>
    </w:p>
    <w:p>
      <w:pPr>
        <w:spacing w:after="0" w:line="147" w:lineRule="exact"/>
        <w:rPr>
          <w:sz w:val="20"/>
          <w:szCs w:val="20"/>
          <w:color w:val="auto"/>
        </w:rPr>
      </w:pPr>
    </w:p>
    <w:p>
      <w:pPr>
        <w:jc w:val="center"/>
        <w:ind w:right="-4"/>
        <w:spacing w:after="0"/>
        <w:rPr>
          <w:sz w:val="20"/>
          <w:szCs w:val="20"/>
          <w:color w:val="auto"/>
        </w:rPr>
      </w:pPr>
      <w:r>
        <w:rPr>
          <w:rFonts w:ascii="Arial" w:cs="Arial" w:eastAsia="Arial" w:hAnsi="Arial"/>
          <w:sz w:val="16"/>
          <w:szCs w:val="16"/>
          <w:i w:val="1"/>
          <w:iCs w:val="1"/>
          <w:color w:val="auto"/>
        </w:rPr>
        <w:t>Supplemental NDA submission for AXS-05 in Alzheimer’s disease agitation on track for 3Q 2025</w:t>
      </w:r>
    </w:p>
    <w:p>
      <w:pPr>
        <w:spacing w:after="0" w:line="159" w:lineRule="exact"/>
        <w:rPr>
          <w:sz w:val="20"/>
          <w:szCs w:val="20"/>
          <w:color w:val="auto"/>
        </w:rPr>
      </w:pPr>
    </w:p>
    <w:p>
      <w:pPr>
        <w:jc w:val="center"/>
        <w:ind w:right="-4"/>
        <w:spacing w:after="0"/>
        <w:rPr>
          <w:sz w:val="20"/>
          <w:szCs w:val="20"/>
          <w:color w:val="auto"/>
        </w:rPr>
      </w:pPr>
      <w:r>
        <w:rPr>
          <w:rFonts w:ascii="Arial" w:cs="Arial" w:eastAsia="Arial" w:hAnsi="Arial"/>
          <w:sz w:val="16"/>
          <w:szCs w:val="16"/>
          <w:i w:val="1"/>
          <w:iCs w:val="1"/>
          <w:color w:val="auto"/>
        </w:rPr>
        <w:t>NDA submission for AXS-12 for cataplexy in patients with narcolepsy anticipated in 2H 2025</w:t>
      </w:r>
    </w:p>
    <w:p>
      <w:pPr>
        <w:spacing w:after="0" w:line="147" w:lineRule="exact"/>
        <w:rPr>
          <w:sz w:val="20"/>
          <w:szCs w:val="20"/>
          <w:color w:val="auto"/>
        </w:rPr>
      </w:pPr>
    </w:p>
    <w:p>
      <w:pPr>
        <w:jc w:val="center"/>
        <w:ind w:right="-4"/>
        <w:spacing w:after="0"/>
        <w:rPr>
          <w:sz w:val="20"/>
          <w:szCs w:val="20"/>
          <w:color w:val="auto"/>
        </w:rPr>
      </w:pPr>
      <w:r>
        <w:rPr>
          <w:rFonts w:ascii="Arial" w:cs="Arial" w:eastAsia="Arial" w:hAnsi="Arial"/>
          <w:sz w:val="16"/>
          <w:szCs w:val="16"/>
          <w:i w:val="1"/>
          <w:iCs w:val="1"/>
          <w:color w:val="auto"/>
        </w:rPr>
        <w:t>Positive topline results of FOCUS Phase 3 trial of solriamfetol in ADHD announced</w:t>
      </w:r>
    </w:p>
    <w:p>
      <w:pPr>
        <w:spacing w:after="0" w:line="147" w:lineRule="exact"/>
        <w:rPr>
          <w:sz w:val="20"/>
          <w:szCs w:val="20"/>
          <w:color w:val="auto"/>
        </w:rPr>
      </w:pPr>
    </w:p>
    <w:p>
      <w:pPr>
        <w:jc w:val="center"/>
        <w:ind w:right="55"/>
        <w:spacing w:after="0"/>
        <w:rPr>
          <w:sz w:val="20"/>
          <w:szCs w:val="20"/>
          <w:color w:val="auto"/>
        </w:rPr>
      </w:pPr>
      <w:r>
        <w:rPr>
          <w:rFonts w:ascii="Arial" w:cs="Arial" w:eastAsia="Arial" w:hAnsi="Arial"/>
          <w:sz w:val="16"/>
          <w:szCs w:val="16"/>
          <w:i w:val="1"/>
          <w:iCs w:val="1"/>
          <w:color w:val="auto"/>
        </w:rPr>
        <w:t>Initiation of Phase 3 trial of solriamfetol in major depressive disorder with excessive daytime sleepiness anticipated in 2025</w:t>
      </w:r>
    </w:p>
    <w:p>
      <w:pPr>
        <w:spacing w:after="0" w:line="159" w:lineRule="exact"/>
        <w:rPr>
          <w:sz w:val="20"/>
          <w:szCs w:val="20"/>
          <w:color w:val="auto"/>
        </w:rPr>
      </w:pPr>
    </w:p>
    <w:p>
      <w:pPr>
        <w:jc w:val="center"/>
        <w:ind w:right="95"/>
        <w:spacing w:after="0"/>
        <w:rPr>
          <w:sz w:val="20"/>
          <w:szCs w:val="20"/>
          <w:color w:val="auto"/>
        </w:rPr>
      </w:pPr>
      <w:r>
        <w:rPr>
          <w:rFonts w:ascii="Arial" w:cs="Arial" w:eastAsia="Arial" w:hAnsi="Arial"/>
          <w:sz w:val="16"/>
          <w:szCs w:val="16"/>
          <w:i w:val="1"/>
          <w:iCs w:val="1"/>
          <w:color w:val="auto"/>
        </w:rPr>
        <w:t>Positive topline results of EMERGE Phase 3 trial of SYMBRAVO in migraine patients with prior inadequate response to oral CGRP inhibitors announced</w:t>
      </w:r>
    </w:p>
    <w:p>
      <w:pPr>
        <w:spacing w:after="0" w:line="147" w:lineRule="exact"/>
        <w:rPr>
          <w:sz w:val="20"/>
          <w:szCs w:val="20"/>
          <w:color w:val="auto"/>
        </w:rPr>
      </w:pPr>
    </w:p>
    <w:p>
      <w:pPr>
        <w:jc w:val="center"/>
        <w:ind w:right="-4"/>
        <w:spacing w:after="0"/>
        <w:rPr>
          <w:sz w:val="20"/>
          <w:szCs w:val="20"/>
          <w:color w:val="auto"/>
        </w:rPr>
      </w:pPr>
      <w:r>
        <w:rPr>
          <w:rFonts w:ascii="Arial" w:cs="Arial" w:eastAsia="Arial" w:hAnsi="Arial"/>
          <w:sz w:val="16"/>
          <w:szCs w:val="16"/>
          <w:i w:val="1"/>
          <w:iCs w:val="1"/>
          <w:color w:val="auto"/>
        </w:rPr>
        <w:t>Company to host conference call today at 8:00 AM Eastern</w:t>
      </w:r>
    </w:p>
    <w:p>
      <w:pPr>
        <w:spacing w:after="0" w:line="147"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auto"/>
        </w:rPr>
        <w:t>NEW YORK, May 5, 2025 (Globe Newswire) – Axsome Therapeutics, Inc. (NASDAQ: AXSM), a biopharmaceutical company leading a new era in the treatment of central nervous system (CNS) disorders, today announced financial results for the first quarter of 2025 and provided a general business update.</w:t>
      </w:r>
    </w:p>
    <w:p>
      <w:pPr>
        <w:spacing w:after="0" w:line="122" w:lineRule="exact"/>
        <w:rPr>
          <w:sz w:val="20"/>
          <w:szCs w:val="20"/>
          <w:color w:val="auto"/>
        </w:rPr>
      </w:pPr>
    </w:p>
    <w:p>
      <w:pPr>
        <w:jc w:val="both"/>
        <w:ind w:left="5"/>
        <w:spacing w:after="0" w:line="235" w:lineRule="auto"/>
        <w:rPr>
          <w:sz w:val="20"/>
          <w:szCs w:val="20"/>
          <w:color w:val="auto"/>
        </w:rPr>
      </w:pPr>
      <w:r>
        <w:rPr>
          <w:rFonts w:ascii="Arial" w:cs="Arial" w:eastAsia="Arial" w:hAnsi="Arial"/>
          <w:sz w:val="16"/>
          <w:szCs w:val="16"/>
          <w:color w:val="auto"/>
        </w:rPr>
        <w:t>“The first quarter was strong and eventful, with the approval of SYMBRAVO for the acute treatment of migraine, continued growth of AUVELITY and SUNOSI, and significant advancements across our broad late-stage neuroscience pipeline,” said Herriot Tabuteau, MD, Chief Executive Officer of Axsome Therapeutics. “Commercial availability of SYMBRAVO is on track for this June, and preparations are underway to enable a successful launch. We have submitted our NDA for AXS-14 for the management of fibromyalgia, and are on track for our planned NDA submissions this year for AXS-05 in Alzheimer’s disease agitation and for AXS-12 in cataplexy in patients with narcolepsy. Our development programs with solriamfetol continue to advance, with the recently announced Phase 3 topline results in ADHD and MDD, and progress across the Phase 3 trials in binge eating disorder and excessive sleepiness associated with shift work disorder. Overall, our neuroscience portfolio positions us to deliver potentially five marketed products across ten indications that collectively impact over 150 million patients in the U.S. alone. We look forward to continued momentum over the balance of 2025 as we execute on our mission to deliver transformative medicines to patients living with serious CNS conditions.”</w:t>
      </w:r>
    </w:p>
    <w:p>
      <w:pPr>
        <w:spacing w:after="0" w:line="12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First Quarter 2025 Financial Highlights</w:t>
      </w:r>
    </w:p>
    <w:p>
      <w:pPr>
        <w:spacing w:after="0" w:line="149" w:lineRule="exact"/>
        <w:rPr>
          <w:sz w:val="20"/>
          <w:szCs w:val="20"/>
          <w:color w:val="auto"/>
        </w:rPr>
      </w:pPr>
    </w:p>
    <w:p>
      <w:pPr>
        <w:ind w:left="365" w:right="20"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Total net product revenue was $121.5 million for the first quarter of 2025, representing 62% year-over-year growth. Total net product revenue for the comparable period in 2024 was $75.0 million.</w:t>
      </w:r>
    </w:p>
    <w:p>
      <w:pPr>
        <w:spacing w:after="0" w:line="120" w:lineRule="exact"/>
        <w:rPr>
          <w:rFonts w:ascii="Times New Roman" w:cs="Times New Roman" w:eastAsia="Times New Roman" w:hAnsi="Times New Roman"/>
          <w:sz w:val="16"/>
          <w:szCs w:val="16"/>
          <w:color w:val="auto"/>
        </w:rPr>
      </w:pPr>
    </w:p>
    <w:p>
      <w:pPr>
        <w:ind w:left="365"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AUVELITY net product sales were $96.2 million for the first quarter of 2025, representing 80% year-over-year growth. AUVELITY net product sales for the comparable period in 2024 were $53.4 million.</w:t>
      </w:r>
    </w:p>
    <w:p>
      <w:pPr>
        <w:spacing w:after="0" w:line="200" w:lineRule="exact"/>
        <w:rPr>
          <w:sz w:val="20"/>
          <w:szCs w:val="20"/>
          <w:color w:val="auto"/>
        </w:rPr>
      </w:pPr>
    </w:p>
    <w:p>
      <w:pPr>
        <w:spacing w:after="0" w:line="2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393" w:right="319" w:bottom="1440" w:gutter="0" w:footer="0" w:header="0"/>
        </w:sectPr>
      </w:pPr>
    </w:p>
    <w:bookmarkStart w:id="4" w:name="page5"/>
    <w:bookmarkEnd w:id="4"/>
    <w:p>
      <w:pPr>
        <w:jc w:val="both"/>
        <w:ind w:left="365" w:hanging="365"/>
        <w:spacing w:after="0" w:line="245"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SUNOSI net product revenue was $25.2 million for the first quarter of 2025, representing 17% year-over-year growth, which consisted of $24.1 million in net product sales and $1.1 million in royalty revenue associated with SUNOSI sales in out-licensed territories. SUNOSI net product revenue for the comparable period in 2024 was $21.6 million, which consisted of $20.7 million in net product sales and $0.9 million in royalty revenue.</w:t>
      </w:r>
    </w:p>
    <w:p>
      <w:pPr>
        <w:spacing w:after="0" w:line="121"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Total cost of revenue was $9.8 million for the first quarter of 2025. Total cost of revenue for the comparable period in 2024 was $6.3 million.</w:t>
      </w:r>
    </w:p>
    <w:p>
      <w:pPr>
        <w:spacing w:after="0" w:line="170" w:lineRule="exact"/>
        <w:rPr>
          <w:rFonts w:ascii="Times New Roman" w:cs="Times New Roman" w:eastAsia="Times New Roman" w:hAnsi="Times New Roman"/>
          <w:sz w:val="16"/>
          <w:szCs w:val="16"/>
          <w:color w:val="auto"/>
        </w:rPr>
      </w:pPr>
    </w:p>
    <w:p>
      <w:pPr>
        <w:jc w:val="both"/>
        <w:ind w:left="365" w:hanging="365"/>
        <w:spacing w:after="0" w:line="245"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Research and development (R&amp;D) expenses were $44.8 million for the first quarter of 2025, compared to $36.8 million for the comparable period in 2024. The increase was primarily related to the Company’s Phase 3 trials of solriamfetol, manufacturing costs for the planned launch of SYMBRAVO, and higher personnel costs, including non-cash stock-based compensation, associated with organizational growth.</w:t>
      </w:r>
    </w:p>
    <w:p>
      <w:pPr>
        <w:spacing w:after="0" w:line="121" w:lineRule="exact"/>
        <w:rPr>
          <w:rFonts w:ascii="Times New Roman" w:cs="Times New Roman" w:eastAsia="Times New Roman" w:hAnsi="Times New Roman"/>
          <w:sz w:val="16"/>
          <w:szCs w:val="16"/>
          <w:color w:val="auto"/>
        </w:rPr>
      </w:pPr>
    </w:p>
    <w:p>
      <w:pPr>
        <w:jc w:val="both"/>
        <w:ind w:left="365" w:right="20" w:hanging="365"/>
        <w:spacing w:after="0" w:line="245"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Selling, general, and administrative (SG&amp;A) expenses were $120.8 million for the first quarter of 2025, compared to $99.0 million for the comparable period in 2024. The increase was primarily related to commercialization activities for AUVELITY, including sales force and marketing expenses, pre-launch activities for SYMBRAVO, and higher personnel costs, including non-cash stock-based compensation, associated with organizational growth.</w:t>
      </w:r>
    </w:p>
    <w:p>
      <w:pPr>
        <w:spacing w:after="0" w:line="121" w:lineRule="exact"/>
        <w:rPr>
          <w:rFonts w:ascii="Times New Roman" w:cs="Times New Roman" w:eastAsia="Times New Roman" w:hAnsi="Times New Roman"/>
          <w:sz w:val="16"/>
          <w:szCs w:val="16"/>
          <w:color w:val="auto"/>
        </w:rPr>
      </w:pPr>
    </w:p>
    <w:p>
      <w:pPr>
        <w:jc w:val="both"/>
        <w:ind w:left="365" w:right="20" w:hanging="365"/>
        <w:spacing w:after="0" w:line="245"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Net loss for the first quarter of 2025 was $59.4 million, or $(1.22) per share, compared to a net loss of $68.4 million, or $(1.44) per share, for the comparable period in 2024. The net loss in the first quarter of 2025 includes $26.2 million in non-cash charges, comprised primarily of $23.3 million in stock-based compensation expense.</w:t>
      </w:r>
    </w:p>
    <w:p>
      <w:pPr>
        <w:spacing w:after="0" w:line="133"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 totaled $300.9 million at March 31, 2025, compared to $315.4 million at December 31, 2024.</w:t>
      </w:r>
    </w:p>
    <w:p>
      <w:pPr>
        <w:spacing w:after="0" w:line="158"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Shares of common stock outstanding were 49,216,759 at March 31, 2025.</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Financial Guidance</w:t>
      </w:r>
    </w:p>
    <w:p>
      <w:pPr>
        <w:spacing w:after="0" w:line="161" w:lineRule="exact"/>
        <w:rPr>
          <w:sz w:val="20"/>
          <w:szCs w:val="20"/>
          <w:color w:val="auto"/>
        </w:rPr>
      </w:pPr>
    </w:p>
    <w:p>
      <w:pPr>
        <w:ind w:left="365" w:hanging="365"/>
        <w:spacing w:after="0"/>
        <w:tabs>
          <w:tab w:leader="none" w:pos="36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Axsome believes that its current cash is sufficient to fund anticipated operations into cash flow positivity, based on the current operating plan.</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Commercial Highlights</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AUVELITY</w:t>
      </w:r>
    </w:p>
    <w:p>
      <w:pPr>
        <w:spacing w:after="0" w:line="159" w:lineRule="exact"/>
        <w:rPr>
          <w:sz w:val="20"/>
          <w:szCs w:val="20"/>
          <w:color w:val="auto"/>
        </w:rPr>
      </w:pPr>
    </w:p>
    <w:p>
      <w:pPr>
        <w:ind w:left="365" w:right="20" w:hanging="365"/>
        <w:spacing w:after="0" w:line="260"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167,000 prescriptions were written for AUVELITY in the first quarter of 2025, representing an increase of 76% compared to the same period in 2024, and an increase of 5% compared to the fourth quarter of 2024.</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AUVELITY across all channels is approximately 78% of all covered lives. The proportion of lives covered for AUVELITY in the commercial and government (Medicare and Medicaid) channels are approximately 63% and 100%, respectively.</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SUNOSI</w:t>
      </w:r>
    </w:p>
    <w:p>
      <w:pPr>
        <w:spacing w:after="0" w:line="159" w:lineRule="exact"/>
        <w:rPr>
          <w:sz w:val="20"/>
          <w:szCs w:val="20"/>
          <w:color w:val="auto"/>
        </w:rPr>
      </w:pPr>
    </w:p>
    <w:p>
      <w:pPr>
        <w:ind w:left="365" w:right="20" w:hanging="365"/>
        <w:spacing w:after="0" w:line="260" w:lineRule="auto"/>
        <w:tabs>
          <w:tab w:leader="none" w:pos="36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46,000 prescriptions were written for SUNOSI in the U.S. in the first quarter of 2025, representing an increase of 12% compared to the same period in 2024, and a decrease of 5% compared to the fourth quarter of 2024.</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SUNOSI across all channels is approximately 83% of all covered lives. The proportion of lives covered for SUNOSI in the commercial and government channels are approximately 95% and 60%, respectively.</w:t>
      </w:r>
    </w:p>
    <w:p>
      <w:pPr>
        <w:spacing w:after="0" w:line="200" w:lineRule="exact"/>
        <w:rPr>
          <w:sz w:val="20"/>
          <w:szCs w:val="20"/>
          <w:color w:val="auto"/>
        </w:rPr>
      </w:pPr>
    </w:p>
    <w:p>
      <w:pPr>
        <w:spacing w:after="0" w:line="2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5" w:name="page6"/>
    <w:bookmarkEnd w:id="5"/>
    <w:p>
      <w:pPr>
        <w:ind w:left="5"/>
        <w:spacing w:after="0"/>
        <w:rPr>
          <w:sz w:val="20"/>
          <w:szCs w:val="20"/>
          <w:color w:val="auto"/>
        </w:rPr>
      </w:pPr>
      <w:r>
        <w:rPr>
          <w:rFonts w:ascii="Arial" w:cs="Arial" w:eastAsia="Arial" w:hAnsi="Arial"/>
          <w:sz w:val="16"/>
          <w:szCs w:val="16"/>
          <w:b w:val="1"/>
          <w:bCs w:val="1"/>
          <w:i w:val="1"/>
          <w:iCs w:val="1"/>
          <w:color w:val="auto"/>
        </w:rPr>
        <w:t>SYMBRAVO</w:t>
      </w:r>
    </w:p>
    <w:p>
      <w:pPr>
        <w:spacing w:after="0" w:line="147" w:lineRule="exact"/>
        <w:rPr>
          <w:sz w:val="20"/>
          <w:szCs w:val="20"/>
          <w:color w:val="auto"/>
        </w:rPr>
      </w:pPr>
    </w:p>
    <w:p>
      <w:pPr>
        <w:jc w:val="both"/>
        <w:ind w:left="365" w:right="20" w:hanging="365"/>
        <w:spacing w:after="0"/>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In January 2025, the U.S. Food and Drug Administration (FDA) approved SYMBRAVO for the acute treatment of migraine with or without aura in adults. SYMBRAVO represents a novel, multi-mechanistic approach to treating migraine that targets multiple pathways underlying a migraine attack, and is engineered with Axsome’s patented MoSEIC™ (Molecular Solubility Enhanced Inclusion Complex) rapid absorption technology. Preparations for the commercial launch of SYMBRAVO remain on track, with commercial availability anticipated in June 2025.</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Development Pipeline</w:t>
      </w:r>
    </w:p>
    <w:p>
      <w:pPr>
        <w:spacing w:after="0" w:line="149"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auto"/>
        </w:rPr>
        <w:t>Axsome is advancing an industry-leading neuroscience pipeline of multiple, innovative, late-stage, patent-protected product candidates addressing a broad range of serious psychiatric and neurological conditions. Recent and anticipated progress for key pipeline programs is summarized below.</w:t>
      </w:r>
    </w:p>
    <w:p>
      <w:pPr>
        <w:spacing w:after="0" w:line="11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AXS-05</w:t>
      </w:r>
    </w:p>
    <w:p>
      <w:pPr>
        <w:spacing w:after="0" w:line="159"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AXS-05 (dextromethorphan-bupropion) is Axsome’s novel, oral, investigational N-methyl-D-aspartate (NMDA) receptor antagonist, sigma-1 agonist, and aminoketone CYP2D6 inhibitor being developed for the treatment of Alzheimer’s disease (AD) agitation and smoking cessation. AXS-05 has been granted FDA Breakthrough Therapy designation for AD agitation.</w:t>
      </w:r>
    </w:p>
    <w:p>
      <w:pPr>
        <w:spacing w:after="0" w:line="118" w:lineRule="exact"/>
        <w:rPr>
          <w:sz w:val="20"/>
          <w:szCs w:val="20"/>
          <w:color w:val="auto"/>
        </w:rPr>
      </w:pPr>
    </w:p>
    <w:p>
      <w:pPr>
        <w:jc w:val="both"/>
        <w:ind w:left="365" w:hanging="365"/>
        <w:spacing w:after="0" w:line="254" w:lineRule="auto"/>
        <w:tabs>
          <w:tab w:leader="none" w:pos="36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Alzheimer’s Disease Agitation: </w:t>
      </w:r>
      <w:r>
        <w:rPr>
          <w:rFonts w:ascii="Arial" w:cs="Arial" w:eastAsia="Arial" w:hAnsi="Arial"/>
          <w:sz w:val="16"/>
          <w:szCs w:val="16"/>
          <w:color w:val="auto"/>
        </w:rPr>
        <w:t>In March 2025, Axsome received formal pre-NDA meeting minutes from the FDA for AXS-05 in AD agitation, supporting a</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supplemental NDA (sNDA) submission. AXS-05 was granted Breakthrough Therapy designation for the treatment of AD agitation in June 2020. The Company is on track to submit the sNDA in the third quarter of 2025.</w:t>
      </w:r>
    </w:p>
    <w:p>
      <w:pPr>
        <w:spacing w:after="0" w:line="112"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Smoking Cessation: </w:t>
      </w:r>
      <w:r>
        <w:rPr>
          <w:rFonts w:ascii="Arial" w:cs="Arial" w:eastAsia="Arial" w:hAnsi="Arial"/>
          <w:sz w:val="16"/>
          <w:szCs w:val="16"/>
          <w:color w:val="auto"/>
        </w:rPr>
        <w:t>Axsome plans to initiate a pivotal Phase 2/3 trial of AXS-05 in smoking cessation in 2025.</w:t>
      </w:r>
    </w:p>
    <w:p>
      <w:pPr>
        <w:spacing w:after="0" w:line="172"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Solriamfetol</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6"/>
          <w:szCs w:val="16"/>
          <w:color w:val="auto"/>
        </w:rPr>
        <w:t>Solriamfetol is Axsome’s dopamine and norepinephrine reuptake inhibitor (DNRI), TAAR1 agonist, and 5-HT</w:t>
      </w:r>
      <w:r>
        <w:rPr>
          <w:rFonts w:ascii="Arial" w:cs="Arial" w:eastAsia="Arial" w:hAnsi="Arial"/>
          <w:sz w:val="21"/>
          <w:szCs w:val="21"/>
          <w:color w:val="auto"/>
          <w:vertAlign w:val="subscript"/>
        </w:rPr>
        <w:t>1A</w:t>
      </w:r>
      <w:r>
        <w:rPr>
          <w:rFonts w:ascii="Arial" w:cs="Arial" w:eastAsia="Arial" w:hAnsi="Arial"/>
          <w:sz w:val="16"/>
          <w:szCs w:val="16"/>
          <w:color w:val="auto"/>
        </w:rPr>
        <w:t xml:space="preserve"> agonist being developed for the treatment of</w:t>
      </w:r>
    </w:p>
    <w:p>
      <w:pPr>
        <w:spacing w:after="0" w:line="30" w:lineRule="exact"/>
        <w:rPr>
          <w:sz w:val="20"/>
          <w:szCs w:val="20"/>
          <w:color w:val="auto"/>
        </w:rPr>
      </w:pPr>
    </w:p>
    <w:p>
      <w:pPr>
        <w:ind w:left="5" w:right="20"/>
        <w:spacing w:after="0" w:line="242" w:lineRule="auto"/>
        <w:rPr>
          <w:sz w:val="20"/>
          <w:szCs w:val="20"/>
          <w:color w:val="auto"/>
        </w:rPr>
      </w:pPr>
      <w:r>
        <w:rPr>
          <w:rFonts w:ascii="Arial" w:cs="Arial" w:eastAsia="Arial" w:hAnsi="Arial"/>
          <w:sz w:val="16"/>
          <w:szCs w:val="16"/>
          <w:color w:val="auto"/>
        </w:rPr>
        <w:t>attention deficit hyperactivity disorder (ADHD), major depressive disorder (MDD) with EDS, binge eating disorder (BED), and excessive sleepiness associated with shift work disorder (SWD).</w:t>
      </w:r>
    </w:p>
    <w:p>
      <w:pPr>
        <w:spacing w:after="0" w:line="121" w:lineRule="exact"/>
        <w:rPr>
          <w:sz w:val="20"/>
          <w:szCs w:val="20"/>
          <w:color w:val="auto"/>
        </w:rPr>
      </w:pPr>
    </w:p>
    <w:p>
      <w:pPr>
        <w:jc w:val="both"/>
        <w:ind w:left="365" w:right="20" w:hanging="365"/>
        <w:spacing w:after="0" w:line="241"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Attention Deficit Hyperactivity Disorder: </w:t>
      </w:r>
      <w:r>
        <w:rPr>
          <w:rFonts w:ascii="Arial" w:cs="Arial" w:eastAsia="Arial" w:hAnsi="Arial"/>
          <w:sz w:val="16"/>
          <w:szCs w:val="16"/>
          <w:color w:val="auto"/>
        </w:rPr>
        <w:t>In March 2025, Axsome announced positive topline results from the FOCUS Phase 3 trial evaluating the efficacy</w:t>
      </w:r>
      <w:r>
        <w:rPr>
          <w:rFonts w:ascii="Arial" w:cs="Arial" w:eastAsia="Arial" w:hAnsi="Arial"/>
          <w:sz w:val="16"/>
          <w:szCs w:val="16"/>
          <w:b w:val="1"/>
          <w:bCs w:val="1"/>
          <w:color w:val="auto"/>
        </w:rPr>
        <w:t xml:space="preserve"> </w:t>
      </w:r>
      <w:r>
        <w:rPr>
          <w:rFonts w:ascii="Arial" w:cs="Arial" w:eastAsia="Arial" w:hAnsi="Arial"/>
          <w:sz w:val="16"/>
          <w:szCs w:val="16"/>
          <w:color w:val="auto"/>
        </w:rPr>
        <w:t>and safety of solriamfetol in ADHD in adults. The study achieved its primary and key secondary endpoints demonstrating substantial and statistically significant improvements in ADHD symptoms and disease severity with solriamfetol compared to placebo. Solriamfetol was safe and well tolerated in the trial, with a side effect profile consistent with the established safety profile of solriamfetol.</w:t>
      </w:r>
    </w:p>
    <w:p>
      <w:pPr>
        <w:spacing w:after="0" w:line="137" w:lineRule="exact"/>
        <w:rPr>
          <w:rFonts w:ascii="Times New Roman" w:cs="Times New Roman" w:eastAsia="Times New Roman" w:hAnsi="Times New Roman"/>
          <w:sz w:val="16"/>
          <w:szCs w:val="16"/>
          <w:color w:val="auto"/>
        </w:rPr>
      </w:pPr>
    </w:p>
    <w:p>
      <w:pPr>
        <w:ind w:left="365"/>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The Company plans to initiate a Phase 3 trial of solriamfetol in ADHD in pediatric patients in 2025.</w:t>
      </w:r>
    </w:p>
    <w:p>
      <w:pPr>
        <w:spacing w:after="0" w:line="145" w:lineRule="exact"/>
        <w:rPr>
          <w:rFonts w:ascii="Times New Roman" w:cs="Times New Roman" w:eastAsia="Times New Roman" w:hAnsi="Times New Roman"/>
          <w:sz w:val="16"/>
          <w:szCs w:val="16"/>
          <w:color w:val="auto"/>
        </w:rPr>
      </w:pPr>
    </w:p>
    <w:p>
      <w:pPr>
        <w:jc w:val="both"/>
        <w:ind w:left="365" w:right="20" w:hanging="365"/>
        <w:spacing w:after="0" w:line="241"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Major Depressive Disorder: </w:t>
      </w:r>
      <w:r>
        <w:rPr>
          <w:rFonts w:ascii="Arial" w:cs="Arial" w:eastAsia="Arial" w:hAnsi="Arial"/>
          <w:sz w:val="16"/>
          <w:szCs w:val="16"/>
          <w:color w:val="auto"/>
        </w:rPr>
        <w:t>In April 2025, Axsome announced topline results from the PARADIGM Phase 3 proof-of-concept trial evaluating the efficacy</w:t>
      </w:r>
      <w:r>
        <w:rPr>
          <w:rFonts w:ascii="Arial" w:cs="Arial" w:eastAsia="Arial" w:hAnsi="Arial"/>
          <w:sz w:val="16"/>
          <w:szCs w:val="16"/>
          <w:b w:val="1"/>
          <w:bCs w:val="1"/>
          <w:color w:val="auto"/>
        </w:rPr>
        <w:t xml:space="preserve"> </w:t>
      </w:r>
      <w:r>
        <w:rPr>
          <w:rFonts w:ascii="Arial" w:cs="Arial" w:eastAsia="Arial" w:hAnsi="Arial"/>
          <w:sz w:val="16"/>
          <w:szCs w:val="16"/>
          <w:color w:val="auto"/>
        </w:rPr>
        <w:t>and safety of solriamfetol in MDD with and without excessive daytime sleepiness (EDS). In the prespecified subgroup of patients with severe EDS, solriamfetol led to numerically greater improvements in depressive symptoms. Solriamfetol was safe and well tolerated in the trial, with a side effect profile consistent with the established safety profile of solriamfetol.</w:t>
      </w:r>
    </w:p>
    <w:p>
      <w:pPr>
        <w:spacing w:after="0" w:line="125" w:lineRule="exact"/>
        <w:rPr>
          <w:rFonts w:ascii="Times New Roman" w:cs="Times New Roman" w:eastAsia="Times New Roman" w:hAnsi="Times New Roman"/>
          <w:sz w:val="16"/>
          <w:szCs w:val="16"/>
          <w:color w:val="auto"/>
        </w:rPr>
      </w:pPr>
    </w:p>
    <w:p>
      <w:pPr>
        <w:ind w:left="365"/>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The Company plans to initiate a Phase 3 trial of solriamfetol in MDD patients with EDS in 2025.</w:t>
      </w:r>
    </w:p>
    <w:p>
      <w:pPr>
        <w:spacing w:after="0" w:line="200" w:lineRule="exact"/>
        <w:rPr>
          <w:sz w:val="20"/>
          <w:szCs w:val="20"/>
          <w:color w:val="auto"/>
        </w:rPr>
      </w:pPr>
    </w:p>
    <w:p>
      <w:pPr>
        <w:spacing w:after="0" w:line="33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6" w:name="page7"/>
    <w:bookmarkEnd w:id="6"/>
    <w:p>
      <w:pPr>
        <w:ind w:left="365" w:right="20" w:hanging="365"/>
        <w:spacing w:after="0" w:line="262" w:lineRule="auto"/>
        <w:tabs>
          <w:tab w:leader="none" w:pos="365"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Binge Eating Disorder: </w:t>
      </w:r>
      <w:r>
        <w:rPr>
          <w:rFonts w:ascii="Arial" w:cs="Arial" w:eastAsia="Arial" w:hAnsi="Arial"/>
          <w:sz w:val="16"/>
          <w:szCs w:val="16"/>
          <w:color w:val="auto"/>
        </w:rPr>
        <w:t>Axsome is conducting the ENGAGE study, a Phase 3, randomized, double-blind, placebo-controlled, multicenter trial evaluating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efficacy and safety of solriamfetol in BED. The Company anticipates topline results from the ENGAGE Phase 3 trial in 2026.</w:t>
      </w:r>
    </w:p>
    <w:p>
      <w:pPr>
        <w:spacing w:after="0" w:line="106" w:lineRule="exact"/>
        <w:rPr>
          <w:rFonts w:ascii="Times New Roman" w:cs="Times New Roman" w:eastAsia="Times New Roman" w:hAnsi="Times New Roman"/>
          <w:sz w:val="16"/>
          <w:szCs w:val="16"/>
          <w:color w:val="auto"/>
        </w:rPr>
      </w:pPr>
    </w:p>
    <w:p>
      <w:pPr>
        <w:ind w:left="365" w:right="20" w:hanging="365"/>
        <w:spacing w:after="0" w:line="262" w:lineRule="auto"/>
        <w:tabs>
          <w:tab w:leader="none" w:pos="365"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Shift Work Disorder: </w:t>
      </w:r>
      <w:r>
        <w:rPr>
          <w:rFonts w:ascii="Arial" w:cs="Arial" w:eastAsia="Arial" w:hAnsi="Arial"/>
          <w:sz w:val="16"/>
          <w:szCs w:val="16"/>
          <w:color w:val="auto"/>
        </w:rPr>
        <w:t>Axsome is conducting the SUSTAIN study, a Phase 3, randomized, double-blind, placebo-controlled, multicenter trial evaluating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efficacy and safety of solriamfetol in SWD in adults. The Company anticipates topline results from the SUSTAIN Phase 3 trial in 2026.</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SYMBRAVO</w:t>
      </w:r>
    </w:p>
    <w:p>
      <w:pPr>
        <w:spacing w:after="0" w:line="90" w:lineRule="exact"/>
        <w:rPr>
          <w:sz w:val="20"/>
          <w:szCs w:val="20"/>
          <w:color w:val="auto"/>
        </w:rPr>
      </w:pPr>
    </w:p>
    <w:p>
      <w:pPr>
        <w:ind w:left="5" w:right="20"/>
        <w:spacing w:after="0" w:line="290" w:lineRule="auto"/>
        <w:rPr>
          <w:sz w:val="20"/>
          <w:szCs w:val="20"/>
          <w:color w:val="auto"/>
        </w:rPr>
      </w:pPr>
      <w:r>
        <w:rPr>
          <w:rFonts w:ascii="Arial" w:cs="Arial" w:eastAsia="Arial" w:hAnsi="Arial"/>
          <w:sz w:val="16"/>
          <w:szCs w:val="16"/>
          <w:color w:val="auto"/>
        </w:rPr>
        <w:t>SYMBRAVO (MoSEIC™ meloxicam-rizatriptan) is Axsome’s novel, oral, rapidly absorbed, multi-mechanistic, selective COX-2 inhibitor and 5-HT</w:t>
      </w:r>
      <w:r>
        <w:rPr>
          <w:rFonts w:ascii="Arial" w:cs="Arial" w:eastAsia="Arial" w:hAnsi="Arial"/>
          <w:sz w:val="21"/>
          <w:szCs w:val="21"/>
          <w:color w:val="auto"/>
          <w:vertAlign w:val="subscript"/>
        </w:rPr>
        <w:t>1B/1D</w:t>
      </w:r>
      <w:r>
        <w:rPr>
          <w:rFonts w:ascii="Arial" w:cs="Arial" w:eastAsia="Arial" w:hAnsi="Arial"/>
          <w:sz w:val="16"/>
          <w:szCs w:val="16"/>
          <w:color w:val="auto"/>
        </w:rPr>
        <w:t xml:space="preserve"> agonist indicated for the acute treatment of migraine with or without aura in adults.</w:t>
      </w:r>
    </w:p>
    <w:p>
      <w:pPr>
        <w:spacing w:after="0" w:line="73" w:lineRule="exact"/>
        <w:rPr>
          <w:sz w:val="20"/>
          <w:szCs w:val="20"/>
          <w:color w:val="auto"/>
        </w:rPr>
      </w:pPr>
    </w:p>
    <w:p>
      <w:pPr>
        <w:jc w:val="both"/>
        <w:ind w:left="365" w:hanging="365"/>
        <w:spacing w:after="0" w:line="241" w:lineRule="auto"/>
        <w:tabs>
          <w:tab w:leader="none" w:pos="365"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Migraine: </w:t>
      </w:r>
      <w:r>
        <w:rPr>
          <w:rFonts w:ascii="Arial" w:cs="Arial" w:eastAsia="Arial" w:hAnsi="Arial"/>
          <w:sz w:val="16"/>
          <w:szCs w:val="16"/>
          <w:color w:val="auto"/>
        </w:rPr>
        <w:t>In February 2025, Axsome announced positive topline results from the EMERGE Phase 3 open-label trial of SYMBRAVO in patients experiencing</w:t>
      </w:r>
      <w:r>
        <w:rPr>
          <w:rFonts w:ascii="Arial" w:cs="Arial" w:eastAsia="Arial" w:hAnsi="Arial"/>
          <w:sz w:val="16"/>
          <w:szCs w:val="16"/>
          <w:b w:val="1"/>
          <w:bCs w:val="1"/>
          <w:color w:val="auto"/>
        </w:rPr>
        <w:t xml:space="preserve"> </w:t>
      </w:r>
      <w:r>
        <w:rPr>
          <w:rFonts w:ascii="Arial" w:cs="Arial" w:eastAsia="Arial" w:hAnsi="Arial"/>
          <w:sz w:val="16"/>
          <w:szCs w:val="16"/>
          <w:color w:val="auto"/>
        </w:rPr>
        <w:t>inadequate response to oral CGRP inhibitors. The study achieved its primary endpoint by demonstrating statistically significantly greater migraine treatment response with SYMBRAVO compared to prior oral CGRP inhibitors, as assessed by the Migraine Treatment Optimization Questionnaire (mTOQ-4). In the trial, SYMBRAVO rapidly and substantially improved migraine pain and most bothersome symptoms.</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AXS-12</w:t>
      </w:r>
    </w:p>
    <w:p>
      <w:pPr>
        <w:spacing w:after="0" w:line="159"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AXS-12 (reboxetine) is Axsome’s novel, oral, investigational, highly selective and potent norepinephrine reuptake inhibitor and cortical dopamine modulator being developed for the treatment of narcolepsy. AXS-12 has been granted FDA Orphan Drug designation for narcolepsy.</w:t>
      </w:r>
    </w:p>
    <w:p>
      <w:pPr>
        <w:spacing w:after="0" w:line="108" w:lineRule="exact"/>
        <w:rPr>
          <w:sz w:val="20"/>
          <w:szCs w:val="20"/>
          <w:color w:val="auto"/>
        </w:rPr>
      </w:pPr>
    </w:p>
    <w:p>
      <w:pPr>
        <w:jc w:val="both"/>
        <w:ind w:left="365" w:hanging="365"/>
        <w:spacing w:after="0" w:line="241" w:lineRule="auto"/>
        <w:tabs>
          <w:tab w:leader="none" w:pos="365"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Narcolepsy: </w:t>
      </w:r>
      <w:r>
        <w:rPr>
          <w:rFonts w:ascii="Arial" w:cs="Arial" w:eastAsia="Arial" w:hAnsi="Arial"/>
          <w:sz w:val="16"/>
          <w:szCs w:val="16"/>
          <w:color w:val="auto"/>
        </w:rPr>
        <w:t>Axsome previously announced the completion of its clinical program of AXS-12 in patients with narcolepsy with cataplexy consisting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controlled Phase 2 and Phase 3 efficacy trials and a long-term safety trial. AXS-12 achieved the primary endpoints and rapidly and substantially reduced cataplexy attacks, improved excessive daytime sleepiness, and improved cognitive function compared to placebo in all three efficacy trials (CONCERT, SYMPHONY, and ENCORE). The Company anticipates submitting an NDA to the FDA in the second half of 2025.</w:t>
      </w:r>
    </w:p>
    <w:p>
      <w:pPr>
        <w:spacing w:after="0" w:line="126"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AXS-14</w:t>
      </w:r>
    </w:p>
    <w:p>
      <w:pPr>
        <w:spacing w:after="0" w:line="159"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auto"/>
        </w:rPr>
        <w:t>AXS-14 (esreboxetine) is Axsome’s novel, oral, investigational, highly selective and potent norepinephrine reuptake inhibitor being developed for the management of fibromyalgia. Esreboxetine, the SS-enantiomer of reboxetine, is more potent and selective than racemic reboxetine.</w:t>
      </w:r>
    </w:p>
    <w:p>
      <w:pPr>
        <w:spacing w:after="0" w:line="108" w:lineRule="exact"/>
        <w:rPr>
          <w:sz w:val="20"/>
          <w:szCs w:val="20"/>
          <w:color w:val="auto"/>
        </w:rPr>
      </w:pPr>
    </w:p>
    <w:p>
      <w:pPr>
        <w:ind w:left="365" w:right="20" w:hanging="365"/>
        <w:spacing w:after="0" w:line="262" w:lineRule="auto"/>
        <w:tabs>
          <w:tab w:leader="none" w:pos="365"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Fibromyalgia: </w:t>
      </w:r>
      <w:r>
        <w:rPr>
          <w:rFonts w:ascii="Arial" w:cs="Arial" w:eastAsia="Arial" w:hAnsi="Arial"/>
          <w:sz w:val="16"/>
          <w:szCs w:val="16"/>
          <w:color w:val="auto"/>
        </w:rPr>
        <w:t>Axsome has submitted an NDA to the FDA for AXS-14 for the management of fibromyalgia. The Company anticipates the FDA’s decision on</w:t>
      </w:r>
      <w:r>
        <w:rPr>
          <w:rFonts w:ascii="Arial" w:cs="Arial" w:eastAsia="Arial" w:hAnsi="Arial"/>
          <w:sz w:val="16"/>
          <w:szCs w:val="16"/>
          <w:b w:val="1"/>
          <w:bCs w:val="1"/>
          <w:color w:val="auto"/>
        </w:rPr>
        <w:t xml:space="preserve"> </w:t>
      </w:r>
      <w:r>
        <w:rPr>
          <w:rFonts w:ascii="Arial" w:cs="Arial" w:eastAsia="Arial" w:hAnsi="Arial"/>
          <w:sz w:val="16"/>
          <w:szCs w:val="16"/>
          <w:color w:val="auto"/>
        </w:rPr>
        <w:t>acceptance of the filing in the second quarter of 2025.</w:t>
      </w:r>
    </w:p>
    <w:p>
      <w:pPr>
        <w:spacing w:after="0" w:line="10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Scientific Presentations</w:t>
      </w:r>
    </w:p>
    <w:p>
      <w:pPr>
        <w:spacing w:after="0" w:line="161" w:lineRule="exact"/>
        <w:rPr>
          <w:sz w:val="20"/>
          <w:szCs w:val="20"/>
          <w:color w:val="auto"/>
        </w:rPr>
      </w:pPr>
    </w:p>
    <w:p>
      <w:pPr>
        <w:jc w:val="both"/>
        <w:ind w:left="365" w:hanging="365"/>
        <w:spacing w:after="0" w:line="245" w:lineRule="auto"/>
        <w:tabs>
          <w:tab w:leader="none" w:pos="365"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In April 2025, Axsome presented the positive topline results from the ACCORD-2 Phase 3 trial of AXS-05 in Alzheimer’s disease agitation and the SYMPHONY Phase 3 trial of AXS-12 in narcolepsy at the 2025 American Academy of Neurology (AAN) Annual Meeting. Additional presentations included findings from a new network meta-analysis comparing the efficacy of SYMBRAVO to oral CGRPs in the acute treatment of migraine.</w:t>
      </w:r>
    </w:p>
    <w:p>
      <w:pPr>
        <w:spacing w:after="0" w:line="200" w:lineRule="exact"/>
        <w:rPr>
          <w:sz w:val="20"/>
          <w:szCs w:val="20"/>
          <w:color w:val="auto"/>
        </w:rPr>
      </w:pPr>
    </w:p>
    <w:p>
      <w:pPr>
        <w:spacing w:after="0" w:line="2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7" w:name="page8"/>
    <w:bookmarkEnd w:id="7"/>
    <w:p>
      <w:pPr>
        <w:ind w:left="5"/>
        <w:spacing w:after="0"/>
        <w:rPr>
          <w:sz w:val="20"/>
          <w:szCs w:val="20"/>
          <w:color w:val="auto"/>
        </w:rPr>
      </w:pPr>
      <w:r>
        <w:rPr>
          <w:rFonts w:ascii="Arial" w:cs="Arial" w:eastAsia="Arial" w:hAnsi="Arial"/>
          <w:sz w:val="16"/>
          <w:szCs w:val="16"/>
          <w:b w:val="1"/>
          <w:bCs w:val="1"/>
          <w:color w:val="auto"/>
        </w:rPr>
        <w:t>Corporate Update</w:t>
      </w:r>
    </w:p>
    <w:p>
      <w:pPr>
        <w:spacing w:after="0" w:line="149" w:lineRule="exact"/>
        <w:rPr>
          <w:sz w:val="20"/>
          <w:szCs w:val="20"/>
          <w:color w:val="auto"/>
        </w:rPr>
      </w:pPr>
    </w:p>
    <w:p>
      <w:pPr>
        <w:jc w:val="both"/>
        <w:ind w:left="365" w:hanging="365"/>
        <w:spacing w:after="0"/>
        <w:tabs>
          <w:tab w:leader="none" w:pos="365"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In March 2025, Axsome announced that it resolved patent litigation with Hikma Pharmaceuticals USA, Inc. (Hikma) related to Hikma’s Abbreviated New Drug Application (ANDA) for a generic version of SUNOSI. The Company entered into a license and settlement agreement with Hikma, which permits Hikma to begin selling its generic version of SUNOSI on or after September 1, 2040, if pediatric exclusivity is granted, or on or after March 1, 2040, if no pediatric exclusivity is granted, subject to FDA approval and conditions and exceptions customary for agreements of this type.</w:t>
      </w:r>
    </w:p>
    <w:p>
      <w:pPr>
        <w:spacing w:after="0" w:line="14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Anticipated Milestones</w:t>
      </w:r>
    </w:p>
    <w:p>
      <w:pPr>
        <w:spacing w:after="0" w:line="159" w:lineRule="exact"/>
        <w:rPr>
          <w:sz w:val="20"/>
          <w:szCs w:val="20"/>
          <w:color w:val="auto"/>
        </w:rPr>
      </w:pPr>
    </w:p>
    <w:p>
      <w:pPr>
        <w:ind w:left="365" w:hanging="365"/>
        <w:spacing w:after="0"/>
        <w:tabs>
          <w:tab w:leader="none" w:pos="365"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Regulatory and Commercial:</w:t>
      </w:r>
    </w:p>
    <w:p>
      <w:pPr>
        <w:spacing w:after="0" w:line="160" w:lineRule="exact"/>
        <w:rPr>
          <w:sz w:val="20"/>
          <w:szCs w:val="20"/>
          <w:color w:val="auto"/>
        </w:rPr>
      </w:pPr>
    </w:p>
    <w:p>
      <w:pPr>
        <w:ind w:left="1125" w:hanging="375"/>
        <w:spacing w:after="0"/>
        <w:tabs>
          <w:tab w:leader="none" w:pos="1125" w:val="left"/>
        </w:tabs>
        <w:numPr>
          <w:ilvl w:val="1"/>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SYMBRAVO for the acute treatment of migraine, commercial launch (June 2025)</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AXS-14 for fibromyalgia, FDA filing acceptance decision (2Q 2025)</w:t>
      </w:r>
    </w:p>
    <w:p>
      <w:pPr>
        <w:spacing w:after="0" w:line="170"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AXS-05 for Alzheimer’s disease agitation, sNDA submission (3Q 2025)</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AXS-12 for narcolepsy, NDA submission (2H 2025)</w:t>
      </w:r>
    </w:p>
    <w:p>
      <w:pPr>
        <w:spacing w:after="0" w:line="156"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Clinical Trial Topline Results:</w:t>
      </w:r>
    </w:p>
    <w:p>
      <w:pPr>
        <w:spacing w:after="0" w:line="172"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Phase 3 ENGAGE trial of solriamfetol in binge eating disorder (2026)</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Phase 3 SUSTAIN trial of solriamfetol in shift work disorder (2026)</w:t>
      </w:r>
    </w:p>
    <w:p>
      <w:pPr>
        <w:spacing w:after="0" w:line="156"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Clinical Trial Initiations and Progress:</w:t>
      </w:r>
    </w:p>
    <w:p>
      <w:pPr>
        <w:spacing w:after="0" w:line="172"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Pivotal Phase 2/3 trial of AXS-05 in smoking cessation, initiation (2025)</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Phase 3 trial of solriamfetol in ADHD in pediatric patients, initiation (2025)</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Phase 3 trial of solriamfetol in MDD with EDS, initiation (2025)</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Conference Call Information</w:t>
      </w:r>
    </w:p>
    <w:p>
      <w:pPr>
        <w:spacing w:after="0" w:line="149"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auto"/>
        </w:rPr>
        <w:t>Axsome will host a conference call and webcast today at 8:00 a.m. Eastern Time to discuss its first quarter 2025 financial results and provide a business update. To participate in the live conference call, please dial (877) 405-1239 (toll-free domestic) or +1 (201) 389-0851 (international). A live webcast of the conference call can be accessed on the “Webcasts &amp; Presentations” page of the “Investors” section of the Company’s website at axsome.com. A replay of the conference call will be available for approximately 30 days following the live event.</w:t>
      </w:r>
    </w:p>
    <w:p>
      <w:pPr>
        <w:spacing w:after="0" w:line="12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About Axsome Therapeutics</w:t>
      </w:r>
    </w:p>
    <w:p>
      <w:pPr>
        <w:spacing w:after="0" w:line="161" w:lineRule="exact"/>
        <w:rPr>
          <w:sz w:val="20"/>
          <w:szCs w:val="20"/>
          <w:color w:val="auto"/>
        </w:rPr>
      </w:pPr>
    </w:p>
    <w:p>
      <w:pPr>
        <w:jc w:val="both"/>
        <w:ind w:left="5"/>
        <w:spacing w:after="0" w:line="236" w:lineRule="auto"/>
        <w:rPr>
          <w:sz w:val="20"/>
          <w:szCs w:val="20"/>
          <w:color w:val="auto"/>
        </w:rPr>
      </w:pPr>
      <w:r>
        <w:rPr>
          <w:rFonts w:ascii="Arial" w:cs="Arial" w:eastAsia="Arial" w:hAnsi="Arial"/>
          <w:sz w:val="16"/>
          <w:szCs w:val="16"/>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200" w:lineRule="exact"/>
        <w:rPr>
          <w:sz w:val="20"/>
          <w:szCs w:val="20"/>
          <w:color w:val="auto"/>
        </w:rPr>
      </w:pPr>
    </w:p>
    <w:p>
      <w:pPr>
        <w:spacing w:after="0" w:line="30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Forward Looking Statements</w:t>
      </w:r>
    </w:p>
    <w:p>
      <w:pPr>
        <w:spacing w:after="0" w:line="149"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1"/>
          <w:szCs w:val="21"/>
          <w:color w:val="auto"/>
          <w:vertAlign w:val="superscript"/>
        </w:rPr>
        <w:t>®</w:t>
      </w:r>
      <w:r>
        <w:rPr>
          <w:rFonts w:ascii="Arial" w:cs="Arial" w:eastAsia="Arial" w:hAnsi="Arial"/>
          <w:sz w:val="16"/>
          <w:szCs w:val="16"/>
          <w:color w:val="auto"/>
        </w:rPr>
        <w:t>, AUVELITY</w:t>
      </w:r>
      <w:r>
        <w:rPr>
          <w:rFonts w:ascii="Arial" w:cs="Arial" w:eastAsia="Arial" w:hAnsi="Arial"/>
          <w:sz w:val="21"/>
          <w:szCs w:val="21"/>
          <w:color w:val="auto"/>
          <w:vertAlign w:val="superscript"/>
        </w:rPr>
        <w:t>®</w:t>
      </w:r>
      <w:r>
        <w:rPr>
          <w:rFonts w:ascii="Arial" w:cs="Arial" w:eastAsia="Arial" w:hAnsi="Arial"/>
          <w:sz w:val="16"/>
          <w:szCs w:val="16"/>
          <w:color w:val="auto"/>
        </w:rPr>
        <w:t>, and SYMBRAVO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Selected Consolidated Financial Data</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jc w:val="center"/>
        <w:ind w:right="20"/>
        <w:spacing w:after="0"/>
        <w:rPr>
          <w:sz w:val="20"/>
          <w:szCs w:val="20"/>
          <w:color w:val="auto"/>
        </w:rPr>
      </w:pPr>
      <w:r>
        <w:rPr>
          <w:rFonts w:ascii="Arial" w:cs="Arial" w:eastAsia="Arial" w:hAnsi="Arial"/>
          <w:sz w:val="16"/>
          <w:szCs w:val="16"/>
          <w:color w:val="auto"/>
        </w:rPr>
        <w:t>(In thousands, except share and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jc w:val="center"/>
              <w:ind w:right="203"/>
              <w:spacing w:after="0" w:line="122" w:lineRule="exact"/>
              <w:rPr>
                <w:sz w:val="20"/>
                <w:szCs w:val="20"/>
                <w:color w:val="auto"/>
              </w:rPr>
            </w:pPr>
            <w:r>
              <w:rPr>
                <w:rFonts w:ascii="Times New Roman" w:cs="Times New Roman" w:eastAsia="Times New Roman" w:hAnsi="Times New Roman"/>
                <w:sz w:val="13"/>
                <w:szCs w:val="13"/>
                <w:b w:val="1"/>
                <w:bCs w:val="1"/>
                <w:color w:val="auto"/>
                <w:w w:val="95"/>
              </w:rPr>
              <w:t>(Unaudited)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300,910</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315,353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161,398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16,319</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494,634</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485,064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Equipment, net</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 - operating lease</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23,294</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net</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45,322</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46,894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Non-current inventory and other assets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596,671</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568,498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74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85,659</w:t>
            </w:r>
          </w:p>
        </w:tc>
        <w:tc>
          <w:tcPr>
            <w:tcW w:w="18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71,997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149,199</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147,987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Contingent consideration, current</w:t>
            </w:r>
          </w:p>
        </w:tc>
        <w:tc>
          <w:tcPr>
            <w:tcW w:w="2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8,602</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243,914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230,104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 non-current</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90,590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91,680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Loan payable, long-term</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181,377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23,905</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liability, long-term</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543,466</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511,483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Preferred stock, $0.0001 par value per share (10,000,000 shares authorized, none issued and outstanding)</w:t>
            </w:r>
          </w:p>
        </w:tc>
        <w:tc>
          <w:tcPr>
            <w:tcW w:w="26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74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color w:val="auto"/>
              </w:rPr>
              <w:t>Common stock, $0.0001 par value per share (150,000,000 shares authorized, 49,216,759 and 48,667,587 shares</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issued and outstanding at March 31, 2025 and December 31, 2024, respectively)</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1,235,400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1,179,797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(1,182,200)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(1,122,787)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53,205</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3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57,015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596,671</w:t>
            </w:r>
          </w:p>
        </w:tc>
        <w:tc>
          <w:tcPr>
            <w:tcW w:w="180" w:type="dxa"/>
            <w:vAlign w:val="bottom"/>
          </w:tcPr>
          <w:p>
            <w:pPr>
              <w:spacing w:after="0"/>
              <w:rPr>
                <w:sz w:val="15"/>
                <w:szCs w:val="15"/>
                <w:color w:val="auto"/>
              </w:rPr>
            </w:pPr>
          </w:p>
        </w:tc>
        <w:tc>
          <w:tcPr>
            <w:tcW w:w="34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568,498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jc w:val="right"/>
              <w:ind w:right="2021"/>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2"/>
        </w:trPr>
        <w:tc>
          <w:tcPr>
            <w:tcW w:w="77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20" w:type="dxa"/>
            <w:vAlign w:val="bottom"/>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-3514090</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-3498850</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-3514090</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-3498850</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-2770505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-2770505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-1186180</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-1186180</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0" w:name="page11"/>
    <w:bookmarkEnd w:id="10"/>
    <w:p>
      <w:pPr>
        <w:jc w:val="center"/>
        <w:ind w:right="-4"/>
        <w:spacing w:after="0"/>
        <w:rPr>
          <w:sz w:val="20"/>
          <w:szCs w:val="20"/>
          <w:color w:val="auto"/>
        </w:rPr>
      </w:pPr>
      <w:r>
        <w:rPr>
          <w:rFonts w:ascii="Arial" w:cs="Arial" w:eastAsia="Arial" w:hAnsi="Arial"/>
          <w:sz w:val="16"/>
          <w:szCs w:val="16"/>
          <w:b w:val="1"/>
          <w:bCs w:val="1"/>
          <w:color w:val="auto"/>
        </w:rPr>
        <w:t>Axsome Therapeutics, Inc.</w:t>
      </w:r>
    </w:p>
    <w:p>
      <w:pPr>
        <w:spacing w:after="0" w:line="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Consolidated Statements of Operations (Unaudited)</w:t>
      </w:r>
    </w:p>
    <w:p>
      <w:pPr>
        <w:jc w:val="center"/>
        <w:ind w:right="-4"/>
        <w:spacing w:after="0"/>
        <w:rPr>
          <w:sz w:val="20"/>
          <w:szCs w:val="20"/>
          <w:color w:val="auto"/>
        </w:rPr>
      </w:pPr>
      <w:r>
        <w:rPr>
          <w:rFonts w:ascii="Arial" w:cs="Arial" w:eastAsia="Arial" w:hAnsi="Arial"/>
          <w:sz w:val="16"/>
          <w:szCs w:val="16"/>
          <w:color w:val="auto"/>
        </w:rPr>
        <w:t>(In thousands, except share and per share amounts)</w:t>
      </w:r>
    </w:p>
    <w:p>
      <w:pPr>
        <w:spacing w:after="0" w:line="161"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tcPr>
          <w:p>
            <w:pPr>
              <w:jc w:val="right"/>
              <w:ind w:right="58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tcPr>
          <w:p>
            <w:pPr>
              <w:jc w:val="right"/>
              <w:ind w:right="58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sales, net</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120,358</w:t>
            </w:r>
          </w:p>
        </w:tc>
        <w:tc>
          <w:tcPr>
            <w:tcW w:w="180" w:type="dxa"/>
            <w:vAlign w:val="bottom"/>
          </w:tcPr>
          <w:p>
            <w:pPr>
              <w:spacing w:after="0"/>
              <w:rPr>
                <w:sz w:val="16"/>
                <w:szCs w:val="16"/>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Royalty revenue</w:t>
            </w:r>
          </w:p>
        </w:tc>
        <w:tc>
          <w:tcPr>
            <w:tcW w:w="3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121,463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74,999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 (excluding amortization and depreciation)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44,785</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36,830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120,787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Loss (Gain) in fair value of contingent consideration</w:t>
            </w: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178,445</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142,274</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tcPr>
          <w:p>
            <w:pPr>
              <w:spacing w:after="0"/>
              <w:rPr>
                <w:sz w:val="15"/>
                <w:szCs w:val="15"/>
                <w:color w:val="auto"/>
              </w:rPr>
            </w:pPr>
          </w:p>
        </w:tc>
        <w:tc>
          <w:tcPr>
            <w:tcW w:w="13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(56,982)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(67,275)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(2,431)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before income taxes</w:t>
            </w:r>
          </w:p>
        </w:tc>
        <w:tc>
          <w:tcPr>
            <w:tcW w:w="360" w:type="dxa"/>
            <w:vAlign w:val="bottom"/>
          </w:tcPr>
          <w:p>
            <w:pPr>
              <w:spacing w:after="0"/>
              <w:rPr>
                <w:sz w:val="15"/>
                <w:szCs w:val="15"/>
                <w:color w:val="auto"/>
              </w:rPr>
            </w:pPr>
          </w:p>
        </w:tc>
        <w:tc>
          <w:tcPr>
            <w:tcW w:w="13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(59,413)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(68,357)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(59,413)</w:t>
            </w:r>
          </w:p>
        </w:tc>
        <w:tc>
          <w:tcPr>
            <w:tcW w:w="46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(68,357)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7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360" w:type="dxa"/>
            <w:vAlign w:val="bottom"/>
            <w:shd w:val="clear" w:color="auto" w:fill="CFF0FC"/>
          </w:tcPr>
          <w:p>
            <w:pPr>
              <w:jc w:val="right"/>
              <w:ind w:right="2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FF0FC"/>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(1.22)</w:t>
            </w:r>
          </w:p>
        </w:tc>
        <w:tc>
          <w:tcPr>
            <w:tcW w:w="460" w:type="dxa"/>
            <w:vAlign w:val="bottom"/>
            <w:gridSpan w:val="2"/>
            <w:shd w:val="clear" w:color="auto" w:fill="CFF0FC"/>
          </w:tcPr>
          <w:p>
            <w:pPr>
              <w:jc w:val="right"/>
              <w:ind w:right="28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line="165" w:lineRule="exact"/>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74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48,871,163</w:t>
            </w: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47,393,563</w:t>
            </w: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-1914525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-1914525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-930275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-930275</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-682625</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-682625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-434975</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-434975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-164465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-149860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-164465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-149860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31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Investors:</w:t>
      </w:r>
    </w:p>
    <w:p>
      <w:pPr>
        <w:spacing w:after="0" w:line="3" w:lineRule="exact"/>
        <w:rPr>
          <w:sz w:val="20"/>
          <w:szCs w:val="20"/>
          <w:color w:val="auto"/>
        </w:rPr>
      </w:pPr>
    </w:p>
    <w:p>
      <w:pPr>
        <w:ind w:left="5"/>
        <w:spacing w:after="0"/>
        <w:rPr>
          <w:sz w:val="20"/>
          <w:szCs w:val="20"/>
          <w:color w:val="auto"/>
        </w:rPr>
      </w:pPr>
      <w:r>
        <w:rPr>
          <w:rFonts w:ascii="Arial" w:cs="Arial" w:eastAsia="Arial" w:hAnsi="Arial"/>
          <w:sz w:val="16"/>
          <w:szCs w:val="16"/>
          <w:color w:val="auto"/>
        </w:rPr>
        <w:t>Mark Jacobson</w:t>
      </w:r>
    </w:p>
    <w:p>
      <w:pPr>
        <w:ind w:left="5"/>
        <w:spacing w:after="0" w:line="231" w:lineRule="auto"/>
        <w:rPr>
          <w:sz w:val="20"/>
          <w:szCs w:val="20"/>
          <w:color w:val="auto"/>
        </w:rPr>
      </w:pPr>
      <w:r>
        <w:rPr>
          <w:rFonts w:ascii="Arial" w:cs="Arial" w:eastAsia="Arial" w:hAnsi="Arial"/>
          <w:sz w:val="16"/>
          <w:szCs w:val="16"/>
          <w:color w:val="auto"/>
        </w:rPr>
        <w:t>Chief Operating Officer</w:t>
      </w:r>
    </w:p>
    <w:p>
      <w:pPr>
        <w:ind w:left="5" w:right="9440" w:hanging="5"/>
        <w:spacing w:after="0" w:line="274" w:lineRule="auto"/>
        <w:tabs>
          <w:tab w:leader="none" w:pos="417" w:val="left"/>
        </w:tabs>
        <w:numPr>
          <w:ilvl w:val="0"/>
          <w:numId w:val="18"/>
        </w:numPr>
        <w:rPr>
          <w:rFonts w:ascii="Arial" w:cs="Arial" w:eastAsia="Arial" w:hAnsi="Arial"/>
          <w:sz w:val="15"/>
          <w:szCs w:val="15"/>
          <w:color w:val="auto"/>
        </w:rPr>
      </w:pPr>
      <w:r>
        <w:rPr>
          <w:rFonts w:ascii="Arial" w:cs="Arial" w:eastAsia="Arial" w:hAnsi="Arial"/>
          <w:sz w:val="15"/>
          <w:szCs w:val="15"/>
          <w:color w:val="auto"/>
        </w:rPr>
        <w:t>332-3243 mjacobson@axsome.com</w:t>
      </w:r>
    </w:p>
    <w:p>
      <w:pPr>
        <w:spacing w:after="0" w:line="9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Media:</w:t>
      </w:r>
    </w:p>
    <w:p>
      <w:pPr>
        <w:spacing w:after="0" w:line="9" w:lineRule="exact"/>
        <w:rPr>
          <w:sz w:val="20"/>
          <w:szCs w:val="20"/>
          <w:color w:val="auto"/>
        </w:rPr>
      </w:pPr>
    </w:p>
    <w:p>
      <w:pPr>
        <w:ind w:left="5"/>
        <w:spacing w:after="0"/>
        <w:rPr>
          <w:sz w:val="20"/>
          <w:szCs w:val="20"/>
          <w:color w:val="auto"/>
        </w:rPr>
      </w:pPr>
      <w:r>
        <w:rPr>
          <w:rFonts w:ascii="Arial" w:cs="Arial" w:eastAsia="Arial" w:hAnsi="Arial"/>
          <w:sz w:val="16"/>
          <w:szCs w:val="16"/>
          <w:color w:val="auto"/>
        </w:rPr>
        <w:t>Darren Opland</w:t>
      </w:r>
    </w:p>
    <w:p>
      <w:pPr>
        <w:ind w:left="5"/>
        <w:spacing w:after="0" w:line="238" w:lineRule="auto"/>
        <w:rPr>
          <w:sz w:val="20"/>
          <w:szCs w:val="20"/>
          <w:color w:val="auto"/>
        </w:rPr>
      </w:pPr>
      <w:r>
        <w:rPr>
          <w:rFonts w:ascii="Arial" w:cs="Arial" w:eastAsia="Arial" w:hAnsi="Arial"/>
          <w:sz w:val="16"/>
          <w:szCs w:val="16"/>
          <w:color w:val="auto"/>
        </w:rPr>
        <w:t>Director, Corporate Communications</w:t>
      </w:r>
    </w:p>
    <w:p>
      <w:pPr>
        <w:ind w:left="5" w:right="9660" w:hanging="5"/>
        <w:spacing w:after="0" w:line="274" w:lineRule="auto"/>
        <w:tabs>
          <w:tab w:leader="none" w:pos="417" w:val="left"/>
        </w:tabs>
        <w:numPr>
          <w:ilvl w:val="0"/>
          <w:numId w:val="19"/>
        </w:numPr>
        <w:rPr>
          <w:rFonts w:ascii="Arial" w:cs="Arial" w:eastAsia="Arial" w:hAnsi="Arial"/>
          <w:sz w:val="15"/>
          <w:szCs w:val="15"/>
          <w:color w:val="auto"/>
        </w:rPr>
      </w:pPr>
      <w:r>
        <w:rPr>
          <w:rFonts w:ascii="Arial" w:cs="Arial" w:eastAsia="Arial" w:hAnsi="Arial"/>
          <w:sz w:val="15"/>
          <w:szCs w:val="15"/>
          <w:color w:val="auto"/>
        </w:rPr>
        <w:t>837-1065 dopland@axsome.com</w:t>
      </w:r>
    </w:p>
    <w:p>
      <w:pPr>
        <w:spacing w:after="0" w:line="3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lvl w:ilvl="1">
      <w:lvlJc w:val="left"/>
      <w:lvlText w:val="o"/>
      <w:numFmt w:val="bullet"/>
      <w:start w:val="1"/>
    </w:lvl>
  </w:abstractNum>
  <w:abstractNum w:abstractNumId="17">
    <w:nsid w:val="3F2DBA31"/>
    <w:multiLevelType w:val="hybridMultilevel"/>
    <w:lvl w:ilvl="0">
      <w:lvlJc w:val="left"/>
      <w:lvlText w:val="(%1)"/>
      <w:numFmt w:val="decimal"/>
      <w:start w:val="212"/>
    </w:lvl>
  </w:abstractNum>
  <w:abstractNum w:abstractNumId="18">
    <w:nsid w:val="7C83E458"/>
    <w:multiLevelType w:val="hybridMultilevel"/>
    <w:lvl w:ilvl="0">
      <w:lvlJc w:val="left"/>
      <w:lvlText w:val="(%1)"/>
      <w:numFmt w:val="decimal"/>
      <w:start w:val="9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2025-05-05T06:42:00Z</dcterms:created>
  <dcterms:modified xsi:type="dcterms:W3CDTF">2025-05-05T06:42:00Z</dcterms:modified>
</cp:coreProperties>
</file>