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9, 2019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001-37635</w:t>
      </w:r>
    </w:p>
    <w:p>
      <w:pPr>
        <w:spacing w:after="0" w:line="3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45-4241907</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538" w:right="23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200 Broadway, 3rd Floor</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10038</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38"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22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194310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40" w:firstLine="881"/>
        <w:spacing w:after="0" w:line="256" w:lineRule="auto"/>
        <w:rPr>
          <w:sz w:val="20"/>
          <w:szCs w:val="20"/>
          <w:color w:val="auto"/>
        </w:rPr>
      </w:pPr>
      <w:r>
        <w:rPr>
          <w:rFonts w:ascii="Times New Roman" w:cs="Times New Roman" w:eastAsia="Times New Roman" w:hAnsi="Times New Roman"/>
          <w:sz w:val="18"/>
          <w:szCs w:val="18"/>
          <w:color w:val="auto"/>
        </w:rPr>
        <w:t>On May 9, 2019, Axsome Therapeutics, Inc. (the “Company”) entered into a Sales Agreement (the “Agreement”) with SVB Leerink LLC (“SVB Leerink”) with respect to an at the market offering program, under which the Company may, from time to time in its sole discretion, issue and sell through SVB Leerink, acting as agent, up to $50.0 million of shares of the Company’s common stock, par value $0.0001 per share (the “Placement Shares”). The issuance and sale, if any, of the Placement Shares by the Company under the Agreement will be made pursuant to a prospectus supplement to the Company’s registration statement on Form S-3, originally filed with the Securities and Exchange Commission (the “SEC”) on December 1, 2016, and declared effective by the SEC on December 16, 2016.</w:t>
      </w:r>
    </w:p>
    <w:p>
      <w:pPr>
        <w:spacing w:after="0" w:line="188"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Pursuant to the Agreement, SVB Leerink may sell the Placement Shares by any method permitted by law deemed to be an “at the market” offering as defined in Rule 415 of the Securities Act of 1933, as amended (the “Securities Act”), including, without limitation, sales made directly on or through the Nasdaq Global Market, on or through any other existing trading market for the Company’s common stock or to or through a market maker. SVB Leerink will use commercially reasonable efforts consistent with its normal trading and sales practices to sell the Placement Shares from time to time, based upon instructions from the Company (including any price or size limits or other customary parameters or conditions the Company may impose). SVB Leerink shall not purchase any Placement Shares on a principal basis pursuant to the Agreement unless the Company and SVB Leerink enter into a separate written agreement setting forth the terms of such sale.</w:t>
      </w:r>
    </w:p>
    <w:p>
      <w:pPr>
        <w:spacing w:after="0" w:line="189" w:lineRule="exact"/>
        <w:rPr>
          <w:sz w:val="20"/>
          <w:szCs w:val="20"/>
          <w:color w:val="auto"/>
        </w:rPr>
      </w:pPr>
    </w:p>
    <w:p>
      <w:pPr>
        <w:ind w:right="420" w:firstLine="881"/>
        <w:spacing w:after="0" w:line="282" w:lineRule="auto"/>
        <w:rPr>
          <w:sz w:val="20"/>
          <w:szCs w:val="20"/>
          <w:color w:val="auto"/>
        </w:rPr>
      </w:pPr>
      <w:r>
        <w:rPr>
          <w:rFonts w:ascii="Times New Roman" w:cs="Times New Roman" w:eastAsia="Times New Roman" w:hAnsi="Times New Roman"/>
          <w:sz w:val="18"/>
          <w:szCs w:val="18"/>
          <w:color w:val="auto"/>
        </w:rPr>
        <w:t>The Company will pay SVB Leerink a commission of 3.0% of the gross sales proceeds of any Placement Shares sold through SVB Leerink, acting as agent, under the Agreement.</w:t>
      </w:r>
    </w:p>
    <w:p>
      <w:pPr>
        <w:spacing w:after="0" w:line="162" w:lineRule="exact"/>
        <w:rPr>
          <w:sz w:val="20"/>
          <w:szCs w:val="20"/>
          <w:color w:val="auto"/>
        </w:rPr>
      </w:pPr>
    </w:p>
    <w:p>
      <w:pPr>
        <w:ind w:right="200" w:firstLine="881"/>
        <w:spacing w:after="0" w:line="266" w:lineRule="auto"/>
        <w:rPr>
          <w:sz w:val="20"/>
          <w:szCs w:val="20"/>
          <w:color w:val="auto"/>
        </w:rPr>
      </w:pPr>
      <w:r>
        <w:rPr>
          <w:rFonts w:ascii="Times New Roman" w:cs="Times New Roman" w:eastAsia="Times New Roman" w:hAnsi="Times New Roman"/>
          <w:sz w:val="18"/>
          <w:szCs w:val="18"/>
          <w:color w:val="auto"/>
        </w:rPr>
        <w:t>The Company is not obligated to make any sales of Placement Shares under the Agreement. The offering of Placement Shares pursuant to the Agreement will terminate upon the earlier to occur of (i) the issuance and sale, through SVB Leerink, of all Placement Shares subject to the Agreement and (ii) termination of the Agreement in accordance with its terms.</w:t>
      </w:r>
    </w:p>
    <w:p>
      <w:pPr>
        <w:spacing w:after="0" w:line="176" w:lineRule="exact"/>
        <w:rPr>
          <w:sz w:val="20"/>
          <w:szCs w:val="20"/>
          <w:color w:val="auto"/>
        </w:rPr>
      </w:pPr>
    </w:p>
    <w:p>
      <w:pPr>
        <w:ind w:right="100" w:firstLine="881"/>
        <w:spacing w:after="0" w:line="266" w:lineRule="auto"/>
        <w:rPr>
          <w:sz w:val="20"/>
          <w:szCs w:val="20"/>
          <w:color w:val="auto"/>
        </w:rPr>
      </w:pPr>
      <w:r>
        <w:rPr>
          <w:rFonts w:ascii="Times New Roman" w:cs="Times New Roman" w:eastAsia="Times New Roman" w:hAnsi="Times New Roman"/>
          <w:sz w:val="18"/>
          <w:szCs w:val="18"/>
          <w:color w:val="auto"/>
        </w:rPr>
        <w:t>The Agreement contains representations, warranties and covenants that are customary for transactions of this type. In addition, the Company has agreed to indemnify SVB Leerink against certain liabilities, including liabilities under the Securities Act and the Securities Exchange Act of 1934, as amended.</w:t>
      </w:r>
    </w:p>
    <w:p>
      <w:pPr>
        <w:spacing w:after="0" w:line="176" w:lineRule="exact"/>
        <w:rPr>
          <w:sz w:val="20"/>
          <w:szCs w:val="20"/>
          <w:color w:val="auto"/>
        </w:rPr>
      </w:pPr>
    </w:p>
    <w:p>
      <w:pPr>
        <w:ind w:right="180" w:firstLine="88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is not complete and is qualified in its entirety by reference to the full text of the Agreement, a copy of which is filed herewith as Exhibit 1.1 to this Current Report on Form 8-K and is incorporated herein by reference.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legal opinion of DLA Piper LLP (US) as to the legality of the Placement Shares is being filed as Exhibit 5.1 to this Current Report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8-K.</w:t>
      </w:r>
    </w:p>
    <w:p>
      <w:pPr>
        <w:spacing w:after="0" w:line="207" w:lineRule="exact"/>
        <w:rPr>
          <w:sz w:val="20"/>
          <w:szCs w:val="20"/>
          <w:color w:val="auto"/>
        </w:rPr>
      </w:pPr>
    </w:p>
    <w:p>
      <w:pPr>
        <w:ind w:right="40" w:firstLine="881"/>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securities discussed herein, nor shall there be any offer, solicitation or sale of the securities in any jurisdiction in which such offer, solicitation or sale would be unlawful prior to registration or qualification under the securities laws of any such jurisdiction.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3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9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5"/>
                <w:szCs w:val="15"/>
                <w:color w:val="auto"/>
              </w:rPr>
            </w:pPr>
          </w:p>
        </w:tc>
      </w:tr>
      <w:tr>
        <w:trPr>
          <w:trHeight w:val="385"/>
        </w:trPr>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24"/>
                <w:szCs w:val="24"/>
                <w:color w:val="auto"/>
              </w:rPr>
            </w:pPr>
          </w:p>
        </w:tc>
        <w:tc>
          <w:tcPr>
            <w:tcW w:w="7460" w:type="dxa"/>
            <w:vAlign w:val="bottom"/>
            <w:tcBorders>
              <w:top w:val="single" w:sz="8" w:color="auto"/>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Sales Agreement dated May 9, 2019 by and between Axsome Therapeutics, Inc. and SVB Leerink LLC</w:t>
              </w:r>
            </w:hyperlink>
          </w:p>
        </w:tc>
        <w:tc>
          <w:tcPr>
            <w:tcW w:w="27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4"/>
                <w:szCs w:val="24"/>
                <w:color w:val="auto"/>
              </w:rPr>
            </w:pPr>
          </w:p>
        </w:tc>
        <w:tc>
          <w:tcPr>
            <w:tcW w:w="238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49">
              <w:r>
                <w:rPr>
                  <w:rFonts w:ascii="Times New Roman" w:cs="Times New Roman" w:eastAsia="Times New Roman" w:hAnsi="Times New Roman"/>
                  <w:sz w:val="18"/>
                  <w:szCs w:val="18"/>
                  <w:color w:val="0000EE"/>
                  <w:w w:val="98"/>
                </w:rPr>
                <w:t>Opinion of DLA Piper LLP (US)</w:t>
              </w:r>
            </w:hyperlink>
          </w:p>
        </w:tc>
        <w:tc>
          <w:tcPr>
            <w:tcW w:w="778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Pr>
          <w:p>
            <w:pPr>
              <w:spacing w:after="0"/>
              <w:rPr>
                <w:sz w:val="24"/>
                <w:szCs w:val="24"/>
                <w:color w:val="auto"/>
              </w:rPr>
            </w:pPr>
          </w:p>
        </w:tc>
        <w:tc>
          <w:tcPr>
            <w:tcW w:w="10160" w:type="dxa"/>
            <w:vAlign w:val="bottom"/>
            <w:gridSpan w:val="4"/>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Consent of DLA Piper LLP (US) (contained in Exhibit 5.1)</w:t>
              </w:r>
            </w:hyperlink>
          </w:p>
        </w:tc>
        <w:tc>
          <w:tcPr>
            <w:tcW w:w="40" w:type="dxa"/>
            <w:vAlign w:val="bottom"/>
          </w:tcPr>
          <w:p>
            <w:pPr>
              <w:spacing w:after="0"/>
              <w:rPr>
                <w:sz w:val="24"/>
                <w:szCs w:val="24"/>
                <w:color w:val="auto"/>
              </w:rPr>
            </w:pPr>
          </w:p>
        </w:tc>
      </w:tr>
      <w:tr>
        <w:trPr>
          <w:trHeight w:val="453"/>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tcBorders>
              <w:top w:val="single" w:sz="8" w:color="0000EE"/>
            </w:tcBorders>
            <w:gridSpan w:val="2"/>
          </w:tcPr>
          <w:p>
            <w:pPr>
              <w:spacing w:after="0"/>
              <w:rPr>
                <w:sz w:val="24"/>
                <w:szCs w:val="24"/>
                <w:color w:val="auto"/>
              </w:rPr>
            </w:pPr>
          </w:p>
        </w:tc>
        <w:tc>
          <w:tcPr>
            <w:tcW w:w="3200" w:type="dxa"/>
            <w:vAlign w:val="bottom"/>
          </w:tcPr>
          <w:p>
            <w:pPr>
              <w:jc w:val="right"/>
              <w:ind w:right="2879"/>
              <w:spacing w:after="0"/>
              <w:rPr>
                <w:sz w:val="20"/>
                <w:szCs w:val="20"/>
                <w:color w:val="auto"/>
              </w:rPr>
            </w:pPr>
            <w:r>
              <w:rPr>
                <w:rFonts w:ascii="Times New Roman" w:cs="Times New Roman" w:eastAsia="Times New Roman" w:hAnsi="Times New Roman"/>
                <w:sz w:val="18"/>
                <w:szCs w:val="18"/>
                <w:color w:val="auto"/>
              </w:rPr>
              <w:t>3</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320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w w:val="99"/>
              </w:rPr>
              <w:t>Date: May 9, 2019</w:t>
            </w:r>
          </w:p>
        </w:tc>
        <w:tc>
          <w:tcPr>
            <w:tcW w:w="5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6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c>
          <w:tcPr>
            <w:tcW w:w="40" w:type="dxa"/>
            <w:vAlign w:val="bottom"/>
          </w:tcPr>
          <w:p>
            <w:pPr>
              <w:spacing w:after="0"/>
              <w:rPr>
                <w:sz w:val="20"/>
                <w:szCs w:val="20"/>
                <w:color w:val="auto"/>
              </w:rPr>
            </w:pPr>
          </w:p>
        </w:tc>
      </w:tr>
      <w:tr>
        <w:trPr>
          <w:trHeight w:val="191"/>
        </w:trPr>
        <w:tc>
          <w:tcPr>
            <w:tcW w:w="62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Herriot Tabuteau, M.D.</w:t>
            </w:r>
          </w:p>
        </w:tc>
        <w:tc>
          <w:tcPr>
            <w:tcW w:w="40" w:type="dxa"/>
            <w:vAlign w:val="bottom"/>
          </w:tcPr>
          <w:p>
            <w:pPr>
              <w:spacing w:after="0"/>
              <w:rPr>
                <w:sz w:val="16"/>
                <w:szCs w:val="16"/>
                <w:color w:val="auto"/>
              </w:rPr>
            </w:pP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40" w:type="dxa"/>
            <w:vAlign w:val="bottom"/>
          </w:tcPr>
          <w:p>
            <w:pPr>
              <w:spacing w:after="0"/>
              <w:rPr>
                <w:sz w:val="20"/>
                <w:szCs w:val="20"/>
                <w:color w:val="auto"/>
              </w:rPr>
            </w:pPr>
          </w:p>
        </w:tc>
      </w:tr>
      <w:tr>
        <w:trPr>
          <w:trHeight w:val="432"/>
        </w:trPr>
        <w:tc>
          <w:tcPr>
            <w:tcW w:w="6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8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($0.0001 par value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9,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1301 Avenue of the Americas, 12th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Axsome Therapeutics,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SVB Leerink LLC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as follows:</w:t>
      </w:r>
    </w:p>
    <w:p>
      <w:pPr>
        <w:spacing w:after="0" w:line="159" w:lineRule="exact"/>
        <w:rPr>
          <w:sz w:val="20"/>
          <w:szCs w:val="20"/>
          <w:color w:val="auto"/>
        </w:rPr>
      </w:pPr>
    </w:p>
    <w:p>
      <w:pPr>
        <w:ind w:right="120" w:firstLine="656"/>
        <w:spacing w:after="0" w:line="255" w:lineRule="auto"/>
        <w:tabs>
          <w:tab w:leader="none" w:pos="129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the Agent up to $50.0 million of shares of common stock, $0.0001 par value per share, of the Company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subject to the limitations set forth in Section 5(c)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Notwithstanding anything to the contrary contained herein, the parties hereto agree that compliance with the limitation set forth in this Section 1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filed by the Company with, and declared effective by,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on December 16, 2016, although nothing in this Agreement shall be construed as requiring the Company to issue any Placement Shares.</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prepared and filed, in accordance with the provisions of the Securities Act of 1933, as amended, and the rules and regulations thereunder (collectively,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with the Commission a registration statement on Form S-3 (File No. 333-214859),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The Company has prepared a prospectus supplement to the base prospectus included as part of such registration statement at the time the registration statement became effective, which prospectus supplement specifically relates to the Placement Shares to be issued from time to time pursuant to this Agreement (the “</w:t>
      </w:r>
      <w:r>
        <w:rPr>
          <w:rFonts w:ascii="Times New Roman" w:cs="Times New Roman" w:eastAsia="Times New Roman" w:hAnsi="Times New Roman"/>
          <w:sz w:val="18"/>
          <w:szCs w:val="18"/>
          <w:b w:val="1"/>
          <w:bCs w:val="1"/>
          <w:u w:val="single" w:color="auto"/>
          <w:color w:val="auto"/>
        </w:rPr>
        <w:t>Prospectus Supplement</w:t>
      </w:r>
      <w:r>
        <w:rPr>
          <w:rFonts w:ascii="Times New Roman" w:cs="Times New Roman" w:eastAsia="Times New Roman" w:hAnsi="Times New Roman"/>
          <w:sz w:val="18"/>
          <w:szCs w:val="18"/>
          <w:color w:val="auto"/>
        </w:rPr>
        <w:t>”). The Company will furnish to the Agent, for use by the Agent, copies of the base prospectus included as part of such registration statement at the time it became effective, as supplemented by the Prospectus Supplement. Except where the context otherwise requires, such registration statement,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is herein called the “</w:t>
      </w:r>
      <w:r>
        <w:rPr>
          <w:rFonts w:ascii="Times New Roman" w:cs="Times New Roman" w:eastAsia="Times New Roman" w:hAnsi="Times New Roman"/>
          <w:sz w:val="18"/>
          <w:szCs w:val="18"/>
          <w:b w:val="1"/>
          <w:bCs w:val="1"/>
          <w:u w:val="single" w:color="auto"/>
          <w:color w:val="auto"/>
        </w:rPr>
        <w:t>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ind w:right="40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Statement</w:t>
      </w:r>
      <w:r>
        <w:rPr>
          <w:rFonts w:ascii="Times New Roman" w:cs="Times New Roman" w:eastAsia="Times New Roman" w:hAnsi="Times New Roman"/>
          <w:sz w:val="18"/>
          <w:szCs w:val="18"/>
          <w:color w:val="auto"/>
        </w:rPr>
        <w:t>.” The base prospectus, including all documents incorporated therein by reference, included in the Registration Statement, as it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any Placement Shares through the Agent hereunder (each, a</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the Agent by email notice (or other method mutually agreed to in writing by the parties) (each such notice,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containing the parameters in accordance with which it desires such Placement Shares to be sold, which at a minimum shall include the maximum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The Placement Notice must originate from one of the individuals authorized to act on behalf of the Company and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(with a copy to each of the other individuals from the Company listed on such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and shall be addressed to each of the individuals from the Agent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updated by either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time to time by sending a written notice containing a revised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to the other party in the manner provided in Section 12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 discretion, (v) the Company issues a subsequent Placement Notice and explicitly indicates that its parameters supersede those contained in the earlier dated Placement Notice or (vi) this Agreement has been terminated pursuant to the provisions of Section 11. The amount of any discount, commission or other compensation to be paid by the Company to the Agent in connection with</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6" w:name="page7"/>
    <w:bookmarkEnd w:id="6"/>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the sale of the Placement Shares effected through the Agent shall be calculated in accordance with the terms set forth in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184" w:lineRule="exact"/>
        <w:rPr>
          <w:sz w:val="20"/>
          <w:szCs w:val="20"/>
          <w:color w:val="auto"/>
        </w:rPr>
      </w:pPr>
    </w:p>
    <w:p>
      <w:pPr>
        <w:ind w:firstLine="656"/>
        <w:spacing w:after="0" w:line="252" w:lineRule="auto"/>
        <w:tabs>
          <w:tab w:leader="none" w:pos="12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Agent</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including, without limitation,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Market (“</w:t>
      </w:r>
      <w:r>
        <w:rPr>
          <w:rFonts w:ascii="Times New Roman" w:cs="Times New Roman" w:eastAsia="Times New Roman" w:hAnsi="Times New Roman"/>
          <w:sz w:val="18"/>
          <w:szCs w:val="18"/>
          <w:b w:val="1"/>
          <w:bCs w:val="1"/>
          <w:u w:val="single" w:color="auto"/>
          <w:color w:val="auto"/>
        </w:rPr>
        <w:t>Nasdaq</w:t>
      </w:r>
      <w:r>
        <w:rPr>
          <w:rFonts w:ascii="Times New Roman" w:cs="Times New Roman" w:eastAsia="Times New Roman" w:hAnsi="Times New Roman"/>
          <w:sz w:val="18"/>
          <w:szCs w:val="18"/>
          <w:color w:val="auto"/>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 of the Securities Act, including, without limitation, sales made directly on or through Nasdaq, on or through any other existing trading market for the Shares or to or through a market maker. If expressly authorized by the Company (including in a Placement Notice), the Agent may also sell Placement Shares in negotiated transactions. Notwithstanding the provisions of Section 6(tt),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Shares are purchased and sold on Nasdaq.</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56"/>
        <w:spacing w:after="0" w:line="258" w:lineRule="auto"/>
        <w:tabs>
          <w:tab w:leader="none" w:pos="12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suspend any sale of Placement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suspension shall not affect or impair either party’s obligations with respect to any Placement Shares sold hereunder prior to the receipt of such notice. Each</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7" w:name="page8"/>
    <w:bookmarkEnd w:id="7"/>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of the parties agrees that no such notice under this Section 4 shall be effective against the other party unless notice is sent by one of the individuals named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to the other party in writing (including by email correspondence to each of the individuals of the other party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of such correspondence is actually acknowledged by any of the individuals to whom the notice is sent, other than via auto-reply).</w:t>
      </w:r>
    </w:p>
    <w:p>
      <w:pPr>
        <w:spacing w:after="0" w:line="176" w:lineRule="exact"/>
        <w:rPr>
          <w:sz w:val="20"/>
          <w:szCs w:val="20"/>
          <w:color w:val="auto"/>
        </w:rPr>
      </w:pPr>
    </w:p>
    <w:p>
      <w:pPr>
        <w:ind w:firstLine="656"/>
        <w:spacing w:after="0" w:line="261"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during any period in which the Company is, or could be deemed to be,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spacing w:after="0" w:line="180"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and Delivery of the Placement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56"/>
        <w:spacing w:after="0" w:line="255" w:lineRule="auto"/>
        <w:tabs>
          <w:tab w:leader="none" w:pos="1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color w:val="auto"/>
        </w:rPr>
        <w:t>. Unless otherwise specified in the applicable Placement Notice, settlement for sales of Placement Shares will occur on the second Trading Day (or such earlier day as is industry practice or as is required for regular-way trading)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will be equal to the aggregate gross sales price received by the Agent at which such Placement Shares were sold, after deduction of (i) the Agent’s commission, discount or other compensation for such sales payable by the Company pursuant to Section 2 hereof, (ii) any other amounts due and payable by the Company to the Agent hereunder pursuant to Section 7(g) hereof and (iii) any transaction fees imposed by any governmental or self-regulatory organization in respect of such sales.</w:t>
      </w:r>
    </w:p>
    <w:p>
      <w:pPr>
        <w:spacing w:after="0" w:line="189" w:lineRule="exact"/>
        <w:rPr>
          <w:rFonts w:ascii="Times New Roman" w:cs="Times New Roman" w:eastAsia="Times New Roman" w:hAnsi="Times New Roman"/>
          <w:sz w:val="18"/>
          <w:szCs w:val="18"/>
          <w:color w:val="auto"/>
        </w:rPr>
      </w:pPr>
    </w:p>
    <w:p>
      <w:pPr>
        <w:ind w:firstLine="656"/>
        <w:spacing w:after="0" w:line="252" w:lineRule="auto"/>
        <w:tabs>
          <w:tab w:leader="none" w:pos="13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On or before each Settlement Date, the Company will issue the Placement Shares being sold on such date and will, or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Times New Roman" w:cs="Times New Roman" w:eastAsia="Times New Roman" w:hAnsi="Times New Roman"/>
          <w:sz w:val="18"/>
          <w:szCs w:val="18"/>
          <w:b w:val="1"/>
          <w:bCs w:val="1"/>
          <w:u w:val="single" w:color="auto"/>
          <w:color w:val="auto"/>
        </w:rPr>
        <w:t>DWAC</w:t>
      </w:r>
      <w:r>
        <w:rPr>
          <w:rFonts w:ascii="Times New Roman" w:cs="Times New Roman" w:eastAsia="Times New Roman" w:hAnsi="Times New Roman"/>
          <w:sz w:val="18"/>
          <w:szCs w:val="18"/>
          <w:color w:val="auto"/>
        </w:rPr>
        <w:t>”) or by such other means of delivery as may be mutually agreed upon by the parties hereto, which in all cases shall be duly authorized, freely tradeable, transferable, registered Shares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expense (including reasonable legal fees and expenses), as incurred, arising out of or in connection with such default by the Company or its transfer agent (if applicable) and (iii) pay to the Agent any commission, discount or other compensation to which it would otherwise have been entitled absent such default. Certificates for the Placement Shares, if any, shall be in such denominations and registered in such names as the Agent may request in writing one Business Day (as defined below) before the applicable Settlement Date. Certificates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right="120"/>
        <w:spacing w:after="0" w:line="282" w:lineRule="auto"/>
        <w:rPr>
          <w:sz w:val="20"/>
          <w:szCs w:val="20"/>
          <w:color w:val="auto"/>
        </w:rPr>
      </w:pPr>
      <w:r>
        <w:rPr>
          <w:rFonts w:ascii="Times New Roman" w:cs="Times New Roman" w:eastAsia="Times New Roman" w:hAnsi="Times New Roman"/>
          <w:sz w:val="18"/>
          <w:szCs w:val="18"/>
          <w:color w:val="auto"/>
        </w:rPr>
        <w:t>for the Placement Shares, if any, will be made available by the Company for examination and packaging by the Agent in New York City not later than 12:00 P.M., New York City time, on the Business Day prior to the applicable Settlement Date.</w:t>
      </w:r>
    </w:p>
    <w:p>
      <w:pPr>
        <w:spacing w:after="0" w:line="162" w:lineRule="exact"/>
        <w:rPr>
          <w:sz w:val="20"/>
          <w:szCs w:val="20"/>
          <w:color w:val="auto"/>
        </w:rPr>
      </w:pPr>
    </w:p>
    <w:p>
      <w:pPr>
        <w:ind w:right="20" w:firstLine="656"/>
        <w:spacing w:after="0" w:line="269" w:lineRule="auto"/>
        <w:tabs>
          <w:tab w:leader="none" w:pos="1307"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Offering Size</w:t>
      </w:r>
      <w:r>
        <w:rPr>
          <w:rFonts w:ascii="Times New Roman" w:cs="Times New Roman" w:eastAsia="Times New Roman" w:hAnsi="Times New Roman"/>
          <w:sz w:val="17"/>
          <w:szCs w:val="17"/>
          <w:color w:val="auto"/>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registered pursuant to, and available for offer and sale under, the Registration Statement pursuant to which the offering of Placement Shares is being made, (ii) the number of authorized but unissued Shares of the Company (less Shares issuable upon exercise, conversion or exchange of any outstanding securities of the Company or otherwise reserved from the Company’s authorized capital stock),</w:t>
      </w:r>
    </w:p>
    <w:p>
      <w:pPr>
        <w:spacing w:after="0" w:line="3" w:lineRule="exact"/>
        <w:rPr>
          <w:rFonts w:ascii="Times New Roman" w:cs="Times New Roman" w:eastAsia="Times New Roman" w:hAnsi="Times New Roman"/>
          <w:sz w:val="17"/>
          <w:szCs w:val="17"/>
          <w:color w:val="auto"/>
        </w:rPr>
      </w:pPr>
    </w:p>
    <w:p>
      <w:pPr>
        <w:ind w:right="60" w:firstLine="8"/>
        <w:spacing w:after="0" w:line="252" w:lineRule="auto"/>
        <w:tabs>
          <w:tab w:leader="none" w:pos="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dollar amount of Shares permitted to be offered and sold by the Company under Form S-3 (including General Instruction I.B.6. thereof, if such instruction is applicable), (iv) the number or dollar amount of Shares the Company’s board of directors or a duly authorized committee thereof is authorized to issue and sell from time to time, and notified to the Agent in writing, or (v) the dollar amount of Shares for which the Company has filed the Prospectus Supplement.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w:t>
      </w:r>
    </w:p>
    <w:p>
      <w:pPr>
        <w:spacing w:after="0" w:line="188" w:lineRule="exact"/>
        <w:rPr>
          <w:sz w:val="20"/>
          <w:szCs w:val="20"/>
          <w:color w:val="auto"/>
        </w:rPr>
      </w:pPr>
    </w:p>
    <w:p>
      <w:pPr>
        <w:ind w:firstLine="656"/>
        <w:spacing w:after="0" w:line="261"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Agent that as of the date of this Agreement, and as of (i) each Representation Date (as defined in Section 7(m)), (ii) each date on which a Placement Notice is given, (iii) the date and time of each sale of any Placement Shares pursuant to this Agreement and (iv) each Settlement Date (each such time or date referred to in clauses (i) through (iv), an “</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656"/>
        <w:spacing w:after="0" w:line="253" w:lineRule="auto"/>
        <w:tabs>
          <w:tab w:leader="none" w:pos="12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transactions contemplated by this Agreement meet the requirements for and comply with the conditions for the use of Form S-3 (including General Instructions I.A and I.B.1.) under the Securities Act. The Registration Statement has been filed with and has been declared effective by the Commission under the Securities Act. At the time the Registration Statement originally became effective and at the time the Company’s Annual Report on Form 10-K for the year ended December 31, 2018, was filed with the Commission, the Company met the then-applicable requirements for use of Form S-3 (including General Instructions I.A and I.B.1.) under the Securities Act. The Registration Statement meets, and the offering and sale of Placement Shares as contemplated hereby comply with, the requirements of Rule 415(a)(1)(x) under the Securities Act. The Agent is named as the agent engaged by the Company in the section entitled “Plan of Distribution” in the Prospectus Supplement. The Company has not received, and has no notice from the Commission of, any notice pursuant to 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are pending before or, to the knowledge of the Company, threatened by the Commission. At the time of the initial filing of the Registration Statement, the Company paid the required Commission filing fees relating to the securities covered by the Registration Statement, including the Shares that may be sold pursuant to this Agreement, in accordance with Rule 457(o) under the Securities Act. Copies of the Registration Statement, the Prospectus, any such amendments or supplements to any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 w:name="page10"/>
    <w:bookmarkEnd w:id="9"/>
    <w:p>
      <w:pPr>
        <w:ind w:right="440"/>
        <w:spacing w:after="0" w:line="282" w:lineRule="auto"/>
        <w:rPr>
          <w:sz w:val="20"/>
          <w:szCs w:val="20"/>
          <w:color w:val="auto"/>
        </w:rPr>
      </w:pPr>
      <w:r>
        <w:rPr>
          <w:rFonts w:ascii="Times New Roman" w:cs="Times New Roman" w:eastAsia="Times New Roman" w:hAnsi="Times New Roman"/>
          <w:sz w:val="18"/>
          <w:szCs w:val="18"/>
          <w:color w:val="auto"/>
        </w:rPr>
        <w:t>the foregoing and all Incorporated Documents that were filed with the Commission on or prior to the date of this Agreement have been delivered, or are available through EDGAR, to the Agent and its counsel.</w:t>
      </w:r>
    </w:p>
    <w:p>
      <w:pPr>
        <w:spacing w:after="0" w:line="162" w:lineRule="exact"/>
        <w:rPr>
          <w:sz w:val="20"/>
          <w:szCs w:val="20"/>
          <w:color w:val="auto"/>
        </w:rPr>
      </w:pPr>
    </w:p>
    <w:p>
      <w:pPr>
        <w:ind w:firstLine="656"/>
        <w:spacing w:after="0" w:line="252" w:lineRule="auto"/>
        <w:tabs>
          <w:tab w:leader="none" w:pos="13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Registration Statement and any post-effective amendment thereto, at the time it became or becomes effective, at each deemed effective date with respect to the Agent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Prospectus or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130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the time of filing the Registration Statement and (ii) at the time of the execution of this Agreement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76" w:lineRule="exact"/>
        <w:rPr>
          <w:rFonts w:ascii="Times New Roman" w:cs="Times New Roman" w:eastAsia="Times New Roman" w:hAnsi="Times New Roman"/>
          <w:sz w:val="18"/>
          <w:szCs w:val="18"/>
          <w:color w:val="auto"/>
        </w:rPr>
      </w:pPr>
    </w:p>
    <w:p>
      <w:pPr>
        <w:ind w:right="40" w:firstLine="656"/>
        <w:spacing w:after="0" w:line="282" w:lineRule="auto"/>
        <w:tabs>
          <w:tab w:leader="none" w:pos="13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since October 30, 2015 has been, an “emerging growth company,” as defined in Section 2(a) of the Securities Act (an “</w:t>
      </w:r>
      <w:r>
        <w:rPr>
          <w:rFonts w:ascii="Times New Roman" w:cs="Times New Roman" w:eastAsia="Times New Roman" w:hAnsi="Times New Roman"/>
          <w:sz w:val="18"/>
          <w:szCs w:val="18"/>
          <w:b w:val="1"/>
          <w:bCs w:val="1"/>
          <w:u w:val="single" w:color="auto"/>
          <w:color w:val="auto"/>
        </w:rPr>
        <w:t>Emerging Growth Company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56"/>
        <w:spacing w:after="0" w:line="258" w:lineRule="auto"/>
        <w:tabs>
          <w:tab w:leader="none" w:pos="130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0" w:name="page11"/>
    <w:bookmarkEnd w:id="10"/>
    <w:p>
      <w:pPr>
        <w:jc w:val="both"/>
        <w:ind w:right="160" w:firstLine="656"/>
        <w:spacing w:after="0" w:line="266" w:lineRule="auto"/>
        <w:tabs>
          <w:tab w:leader="none" w:pos="130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spacing w:after="0" w:line="176" w:lineRule="exact"/>
        <w:rPr>
          <w:rFonts w:ascii="Times New Roman" w:cs="Times New Roman" w:eastAsia="Times New Roman" w:hAnsi="Times New Roman"/>
          <w:sz w:val="18"/>
          <w:szCs w:val="18"/>
          <w:color w:val="auto"/>
        </w:rPr>
      </w:pPr>
    </w:p>
    <w:p>
      <w:pPr>
        <w:ind w:right="260" w:firstLine="656"/>
        <w:spacing w:after="0" w:line="266" w:lineRule="auto"/>
        <w:tabs>
          <w:tab w:leader="none" w:pos="131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76" w:lineRule="exact"/>
        <w:rPr>
          <w:rFonts w:ascii="Times New Roman" w:cs="Times New Roman" w:eastAsia="Times New Roman" w:hAnsi="Times New Roman"/>
          <w:sz w:val="18"/>
          <w:szCs w:val="18"/>
          <w:color w:val="auto"/>
        </w:rPr>
      </w:pPr>
    </w:p>
    <w:p>
      <w:pPr>
        <w:ind w:right="100" w:firstLine="656"/>
        <w:spacing w:after="0" w:line="256" w:lineRule="auto"/>
        <w:tabs>
          <w:tab w:leader="none" w:pos="13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and in compliance in all material respects with the reporting requirements of Section 13 or Section 15(d) of the Exchange Act. The Shares are registered pursuant to Section 12(b) of the Exchange Act and are listed on Nasdaq, and the Company has taken no action designed to, or reasonably likely to have the effect of, terminating the registration of the Shares under the Exchange Act or delisting the Shares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Placement Shares.</w:t>
      </w:r>
    </w:p>
    <w:p>
      <w:pPr>
        <w:spacing w:after="0" w:line="187" w:lineRule="exact"/>
        <w:rPr>
          <w:rFonts w:ascii="Times New Roman" w:cs="Times New Roman" w:eastAsia="Times New Roman" w:hAnsi="Times New Roman"/>
          <w:sz w:val="18"/>
          <w:szCs w:val="18"/>
          <w:color w:val="auto"/>
        </w:rPr>
      </w:pPr>
    </w:p>
    <w:p>
      <w:pPr>
        <w:ind w:right="80" w:firstLine="656"/>
        <w:spacing w:after="0" w:line="258" w:lineRule="auto"/>
        <w:tabs>
          <w:tab w:leader="none" w:pos="13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(as such term is defined in Rule 1-02 of Regulation S-X promulgated under the Securities Act) has the right to act as an underwriter or as a financial advisor to the Company in connection with the offer and sale of the Placement Shares hereunder, whether as a result of the filing or effectiveness of the Registration Statement or the sale of the Placement Shares as contemplated hereby or otherwise. Except for the Agent,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183" w:lineRule="exact"/>
        <w:rPr>
          <w:rFonts w:ascii="Times New Roman" w:cs="Times New Roman" w:eastAsia="Times New Roman" w:hAnsi="Times New Roman"/>
          <w:sz w:val="18"/>
          <w:szCs w:val="18"/>
          <w:color w:val="auto"/>
        </w:rPr>
      </w:pPr>
    </w:p>
    <w:p>
      <w:pPr>
        <w:ind w:right="120" w:firstLine="656"/>
        <w:spacing w:after="0" w:line="255" w:lineRule="auto"/>
        <w:tabs>
          <w:tab w:leader="none" w:pos="13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organized and is validly existing as a corporation in good standing under the laws of the State of Delaware, with full corporate power and authority to acquire, own, lease and operate its properties, and to lease the same to others, and to conduct its business as described in the Registration Statement and the Prospectus and to enter into and perform its obligations under this Agreement. The Company is duly qualified to transact business as a foreign corporation and is in good standing in the State of New York and under the laws of each other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on the condition (financial or otherwise), earnings, results of operations, business, properties, operations, assets, liabilities or prospects of the Company and its Subsidiaries, taken as a whole, whether or not arising from transactions in the ordinary course of business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“subsidiaries” (for purposes of this Agreement, as defined in Rule 405 under the Securities Act) (each, a</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has been duly organized and is validly existing in good standing (where such concept exists) under the laws of the jurisdiction of its organization and has full power and authority to acquire, own, lease and operate its properties, and to conduct its business as described in the Registration Statement and the Prospectus. Each Subsidiary is duly qualified to transact business and is in good standing (where such concept exists)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right="200"/>
        <w:spacing w:after="0" w:line="255" w:lineRule="auto"/>
        <w:rPr>
          <w:sz w:val="20"/>
          <w:szCs w:val="20"/>
          <w:color w:val="auto"/>
        </w:rPr>
      </w:pPr>
      <w:r>
        <w:rPr>
          <w:rFonts w:ascii="Times New Roman" w:cs="Times New Roman" w:eastAsia="Times New Roman" w:hAnsi="Times New Roman"/>
          <w:sz w:val="18"/>
          <w:szCs w:val="18"/>
          <w:color w:val="auto"/>
        </w:rPr>
        <w:t>each Subsidiary has been duly authorized and validly issued, is fully paid and nonassessable, has been issued in compliance with federal state and securities laws and is owned by the Company, directly or through other wholly-owned Subsidiaries, free and clear of any security interest, mortgage, pledge, lien, encumbrance or adverse claim. The Company does not own or control, directly or indirectly, any corporation, association or other entity, other than the Subsidiaries listed on Exhibit 21.1 to the Company’s most recent Annual Report on Form 10-K filed with the Commission.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189" w:lineRule="exact"/>
        <w:rPr>
          <w:sz w:val="20"/>
          <w:szCs w:val="20"/>
          <w:color w:val="auto"/>
        </w:rPr>
      </w:pPr>
    </w:p>
    <w:p>
      <w:pPr>
        <w:ind w:firstLine="656"/>
        <w:spacing w:after="0" w:line="252" w:lineRule="auto"/>
        <w:tabs>
          <w:tab w:leader="none" w:pos="13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authorized and outstanding capitalization as set forth in the Company’s quarterly report on Form 10-Q for the most recent fiscal quarter, as of the dates referred to therein (subject, in each case, to the issuance of Placement Shares under this Agreement, the issuance of Shares upon exercise of share options and warrants disclosed as outstanding as of the date hereof in the Registration Statement and the Prospectus and the grant of options under existing share option plans described in the Registration Statement and the Prospectus). The Shares conform in all material respects to the description thereof contained in the Registration Statement and the Prospectus, including under the heading “Description of Capital Stock.” All of the issued and outstanding share capital or other equity or ownership interest of the Company (including the Shares)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subscribe for, or equity or debt securities convertible into or exchangeable or exercisable for, any share capital of the Company or any of its Subsidiaries or to which the Company or any of its Subsidiaries is a party or by which any of them may be bound. The descriptions of the Company’s equity incentive plan, stock option plans and other stock plans or arrangements described in the Prospectus and in effect as of the date hereof (collectively, the “</w:t>
      </w:r>
      <w:r>
        <w:rPr>
          <w:rFonts w:ascii="Times New Roman" w:cs="Times New Roman" w:eastAsia="Times New Roman" w:hAnsi="Times New Roman"/>
          <w:sz w:val="18"/>
          <w:szCs w:val="18"/>
          <w:b w:val="1"/>
          <w:bCs w:val="1"/>
          <w:u w:val="single" w:color="auto"/>
          <w:color w:val="auto"/>
        </w:rPr>
        <w:t>Stock Plans</w:t>
      </w:r>
      <w:r>
        <w:rPr>
          <w:rFonts w:ascii="Times New Roman" w:cs="Times New Roman" w:eastAsia="Times New Roman" w:hAnsi="Times New Roman"/>
          <w:sz w:val="18"/>
          <w:szCs w:val="18"/>
          <w:color w:val="auto"/>
        </w:rPr>
        <w:t>”) and the options or other rights granted thereunder, set forth in the Registration Statement and the Prospectus accurately and fairly present the information required to be shown with respect to such Stock Plans and the options or other rights granted thereunder.</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firstLine="656"/>
        <w:spacing w:after="0" w:line="253"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Shares have been duly authorized for issuance and sale pursuant to this Agreement and, when issued and delivered by the Company against payment therefor pursuant to this Agreement, will be validly issued, fully paid and nonassessable and will conform in all material respects to the description thereof contained in the Prospectus. The issuance and sale of the Placement Shares as contemplated hereby shall not be subject to any preemptive rights, rights of first refusal or other similar rights to subscribe for or purchase the Placement Shares. When issued and delivered by the Company against payment therefor pursuant to this Agreement, the purchasers of the Placement Shares issued and sold hereunder will acquire good, marketable and valid title to such Placement Shares, free and clear of all pledges, liens, security interests, charges, claims or encumbrances. The issuance and sale of the Placement Shares as contemplated hereby will not cause any holder of any share capital, securities convertible into or exchangeable or exercisable for share capital or options, warrants or other rights to purchase share capital or any other securities of the Company to have any right to acquire any preferred shares of the Company. There are no restrictions upon the voting or transfer of the Shares under the Company’s amended and restated certificate of incorporation or amended and restated bylaws or any agreement or other instrument to which the Company is a party or otherwise filed as an exhibit to the Registration Statement.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ind w:left="-20" w:firstLine="656"/>
        <w:spacing w:after="0" w:line="253" w:lineRule="auto"/>
        <w:tabs>
          <w:tab w:leader="none" w:pos="12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statute, regulation, contract, agreement or other document required to be described in the Registration Statement, Prospectus or in any Incorporated Document, or to be filed as an exhibit to the Registration Statement or any Incorporated Document which is not described or filed as required. The statements set forth or incorporated by reference in the Prospectus, insofar as they purport to constitute summaries of the terms of the statutes, regulations, contracts, agreements or other documents described and filed, constitute accurate summaries of the terms thereof in all material respects. The statements set forth or incorporated by reference in the Prospectus under the headings “Risk Factors,” “Business—Intellectual Property,” “Business—Material License Agreements,” “Business—Government Regulation and Product Approval,” “Business—Legal Proceedings,” and “Description of Capital Stock,” insofar as such statements summarize legal matters, agreements, documents or proceedings discussed therein, are accurate and fair summaries of such legal matters, agreements, documents or proceedings. Neither the Company nor any of its Subsidiaries has sent or received any communication regarding termination of, or intent not to renew or render performance under, any of the contracts or agreements referred to or described in the Prospectus or any free writing prospectus, or referred to or described in, or filed as an exhibit to, the Registration Statement, or any Incorporated Document,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90" w:lineRule="exact"/>
        <w:rPr>
          <w:rFonts w:ascii="Times New Roman" w:cs="Times New Roman" w:eastAsia="Times New Roman" w:hAnsi="Times New Roman"/>
          <w:sz w:val="18"/>
          <w:szCs w:val="18"/>
          <w:color w:val="auto"/>
        </w:rPr>
      </w:pPr>
    </w:p>
    <w:p>
      <w:pPr>
        <w:ind w:left="-20" w:right="140" w:firstLine="656"/>
        <w:spacing w:after="0" w:line="258" w:lineRule="auto"/>
        <w:tabs>
          <w:tab w:leader="none" w:pos="12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the Company and constitutes a valid and legally binding obligation of the Company, enforceable against the Company in accordance with its terms, except as enforceability, including rights of indemnification, may be limited by bankruptcy, insolvency, fraudulent conveyance, reorganization, moratorium and other similar laws relating to or affecting creditors’ rights generally and by general principles of equity. This Agreement conforms in all material respects to the descriptions thereof in the Registration Statement and the Prospectus.</w:t>
      </w:r>
    </w:p>
    <w:p>
      <w:pPr>
        <w:spacing w:after="0" w:line="183" w:lineRule="exact"/>
        <w:rPr>
          <w:rFonts w:ascii="Times New Roman" w:cs="Times New Roman" w:eastAsia="Times New Roman" w:hAnsi="Times New Roman"/>
          <w:sz w:val="18"/>
          <w:szCs w:val="18"/>
          <w:color w:val="auto"/>
        </w:rPr>
      </w:pPr>
    </w:p>
    <w:p>
      <w:pPr>
        <w:ind w:left="-20" w:right="180" w:firstLine="656"/>
        <w:spacing w:after="0" w:line="282" w:lineRule="auto"/>
        <w:tabs>
          <w:tab w:leader="none" w:pos="12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Placement Shares and the application of the proceeds thereof as described in the Prospectus, will not be an “investment company” as defined in the Investment Company Act of 1940, as amended.</w:t>
      </w:r>
    </w:p>
    <w:p>
      <w:pPr>
        <w:spacing w:after="0" w:line="161" w:lineRule="exact"/>
        <w:rPr>
          <w:rFonts w:ascii="Times New Roman" w:cs="Times New Roman" w:eastAsia="Times New Roman" w:hAnsi="Times New Roman"/>
          <w:sz w:val="18"/>
          <w:szCs w:val="18"/>
          <w:color w:val="auto"/>
        </w:rPr>
      </w:pPr>
    </w:p>
    <w:p>
      <w:pPr>
        <w:ind w:left="-20" w:right="80" w:firstLine="656"/>
        <w:spacing w:after="0" w:line="258" w:lineRule="auto"/>
        <w:tabs>
          <w:tab w:leader="none" w:pos="12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license, permit, qualification, authorization or other order or decree of, or registration or filing with, any court or other governmental, taxing or regulatory authority or agency, is required for the Company’s execution, delivery and performance of this Agreement or consummation of the transactions contemplated hereby or by the Registration Statement and the Prospectus (including the issuance and sale of the Placement Shares hereunder), except such as have been already obtained or made or as may be required under the Securities Act, applicable state securities or Blue Sky laws, applicable rules of Nasdaq, or Rule 5110 of the Financial Industry Regulatory Authority, Inc.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20" w:right="20" w:firstLine="656"/>
        <w:spacing w:after="0" w:line="255" w:lineRule="auto"/>
        <w:tabs>
          <w:tab w:leader="none" w:pos="12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nor the performance of the Company of its obligations under, this Agreement will conflict with, result in a breach or violation of, or result in the creation or imposition of any lien, charge or encumbrance upon any property or assets of the Company or any of its Subsidiaries pursuant to: (i) the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license, lease, mortgage, deed of trust, note agreement, agreement or other instrument, obligation, condition, covenant or instrument to which it is a party or bound or to which its property or assets is subject or (iii) any statute, law, rule, regulation, judgment, order or decree applicable to the Company or any of its Subsidiaries of any court, regulatory body, administrative agency, governmental body, arbitrator or other authority having jurisdiction over the Company, any of its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13" w:name="page14"/>
    <w:bookmarkEnd w:id="13"/>
    <w:p>
      <w:pPr>
        <w:ind w:right="480"/>
        <w:spacing w:after="0" w:line="282" w:lineRule="auto"/>
        <w:rPr>
          <w:sz w:val="20"/>
          <w:szCs w:val="20"/>
          <w:color w:val="auto"/>
        </w:rPr>
      </w:pPr>
      <w:r>
        <w:rPr>
          <w:rFonts w:ascii="Times New Roman" w:cs="Times New Roman" w:eastAsia="Times New Roman" w:hAnsi="Times New Roman"/>
          <w:sz w:val="18"/>
          <w:szCs w:val="18"/>
          <w:color w:val="auto"/>
        </w:rPr>
        <w:t>Subsidiaries or any of their respective properties or assets, as applicable, except, in the case of clauses (ii) and (iii) above, for any such conflict, breach, violation or default that would not, individually or in the aggregate, have a Material Adverse Effect.</w:t>
      </w:r>
    </w:p>
    <w:p>
      <w:pPr>
        <w:spacing w:after="0" w:line="162" w:lineRule="exact"/>
        <w:rPr>
          <w:sz w:val="20"/>
          <w:szCs w:val="20"/>
          <w:color w:val="auto"/>
        </w:rPr>
      </w:pPr>
    </w:p>
    <w:p>
      <w:pPr>
        <w:ind w:right="20" w:firstLine="656"/>
        <w:spacing w:after="0" w:line="253" w:lineRule="auto"/>
        <w:tabs>
          <w:tab w:leader="none" w:pos="13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Registration Statement and the Prospectus: (i) 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(ii) neither the Company nor its Subsidiaries has (A)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(B) entered into any material transactions not in the ordinary course of business or (C) issued or granted any Shares or securities convertible into or exchangeable or exercisable for or that represent the right to receive Shares other than under the Stock Plans; and (iii) there has not been any material decrease in the share capital or any material increase in any short-term or long-term indebtedness of the Company or any of its Subsidiaries and there has been no dividend or distribution of any kind declared, paid or made by the Company or, except for dividends paid to the Company or another Subsidiary, by any Subsidiary on any class of shares, or any repurchase or redemption by the Company or any of its Subsidiaries of any class of shares.</w:t>
      </w:r>
    </w:p>
    <w:p>
      <w:pPr>
        <w:spacing w:after="0" w:line="190" w:lineRule="exact"/>
        <w:rPr>
          <w:rFonts w:ascii="Times New Roman" w:cs="Times New Roman" w:eastAsia="Times New Roman" w:hAnsi="Times New Roman"/>
          <w:sz w:val="18"/>
          <w:szCs w:val="18"/>
          <w:color w:val="auto"/>
        </w:rPr>
      </w:pPr>
    </w:p>
    <w:p>
      <w:pPr>
        <w:ind w:right="280" w:firstLine="656"/>
        <w:spacing w:after="0" w:line="266" w:lineRule="auto"/>
        <w:tabs>
          <w:tab w:leader="none" w:pos="13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persons (as such term is defined in Rule 1-02 of Regulation S-X promulgated under the Securities Act) with registration or other similar rights to have any equity or debt securities of the Company registered for sale under the Registration Statement or included in the offering contemplated by this Agreement, except for such rights as have been duly waived in a writing previously furnished to the Agent.</w:t>
      </w:r>
    </w:p>
    <w:p>
      <w:pPr>
        <w:spacing w:after="0" w:line="176" w:lineRule="exact"/>
        <w:rPr>
          <w:rFonts w:ascii="Times New Roman" w:cs="Times New Roman" w:eastAsia="Times New Roman" w:hAnsi="Times New Roman"/>
          <w:sz w:val="18"/>
          <w:szCs w:val="18"/>
          <w:color w:val="auto"/>
        </w:rPr>
      </w:pPr>
    </w:p>
    <w:p>
      <w:pPr>
        <w:ind w:firstLine="656"/>
        <w:spacing w:after="0" w:line="252" w:lineRule="auto"/>
        <w:tabs>
          <w:tab w:leader="none" w:pos="13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or incorporated by reference in the Registration Statement and the Prospectus, together with the related notes and schedules, present fairly the consolidated financial position of the Company and the Subsidiaries as of the dates indicated and the consolidated results of operations, cash flows and changes in stockholders’ equity of the Company and the Subsidiaries for the periods specified and have been prepared in compliance with the requirements of the Securities Act and Exchange Act and in conformity with United States generally accepted accounting principles (“</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applied on a consistent basis during the periods involved. To the extent applicable, any pro forma financial statements, information or data included or incorporated by reference in the Registration Statement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data set forth or incorporated by reference in the Registration Statement and the Prospectus is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 included or incorporated by reference therein as required. The Company and the Subsidiaries do not have any material liabilities or obligations, direct or contingent (including any off-balance sheet obligations or any “variable interest entities” as that term is used in Accounting Standards Codification Paragraph 810-10-25-20), not disclosed in the Registration Statement and the Prospectus. All disclosures contained in the Registration Statement or the Prospectus</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4" w:name="page15"/>
    <w:bookmarkEnd w:id="14"/>
    <w:p>
      <w:pPr>
        <w:ind w:right="20"/>
        <w:spacing w:after="0" w:line="255" w:lineRule="auto"/>
        <w:rPr>
          <w:sz w:val="20"/>
          <w:szCs w:val="20"/>
          <w:color w:val="auto"/>
        </w:rPr>
      </w:pPr>
      <w:r>
        <w:rPr>
          <w:rFonts w:ascii="Times New Roman" w:cs="Times New Roman" w:eastAsia="Times New Roman" w:hAnsi="Times New Roman"/>
          <w:sz w:val="18"/>
          <w:szCs w:val="18"/>
          <w:color w:val="auto"/>
        </w:rPr>
        <w:t>that contain “non-GAAP financial measures” (as such term is defined by the rules and regulations of the Commission) comply, in all material respects, with Regulation G under the Exchange Act and Item 10 of Regulation S-K under the Securities Act, to the extent applicable. The statistical, industry-related and market-related data included or incorporated by reference in the Registration Statement and the Prospectus were obtained or derived from sources which the Company reasonably and in good faith believes are reliable and accurate, such data agree with the sources from which they are derived,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Public Company Accounting Oversight Board (“</w:t>
      </w:r>
      <w:r>
        <w:rPr>
          <w:rFonts w:ascii="Times New Roman" w:cs="Times New Roman" w:eastAsia="Times New Roman" w:hAnsi="Times New Roman"/>
          <w:sz w:val="18"/>
          <w:szCs w:val="18"/>
          <w:b w:val="1"/>
          <w:bCs w:val="1"/>
          <w:u w:val="single" w:color="auto"/>
          <w:color w:val="auto"/>
        </w:rPr>
        <w:t>PCAOB</w:t>
      </w:r>
      <w:r>
        <w:rPr>
          <w:rFonts w:ascii="Times New Roman" w:cs="Times New Roman" w:eastAsia="Times New Roman" w:hAnsi="Times New Roman"/>
          <w:sz w:val="18"/>
          <w:szCs w:val="18"/>
          <w:color w:val="auto"/>
        </w:rPr>
        <w:t>”), has participated in or otherwise aided the preparation of, or audited, the financial statements, supporting schedules or other financial data filed with the Commission as a part of the Registration Statement and the Prospectus.</w:t>
      </w:r>
    </w:p>
    <w:p>
      <w:pPr>
        <w:spacing w:after="0" w:line="185" w:lineRule="exact"/>
        <w:rPr>
          <w:sz w:val="20"/>
          <w:szCs w:val="20"/>
          <w:color w:val="auto"/>
        </w:rPr>
      </w:pPr>
    </w:p>
    <w:p>
      <w:pPr>
        <w:ind w:right="240" w:firstLine="656"/>
        <w:spacing w:after="0" w:line="270" w:lineRule="auto"/>
        <w:tabs>
          <w:tab w:leader="none" w:pos="1304"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actions, suits, claims, investigations or proceedings pending or, to the Company’s knowledge, threatened to which the Company or any of the Subsidiaries is or would be a party, or of which any of the respective properties or assets of the Company and the Subsidiaries is or would be subject, at law or in equity, before any court or arbitral body or by or before any federal, state, local or foreign governmental or regulatory commission, board, body, authority or agency, that (i) are required to be described in the Registration Statement or the Prospectus and are not so described,</w:t>
      </w:r>
    </w:p>
    <w:p>
      <w:pPr>
        <w:spacing w:after="0" w:line="2" w:lineRule="exact"/>
        <w:rPr>
          <w:rFonts w:ascii="Times New Roman" w:cs="Times New Roman" w:eastAsia="Times New Roman" w:hAnsi="Times New Roman"/>
          <w:sz w:val="17"/>
          <w:szCs w:val="17"/>
          <w:color w:val="auto"/>
        </w:rPr>
      </w:pPr>
    </w:p>
    <w:p>
      <w:pPr>
        <w:ind w:right="100" w:firstLine="8"/>
        <w:spacing w:after="0" w:line="252"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reasonably be expected to have a material adverse effect on the ability of the Company to perform its obligations under this Agreement or on the consummation of any of the transactions contemplated hereby or (iii) could reasonably be expected to have a Material Adverse Effect. The aggregate of all pending legal or governmental proceedings to which the Company or any of its Subsidiaries is a party or of which any of their respective properties or assets is the subject which are not described in the Prospectus, including ordinary routine litigation incidental to the Company’s business, could not reasonably be expected to (A) result in a Material Adverse Effect or (B) have a material adverse effect on the ability of the Company to perform its obligations under this Agreement or the consummation of any of the transactions contemplated hereby.</w:t>
      </w:r>
    </w:p>
    <w:p>
      <w:pPr>
        <w:spacing w:after="0" w:line="190"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or leases all such real properties as are necessary to the conduct of its operations as presently conducted in all material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respects.</w:t>
      </w:r>
    </w:p>
    <w:p>
      <w:pPr>
        <w:spacing w:after="0" w:line="206" w:lineRule="exact"/>
        <w:rPr>
          <w:rFonts w:ascii="Times New Roman" w:cs="Times New Roman" w:eastAsia="Times New Roman" w:hAnsi="Times New Roman"/>
          <w:sz w:val="18"/>
          <w:szCs w:val="18"/>
          <w:color w:val="auto"/>
        </w:rPr>
      </w:pPr>
    </w:p>
    <w:p>
      <w:pPr>
        <w:ind w:firstLine="656"/>
        <w:spacing w:after="0" w:line="254" w:lineRule="auto"/>
        <w:tabs>
          <w:tab w:leader="none" w:pos="13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in violation or default of (i) any provision of its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lease, mortgage, deed of trust, note agreement, loan agreement or other agreement, obligation, condition, covenant or instrument to which it is a party or bound or to which its property or assets is subject, or (iii) any statute, law, rule, regulation, judgment, order or decree of any court, regulatory body, administrative agency, governmental body, arbitrator or other authority having jurisdiction over the Company, any of its Subsidiaries or any of their respective properties or assets, as applicable, except, in the case of clauses (ii) and</w:t>
      </w: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for any such default or violation that would not, individually or in the aggregate, have a Material Adverse Effect.</w:t>
      </w:r>
    </w:p>
    <w:p>
      <w:pPr>
        <w:spacing w:after="0" w:line="206" w:lineRule="exact"/>
        <w:rPr>
          <w:rFonts w:ascii="Times New Roman" w:cs="Times New Roman" w:eastAsia="Times New Roman" w:hAnsi="Times New Roman"/>
          <w:sz w:val="18"/>
          <w:szCs w:val="18"/>
          <w:color w:val="auto"/>
        </w:rPr>
      </w:pPr>
    </w:p>
    <w:p>
      <w:pPr>
        <w:ind w:right="280" w:firstLine="656"/>
        <w:spacing w:after="0" w:line="255" w:lineRule="auto"/>
        <w:tabs>
          <w:tab w:leader="none" w:pos="130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whose report on the consolidated financial statements of the Company is filed with the Commission as part of the Company’s most recent annual report on Form 10-K filed with the Commission and incorporated by reference in the Registration Statement and the Prospectus, is (i) an independent registered public accounting firm as required by the Securities Act, the Exchange Act and the rules of the PCAOB, (ii) in compliance with the applicable requirements relating to the qualification of accountants under Rule 2-01 of Regulation S-X under the Securities Act and</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5" w:name="page16"/>
    <w:bookmarkEnd w:id="15"/>
    <w:p>
      <w:pPr>
        <w:ind w:right="160"/>
        <w:spacing w:after="0" w:line="266" w:lineRule="auto"/>
        <w:rPr>
          <w:sz w:val="20"/>
          <w:szCs w:val="20"/>
          <w:color w:val="auto"/>
        </w:rPr>
      </w:pPr>
      <w:r>
        <w:rPr>
          <w:rFonts w:ascii="Times New Roman" w:cs="Times New Roman" w:eastAsia="Times New Roman" w:hAnsi="Times New Roman"/>
          <w:sz w:val="18"/>
          <w:szCs w:val="18"/>
          <w:color w:val="auto"/>
        </w:rPr>
        <w:t>registered public accounting firm as defined by the PCAOB whose registration has not been suspended or revoked and who has not requested such registration to be withdrawn. Ernst &amp; Young LLP has not been engaged by the Company to perform any “prohibited activities” or provided to the Company any “non-audit services” (as defined in Section 10A of the Exchange Act).</w:t>
      </w:r>
    </w:p>
    <w:p>
      <w:pPr>
        <w:spacing w:after="0" w:line="176" w:lineRule="exact"/>
        <w:rPr>
          <w:sz w:val="20"/>
          <w:szCs w:val="20"/>
          <w:color w:val="auto"/>
        </w:rPr>
      </w:pPr>
    </w:p>
    <w:p>
      <w:pPr>
        <w:ind w:right="520" w:firstLine="656"/>
        <w:spacing w:after="0" w:line="266" w:lineRule="auto"/>
        <w:tabs>
          <w:tab w:leader="none" w:pos="130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Placement Shares.</w:t>
      </w:r>
    </w:p>
    <w:p>
      <w:pPr>
        <w:spacing w:after="0" w:line="176" w:lineRule="exact"/>
        <w:rPr>
          <w:sz w:val="20"/>
          <w:szCs w:val="20"/>
          <w:color w:val="auto"/>
        </w:rPr>
      </w:pPr>
    </w:p>
    <w:p>
      <w:pPr>
        <w:ind w:firstLine="656"/>
        <w:spacing w:after="0" w:line="252" w:lineRule="auto"/>
        <w:tabs>
          <w:tab w:leader="none" w:pos="127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United States federal income tax returns of the Company and its Subsidiaries required by law to be filed have been filed or extensions thereof have been requested, and all taxes shown by such returns or otherwise assessed, which are due and payable, have been paid, except assessments that are being contested in good faith and as to which adequate reserves have been provided under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 in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 All material taxes which the Company and its Subsidiaries are required by law to withhold or to collect for payment have been duly withheld and collected and have been paid to the appropriate governmental authority or agency or have been accrued, reserved against and entered on the books of the Company and its Subsidiaries.</w:t>
      </w:r>
    </w:p>
    <w:p>
      <w:pPr>
        <w:spacing w:after="0" w:line="198" w:lineRule="exact"/>
        <w:rPr>
          <w:rFonts w:ascii="Times New Roman" w:cs="Times New Roman" w:eastAsia="Times New Roman" w:hAnsi="Times New Roman"/>
          <w:sz w:val="18"/>
          <w:szCs w:val="18"/>
          <w:color w:val="auto"/>
        </w:rPr>
      </w:pPr>
    </w:p>
    <w:p>
      <w:pPr>
        <w:ind w:right="60" w:firstLine="656"/>
        <w:spacing w:after="0" w:line="255" w:lineRule="auto"/>
        <w:tabs>
          <w:tab w:leader="none" w:pos="12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dispute with the employees of the Company or any of its Subsidiaries exists or, to the Company’s knowledge, is threatened or imminent, and the Company is not aware of any existing, threatened or imminent labor disturbance by the employees of any of its or any of its Subsidiaries’ principal suppliers, manufacturers, contractors or customers, in each case that would have a Material Adverse Effect. None of the employees of the Company or any of its Subsidiaries is represented by a union and, to the knowledge of the Company, no union organizing activities are taking place. Neither the Company nor any of its Subsidiaries has violated (or received notice of any violation of) any federal, state or local law or foreign law relating to the discrimination in hiring, promotion or pay of employees, nor any applicable wage or hour laws, or the rules and regulations thereunder, or analogous foreign laws and regulations, which would, individually or in the aggregate,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ind w:firstLine="656"/>
        <w:spacing w:after="0" w:line="258" w:lineRule="auto"/>
        <w:tabs>
          <w:tab w:leader="none" w:pos="13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are insured by recognized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clinical trial liability claims. The Company has no reason to believe that it or any of its Subsidiaries will not be able (i) to renew its existing insurance coverage as and when such policies expire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or (ii) to obtain comparable coverage from similar institutions as may be necessary or appropriate to conduct its business as now conducted and at a cost that could not reasonably be expected to have a Material Adverse Effect. Neither the Company nor any of its Subsidiaries has been denied any material insurance coverage which it has sought or for which it has applied.</w:t>
      </w:r>
    </w:p>
    <w:p>
      <w:pPr>
        <w:spacing w:after="0" w:line="176" w:lineRule="exact"/>
        <w:rPr>
          <w:sz w:val="20"/>
          <w:szCs w:val="20"/>
          <w:color w:val="auto"/>
        </w:rPr>
      </w:pPr>
    </w:p>
    <w:p>
      <w:pPr>
        <w:ind w:right="160" w:firstLine="656"/>
        <w:spacing w:after="0" w:line="253" w:lineRule="auto"/>
        <w:tabs>
          <w:tab w:leader="none" w:pos="129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good and marketable title in fee simple to all real property owned by them and good and marketable title to all personal property owned by them that is material to their business (except with respect to intellectual property, which is addressed exclusively in Section 6(pp) and Section 6(ggg) below), in each case free and clear of all liens, encumbrances and defects except such as do not materially affect the value of such property and do not interfere with the use made and proposed to be made of such property by the Company or any Subsidiary; and any real property and buildings held under lease by the Company or any of its Subsidiaries are held by them under valid, subsisting and enforceable leases (subject to the effects of (A) 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w:t>
      </w:r>
    </w:p>
    <w:p>
      <w:pPr>
        <w:spacing w:after="0" w:line="1" w:lineRule="exact"/>
        <w:rPr>
          <w:rFonts w:ascii="Times New Roman" w:cs="Times New Roman" w:eastAsia="Times New Roman" w:hAnsi="Times New Roman"/>
          <w:sz w:val="18"/>
          <w:szCs w:val="18"/>
          <w:color w:val="auto"/>
        </w:rPr>
      </w:pPr>
    </w:p>
    <w:p>
      <w:pPr>
        <w:ind w:right="220" w:firstLine="8"/>
        <w:spacing w:after="0" w:line="261" w:lineRule="auto"/>
        <w:tabs>
          <w:tab w:leader="none" w:pos="2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and public policy with respect to rights to indemnity and contribution) with such exceptions as are not material and do not interfere with the use made and proposed to be made of such property and buildings by the Company or such Subsidiary.</w:t>
      </w:r>
    </w:p>
    <w:p>
      <w:pPr>
        <w:spacing w:after="0" w:line="179" w:lineRule="exact"/>
        <w:rPr>
          <w:rFonts w:ascii="Times New Roman" w:cs="Times New Roman" w:eastAsia="Times New Roman" w:hAnsi="Times New Roman"/>
          <w:sz w:val="18"/>
          <w:szCs w:val="18"/>
          <w:color w:val="auto"/>
        </w:rPr>
      </w:pPr>
    </w:p>
    <w:p>
      <w:pPr>
        <w:ind w:right="80" w:firstLine="656"/>
        <w:spacing w:after="0" w:line="256" w:lineRule="auto"/>
        <w:tabs>
          <w:tab w:leader="none" w:pos="130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and are operating in compliance with such valid and current material certificates, authorizations or permits required by United States federal, state or foreign regulatory agencies or bodies to conduct their respective businesses as currently conducted and as described in the Registration Statement and the Prospectus (collectively,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Neither the Company nor any of its Subsidiaries is in violation of, or in default under, any of the Permits or has received any written notice of proceedings relating to the revocation or modification of, or non-compliance with, any such certificate, authorization or permit, which, individually or in the aggregate, if the subject of an unfavorable decision, ruling or finding, could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ind w:right="60" w:firstLine="656"/>
        <w:spacing w:after="0" w:line="261" w:lineRule="auto"/>
        <w:tabs>
          <w:tab w:leader="none" w:pos="12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make and keep accurate books and records and maintain a system of internal accounting controls sufficient to provide reasonable assurance that: (i) transactions are executed in accordance with management’s general or specific authorization;</w:t>
      </w: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87" w:lineRule="exact"/>
        <w:rPr>
          <w:rFonts w:ascii="Times New Roman" w:cs="Times New Roman" w:eastAsia="Times New Roman" w:hAnsi="Times New Roman"/>
          <w:sz w:val="18"/>
          <w:szCs w:val="18"/>
          <w:color w:val="auto"/>
        </w:rPr>
      </w:pPr>
    </w:p>
    <w:p>
      <w:pPr>
        <w:ind w:right="60" w:firstLine="656"/>
        <w:spacing w:after="0" w:line="256" w:lineRule="auto"/>
        <w:tabs>
          <w:tab w:leader="none" w:pos="132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established and maintain disclosure controls and procedures (as defined in Rules 13a-15 and 15d-15 under the Exchange Act), which (i) are designed to ensure that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spacing w:after="0" w:line="261" w:lineRule="auto"/>
        <w:rPr>
          <w:sz w:val="20"/>
          <w:szCs w:val="20"/>
          <w:color w:val="auto"/>
        </w:rPr>
      </w:pPr>
      <w:r>
        <w:rPr>
          <w:rFonts w:ascii="Times New Roman" w:cs="Times New Roman" w:eastAsia="Times New Roman" w:hAnsi="Times New Roman"/>
          <w:sz w:val="18"/>
          <w:szCs w:val="18"/>
          <w:color w:val="auto"/>
        </w:rPr>
        <w:t>Company’s most recent audited fiscal year, there has been no material weakness in the Company’s internal control over financial reporting (whether or not remediated) and no change in the Company’s internal control over financial reporting, including any corrective actions with regard to significant deficiencies or material weaknesses.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0" w:lineRule="exact"/>
        <w:rPr>
          <w:sz w:val="20"/>
          <w:szCs w:val="20"/>
          <w:color w:val="auto"/>
        </w:rPr>
      </w:pPr>
    </w:p>
    <w:p>
      <w:pPr>
        <w:ind w:right="60" w:firstLine="656"/>
        <w:spacing w:after="0" w:line="258" w:lineRule="auto"/>
        <w:tabs>
          <w:tab w:leader="none" w:pos="129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its or their respective directors, officers or controlling persons has taken, directly or indirectly, without giving effect to any actions taken by the Agent, (i) any action designed to or that might constitute or reasonably be expected to cause or result in, under the Exchange Act or otherwise, stabilization or manipulation of the price of any security of the Company to facilitate the sale or resale of the Placement Shares or (ii) any action designed to or that might constitute or reasonably be expected to cause or result in a violation of Regulation M under the Exchange Act.</w:t>
      </w:r>
    </w:p>
    <w:p>
      <w:pPr>
        <w:spacing w:after="0" w:line="183" w:lineRule="exact"/>
        <w:rPr>
          <w:rFonts w:ascii="Times New Roman" w:cs="Times New Roman" w:eastAsia="Times New Roman" w:hAnsi="Times New Roman"/>
          <w:sz w:val="18"/>
          <w:szCs w:val="18"/>
          <w:color w:val="auto"/>
        </w:rPr>
      </w:pPr>
    </w:p>
    <w:p>
      <w:pPr>
        <w:ind w:right="40" w:firstLine="656"/>
        <w:spacing w:after="0" w:line="252" w:lineRule="auto"/>
        <w:tabs>
          <w:tab w:leader="none" w:pos="13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reasonably be expected, individually or in the aggregate, to have a Material Adverse Effect: (i) neither the Company nor any of its Subsidiaries is in violation of any United States federal, state or local, or any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emissions, discharges, release or threatened release of chemicals, pollutants, contaminants, wastes, toxic substances, hazardous substances, petroleum or petroleum products (collectively, “</w:t>
      </w:r>
      <w:r>
        <w:rPr>
          <w:rFonts w:ascii="Times New Roman" w:cs="Times New Roman" w:eastAsia="Times New Roman" w:hAnsi="Times New Roman"/>
          <w:sz w:val="18"/>
          <w:szCs w:val="18"/>
          <w:b w:val="1"/>
          <w:bCs w:val="1"/>
          <w:u w:val="single" w:color="auto"/>
          <w:color w:val="auto"/>
        </w:rPr>
        <w:t>Hazardous Materials</w:t>
      </w:r>
      <w:r>
        <w:rPr>
          <w:rFonts w:ascii="Times New Roman" w:cs="Times New Roman" w:eastAsia="Times New Roman" w:hAnsi="Times New Roman"/>
          <w:sz w:val="18"/>
          <w:szCs w:val="18"/>
          <w:color w:val="auto"/>
        </w:rPr>
        <w:t>”) or otherwise related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which violation includes, but is not limited to, noncompliance with any permits or other governmental authorizations required for the operation of the business of the Company or any of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 Company and its Subsidiaries have all material permits, authorizations and approvals required under any applicable Environmental Laws and are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or any investigation with respect to which the Company or any of its Subsidiaries has received written notice or any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Hazardous Materials at any location owned, leased or operated by the Company or any of its Subsidiaries, now or in the past; and (iv) to the Company’s knowledge, there are no past or present actions, activities, events, conditions, incidents or circumstances that might reasonably be expected to result in a violation of any Environmental Law or form the basis of an order for clean-up or remediation, or an action, suit, investigation or proceeding by any private party or governmental body or agency, against or affecting the Company or any of its Subsidiaries relating to Hazardous Materials or any Environmental Laws.</w:t>
      </w:r>
    </w:p>
    <w:p>
      <w:pPr>
        <w:spacing w:after="0" w:line="189" w:lineRule="exact"/>
        <w:rPr>
          <w:rFonts w:ascii="Times New Roman" w:cs="Times New Roman" w:eastAsia="Times New Roman" w:hAnsi="Times New Roman"/>
          <w:sz w:val="18"/>
          <w:szCs w:val="18"/>
          <w:color w:val="auto"/>
        </w:rPr>
      </w:pPr>
    </w:p>
    <w:p>
      <w:pPr>
        <w:ind w:right="80" w:firstLine="656"/>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established or maintained by the Company, or its “ERISA Affiliates”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ind w:right="40"/>
        <w:spacing w:after="0" w:line="254" w:lineRule="auto"/>
        <w:rPr>
          <w:sz w:val="20"/>
          <w:szCs w:val="20"/>
          <w:color w:val="auto"/>
        </w:rPr>
      </w:pPr>
      <w:r>
        <w:rPr>
          <w:rFonts w:ascii="Times New Roman" w:cs="Times New Roman" w:eastAsia="Times New Roman" w:hAnsi="Times New Roman"/>
          <w:sz w:val="18"/>
          <w:szCs w:val="18"/>
          <w:color w:val="auto"/>
        </w:rPr>
        <w:t>(as defined below) are in compliance in all material respects with ERISA. “ERISA Affiliates” means, with respect to the Company,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nothing has occurred, whether by action or failure to act, which would cause the loss of such qualification.</w:t>
      </w:r>
    </w:p>
    <w:p>
      <w:pPr>
        <w:spacing w:after="0" w:line="186" w:lineRule="exact"/>
        <w:rPr>
          <w:sz w:val="20"/>
          <w:szCs w:val="20"/>
          <w:color w:val="auto"/>
        </w:rPr>
      </w:pPr>
    </w:p>
    <w:p>
      <w:pPr>
        <w:ind w:right="280" w:firstLine="656"/>
        <w:spacing w:after="0" w:line="261" w:lineRule="auto"/>
        <w:tabs>
          <w:tab w:leader="none" w:pos="129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and there is and has been no failure on the part of the Company and, to the Company’s knowledge, any of the Company’s directors or officers, in their capacities as such, to comply with, any provision of the Sarbanes-Oxley Act of 2002 and all rules and regulations promulgated thereunder or implementing the provisions thereof (the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and the rules and regulations promulgated in connection therewith, including Section 402 relating to loans.</w:t>
      </w:r>
    </w:p>
    <w:p>
      <w:pPr>
        <w:spacing w:after="0" w:line="180" w:lineRule="exact"/>
        <w:rPr>
          <w:rFonts w:ascii="Times New Roman" w:cs="Times New Roman" w:eastAsia="Times New Roman" w:hAnsi="Times New Roman"/>
          <w:sz w:val="18"/>
          <w:szCs w:val="18"/>
          <w:color w:val="auto"/>
        </w:rPr>
      </w:pPr>
    </w:p>
    <w:p>
      <w:pPr>
        <w:ind w:right="80" w:firstLine="656"/>
        <w:spacing w:after="0" w:line="255" w:lineRule="auto"/>
        <w:tabs>
          <w:tab w:leader="none" w:pos="13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any of its Subsidiaries, nor, to the knowledge of the Company, any of their respective directors, officers, agents, employees or affiliates, has taken or will take any action in furtherance of an offer, payment, promise to pay, or authorization or approval of the unlawful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each of its Subsidiaries and, to the Company’s knowledge, each of their respective affiliates have conducted their businesses in compliance with applicable anti-corruption laws.</w:t>
      </w:r>
    </w:p>
    <w:p>
      <w:pPr>
        <w:spacing w:after="0" w:line="189" w:lineRule="exact"/>
        <w:rPr>
          <w:rFonts w:ascii="Times New Roman" w:cs="Times New Roman" w:eastAsia="Times New Roman" w:hAnsi="Times New Roman"/>
          <w:sz w:val="18"/>
          <w:szCs w:val="18"/>
          <w:color w:val="auto"/>
        </w:rPr>
      </w:pPr>
    </w:p>
    <w:p>
      <w:pPr>
        <w:ind w:firstLine="656"/>
        <w:spacing w:after="0" w:line="254" w:lineRule="auto"/>
        <w:tabs>
          <w:tab w:leader="none" w:pos="129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Subsidiary, affiliate, director, officer or employee thereof or, to the best of the Company’s knowledge, any agent, representative or other person acting on behalf of the Company or any of its Subsidiaries or affiliates, is aware of or has taken any action, directly or indirectly, that would result in a violation by such persons of any applicable anti-corruption laws, including the Foreign Corrupt Practices Act of 1977, as amended, and the rules and regulations thereunder (the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or otherwise took any action (or failed to fully disclose any action) in contravention of the FCPA; and the Company, its Subsidiaries and each of their respective affiliates have conducted their businesses in compliance with the FCPA and have instituted and maintain, and will continue to maintain, policies and procedures designed to ensure, and which are reasonably expected to continue to ensure, continued compliance therewith.</w:t>
      </w:r>
    </w:p>
    <w:p>
      <w:pPr>
        <w:spacing w:after="0" w:line="186" w:lineRule="exact"/>
        <w:rPr>
          <w:rFonts w:ascii="Times New Roman" w:cs="Times New Roman" w:eastAsia="Times New Roman" w:hAnsi="Times New Roman"/>
          <w:sz w:val="18"/>
          <w:szCs w:val="18"/>
          <w:color w:val="auto"/>
        </w:rPr>
      </w:pPr>
    </w:p>
    <w:p>
      <w:pPr>
        <w:ind w:right="520" w:firstLine="656"/>
        <w:spacing w:after="0" w:line="266" w:lineRule="auto"/>
        <w:tabs>
          <w:tab w:leader="none" w:pos="129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Money Laundering Laws</w:t>
      </w:r>
      <w:r>
        <w:rPr>
          <w:rFonts w:ascii="Times New Roman" w:cs="Times New Roman" w:eastAsia="Times New Roman" w:hAnsi="Times New Roman"/>
          <w:sz w:val="18"/>
          <w:szCs w:val="18"/>
          <w:color w:val="auto"/>
        </w:rPr>
        <w:t>”) and no action, suit, investigation or proceeding by or before any court or governmental agency, authority or body or any arbitrator involving the Company or any of its Subsidiaries with respect to the Money Laundering Laws is pending or, to the best of the Company’s knowledge, threatened.</w:t>
      </w:r>
    </w:p>
    <w:p>
      <w:pPr>
        <w:spacing w:after="0" w:line="175" w:lineRule="exact"/>
        <w:rPr>
          <w:sz w:val="20"/>
          <w:szCs w:val="20"/>
          <w:color w:val="auto"/>
        </w:rPr>
      </w:pPr>
    </w:p>
    <w:p>
      <w:pPr>
        <w:ind w:right="100" w:firstLine="656"/>
        <w:spacing w:after="0" w:line="253" w:lineRule="auto"/>
        <w:tabs>
          <w:tab w:leader="none" w:pos="12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director or officer thereof, nor, to the Company’s knowledge, any employee, agent, affiliate or representative of the Company or any of its Subsidiaries, is currently or is owned or controlled by an individual or entity that is subject to any sanctions administered or enforced by the United States government (including, without limitation, the Office of Foreign Assets Control of the United States Department of the Treasury),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or is located, organized or resident in a country or territory that is the subject or target of Sanctions; and the Company will not directly or indirectly use the proceeds of the sale of the Shares, or lend, contribute or otherwise make available such proceeds to any Subsidiary, or any joint venture partner or other person or entity, for the purpose of financing or facilitating the activities of or business of any person or entity, or in any country or territory, that currently or at the time of such financing or facilitation is the subject of any Sanctions or in any other manner that will result in a violation by any person or entity (including any person participating in the transactions contemplated by this Agreement) of any Sanctions. For the past five years, the Company and its Subsidiaries have not knowingly engaged in and are not now knowingly engaged in any dealings or transactions with any person or entity, or in any country or territory, that at the time of the dealing or transaction is or was the subject of Sanctions.</w:t>
      </w:r>
    </w:p>
    <w:p>
      <w:pPr>
        <w:spacing w:after="0" w:line="192" w:lineRule="exact"/>
        <w:rPr>
          <w:rFonts w:ascii="Times New Roman" w:cs="Times New Roman" w:eastAsia="Times New Roman" w:hAnsi="Times New Roman"/>
          <w:sz w:val="18"/>
          <w:szCs w:val="18"/>
          <w:color w:val="auto"/>
        </w:rPr>
      </w:pPr>
    </w:p>
    <w:p>
      <w:pPr>
        <w:ind w:firstLine="656"/>
        <w:spacing w:after="0" w:line="268" w:lineRule="auto"/>
        <w:tabs>
          <w:tab w:leader="none" w:pos="129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own or possess the right to use all inventions, patent applications, patents, trademarks, trade names, service names, domain names, copyrights, trade secrets, know-how and other intellectual property (collectively, “</w:t>
      </w:r>
      <w:r>
        <w:rPr>
          <w:rFonts w:ascii="Times New Roman" w:cs="Times New Roman" w:eastAsia="Times New Roman" w:hAnsi="Times New Roman"/>
          <w:sz w:val="17"/>
          <w:szCs w:val="17"/>
          <w:b w:val="1"/>
          <w:bCs w:val="1"/>
          <w:u w:val="single" w:color="auto"/>
          <w:color w:val="auto"/>
        </w:rPr>
        <w:t>Intellectual Property</w:t>
      </w:r>
      <w:r>
        <w:rPr>
          <w:rFonts w:ascii="Times New Roman" w:cs="Times New Roman" w:eastAsia="Times New Roman" w:hAnsi="Times New Roman"/>
          <w:sz w:val="17"/>
          <w:szCs w:val="17"/>
          <w:color w:val="auto"/>
        </w:rPr>
        <w:t>”) as are (i) necessary or material for the conduct of their respective businesses as currently conducted or as currently proposed to be conducted and as described in the Registration Statement and the Prospectus and (ii) necessary or material for the commercialization of the products described in the Registration Statement and the Prospectus as being under development. There is no pending or, to the Company’s knowledge, threatened (i) action, suit, proceeding, or claim by others challenging the rights of the Company or any of its Subsidiaries in or to any such Intellectual Property that, if decided adversely to the Company or such Subsidiary would, individually or in the aggregate, have a Material Adverse Effect, and the Company is unaware of any facts which would form a reasonable basis for any such claim; (ii) action, suit, proceeding, or claim by others that the Company or any of its Subsidiaries infringes, misappropriates, or otherwise violates any Intellectual Property of others that, if decided adversely to the Company or such Subsidiary would, individually or in the aggregate, have a Material Adverse Effect, and the Company is unaware of any facts which would form a reasonable basis for any such claim; or (iii) action, suit, proceeding, or claim by others challenging the validity, scope, or enforceability of any such Intellectual Property owned or licensed by the Company or its Subsidiaries and the Company is unaware of any facts which would form a reasonable basis for any such claim. To the best of the Company’s knowledge, the operation of the business of the Company and its Subsidiaries as now conducted, and as described in the Prospectus, and in connection with the development and commercialization of the products described in the Prospectus does not infringe, misappropriate, conflict with or otherwise violate any claim of any patent or published patent application of any other person or entity. There is no prior art of which the Company or any of its Subsidiaries is aware that may render any patent owned or licensed by the Company or its Subsidiaries invalid or any patent application owned or licensed by the Company or its Subsidiaries unpatentable which has not been disclosed to the applicable government patent office. The Company’s granted or issued patents, registered trademarks and registered copyrights have been duly maintained and are in full force and effect, and none of the patents, trademarks and copyrights have been</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20" w:name="page21"/>
    <w:bookmarkEnd w:id="20"/>
    <w:p>
      <w:pPr>
        <w:ind w:right="40"/>
        <w:spacing w:after="0" w:line="252" w:lineRule="auto"/>
        <w:rPr>
          <w:sz w:val="20"/>
          <w:szCs w:val="20"/>
          <w:color w:val="auto"/>
        </w:rPr>
      </w:pPr>
      <w:r>
        <w:rPr>
          <w:rFonts w:ascii="Times New Roman" w:cs="Times New Roman" w:eastAsia="Times New Roman" w:hAnsi="Times New Roman"/>
          <w:sz w:val="18"/>
          <w:szCs w:val="18"/>
          <w:color w:val="auto"/>
        </w:rPr>
        <w:t>adjudged invalid or unenforceable in whole or in part. The Company knows of no infringement, misappropriation or violation by others of any Intellectual Property owned or licensed by the Company or its Subsidiaries which would reasonably be expected to have a Material Adverse Effect. Neither the Company nor any of its Subsidiaries is a party to or bound by any options, licenses or agreements with respect to the Intellectual Property of any other person or entity that are required to be set forth in the Prospectus and that are not described therein in all material respects. The Company and its Subsidiaries have taken all reasonable steps necessary to secure their interests in the Intellectual Property of the Company and its Subsidiaries from their employees and contractors and to protect the confidentiality of all of their confidential information and trade secrets. None of the technology or intellectual property used by the Company and its Subsidiaries in its business has been obtained or is being used by the Company or its Subsidiaries in violation of any contractual obligation binding on the Company or its Subsidiaries, or, to the Company’s knowledge, any of its officers, directors or employees or otherwise in violation of the rights of any persons. No third party has been granted by the Company or its Subsidiaries rights to the Intellectual Property of the Company or its Subsidiaries, including any rights that, if exercised, could enable such party to develop products competitive to those of the Company as described in the Registration Statement and the Prospectus. All Intellectual Property owned or exclusively licensed by the Company or its Subsidiaries are free and clear of all liens, encumbrances, defects or other restrictions (other than non-exclusive licenses granted in the ordinary course of business), except those that could not reasonably be expected, individually or in the aggregate, to have a Material Adverse Effect. The Company and its Subsidiaries are not subject to any judgment, order, writ, injunction or decree of any court or any federal, state, local, foreign or other governmental department, commission, board, bureau, agency or instrumentality, domestic or foreign, or any arbitrator, nor has it entered into or is it a party to any agreement made in settlement of any pending or threatened litigation, which materially restricts or impairs their use of any Intellectual Property.</w:t>
      </w:r>
    </w:p>
    <w:p>
      <w:pPr>
        <w:spacing w:after="0" w:line="196" w:lineRule="exact"/>
        <w:rPr>
          <w:sz w:val="20"/>
          <w:szCs w:val="20"/>
          <w:color w:val="auto"/>
        </w:rPr>
      </w:pPr>
    </w:p>
    <w:p>
      <w:pPr>
        <w:ind w:firstLine="656"/>
        <w:spacing w:after="0" w:line="252" w:lineRule="auto"/>
        <w:tabs>
          <w:tab w:leader="none" w:pos="12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 are and have at all times been in full compliance with all laws, statutes, rules, regulations or guidance applicable to the Company and its Subsidiaries and the ownership, testing, development, manufacture, packaging, processing, use, distribution, marketing, advertising, labeling, promotion, sale, offer for sale, storage, import, export or disposal of any pharmaceuticals or biohazardous substances, materials or any other products developed, manufactured or distributed by the Company (including, without limitation, from the United States Food and Drug Administration (“</w:t>
      </w:r>
      <w:r>
        <w:rPr>
          <w:rFonts w:ascii="Times New Roman" w:cs="Times New Roman" w:eastAsia="Times New Roman" w:hAnsi="Times New Roman"/>
          <w:sz w:val="18"/>
          <w:szCs w:val="18"/>
          <w:b w:val="1"/>
          <w:bCs w:val="1"/>
          <w:u w:val="single" w:color="auto"/>
          <w:color w:val="auto"/>
        </w:rPr>
        <w:t>FDA</w:t>
      </w:r>
      <w:r>
        <w:rPr>
          <w:rFonts w:ascii="Times New Roman" w:cs="Times New Roman" w:eastAsia="Times New Roman" w:hAnsi="Times New Roman"/>
          <w:sz w:val="18"/>
          <w:szCs w:val="18"/>
          <w:color w:val="auto"/>
        </w:rPr>
        <w:t>”), European Medicines Agency (“</w:t>
      </w:r>
      <w:r>
        <w:rPr>
          <w:rFonts w:ascii="Times New Roman" w:cs="Times New Roman" w:eastAsia="Times New Roman" w:hAnsi="Times New Roman"/>
          <w:sz w:val="18"/>
          <w:szCs w:val="18"/>
          <w:b w:val="1"/>
          <w:bCs w:val="1"/>
          <w:u w:val="single" w:color="auto"/>
          <w:color w:val="auto"/>
        </w:rPr>
        <w:t>EMA</w:t>
      </w:r>
      <w:r>
        <w:rPr>
          <w:rFonts w:ascii="Times New Roman" w:cs="Times New Roman" w:eastAsia="Times New Roman" w:hAnsi="Times New Roman"/>
          <w:sz w:val="18"/>
          <w:szCs w:val="18"/>
          <w:color w:val="auto"/>
        </w:rPr>
        <w:t>”) and any local or other governmental or regulatory authority performing functions similar to those performed by the FDA or EMA) (collectively, “</w:t>
      </w:r>
      <w:r>
        <w:rPr>
          <w:rFonts w:ascii="Times New Roman" w:cs="Times New Roman" w:eastAsia="Times New Roman" w:hAnsi="Times New Roman"/>
          <w:sz w:val="18"/>
          <w:szCs w:val="18"/>
          <w:b w:val="1"/>
          <w:bCs w:val="1"/>
          <w:u w:val="single" w:color="auto"/>
          <w:color w:val="auto"/>
        </w:rPr>
        <w:t>Applicable Laws</w:t>
      </w:r>
      <w:r>
        <w:rPr>
          <w:rFonts w:ascii="Times New Roman" w:cs="Times New Roman" w:eastAsia="Times New Roman" w:hAnsi="Times New Roman"/>
          <w:sz w:val="18"/>
          <w:szCs w:val="18"/>
          <w:color w:val="auto"/>
        </w:rPr>
        <w:t>”), except as could not, individually or in the aggregate, reasonably be expected to result in a Material Adverse Effect, (ii) have not received any notice of adverse finding, warning letter, untitled letter or other correspondence or notice from the FDA or any other federal, state or foreign governmental authority having authority over the Company, any of its Subsidiaries or their activities alleging or asserting noncompliance with any Applicable Laws or any licenses, certificates, approvals, clearances, authorizations, permits and supplements or amendments thereto required by any such Applicable Laws (collectively, the “</w:t>
      </w:r>
      <w:r>
        <w:rPr>
          <w:rFonts w:ascii="Times New Roman" w:cs="Times New Roman" w:eastAsia="Times New Roman" w:hAnsi="Times New Roman"/>
          <w:sz w:val="18"/>
          <w:szCs w:val="18"/>
          <w:b w:val="1"/>
          <w:bCs w:val="1"/>
          <w:u w:val="single" w:color="auto"/>
          <w:color w:val="auto"/>
        </w:rPr>
        <w:t>Governmental Permits</w:t>
      </w:r>
      <w:r>
        <w:rPr>
          <w:rFonts w:ascii="Times New Roman" w:cs="Times New Roman" w:eastAsia="Times New Roman" w:hAnsi="Times New Roman"/>
          <w:sz w:val="18"/>
          <w:szCs w:val="18"/>
          <w:color w:val="auto"/>
        </w:rPr>
        <w:t>”), (iii) have made all filings with, the appropriate local, or other governmental or regulatory agencies or bodies that are necessary for the ownership or lease of their respective properties or the conduct of their respective businesses as described in the Registration Statement and the Prospectus, except where any failures to possess or make the same would not, singularly or in the aggregate, have a Material Adverse Effect, (iv) possess all material Governmental Permits necessary to conduct their respective businesses as described in the Registration Statement and the Prospectus, and such Governmental Permits are valid and in full force and effect and are not in violation of any term of any such Governmental Permits, (v) have filed, obtained, maintained or submitted all material reports, documents, forms, notices, applications, records, claims, submissions and supplements or amendments as required by any Applicable Laws or Governmental Permits and that all such reports, documents, forms, notices, applications, records, claims, submissions and supplements or amendments were complete and correct in all material respects on the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spacing w:after="0" w:line="254" w:lineRule="auto"/>
        <w:rPr>
          <w:sz w:val="20"/>
          <w:szCs w:val="20"/>
          <w:color w:val="auto"/>
        </w:rPr>
      </w:pPr>
      <w:r>
        <w:rPr>
          <w:rFonts w:ascii="Times New Roman" w:cs="Times New Roman" w:eastAsia="Times New Roman" w:hAnsi="Times New Roman"/>
          <w:sz w:val="18"/>
          <w:szCs w:val="18"/>
          <w:color w:val="auto"/>
        </w:rPr>
        <w:t>date filed (or were corrected or supplemented by a subsequent submission), and (vi) are not a party to any corporate integrity agreements, monitoring agreements, consent decrees, settlement orders or similar agreements with or imposed by any governmental authority. All Governmental Permits are valid and in full force and effect, except where the validity or failure to be in full force and effect would not, singularly or in the aggregate, have a Material Adverse Effect. Neither the Company nor any Subsidiary has received notification of any revocation, modification, suspension, termination or invalidation (or proceedings related thereto) of any such Governmental Permit and the Company has no reason to believe that any such Governmental Permit will not be renewed. Neither the Company, any of its Subsidiaries nor, to the Company’s knowledge, any of their respective directors, officers, employees or agents has been convicted of any crime under any Applicable Laws or has been the subject of an FDA debarment proceeding. Neither the Company nor any of its Subsidiaries has been nor is now subject to the FDA’s Application Integrity Policy. To the Company’s knowledge, neither the Company, any of its Subsidiaries nor any of its directors, officers, employees or agents has made, or caused the making of, any false statements on, or material omissions from, any other records or documentation prepared or maintained to comply with the requirements of the FDA or any other governmental authority.</w:t>
      </w:r>
    </w:p>
    <w:p>
      <w:pPr>
        <w:spacing w:after="0" w:line="186" w:lineRule="exact"/>
        <w:rPr>
          <w:sz w:val="20"/>
          <w:szCs w:val="20"/>
          <w:color w:val="auto"/>
        </w:rPr>
      </w:pPr>
    </w:p>
    <w:p>
      <w:pPr>
        <w:ind w:right="80" w:firstLine="656"/>
        <w:spacing w:after="0" w:line="253"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legal or governmental proceeding to which the Company or any of its Subsidiaries is a party or of which any property or assets of the Company or any of its Subsidiaries is the subject, including any proceeding before the FDA, the EMA or any foreign, local, national or other governmental agency with jurisdiction over the types of products being developed by the Company that is required to be described in the Registration Statement or the Prospectus and is not described therein, or which, singularly or in the aggregate, if determined adversely to the Company or any of its Subsidiaries, could reasonably be expected to have a Material Adverse Effect; and no such proceedings are threatened or contemplated by governmental or regulatory authorities or threatened by others. The Company and its Subsidiaries (i) have not received notice of any claim, action, suit, proceeding, hearing, enforcement, investigation, arbitration or other action from any governmental authority or third party alleging that any product operation or activity is in violation of any Applicable Laws or Governmental Permits and have no knowledge that any such governmental authority or third party is considering any such claim, litigation, arbitration, action, suit, investigation or proceeding and (ii) have not received notice that any governmental authority has taken, is taking or intends to take action to limit, suspend, modify or revoke any Governmental Permits and the Company has no knowledge that any such governmental authority is considering such action.</w:t>
      </w:r>
    </w:p>
    <w:p>
      <w:pPr>
        <w:spacing w:after="0" w:line="192" w:lineRule="exact"/>
        <w:rPr>
          <w:rFonts w:ascii="Times New Roman" w:cs="Times New Roman" w:eastAsia="Times New Roman" w:hAnsi="Times New Roman"/>
          <w:sz w:val="18"/>
          <w:szCs w:val="18"/>
          <w:color w:val="auto"/>
        </w:rPr>
      </w:pPr>
    </w:p>
    <w:p>
      <w:pPr>
        <w:ind w:firstLine="656"/>
        <w:spacing w:after="0" w:line="253" w:lineRule="auto"/>
        <w:tabs>
          <w:tab w:leader="none" w:pos="13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non-clinical pre-clinical studies and clinical studies and tests conducted or being conducted by or on behalf of the Company or any of its Subsidiaries or in which any of their respective product candidates have participated and, to the Company’s knowledge, the preclinical studies and clinical trials directed or sponsored by the Company’s collaborators (collectively, the “</w:t>
      </w:r>
      <w:r>
        <w:rPr>
          <w:rFonts w:ascii="Times New Roman" w:cs="Times New Roman" w:eastAsia="Times New Roman" w:hAnsi="Times New Roman"/>
          <w:sz w:val="18"/>
          <w:szCs w:val="18"/>
          <w:b w:val="1"/>
          <w:bCs w:val="1"/>
          <w:u w:val="single" w:color="auto"/>
          <w:color w:val="auto"/>
        </w:rPr>
        <w:t>Studies</w:t>
      </w:r>
      <w:r>
        <w:rPr>
          <w:rFonts w:ascii="Times New Roman" w:cs="Times New Roman" w:eastAsia="Times New Roman" w:hAnsi="Times New Roman"/>
          <w:sz w:val="18"/>
          <w:szCs w:val="18"/>
          <w:color w:val="auto"/>
        </w:rPr>
        <w:t>”) that are described in, or the results of which are referred to in, the Registration Statement and the Prospectus were and, if still pending, are being conducted with reasonable care and in all material respects in accordance with the protocols, procedures and controls pursuant to all Applicable Laws and Governmental Permits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research, non-clinical studies or tests the results of which are inconsistent with, or otherwise call into question, the results described or referred to in the Registration Statement and the Prospectus; the Company and its Subsidiaries have made all such filings and obtained all such approvals as may be required by the EMA, the FDA or any committee thereof or from any other United States or foreign government agency with jurisdiction over the types of products being developed by the Company; neither the Company nor any of its Subsidiaries has received any notice of, or correspondence from, any governmental authority requiring the termination, suspension or modification of any Study; and the Company and its Subsidiaries have each operated and currently are in compliance in all material respects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 w:name="page23"/>
    <w:bookmarkEnd w:id="22"/>
    <w:p>
      <w:pPr>
        <w:ind w:right="220"/>
        <w:spacing w:after="0" w:line="266" w:lineRule="auto"/>
        <w:rPr>
          <w:sz w:val="20"/>
          <w:szCs w:val="20"/>
          <w:color w:val="auto"/>
        </w:rPr>
      </w:pPr>
      <w:r>
        <w:rPr>
          <w:rFonts w:ascii="Times New Roman" w:cs="Times New Roman" w:eastAsia="Times New Roman" w:hAnsi="Times New Roman"/>
          <w:sz w:val="18"/>
          <w:szCs w:val="18"/>
          <w:color w:val="auto"/>
        </w:rPr>
        <w:t>with all applicable rules, regulations and policies of all governmental authorities. There have been no material serious adverse events resulting from any Study. To the Company’s knowledge, the manufacturing facilities and operations of its suppliers are operated in compliance in all material respects with all Applicable Laws and Governmental Permits.</w:t>
      </w:r>
    </w:p>
    <w:p>
      <w:pPr>
        <w:spacing w:after="0" w:line="176" w:lineRule="exact"/>
        <w:rPr>
          <w:sz w:val="20"/>
          <w:szCs w:val="20"/>
          <w:color w:val="auto"/>
        </w:rPr>
      </w:pPr>
    </w:p>
    <w:p>
      <w:pPr>
        <w:ind w:right="180" w:firstLine="656"/>
        <w:spacing w:after="0" w:line="258"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acknowledges and agrees that the Agent has informed the Company that the Agent may, to the extent permitted under the Securities Act and the Exchange Act, purchase and sell Shares for its own account while this Agreement is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agreement with an agent or underwriter for any other “at the market” or continuous equity transaction.</w:t>
      </w:r>
    </w:p>
    <w:p>
      <w:pPr>
        <w:spacing w:after="0" w:line="225" w:lineRule="exact"/>
        <w:rPr>
          <w:rFonts w:ascii="Times New Roman" w:cs="Times New Roman" w:eastAsia="Times New Roman" w:hAnsi="Times New Roman"/>
          <w:sz w:val="18"/>
          <w:szCs w:val="18"/>
          <w:color w:val="auto"/>
        </w:rPr>
      </w:pPr>
    </w:p>
    <w:p>
      <w:pPr>
        <w:ind w:firstLine="656"/>
        <w:spacing w:after="0" w:line="255" w:lineRule="auto"/>
        <w:tabs>
          <w:tab w:leader="none" w:pos="12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shareholders of the Company, on the 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the Agent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w:t>
      </w:r>
    </w:p>
    <w:p>
      <w:pPr>
        <w:spacing w:after="0" w:line="185" w:lineRule="exact"/>
        <w:rPr>
          <w:rFonts w:ascii="Times New Roman" w:cs="Times New Roman" w:eastAsia="Times New Roman" w:hAnsi="Times New Roman"/>
          <w:sz w:val="18"/>
          <w:szCs w:val="18"/>
          <w:color w:val="auto"/>
        </w:rPr>
      </w:pPr>
    </w:p>
    <w:p>
      <w:pPr>
        <w:ind w:right="40" w:firstLine="656"/>
        <w:spacing w:after="0" w:line="256" w:lineRule="auto"/>
        <w:tabs>
          <w:tab w:leader="none" w:pos="13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trading on Nasdaq on at least one date within the 60 calendar day period ending March 15, 2019,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Times New Roman" w:cs="Times New Roman" w:eastAsia="Times New Roman" w:hAnsi="Times New Roman"/>
          <w:sz w:val="18"/>
          <w:szCs w:val="18"/>
          <w:b w:val="1"/>
          <w:bCs w:val="1"/>
          <w:u w:val="single" w:color="auto"/>
          <w:color w:val="auto"/>
        </w:rPr>
        <w:t>Non-Affiliate Shares</w:t>
      </w:r>
      <w:r>
        <w:rPr>
          <w:rFonts w:ascii="Times New Roman" w:cs="Times New Roman" w:eastAsia="Times New Roman" w:hAnsi="Times New Roman"/>
          <w:sz w:val="18"/>
          <w:szCs w:val="18"/>
          <w:color w:val="auto"/>
        </w:rPr>
        <w:t>”), was equal to or greater than $75.0 million (calculated by multiplying (x) the price at which the common equity of the Company was last sold on Nasdaq on such date by (y) the number of Non-Affiliate Shares outstanding on such date). The Company is not a shell company (as defined in Rule 405) and has not been a shell company for at least 12 calendar months previously.</w:t>
      </w:r>
    </w:p>
    <w:p>
      <w:pPr>
        <w:spacing w:after="0" w:line="187" w:lineRule="exact"/>
        <w:rPr>
          <w:rFonts w:ascii="Times New Roman" w:cs="Times New Roman" w:eastAsia="Times New Roman" w:hAnsi="Times New Roman"/>
          <w:sz w:val="18"/>
          <w:szCs w:val="18"/>
          <w:color w:val="auto"/>
        </w:rPr>
      </w:pPr>
    </w:p>
    <w:p>
      <w:pPr>
        <w:ind w:right="100" w:firstLine="656"/>
        <w:spacing w:after="0" w:line="266" w:lineRule="auto"/>
        <w:tabs>
          <w:tab w:leader="none" w:pos="12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76" w:lineRule="exact"/>
        <w:rPr>
          <w:rFonts w:ascii="Times New Roman" w:cs="Times New Roman" w:eastAsia="Times New Roman" w:hAnsi="Times New Roman"/>
          <w:sz w:val="18"/>
          <w:szCs w:val="18"/>
          <w:color w:val="auto"/>
        </w:rPr>
      </w:pPr>
    </w:p>
    <w:p>
      <w:pPr>
        <w:jc w:val="both"/>
        <w:ind w:right="260" w:firstLine="656"/>
        <w:spacing w:after="0" w:line="266" w:lineRule="auto"/>
        <w:tabs>
          <w:tab w:leader="none" w:pos="12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independent directors (or independent director nominees, once appointed, if applicable) named in the Registration Statement and Prospectus satisfies the independence standards established by Nasdaq and, with respect to members of the Company’s audit committee, the enhanced independence standards contained in Rule 10A-3(b)(1) promulgated by the Commission under the Exchange 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 w:name="page24"/>
    <w:bookmarkEnd w:id="23"/>
    <w:p>
      <w:pPr>
        <w:jc w:val="both"/>
        <w:ind w:left="-8" w:right="20" w:firstLine="656"/>
        <w:spacing w:after="0" w:line="266" w:lineRule="auto"/>
        <w:tabs>
          <w:tab w:leader="none" w:pos="12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Company’s knowledge, any of its affiliates (within the meaning of Rule 144 under the Securities Act) has, prior to the date hereof, made any offer or sale of any securities which could be “integrated” (within the meaning of the Securities Act) with the offer and sale of the Placement Shares hereunder.</w:t>
      </w:r>
    </w:p>
    <w:p>
      <w:pPr>
        <w:spacing w:after="0" w:line="176" w:lineRule="exact"/>
        <w:rPr>
          <w:sz w:val="20"/>
          <w:szCs w:val="20"/>
          <w:color w:val="auto"/>
        </w:rPr>
      </w:pPr>
    </w:p>
    <w:p>
      <w:pPr>
        <w:ind w:left="1272" w:hanging="624"/>
        <w:spacing w:after="0"/>
        <w:tabs>
          <w:tab w:leader="none" w:pos="127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(i) failed to pay any dividend or sinking fund installment on preferred stock or</w:t>
      </w:r>
    </w:p>
    <w:p>
      <w:pPr>
        <w:spacing w:after="0" w:line="27" w:lineRule="exact"/>
        <w:rPr>
          <w:rFonts w:ascii="Times New Roman" w:cs="Times New Roman" w:eastAsia="Times New Roman" w:hAnsi="Times New Roman"/>
          <w:sz w:val="18"/>
          <w:szCs w:val="18"/>
          <w:color w:val="auto"/>
        </w:rPr>
      </w:pPr>
    </w:p>
    <w:p>
      <w:pPr>
        <w:ind w:left="-8" w:right="460" w:firstLine="8"/>
        <w:spacing w:after="0" w:line="261" w:lineRule="auto"/>
        <w:tabs>
          <w:tab w:leader="none" w:pos="2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defaulted on any installment or payment due on indebtedness for borrowed money or on any rental on one or more long-term leases, which defaults, individually or in the aggregate, could reasonably be expected to result in a Material Adverse Effect.</w:t>
      </w:r>
    </w:p>
    <w:p>
      <w:pPr>
        <w:spacing w:after="0" w:line="179" w:lineRule="exact"/>
        <w:rPr>
          <w:rFonts w:ascii="Times New Roman" w:cs="Times New Roman" w:eastAsia="Times New Roman" w:hAnsi="Times New Roman"/>
          <w:sz w:val="18"/>
          <w:szCs w:val="18"/>
          <w:color w:val="auto"/>
        </w:rPr>
      </w:pPr>
    </w:p>
    <w:p>
      <w:pPr>
        <w:ind w:left="-8" w:right="120" w:firstLine="656"/>
        <w:spacing w:after="0" w:line="258" w:lineRule="auto"/>
        <w:tabs>
          <w:tab w:leader="none" w:pos="128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83" w:lineRule="exact"/>
        <w:rPr>
          <w:rFonts w:ascii="Times New Roman" w:cs="Times New Roman" w:eastAsia="Times New Roman" w:hAnsi="Times New Roman"/>
          <w:sz w:val="18"/>
          <w:szCs w:val="18"/>
          <w:color w:val="auto"/>
        </w:rPr>
      </w:pPr>
    </w:p>
    <w:p>
      <w:pPr>
        <w:ind w:left="-8" w:right="340" w:firstLine="656"/>
        <w:spacing w:after="0" w:line="258" w:lineRule="auto"/>
        <w:tabs>
          <w:tab w:leader="none" w:pos="129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relationships, direct or indirect, or related party transactions involving the Company or any of its Subsidiaries or any other person (including any director, officer, stockholder, customer or supplier of the Company or any of its Subsidiaries) required to be described in the Registration Statement or the Prospectus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w:t>
      </w:r>
    </w:p>
    <w:p>
      <w:pPr>
        <w:spacing w:after="0" w:line="183"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or subject to a bankruptcy or insolvency proceeding in any jurisdiction.</w:t>
      </w:r>
    </w:p>
    <w:p>
      <w:pPr>
        <w:spacing w:after="0" w:line="225" w:lineRule="exact"/>
        <w:rPr>
          <w:rFonts w:ascii="Times New Roman" w:cs="Times New Roman" w:eastAsia="Times New Roman" w:hAnsi="Times New Roman"/>
          <w:sz w:val="18"/>
          <w:szCs w:val="18"/>
          <w:color w:val="auto"/>
        </w:rPr>
      </w:pPr>
    </w:p>
    <w:p>
      <w:pPr>
        <w:ind w:left="-8" w:firstLine="656"/>
        <w:spacing w:after="0" w:line="255" w:lineRule="auto"/>
        <w:tabs>
          <w:tab w:leader="none" w:pos="129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 are in compliance, in all 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the workplace (“</w:t>
      </w:r>
      <w:r>
        <w:rPr>
          <w:rFonts w:ascii="Times New Roman" w:cs="Times New Roman" w:eastAsia="Times New Roman" w:hAnsi="Times New Roman"/>
          <w:sz w:val="18"/>
          <w:szCs w:val="18"/>
          <w:b w:val="1"/>
          <w:bCs w:val="1"/>
          <w:u w:val="single" w:color="auto"/>
          <w:color w:val="auto"/>
        </w:rPr>
        <w:t>Occupational Laws</w:t>
      </w:r>
      <w:r>
        <w:rPr>
          <w:rFonts w:ascii="Times New Roman" w:cs="Times New Roman" w:eastAsia="Times New Roman" w:hAnsi="Times New Roman"/>
          <w:sz w:val="18"/>
          <w:szCs w:val="18"/>
          <w:color w:val="auto"/>
        </w:rPr>
        <w:t>”); (ii) have received all material permits, licenses or other approvals required of it under applicable Occupational Laws to conduct their respective businesses as currently conducted; and (iii) are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185" w:lineRule="exact"/>
        <w:rPr>
          <w:rFonts w:ascii="Times New Roman" w:cs="Times New Roman" w:eastAsia="Times New Roman" w:hAnsi="Times New Roman"/>
          <w:sz w:val="18"/>
          <w:szCs w:val="18"/>
          <w:color w:val="auto"/>
        </w:rPr>
      </w:pPr>
    </w:p>
    <w:p>
      <w:pPr>
        <w:ind w:left="-8" w:right="120" w:firstLine="656"/>
        <w:spacing w:after="0" w:line="266" w:lineRule="auto"/>
        <w:tabs>
          <w:tab w:leader="none" w:pos="12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or officer of the Company or any of its Subsidiaries is subject to any non-competition agreement or non-solicitation agreement with any employer or prior employer which could materially affect each director’s or officer’s ability to be and act in the capacity of a director or officer of the Company or a Subsidiary.</w:t>
      </w:r>
    </w:p>
    <w:p>
      <w:pPr>
        <w:spacing w:after="0" w:line="172" w:lineRule="exact"/>
        <w:rPr>
          <w:rFonts w:ascii="Times New Roman" w:cs="Times New Roman" w:eastAsia="Times New Roman" w:hAnsi="Times New Roman"/>
          <w:sz w:val="18"/>
          <w:szCs w:val="18"/>
          <w:color w:val="auto"/>
        </w:rPr>
      </w:pPr>
    </w:p>
    <w:p>
      <w:pPr>
        <w:ind w:left="-8" w:right="380" w:firstLine="656"/>
        <w:spacing w:after="0" w:line="286" w:lineRule="auto"/>
        <w:tabs>
          <w:tab w:leader="none" w:pos="132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duly and properly filed or caused to be filed with the U.S. Patent and Trademark Office (the “</w:t>
      </w:r>
      <w:r>
        <w:rPr>
          <w:rFonts w:ascii="Times New Roman" w:cs="Times New Roman" w:eastAsia="Times New Roman" w:hAnsi="Times New Roman"/>
          <w:sz w:val="18"/>
          <w:szCs w:val="18"/>
          <w:b w:val="1"/>
          <w:bCs w:val="1"/>
          <w:u w:val="single" w:color="auto"/>
          <w:color w:val="auto"/>
        </w:rPr>
        <w:t>PTO</w:t>
      </w:r>
      <w:r>
        <w:rPr>
          <w:rFonts w:ascii="Times New Roman" w:cs="Times New Roman" w:eastAsia="Times New Roman" w:hAnsi="Times New Roman"/>
          <w:sz w:val="18"/>
          <w:szCs w:val="18"/>
          <w:color w:val="auto"/>
        </w:rPr>
        <w:t>”) and applicable foreign and international patent and trademark authorities</w:t>
      </w:r>
    </w:p>
    <w:p>
      <w:pPr>
        <w:spacing w:after="0" w:line="15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37" w:right="259" w:bottom="1440" w:gutter="0" w:footer="0" w:header="0"/>
        </w:sectPr>
      </w:pPr>
    </w:p>
    <w:bookmarkStart w:id="24" w:name="page25"/>
    <w:bookmarkEnd w:id="24"/>
    <w:p>
      <w:pPr>
        <w:spacing w:after="0" w:line="253" w:lineRule="auto"/>
        <w:rPr>
          <w:sz w:val="20"/>
          <w:szCs w:val="20"/>
          <w:color w:val="auto"/>
        </w:rPr>
      </w:pPr>
      <w:r>
        <w:rPr>
          <w:rFonts w:ascii="Times New Roman" w:cs="Times New Roman" w:eastAsia="Times New Roman" w:hAnsi="Times New Roman"/>
          <w:sz w:val="18"/>
          <w:szCs w:val="18"/>
          <w:color w:val="auto"/>
        </w:rPr>
        <w:t>all patents, trademarks, copyrights and applications relating to the same owned by the Company and its Subsidiaries (the “</w:t>
      </w:r>
      <w:r>
        <w:rPr>
          <w:rFonts w:ascii="Times New Roman" w:cs="Times New Roman" w:eastAsia="Times New Roman" w:hAnsi="Times New Roman"/>
          <w:sz w:val="18"/>
          <w:szCs w:val="18"/>
          <w:b w:val="1"/>
          <w:bCs w:val="1"/>
          <w:u w:val="single" w:color="auto"/>
          <w:color w:val="auto"/>
        </w:rPr>
        <w:t>Company Patent and Trademark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Applications</w:t>
      </w:r>
      <w:r>
        <w:rPr>
          <w:rFonts w:ascii="Times New Roman" w:cs="Times New Roman" w:eastAsia="Times New Roman" w:hAnsi="Times New Roman"/>
          <w:sz w:val="18"/>
          <w:szCs w:val="18"/>
          <w:color w:val="auto"/>
        </w:rPr>
        <w:t>”). To the knowledge of the Company, the Company has complied with the PTO’s duty of candor and disclosure for the Company Patent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Trademark Applications and has made no material misrepresentation in the Company Patent and Trademark Applications. To the Company’s knowledge, the Company Patent and Trademark Applications disclose patentable subject matter. The Company has not been notified of any inventorship challenges nor has any interference been declared or provoked nor is any material fact known by the Company that would preclude the issuance of patents with respect to the Company Patent and Trademark Applications or would render such patents, if issued, invalid or unenforceable. Except as would not have a Material Adverse Effect, neither the Company nor any of its Subsidiaries has breached and is currently in breach of any provision of any license, contract or other agreement governing the use by the Company or its Subsidiaries of Intellectual Property owned by third parties (collectively, the “</w:t>
      </w:r>
      <w:r>
        <w:rPr>
          <w:rFonts w:ascii="Times New Roman" w:cs="Times New Roman" w:eastAsia="Times New Roman" w:hAnsi="Times New Roman"/>
          <w:sz w:val="18"/>
          <w:szCs w:val="18"/>
          <w:b w:val="1"/>
          <w:bCs w:val="1"/>
          <w:u w:val="single" w:color="auto"/>
          <w:color w:val="auto"/>
        </w:rPr>
        <w:t>Licenses</w:t>
      </w:r>
      <w:r>
        <w:rPr>
          <w:rFonts w:ascii="Times New Roman" w:cs="Times New Roman" w:eastAsia="Times New Roman" w:hAnsi="Times New Roman"/>
          <w:sz w:val="18"/>
          <w:szCs w:val="18"/>
          <w:color w:val="auto"/>
        </w:rPr>
        <w:t>”) and no third party has alleged any such breach and the Company is unaware of any facts that would form a reasonable basis for such a claim. To the Company’s knowledge, no other party to the Licenses has breached or is currently in breach of any provision of the Licenses. Each of the Licenses is in full force and effect and constitutes a valid and binding agreement between the parties thereto, enforceable in accordance with its terms, and there has not occurred any breach or default under any such Licenses or any event that, with the giving of notice or lapse of time, would constitute a breach or default thereunder. Except as would not have a Material Adverse Effect, neither the Company nor any of its Subsidiaries has been and is currently involved in any disputes regarding the Licenses. To the Company’s knowledge, all patents licensed to the Company pursuant to the Licenses are valid, enforceable and being duly maintained. To the Company’s knowledge, all patent applications licensed to the Company pursuant to the Licenses are being duly prosecuted.</w:t>
      </w:r>
    </w:p>
    <w:p>
      <w:pPr>
        <w:spacing w:after="0" w:line="18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spacing w:after="0" w:line="162"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the Agent that:</w:t>
      </w:r>
    </w:p>
    <w:p>
      <w:pPr>
        <w:spacing w:after="0" w:line="225" w:lineRule="exact"/>
        <w:rPr>
          <w:sz w:val="20"/>
          <w:szCs w:val="20"/>
          <w:color w:val="auto"/>
        </w:rPr>
      </w:pPr>
    </w:p>
    <w:p>
      <w:pPr>
        <w:ind w:firstLine="656"/>
        <w:spacing w:after="0" w:line="252" w:lineRule="auto"/>
        <w:tabs>
          <w:tab w:leader="none" w:pos="129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(provided, however, that the failure of the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5" w:name="page26"/>
    <w:bookmarkEnd w:id="25"/>
    <w:p>
      <w:pPr>
        <w:ind w:right="60"/>
        <w:spacing w:after="0" w:line="255" w:lineRule="auto"/>
        <w:rPr>
          <w:sz w:val="20"/>
          <w:szCs w:val="20"/>
          <w:color w:val="auto"/>
        </w:rPr>
      </w:pPr>
      <w:r>
        <w:rPr>
          <w:rFonts w:ascii="Times New Roman" w:cs="Times New Roman" w:eastAsia="Times New Roman" w:hAnsi="Times New Roman"/>
          <w:sz w:val="18"/>
          <w:szCs w:val="18"/>
          <w:color w:val="auto"/>
        </w:rPr>
        <w:t>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 rights under Section 9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w:t>
      </w:r>
    </w:p>
    <w:p>
      <w:pPr>
        <w:spacing w:after="0" w:line="189" w:lineRule="exact"/>
        <w:rPr>
          <w:sz w:val="20"/>
          <w:szCs w:val="20"/>
          <w:color w:val="auto"/>
        </w:rPr>
      </w:pPr>
    </w:p>
    <w:p>
      <w:pPr>
        <w:ind w:right="60" w:firstLine="656"/>
        <w:spacing w:after="0" w:line="255" w:lineRule="auto"/>
        <w:tabs>
          <w:tab w:leader="none" w:pos="13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189" w:lineRule="exact"/>
        <w:rPr>
          <w:rFonts w:ascii="Times New Roman" w:cs="Times New Roman" w:eastAsia="Times New Roman" w:hAnsi="Times New Roman"/>
          <w:sz w:val="18"/>
          <w:szCs w:val="18"/>
          <w:color w:val="auto"/>
        </w:rPr>
      </w:pPr>
    </w:p>
    <w:p>
      <w:pPr>
        <w:ind w:firstLine="656"/>
        <w:spacing w:after="0" w:line="252" w:lineRule="auto"/>
        <w:tabs>
          <w:tab w:leader="none" w:pos="13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If the Company has omitted any information from the Registration Statement pursuant to Rule 430B under the Securities Act, it will use its best efforts to comply with the provisions thereof and make all requisite filings with the Commission pursuant to said</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430B and to notify the Agent promptly of all such filings if not available on EDGAR.</w:t>
      </w:r>
    </w:p>
    <w:p>
      <w:pPr>
        <w:spacing w:after="0" w:line="206" w:lineRule="exact"/>
        <w:rPr>
          <w:rFonts w:ascii="Times New Roman" w:cs="Times New Roman" w:eastAsia="Times New Roman" w:hAnsi="Times New Roman"/>
          <w:sz w:val="18"/>
          <w:szCs w:val="18"/>
          <w:color w:val="auto"/>
        </w:rPr>
      </w:pPr>
    </w:p>
    <w:p>
      <w:pPr>
        <w:ind w:right="100" w:firstLine="656"/>
        <w:spacing w:after="0" w:line="258" w:lineRule="auto"/>
        <w:tabs>
          <w:tab w:leader="none" w:pos="13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ind w:right="20" w:firstLine="656"/>
        <w:spacing w:after="0" w:line="255" w:lineRule="auto"/>
        <w:tabs>
          <w:tab w:leader="none" w:pos="130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Agent to the extent such document is available on EDGAR.</w:t>
      </w:r>
    </w:p>
    <w:p>
      <w:pPr>
        <w:spacing w:after="0" w:line="189" w:lineRule="exact"/>
        <w:rPr>
          <w:rFonts w:ascii="Times New Roman" w:cs="Times New Roman" w:eastAsia="Times New Roman" w:hAnsi="Times New Roman"/>
          <w:sz w:val="18"/>
          <w:szCs w:val="18"/>
          <w:color w:val="auto"/>
        </w:rPr>
      </w:pPr>
    </w:p>
    <w:p>
      <w:pPr>
        <w:ind w:right="60" w:firstLine="656"/>
        <w:spacing w:after="0" w:line="266" w:lineRule="auto"/>
        <w:tabs>
          <w:tab w:leader="none" w:pos="130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w:t>
      </w:r>
    </w:p>
    <w:p>
      <w:pPr>
        <w:spacing w:after="0" w:line="176" w:lineRule="exact"/>
        <w:rPr>
          <w:rFonts w:ascii="Times New Roman" w:cs="Times New Roman" w:eastAsia="Times New Roman" w:hAnsi="Times New Roman"/>
          <w:sz w:val="18"/>
          <w:szCs w:val="18"/>
          <w:color w:val="auto"/>
        </w:rPr>
      </w:pPr>
    </w:p>
    <w:p>
      <w:pPr>
        <w:ind w:right="120" w:firstLine="656"/>
        <w:spacing w:after="0" w:line="254" w:lineRule="auto"/>
        <w:tabs>
          <w:tab w:leader="none" w:pos="131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whether or not the transactions contemplated hereunder are consummated or this Agreement is terminated in accordance with the provisions of Section 11 hereunder, will pay all expenses incident to the performance of its obligations hereunder, including, but not limited to,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taxes due or payable in connection therewith, (iii) the qualification of the Placement Shares under securities laws in accordance with the provisions of</w:t>
      </w:r>
    </w:p>
    <w:p>
      <w:pPr>
        <w:ind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7(w)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Shares, (vii) the fees and associated expenses of the Agent’s outside legal counsel in connection with determining its compliance with the rules and regulations of FINRA, including any filings with FINRA’s Corporate Financing Department, in an amount not to exceed $15,000 (excluding FINRA filing fees referred to in clause (vi) above and in addition to the fees and disbursements referred to in clause</w:t>
      </w:r>
    </w:p>
    <w:p>
      <w:pPr>
        <w:spacing w:after="0" w:line="3" w:lineRule="exact"/>
        <w:rPr>
          <w:rFonts w:ascii="Times New Roman" w:cs="Times New Roman" w:eastAsia="Times New Roman" w:hAnsi="Times New Roman"/>
          <w:sz w:val="18"/>
          <w:szCs w:val="18"/>
          <w:color w:val="auto"/>
        </w:rPr>
      </w:pPr>
    </w:p>
    <w:p>
      <w:pPr>
        <w:ind w:firstLine="8"/>
        <w:spacing w:after="0" w:line="261" w:lineRule="auto"/>
        <w:tabs>
          <w:tab w:leader="none" w:pos="4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and (viii) the reasonable fees and disbursements of the Agent’s outside legal counsel in an amount not to exceed $50,000 (in addition to the fees and associated expenses referred to in clause (vii) above).</w:t>
      </w:r>
    </w:p>
    <w:p>
      <w:pPr>
        <w:spacing w:after="0" w:line="179"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rFonts w:ascii="Times New Roman" w:cs="Times New Roman" w:eastAsia="Times New Roman" w:hAnsi="Times New Roman"/>
          <w:sz w:val="18"/>
          <w:szCs w:val="18"/>
          <w:color w:val="auto"/>
        </w:rPr>
      </w:pPr>
    </w:p>
    <w:p>
      <w:pPr>
        <w:ind w:right="40" w:firstLine="656"/>
        <w:spacing w:after="0" w:line="256" w:lineRule="auto"/>
        <w:tabs>
          <w:tab w:leader="none" w:pos="131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Without the prior written consent of the Agent, the Company will not, directly or indirectly, offer to sell, sell, contract to sell, grant any option to sell or otherwise dispose of any Shares (other than the Placement Shares offered pursuant to this Agreement) or securities convertible into or exchangeable or exercisable for Shares, warrants or any rights to purchase or acquire Shares during the period beginning on the fifth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7" w:name="page28"/>
    <w:bookmarkEnd w:id="27"/>
    <w:p>
      <w:pPr>
        <w:ind w:right="120"/>
        <w:spacing w:after="0" w:line="268" w:lineRule="auto"/>
        <w:rPr>
          <w:sz w:val="20"/>
          <w:szCs w:val="20"/>
          <w:color w:val="auto"/>
        </w:rPr>
      </w:pPr>
      <w:r>
        <w:rPr>
          <w:rFonts w:ascii="Times New Roman" w:cs="Times New Roman" w:eastAsia="Times New Roman" w:hAnsi="Times New Roman"/>
          <w:sz w:val="17"/>
          <w:szCs w:val="17"/>
          <w:color w:val="auto"/>
        </w:rPr>
        <w:t xml:space="preserve">Shares covered by a Placement Notice, the date of such suspension or termination); and will not directly or indirectly in any other “at the market offering” or continuous equity transaction offer to sell, sell, contract to sell, grant any option to sell or otherwise dispose of any Shares (other than the Placement Shares offered pursuant to this Agreement) or securities convertible into or exchangeable or exercisable for Shares, warrants or any rights to purchase or acquire, Shares prior to the later of the termination of this Agreement and the sixtieth day immediately following the final Settlement Date with respect to Placement Shares sold pursuant to such Placement Notice;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restrictions will not be required in connection with the Company’s issuance or sale of (i) Shares, options to purchase Shares, other securities under the Company’s existing equity incentive plans, or Shares issuable upon the exercise of options or vesting of other securities, pursuant to any employee or director stock option or benefits plan, stock ownership plan or dividend reinvestment plan (but not Shares subject to a waiver to exceed plan limits in its dividend reinvestment plan) of the Company whether now in effect or hereafter implemented,</w:t>
      </w:r>
    </w:p>
    <w:p>
      <w:pPr>
        <w:spacing w:after="0" w:line="1" w:lineRule="exact"/>
        <w:rPr>
          <w:sz w:val="20"/>
          <w:szCs w:val="20"/>
          <w:color w:val="auto"/>
        </w:rPr>
      </w:pPr>
    </w:p>
    <w:p>
      <w:pPr>
        <w:ind w:right="60" w:firstLine="8"/>
        <w:spacing w:after="0" w:line="254" w:lineRule="auto"/>
        <w:tabs>
          <w:tab w:leader="none" w:pos="2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issuable upon conversion of securities or the exercise of warrants, options or other rights in effect or outstanding, and disclosed in filings by the Company available on EDGAR or otherwise in writing to the Agent and (iii) Shares or securities convertible into or exchangeable for Shares as consideration for mergers, acquisitions, other business combinations or strategic alliances occurring after the date of this Agreement which are not issued for capital raising purposes.</w:t>
      </w:r>
    </w:p>
    <w:p>
      <w:pPr>
        <w:spacing w:after="0" w:line="185" w:lineRule="exact"/>
        <w:rPr>
          <w:rFonts w:ascii="Times New Roman" w:cs="Times New Roman" w:eastAsia="Times New Roman" w:hAnsi="Times New Roman"/>
          <w:sz w:val="18"/>
          <w:szCs w:val="18"/>
          <w:color w:val="auto"/>
        </w:rPr>
      </w:pPr>
    </w:p>
    <w:p>
      <w:pPr>
        <w:ind w:right="280" w:firstLine="656"/>
        <w:spacing w:after="0" w:line="261" w:lineRule="auto"/>
        <w:tabs>
          <w:tab w:leader="none" w:pos="13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a fiscal quarter in which the Company intends to tender a Placement Notice or sell Placement Shares,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spacing w:after="0" w:line="180" w:lineRule="exact"/>
        <w:rPr>
          <w:rFonts w:ascii="Times New Roman" w:cs="Times New Roman" w:eastAsia="Times New Roman" w:hAnsi="Times New Roman"/>
          <w:sz w:val="18"/>
          <w:szCs w:val="18"/>
          <w:color w:val="auto"/>
        </w:rPr>
      </w:pPr>
    </w:p>
    <w:p>
      <w:pPr>
        <w:ind w:firstLine="656"/>
        <w:spacing w:after="0" w:line="261" w:lineRule="auto"/>
        <w:tabs>
          <w:tab w:leader="none" w:pos="13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During the term of this Agreement, the Company will cooperate with any reasonable due diligence review conducted by the Agent, its affiliates agents and counsel from time to time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80" w:lineRule="exact"/>
        <w:rPr>
          <w:rFonts w:ascii="Times New Roman" w:cs="Times New Roman" w:eastAsia="Times New Roman" w:hAnsi="Times New Roman"/>
          <w:sz w:val="18"/>
          <w:szCs w:val="18"/>
          <w:color w:val="auto"/>
        </w:rPr>
      </w:pPr>
    </w:p>
    <w:p>
      <w:pPr>
        <w:ind w:right="20" w:firstLine="656"/>
        <w:spacing w:after="0" w:line="254" w:lineRule="auto"/>
        <w:tabs>
          <w:tab w:leader="none" w:pos="131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unless a prospectus supplement containing such information is required to be filed under the Securities Act, the requirement of this Section 7(l) may be satisfied by Company’s inclusion in the Company’s Form 10-K or Form 10-Q, as applicable, of the number or amount of Placement Shares sold through the Agent, the Net Proceeds to the Company and the compensation payable by the Company to the Agent with respect to such Placement Shares during the relevant period.</w:t>
      </w:r>
    </w:p>
    <w:p>
      <w:pPr>
        <w:spacing w:after="0" w:line="189" w:lineRule="exact"/>
        <w:rPr>
          <w:rFonts w:ascii="Times New Roman" w:cs="Times New Roman" w:eastAsia="Times New Roman" w:hAnsi="Times New Roman"/>
          <w:sz w:val="18"/>
          <w:szCs w:val="18"/>
          <w:color w:val="auto"/>
        </w:rPr>
      </w:pPr>
    </w:p>
    <w:p>
      <w:pPr>
        <w:ind w:right="720" w:firstLine="656"/>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On or prior to the date on which the Company first delivers a Placement Notice pursuant to this agreement (the “</w:t>
      </w:r>
      <w:r>
        <w:rPr>
          <w:rFonts w:ascii="Times New Roman" w:cs="Times New Roman" w:eastAsia="Times New Roman" w:hAnsi="Times New Roman"/>
          <w:sz w:val="18"/>
          <w:szCs w:val="18"/>
          <w:b w:val="1"/>
          <w:bCs w:val="1"/>
          <w:u w:val="single" w:color="auto"/>
          <w:color w:val="auto"/>
        </w:rPr>
        <w:t>First Placement Notice Date</w:t>
      </w:r>
      <w:r>
        <w:rPr>
          <w:rFonts w:ascii="Times New Roman" w:cs="Times New Roman" w:eastAsia="Times New Roman" w:hAnsi="Times New Roman"/>
          <w:sz w:val="18"/>
          <w:szCs w:val="18"/>
          <w:color w:val="auto"/>
        </w:rPr>
        <w:t>”) and each time the Company:</w:t>
      </w:r>
    </w:p>
    <w:p>
      <w:pPr>
        <w:spacing w:after="0" w:line="161" w:lineRule="exact"/>
        <w:rPr>
          <w:rFonts w:ascii="Times New Roman" w:cs="Times New Roman" w:eastAsia="Times New Roman" w:hAnsi="Times New Roman"/>
          <w:sz w:val="18"/>
          <w:szCs w:val="18"/>
          <w:color w:val="auto"/>
        </w:rPr>
      </w:pPr>
    </w:p>
    <w:p>
      <w:pPr>
        <w:jc w:val="both"/>
        <w:ind w:right="380" w:firstLine="1305"/>
        <w:spacing w:after="0" w:line="282" w:lineRule="auto"/>
        <w:tabs>
          <w:tab w:leader="none" w:pos="196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amends or supplements the Registration Statement or the Prospectus relating to the Placement Shares (other than a prospectus supplement filed in accordance with Section 7(l) of this Agreement) by means of a post-effective amendment, sticker or supplement but not by means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incorporation of document(s) by reference into the Registration Statement or the Prospectus relating to the Placement Shares;</w:t>
      </w:r>
    </w:p>
    <w:p>
      <w:pPr>
        <w:spacing w:after="0" w:line="225" w:lineRule="exact"/>
        <w:rPr>
          <w:sz w:val="20"/>
          <w:szCs w:val="20"/>
          <w:color w:val="auto"/>
        </w:rPr>
      </w:pPr>
    </w:p>
    <w:p>
      <w:pPr>
        <w:ind w:right="740" w:firstLine="1305"/>
        <w:spacing w:after="0" w:line="282" w:lineRule="auto"/>
        <w:tabs>
          <w:tab w:leader="none" w:pos="197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containing amended financial information or a material amendment to the previously filed Form 10-K);</w:t>
      </w:r>
    </w:p>
    <w:p>
      <w:pPr>
        <w:spacing w:after="0" w:line="161"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quarterly report on Form 10-Q under the Exchange Act; or</w:t>
      </w:r>
    </w:p>
    <w:p>
      <w:pPr>
        <w:spacing w:after="0" w:line="225" w:lineRule="exact"/>
        <w:rPr>
          <w:rFonts w:ascii="Times New Roman" w:cs="Times New Roman" w:eastAsia="Times New Roman" w:hAnsi="Times New Roman"/>
          <w:sz w:val="18"/>
          <w:szCs w:val="18"/>
          <w:color w:val="auto"/>
        </w:rPr>
      </w:pPr>
    </w:p>
    <w:p>
      <w:pPr>
        <w:ind w:right="300" w:firstLine="1305"/>
        <w:spacing w:after="0" w:line="261" w:lineRule="auto"/>
        <w:tabs>
          <w:tab w:leader="none" w:pos="196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(other than an earnings release that is “furnished” pursuant to Item 2.02 or Item 7.01 of Form 8-K) under the Exchange Act (each date of filing of one or more of the documents referred to in clauses</w:t>
      </w:r>
    </w:p>
    <w:p>
      <w:pPr>
        <w:ind w:left="220" w:hanging="212"/>
        <w:spacing w:after="0"/>
        <w:tabs>
          <w:tab w:leader="none" w:pos="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furnish the Agent (but in the case of clause (iv) above only if (1) a Placement Notice is pending or in effect and (2) the Agent requests such certificate within three Business Days after the filing of such Form 8-K with the Commission) with a certificate, in the form attached hereto as </w:t>
      </w:r>
      <w:r>
        <w:rPr>
          <w:rFonts w:ascii="Times New Roman" w:cs="Times New Roman" w:eastAsia="Times New Roman" w:hAnsi="Times New Roman"/>
          <w:sz w:val="18"/>
          <w:szCs w:val="18"/>
          <w:b w:val="1"/>
          <w:bCs w:val="1"/>
          <w:u w:val="single" w:color="auto"/>
          <w:color w:val="auto"/>
        </w:rPr>
        <w:t>Exhibit 7(m)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as necessary, to relate to the Registration Statement and the Prospectus as then amended or supplemented), within three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of 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waiver shall not apply for any Representation Date on which the Company files its annual report on Form 10-K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Form 10-K/A containing amended financial information or a material amendment to the previously filed Form 10-K).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Times New Roman" w:cs="Times New Roman" w:eastAsia="Times New Roman" w:hAnsi="Times New Roman"/>
          <w:sz w:val="18"/>
          <w:szCs w:val="18"/>
          <w:b w:val="1"/>
          <w:bCs w:val="1"/>
          <w:u w:val="single" w:color="auto"/>
          <w:color w:val="auto"/>
        </w:rPr>
        <w:t>Exhibit 7(m)</w:t>
      </w:r>
      <w:r>
        <w:rPr>
          <w:rFonts w:ascii="Times New Roman" w:cs="Times New Roman" w:eastAsia="Times New Roman" w:hAnsi="Times New Roman"/>
          <w:sz w:val="18"/>
          <w:szCs w:val="18"/>
          <w:color w:val="auto"/>
        </w:rPr>
        <w:t>, dated the date of such Placement Notice. Within three Trading Days of each Representation Date, the Company shall have furnished to the Agent such further information, certificates and documents as the Agent may reasonably request.</w:t>
      </w:r>
    </w:p>
    <w:p>
      <w:pPr>
        <w:spacing w:after="0" w:line="189" w:lineRule="exact"/>
        <w:rPr>
          <w:sz w:val="20"/>
          <w:szCs w:val="20"/>
          <w:color w:val="auto"/>
        </w:rPr>
      </w:pPr>
    </w:p>
    <w:p>
      <w:pPr>
        <w:ind w:right="80" w:firstLine="656"/>
        <w:spacing w:after="0" w:line="254" w:lineRule="auto"/>
        <w:tabs>
          <w:tab w:leader="none" w:pos="13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On or prior to the First Placement Notice Date and on any date on which the Company is obligated to deliver a certificate pursuant to Section 7(m) for which no waiver is applicable, the Company shall cause to be furnished to the Agent the written opinion and negative assurance letter of DLA Piper LLP (US), counsel to the Company, or such other counsel satisfactory to the Agent (“</w:t>
      </w:r>
      <w:r>
        <w:rPr>
          <w:rFonts w:ascii="Times New Roman" w:cs="Times New Roman" w:eastAsia="Times New Roman" w:hAnsi="Times New Roman"/>
          <w:sz w:val="18"/>
          <w:szCs w:val="18"/>
          <w:b w:val="1"/>
          <w:bCs w:val="1"/>
          <w:u w:val="single" w:color="auto"/>
          <w:color w:val="auto"/>
        </w:rPr>
        <w:t>Company Counsel</w:t>
      </w:r>
      <w:r>
        <w:rPr>
          <w:rFonts w:ascii="Times New Roman" w:cs="Times New Roman" w:eastAsia="Times New Roman" w:hAnsi="Times New Roman"/>
          <w:sz w:val="18"/>
          <w:szCs w:val="18"/>
          <w:color w:val="auto"/>
        </w:rPr>
        <w:t xml:space="preserve">”), in form and substance satisfactory to the Agent and its counsel, dated the date that the opinion and negative assurance letter are required to 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opinion and negative assurance letter for subsequent Representation Dates, Company Counsel may furnish the Agent with a letter to the effect that the Agent may rely on a prior opinion or negative assurance letter delivered by such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spacing w:after="0" w:line="189" w:lineRule="exact"/>
        <w:rPr>
          <w:rFonts w:ascii="Times New Roman" w:cs="Times New Roman" w:eastAsia="Times New Roman" w:hAnsi="Times New Roman"/>
          <w:sz w:val="18"/>
          <w:szCs w:val="18"/>
          <w:color w:val="auto"/>
        </w:rPr>
      </w:pPr>
    </w:p>
    <w:p>
      <w:pPr>
        <w:ind w:right="40" w:firstLine="656"/>
        <w:spacing w:after="0" w:line="282" w:lineRule="auto"/>
        <w:tabs>
          <w:tab w:leader="none" w:pos="13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Opinion</w:t>
      </w:r>
      <w:r>
        <w:rPr>
          <w:rFonts w:ascii="Times New Roman" w:cs="Times New Roman" w:eastAsia="Times New Roman" w:hAnsi="Times New Roman"/>
          <w:sz w:val="18"/>
          <w:szCs w:val="18"/>
          <w:color w:val="auto"/>
        </w:rPr>
        <w:t>. On or prior to the First Placement Notice Date and on any date on which the Company is obligated to deliver a certificate pursuant to Section 7(m) for which no waiver is applicable, the Company shall cause to be furnished to the Agent the written opinion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9" w:name="page30"/>
    <w:bookmarkEnd w:id="29"/>
    <w:p>
      <w:pPr>
        <w:ind w:right="40"/>
        <w:spacing w:after="0" w:line="255" w:lineRule="auto"/>
        <w:rPr>
          <w:sz w:val="20"/>
          <w:szCs w:val="20"/>
          <w:color w:val="auto"/>
        </w:rPr>
      </w:pPr>
      <w:r>
        <w:rPr>
          <w:rFonts w:ascii="Times New Roman" w:cs="Times New Roman" w:eastAsia="Times New Roman" w:hAnsi="Times New Roman"/>
          <w:sz w:val="18"/>
          <w:szCs w:val="18"/>
          <w:color w:val="auto"/>
        </w:rPr>
        <w:t>Maschoff Brennan, counsel for the Company with respect to intellectual property matters, or such other intellectual property counsel satisfactory to the Agent (“</w:t>
      </w:r>
      <w:r>
        <w:rPr>
          <w:rFonts w:ascii="Times New Roman" w:cs="Times New Roman" w:eastAsia="Times New Roman" w:hAnsi="Times New Roman"/>
          <w:sz w:val="18"/>
          <w:szCs w:val="18"/>
          <w:b w:val="1"/>
          <w:bCs w:val="1"/>
          <w:u w:val="single" w:color="auto"/>
          <w:color w:val="auto"/>
        </w:rPr>
        <w:t>Intellectual Property Counsel</w:t>
      </w:r>
      <w:r>
        <w:rPr>
          <w:rFonts w:ascii="Times New Roman" w:cs="Times New Roman" w:eastAsia="Times New Roman" w:hAnsi="Times New Roman"/>
          <w:sz w:val="18"/>
          <w:szCs w:val="18"/>
          <w:color w:val="auto"/>
        </w:rPr>
        <w:t xml:space="preserve">”), in form and substance satisfactory to the Agent and its counsel, dated the date that the opinion letter is required to 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written opinion for subsequent Representation Dates, Intellectual Property Counsel may furnish the Agent with a letter to 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189" w:lineRule="exact"/>
        <w:rPr>
          <w:sz w:val="20"/>
          <w:szCs w:val="20"/>
          <w:color w:val="auto"/>
        </w:rPr>
      </w:pPr>
    </w:p>
    <w:p>
      <w:pPr>
        <w:ind w:right="40" w:firstLine="656"/>
        <w:spacing w:after="0" w:line="253" w:lineRule="auto"/>
        <w:tabs>
          <w:tab w:leader="none" w:pos="13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On or prior to the First Placement Notice Date and on any date on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Prospectus) to furnish the Agent letters (the “</w:t>
      </w:r>
      <w:r>
        <w:rPr>
          <w:rFonts w:ascii="Times New Roman" w:cs="Times New Roman" w:eastAsia="Times New Roman" w:hAnsi="Times New Roman"/>
          <w:sz w:val="18"/>
          <w:szCs w:val="18"/>
          <w:b w:val="1"/>
          <w:bCs w:val="1"/>
          <w:u w:val="single" w:color="auto"/>
          <w:color w:val="auto"/>
        </w:rPr>
        <w:t>Comfort Letters</w:t>
      </w:r>
      <w:r>
        <w:rPr>
          <w:rFonts w:ascii="Times New Roman" w:cs="Times New Roman" w:eastAsia="Times New Roman" w:hAnsi="Times New Roman"/>
          <w:sz w:val="18"/>
          <w:szCs w:val="18"/>
          <w:color w:val="auto"/>
        </w:rPr>
        <w:t xml:space="preserve">”), dated the date the Comfort Letter is delivered, which shall meet the requirements set forth in this Section 7(p);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 and each Comfort Letter from the Company’s independent registered public accounting firm shall (i) confirm that they are an independent registered public accounting firm within the meaning of the Securities Act and the PCAOB,</w:t>
      </w:r>
    </w:p>
    <w:p>
      <w:pPr>
        <w:spacing w:after="0" w:line="1" w:lineRule="exact"/>
        <w:rPr>
          <w:rFonts w:ascii="Times New Roman" w:cs="Times New Roman" w:eastAsia="Times New Roman" w:hAnsi="Times New Roman"/>
          <w:sz w:val="18"/>
          <w:szCs w:val="18"/>
          <w:color w:val="auto"/>
        </w:rPr>
      </w:pPr>
    </w:p>
    <w:p>
      <w:pPr>
        <w:jc w:val="both"/>
        <w:ind w:right="760" w:firstLine="8"/>
        <w:spacing w:after="0" w:line="265" w:lineRule="auto"/>
        <w:tabs>
          <w:tab w:leader="none" w:pos="26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7"/>
          <w:szCs w:val="17"/>
          <w:b w:val="1"/>
          <w:bCs w:val="1"/>
          <w:u w:val="single" w:color="auto"/>
          <w:color w:val="auto"/>
        </w:rPr>
        <w:t>Initial Comfort Letter</w:t>
      </w:r>
      <w:r>
        <w:rPr>
          <w:rFonts w:ascii="Times New Roman" w:cs="Times New Roman" w:eastAsia="Times New Roman" w:hAnsi="Times New Roman"/>
          <w:sz w:val="17"/>
          <w:szCs w:val="17"/>
          <w:color w:val="auto"/>
        </w:rPr>
        <w:t>”) and</w:t>
      </w:r>
    </w:p>
    <w:p>
      <w:pPr>
        <w:ind w:right="360" w:firstLine="8"/>
        <w:spacing w:after="0" w:line="261" w:lineRule="auto"/>
        <w:tabs>
          <w:tab w:leader="none" w:pos="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79" w:lineRule="exact"/>
        <w:rPr>
          <w:rFonts w:ascii="Times New Roman" w:cs="Times New Roman" w:eastAsia="Times New Roman" w:hAnsi="Times New Roman"/>
          <w:sz w:val="18"/>
          <w:szCs w:val="18"/>
          <w:color w:val="auto"/>
        </w:rPr>
      </w:pPr>
    </w:p>
    <w:p>
      <w:pPr>
        <w:ind w:firstLine="656"/>
        <w:spacing w:after="0" w:line="258" w:lineRule="auto"/>
        <w:tabs>
          <w:tab w:leader="none" w:pos="13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xml:space="preserve">. The Company will not, directly or indirectly, and will cause its officers, directors and Subsidiaries not to (i) take any action designed to cause or result in, or that constitutes or might reasonably be expected to constitute, the stabilization or manipulation of the price of any security of the Company to facilitate the sale or resale of Shares or (ii) sell, bid for, or purchase Shares in violation of Regulation M, or pay anyone any compensation for soliciting purchases of the Placement Shares other than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bid for and purchase Shares in accordance with Rule 10b-18 under the Exchange Act.</w:t>
      </w:r>
    </w:p>
    <w:p>
      <w:pPr>
        <w:spacing w:after="0" w:line="183" w:lineRule="exact"/>
        <w:rPr>
          <w:rFonts w:ascii="Times New Roman" w:cs="Times New Roman" w:eastAsia="Times New Roman" w:hAnsi="Times New Roman"/>
          <w:sz w:val="18"/>
          <w:szCs w:val="18"/>
          <w:color w:val="auto"/>
        </w:rPr>
      </w:pPr>
    </w:p>
    <w:p>
      <w:pPr>
        <w:ind w:right="80" w:firstLine="656"/>
        <w:spacing w:after="0" w:line="282" w:lineRule="auto"/>
        <w:tabs>
          <w:tab w:leader="none" w:pos="131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shall maintain, or cause to be maintained, insurance in such amounts and covering such risks as is reasonable and customary for the business for which it is engaged.</w:t>
      </w:r>
    </w:p>
    <w:p>
      <w:pPr>
        <w:spacing w:after="0" w:line="161" w:lineRule="exact"/>
        <w:rPr>
          <w:rFonts w:ascii="Times New Roman" w:cs="Times New Roman" w:eastAsia="Times New Roman" w:hAnsi="Times New Roman"/>
          <w:sz w:val="18"/>
          <w:szCs w:val="18"/>
          <w:color w:val="auto"/>
        </w:rPr>
      </w:pPr>
    </w:p>
    <w:p>
      <w:pPr>
        <w:ind w:right="280" w:firstLine="656"/>
        <w:spacing w:after="0" w:line="258" w:lineRule="auto"/>
        <w:tabs>
          <w:tab w:leader="none" w:pos="131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environmental Permits required by federal, state and local law in order to conduct their businesses as described in the Prospectus, and the Company and each of its Subsidiaries shall conduct their businesses, or cause their businesses to be conducted, in substantial compliance with such Permits and with applicable Environmental Laws, except where the failure to maintain or be in compliance with such Permits could not reasonably be expected to result in a Material Adverse Effect.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jc w:val="both"/>
        <w:ind w:left="-20" w:right="220" w:firstLine="656"/>
        <w:spacing w:after="0" w:line="266" w:lineRule="auto"/>
        <w:tabs>
          <w:tab w:leader="none" w:pos="12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176" w:lineRule="exact"/>
        <w:rPr>
          <w:rFonts w:ascii="Times New Roman" w:cs="Times New Roman" w:eastAsia="Times New Roman" w:hAnsi="Times New Roman"/>
          <w:sz w:val="18"/>
          <w:szCs w:val="18"/>
          <w:color w:val="auto"/>
        </w:rPr>
      </w:pPr>
    </w:p>
    <w:p>
      <w:pPr>
        <w:ind w:left="-20" w:right="20" w:firstLine="656"/>
        <w:spacing w:after="0" w:line="266" w:lineRule="auto"/>
        <w:tabs>
          <w:tab w:leader="none" w:pos="12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w:t>
      </w:r>
      <w:r>
        <w:rPr>
          <w:rFonts w:ascii="Times New Roman" w:cs="Times New Roman" w:eastAsia="Times New Roman" w:hAnsi="Times New Roman"/>
          <w:sz w:val="18"/>
          <w:szCs w:val="18"/>
          <w:color w:val="auto"/>
        </w:rPr>
        <w:t>. The Company will use its best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176" w:lineRule="exact"/>
        <w:rPr>
          <w:rFonts w:ascii="Times New Roman" w:cs="Times New Roman" w:eastAsia="Times New Roman" w:hAnsi="Times New Roman"/>
          <w:sz w:val="18"/>
          <w:szCs w:val="18"/>
          <w:color w:val="auto"/>
        </w:rPr>
      </w:pPr>
    </w:p>
    <w:p>
      <w:pPr>
        <w:ind w:left="-20" w:right="160" w:firstLine="656"/>
        <w:spacing w:after="0" w:line="261" w:lineRule="auto"/>
        <w:tabs>
          <w:tab w:leader="none" w:pos="12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 free writing prospectus (as defined in Rule 405 under the Securities Act) approved in advance by the Company and the Agent,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Shares hereunder.</w:t>
      </w:r>
    </w:p>
    <w:p>
      <w:pPr>
        <w:spacing w:after="0" w:line="180" w:lineRule="exact"/>
        <w:rPr>
          <w:rFonts w:ascii="Times New Roman" w:cs="Times New Roman" w:eastAsia="Times New Roman" w:hAnsi="Times New Roman"/>
          <w:sz w:val="18"/>
          <w:szCs w:val="18"/>
          <w:color w:val="auto"/>
        </w:rPr>
      </w:pPr>
    </w:p>
    <w:p>
      <w:pPr>
        <w:ind w:left="-20" w:firstLine="656"/>
        <w:spacing w:after="0" w:line="254" w:lineRule="auto"/>
        <w:tabs>
          <w:tab w:leader="none" w:pos="129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and Other Qualifications</w:t>
      </w:r>
      <w:r>
        <w:rPr>
          <w:rFonts w:ascii="Times New Roman" w:cs="Times New Roman" w:eastAsia="Times New Roman" w:hAnsi="Times New Roman"/>
          <w:sz w:val="18"/>
          <w:szCs w:val="18"/>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89" w:lineRule="exact"/>
        <w:rPr>
          <w:rFonts w:ascii="Times New Roman" w:cs="Times New Roman" w:eastAsia="Times New Roman" w:hAnsi="Times New Roman"/>
          <w:sz w:val="18"/>
          <w:szCs w:val="18"/>
          <w:color w:val="auto"/>
        </w:rPr>
      </w:pPr>
    </w:p>
    <w:p>
      <w:pPr>
        <w:ind w:left="-20" w:firstLine="656"/>
        <w:spacing w:after="0" w:line="252" w:lineRule="auto"/>
        <w:tabs>
          <w:tab w:leader="none" w:pos="12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37"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the Company is made known to it by others within the Company, particularly during the period in which such periodic reports are being prepared.</w:t>
      </w:r>
    </w:p>
    <w:p>
      <w:pPr>
        <w:spacing w:after="0" w:line="225" w:lineRule="exact"/>
        <w:rPr>
          <w:sz w:val="20"/>
          <w:szCs w:val="20"/>
          <w:color w:val="auto"/>
        </w:rPr>
      </w:pPr>
    </w:p>
    <w:p>
      <w:pPr>
        <w:ind w:right="160" w:firstLine="656"/>
        <w:spacing w:after="0" w:line="282" w:lineRule="auto"/>
        <w:tabs>
          <w:tab w:leader="none" w:pos="13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The Company will promptly notify the Agent if the company ceases to be an Emerging Growth company at any time prior to the completion of the Agent’s distribution of the Placement Shares pursuant to this Agreement.</w:t>
      </w:r>
    </w:p>
    <w:p>
      <w:pPr>
        <w:spacing w:after="0" w:line="161" w:lineRule="exact"/>
        <w:rPr>
          <w:rFonts w:ascii="Times New Roman" w:cs="Times New Roman" w:eastAsia="Times New Roman" w:hAnsi="Times New Roman"/>
          <w:sz w:val="18"/>
          <w:szCs w:val="18"/>
          <w:color w:val="auto"/>
        </w:rPr>
      </w:pPr>
    </w:p>
    <w:p>
      <w:pPr>
        <w:ind w:firstLine="656"/>
        <w:spacing w:after="0" w:line="254" w:lineRule="auto"/>
        <w:tabs>
          <w:tab w:leader="none" w:pos="13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Renewal of Registration Statement.</w:t>
      </w:r>
      <w:r>
        <w:rPr>
          <w:rFonts w:ascii="Times New Roman" w:cs="Times New Roman" w:eastAsia="Times New Roman" w:hAnsi="Times New Roman"/>
          <w:sz w:val="18"/>
          <w:szCs w:val="18"/>
          <w:color w:val="auto"/>
        </w:rPr>
        <w:t xml:space="preserve"> If, immediately prior to the third anniversary of the initial effective date of the Registration Statement (the “</w:t>
      </w:r>
      <w:r>
        <w:rPr>
          <w:rFonts w:ascii="Times New Roman" w:cs="Times New Roman" w:eastAsia="Times New Roman" w:hAnsi="Times New Roman"/>
          <w:sz w:val="18"/>
          <w:szCs w:val="18"/>
          <w:b w:val="1"/>
          <w:bCs w:val="1"/>
          <w:u w:val="single" w:color="auto"/>
          <w:color w:val="auto"/>
        </w:rPr>
        <w:t>Renewal Date</w:t>
      </w:r>
      <w:r>
        <w:rPr>
          <w:rFonts w:ascii="Times New Roman" w:cs="Times New Roman" w:eastAsia="Times New Roman" w:hAnsi="Times New Roman"/>
          <w:sz w:val="18"/>
          <w:szCs w:val="18"/>
          <w:color w:val="auto"/>
        </w:rPr>
        <w:t>”), any of the Placement Shares remain unsold and this Agreement has not been terminated, the Company will, prior to the Renewal Date, file a new shelf registration statement or, if applicable, an automatic shelf registration statement relating to the Shares that may be offered and sold pursuant to this Agreement (which shall include a prospectus reflecting the number or amount of Placement Shares that may be offered and sold pursuant to this Agreement), in a form satisfactory to the Agent and its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spacing w:after="0" w:line="189" w:lineRule="exact"/>
        <w:rPr>
          <w:sz w:val="20"/>
          <w:szCs w:val="20"/>
          <w:color w:val="auto"/>
        </w:rPr>
      </w:pPr>
    </w:p>
    <w:p>
      <w:pPr>
        <w:ind w:right="80" w:firstLine="656"/>
        <w:spacing w:after="0" w:line="255" w:lineRule="auto"/>
        <w:tabs>
          <w:tab w:leader="none" w:pos="127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Instruction I.B.6. of Form S-3</w:t>
      </w:r>
      <w:r>
        <w:rPr>
          <w:rFonts w:ascii="Times New Roman" w:cs="Times New Roman" w:eastAsia="Times New Roman" w:hAnsi="Times New Roman"/>
          <w:sz w:val="18"/>
          <w:szCs w:val="18"/>
          <w:color w:val="auto"/>
        </w:rPr>
        <w:t xml:space="preserve">. If, from and after the date of this Agreement, the Company is no longer eligible to use Form S-3 (including pursuant to General Instruction I.B.6.) at the time it files with the Commission an annual report on Form 10-K or any post-effective amendment to the Registration Statement, then it shall promptly notify the Agent and, within two Business Days after the date of filing of such annual report on Form 10-K or amendment to the Registration Statement, the Company shall file a new prospectus supplement with the Commission reflecting the number of Shares available to be offered and sold by the Company under this Agreement pursuant to General Instruction I.B.6. of Form S-3;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delay the filing of any such prospectus supplement for up to 30 days if, in the reasonable judgment of the 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 to resume the offering of Placement Shares.</w:t>
      </w:r>
    </w:p>
    <w:p>
      <w:pPr>
        <w:spacing w:after="0" w:line="185" w:lineRule="exact"/>
        <w:rPr>
          <w:rFonts w:ascii="Times New Roman" w:cs="Times New Roman" w:eastAsia="Times New Roman" w:hAnsi="Times New Roman"/>
          <w:sz w:val="18"/>
          <w:szCs w:val="18"/>
          <w:color w:val="auto"/>
        </w:rPr>
      </w:pPr>
    </w:p>
    <w:p>
      <w:pPr>
        <w:ind w:right="180" w:firstLine="656"/>
        <w:spacing w:after="0" w:line="282" w:lineRule="auto"/>
        <w:tabs>
          <w:tab w:leader="none" w:pos="129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Indemnity</w:t>
      </w:r>
      <w:r>
        <w:rPr>
          <w:rFonts w:ascii="Times New Roman" w:cs="Times New Roman" w:eastAsia="Times New Roman" w:hAnsi="Times New Roman"/>
          <w:sz w:val="18"/>
          <w:szCs w:val="18"/>
          <w:color w:val="auto"/>
        </w:rPr>
        <w:t>. The Company will indemnify and hold harmless the Agent against any documentary, stamp or similar issue tax, including any interest and penalties, on the issue and sale of the Placement Shares.</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has engaged and will maintain, at its sole expense, a transfer agent and registrar for the Shares.</w:t>
      </w:r>
    </w:p>
    <w:p>
      <w:pPr>
        <w:spacing w:after="0" w:line="225" w:lineRule="exact"/>
        <w:rPr>
          <w:sz w:val="20"/>
          <w:szCs w:val="20"/>
          <w:color w:val="auto"/>
        </w:rPr>
      </w:pPr>
    </w:p>
    <w:p>
      <w:pPr>
        <w:ind w:firstLine="656"/>
        <w:spacing w:after="0" w:line="261" w:lineRule="auto"/>
        <w:tabs>
          <w:tab w:leader="none" w:pos="12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Agent’s Obligations</w:t>
      </w:r>
      <w:r>
        <w:rPr>
          <w:rFonts w:ascii="Times New Roman" w:cs="Times New Roman" w:eastAsia="Times New Roman" w:hAnsi="Times New Roman"/>
          <w:sz w:val="18"/>
          <w:szCs w:val="18"/>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spacing w:after="0" w:line="180" w:lineRule="exact"/>
        <w:rPr>
          <w:sz w:val="20"/>
          <w:szCs w:val="20"/>
          <w:color w:val="auto"/>
        </w:rPr>
      </w:pPr>
    </w:p>
    <w:p>
      <w:pPr>
        <w:ind w:right="140" w:firstLine="656"/>
        <w:spacing w:after="0" w:line="282" w:lineRule="auto"/>
        <w:tabs>
          <w:tab w:leader="none" w:pos="129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be effective and shall be available for all offers and sales of Placement Shares (i) that have been issued pursuant to all prior Placement Notices and (ii) that will be issued pursuant to any Placement Notice.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2" w:name="page33"/>
    <w:bookmarkEnd w:id="32"/>
    <w:p>
      <w:pPr>
        <w:ind w:left="-40" w:right="60" w:firstLine="656"/>
        <w:spacing w:after="0" w:line="282" w:lineRule="auto"/>
        <w:tabs>
          <w:tab w:leader="none" w:pos="1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Company shall have filed with the Commission the Prospectus Supplement pursuant to Rule 424(b) under the Securities Act not later than the Commission’s close of business on the second Business Day following the date of this Agreement.</w:t>
      </w:r>
    </w:p>
    <w:p>
      <w:pPr>
        <w:spacing w:after="0" w:line="161" w:lineRule="exact"/>
        <w:rPr>
          <w:rFonts w:ascii="Times New Roman" w:cs="Times New Roman" w:eastAsia="Times New Roman" w:hAnsi="Times New Roman"/>
          <w:sz w:val="18"/>
          <w:szCs w:val="18"/>
          <w:color w:val="auto"/>
        </w:rPr>
      </w:pPr>
    </w:p>
    <w:p>
      <w:pPr>
        <w:ind w:left="-40" w:firstLine="656"/>
        <w:spacing w:after="0" w:line="253" w:lineRule="auto"/>
        <w:tabs>
          <w:tab w:leader="none" w:pos="126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90" w:lineRule="exact"/>
        <w:rPr>
          <w:rFonts w:ascii="Times New Roman" w:cs="Times New Roman" w:eastAsia="Times New Roman" w:hAnsi="Times New Roman"/>
          <w:sz w:val="18"/>
          <w:szCs w:val="18"/>
          <w:color w:val="auto"/>
        </w:rPr>
      </w:pPr>
    </w:p>
    <w:p>
      <w:pPr>
        <w:jc w:val="both"/>
        <w:ind w:left="-40" w:right="140" w:firstLine="656"/>
        <w:spacing w:after="0" w:line="266" w:lineRule="auto"/>
        <w:tabs>
          <w:tab w:leader="none" w:pos="1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The Agent shall not have advised the Company that the Registration Statement or Prospectus, or any amendment or supplement thereto, contains an untrue statement of fact that in the Agent’s opinion is material, or omits to state a fact that in the Agent’s opinion is material and is required to be stated therein or is necessary to make the statements therein not misleading.</w:t>
      </w:r>
    </w:p>
    <w:p>
      <w:pPr>
        <w:spacing w:after="0" w:line="176" w:lineRule="exact"/>
        <w:rPr>
          <w:rFonts w:ascii="Times New Roman" w:cs="Times New Roman" w:eastAsia="Times New Roman" w:hAnsi="Times New Roman"/>
          <w:sz w:val="18"/>
          <w:szCs w:val="18"/>
          <w:color w:val="auto"/>
        </w:rPr>
      </w:pPr>
    </w:p>
    <w:p>
      <w:pPr>
        <w:ind w:left="-40" w:right="60" w:firstLine="656"/>
        <w:spacing w:after="0" w:line="255" w:lineRule="auto"/>
        <w:tabs>
          <w:tab w:leader="none" w:pos="126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result in a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89" w:lineRule="exact"/>
        <w:rPr>
          <w:rFonts w:ascii="Times New Roman" w:cs="Times New Roman" w:eastAsia="Times New Roman" w:hAnsi="Times New Roman"/>
          <w:sz w:val="18"/>
          <w:szCs w:val="18"/>
          <w:color w:val="auto"/>
        </w:rPr>
      </w:pPr>
    </w:p>
    <w:p>
      <w:pPr>
        <w:ind w:left="-40" w:right="120" w:firstLine="656"/>
        <w:spacing w:after="0" w:line="266" w:lineRule="auto"/>
        <w:tabs>
          <w:tab w:leader="none" w:pos="126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Opinions</w:t>
      </w:r>
      <w:r>
        <w:rPr>
          <w:rFonts w:ascii="Times New Roman" w:cs="Times New Roman" w:eastAsia="Times New Roman" w:hAnsi="Times New Roman"/>
          <w:sz w:val="18"/>
          <w:szCs w:val="18"/>
          <w:color w:val="auto"/>
        </w:rPr>
        <w:t>. The Agent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 Section 7(o), as applicable.</w:t>
      </w:r>
    </w:p>
    <w:p>
      <w:pPr>
        <w:spacing w:after="0" w:line="176" w:lineRule="exact"/>
        <w:rPr>
          <w:rFonts w:ascii="Times New Roman" w:cs="Times New Roman" w:eastAsia="Times New Roman" w:hAnsi="Times New Roman"/>
          <w:sz w:val="18"/>
          <w:szCs w:val="18"/>
          <w:color w:val="auto"/>
        </w:rPr>
      </w:pPr>
    </w:p>
    <w:p>
      <w:pPr>
        <w:ind w:left="-40" w:right="40" w:firstLine="656"/>
        <w:spacing w:after="0" w:line="282" w:lineRule="auto"/>
        <w:tabs>
          <w:tab w:leader="none" w:pos="127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Counsel Legal Opinion</w:t>
      </w:r>
      <w:r>
        <w:rPr>
          <w:rFonts w:ascii="Times New Roman" w:cs="Times New Roman" w:eastAsia="Times New Roman" w:hAnsi="Times New Roman"/>
          <w:sz w:val="18"/>
          <w:szCs w:val="18"/>
          <w:color w:val="auto"/>
        </w:rPr>
        <w:t>. The Agent shall have received from Covington &amp; Burling LLP, counsel for the Agent, such opinion or opinions, on or before the date on which the delivery of the Company Counsel legal opinion is required pursuant to Section 7(n), with respect to such matters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37" w:right="279" w:bottom="1440" w:gutter="0" w:footer="0" w:header="0"/>
        </w:sectPr>
      </w:pPr>
    </w:p>
    <w:bookmarkStart w:id="33" w:name="page34"/>
    <w:bookmarkEnd w:id="33"/>
    <w:p>
      <w:pPr>
        <w:ind w:right="40"/>
        <w:spacing w:after="0" w:line="282" w:lineRule="auto"/>
        <w:rPr>
          <w:sz w:val="20"/>
          <w:szCs w:val="20"/>
          <w:color w:val="auto"/>
        </w:rPr>
      </w:pPr>
      <w:r>
        <w:rPr>
          <w:rFonts w:ascii="Times New Roman" w:cs="Times New Roman" w:eastAsia="Times New Roman" w:hAnsi="Times New Roman"/>
          <w:sz w:val="18"/>
          <w:szCs w:val="18"/>
          <w:color w:val="auto"/>
        </w:rPr>
        <w:t>as the Agent may reasonably require, and the Company shall have furnished to such counsel such documents as they may request to enable them to pass upon such matters.</w:t>
      </w:r>
    </w:p>
    <w:p>
      <w:pPr>
        <w:spacing w:after="0" w:line="162" w:lineRule="exact"/>
        <w:rPr>
          <w:sz w:val="20"/>
          <w:szCs w:val="20"/>
          <w:color w:val="auto"/>
        </w:rPr>
      </w:pPr>
    </w:p>
    <w:p>
      <w:pPr>
        <w:ind w:firstLine="656"/>
        <w:spacing w:after="0" w:line="282" w:lineRule="auto"/>
        <w:tabs>
          <w:tab w:leader="none" w:pos="130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The Agent shall have received the Comfort Letter required to be delivered pursuant to Section 7(p) on or before the date on which such delivery of such Comfort Letter is required pursuant to Section 7(p).</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1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The Agent shall have received the certificate required to be delivered pursuant to Section 7(m) on or before the date on which delivery of such certificate is required pursuant to Section 7(m).</w:t>
      </w:r>
    </w:p>
    <w:p>
      <w:pPr>
        <w:spacing w:after="0" w:line="161" w:lineRule="exact"/>
        <w:rPr>
          <w:rFonts w:ascii="Times New Roman" w:cs="Times New Roman" w:eastAsia="Times New Roman" w:hAnsi="Times New Roman"/>
          <w:sz w:val="18"/>
          <w:szCs w:val="18"/>
          <w:color w:val="auto"/>
        </w:rPr>
      </w:pPr>
    </w:p>
    <w:p>
      <w:pPr>
        <w:ind w:right="20" w:firstLine="656"/>
        <w:spacing w:after="0" w:line="274" w:lineRule="auto"/>
        <w:tabs>
          <w:tab w:leader="none" w:pos="130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Secretary’s Certificate</w:t>
      </w:r>
      <w:r>
        <w:rPr>
          <w:rFonts w:ascii="Times New Roman" w:cs="Times New Roman" w:eastAsia="Times New Roman" w:hAnsi="Times New Roman"/>
          <w:sz w:val="17"/>
          <w:szCs w:val="17"/>
          <w:color w:val="auto"/>
        </w:rPr>
        <w:t xml:space="preserve">. On or prior to the First Placement Notice Date, the Agent shall have received a certificate, signed on behalf of the Company by its Secretary of the Company and attested to by an executive officer of the Company, dated as of such date and in form and substance satisfactory to the Agent and its counsel, certifying as to (i) the amended and restated certificate of incorporation of the Company, (ii) the amended and restated bylaws of the Company, (iii) the resolutions of the board of directors of the Company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w:t>
      </w:r>
    </w:p>
    <w:p>
      <w:pPr>
        <w:spacing w:after="0" w:line="173" w:lineRule="exact"/>
        <w:rPr>
          <w:rFonts w:ascii="Times New Roman" w:cs="Times New Roman" w:eastAsia="Times New Roman" w:hAnsi="Times New Roman"/>
          <w:sz w:val="17"/>
          <w:szCs w:val="17"/>
          <w:color w:val="auto"/>
        </w:rPr>
      </w:pPr>
    </w:p>
    <w:p>
      <w:pPr>
        <w:ind w:left="1320" w:hanging="664"/>
        <w:spacing w:after="0"/>
        <w:tabs>
          <w:tab w:leader="none" w:pos="13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480" w:firstLine="656"/>
        <w:spacing w:after="0" w:line="282" w:lineRule="auto"/>
        <w:tabs>
          <w:tab w:leader="none" w:pos="131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The Shares are duly listed, and admitted and authorized for trading, subject to official notice of issuance, on Nasdaq. Trading in the Shares shall not have been suspended on, and the Shares shall not have been delisted from, Nasdaq.</w:t>
      </w:r>
    </w:p>
    <w:p>
      <w:pPr>
        <w:spacing w:after="0" w:line="161" w:lineRule="exact"/>
        <w:rPr>
          <w:rFonts w:ascii="Times New Roman" w:cs="Times New Roman" w:eastAsia="Times New Roman" w:hAnsi="Times New Roman"/>
          <w:sz w:val="18"/>
          <w:szCs w:val="18"/>
          <w:color w:val="auto"/>
        </w:rPr>
      </w:pPr>
    </w:p>
    <w:p>
      <w:pPr>
        <w:ind w:right="100" w:firstLine="656"/>
        <w:spacing w:after="0" w:line="261"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 the Agent with conformed copies of such opinions, certificates, letters and other documents as the Agent may have reasonably requested.</w:t>
      </w:r>
    </w:p>
    <w:p>
      <w:pPr>
        <w:spacing w:after="0" w:line="180" w:lineRule="exact"/>
        <w:rPr>
          <w:rFonts w:ascii="Times New Roman" w:cs="Times New Roman" w:eastAsia="Times New Roman" w:hAnsi="Times New Roman"/>
          <w:sz w:val="18"/>
          <w:szCs w:val="18"/>
          <w:color w:val="auto"/>
        </w:rPr>
      </w:pPr>
    </w:p>
    <w:p>
      <w:pPr>
        <w:ind w:right="240" w:firstLine="656"/>
        <w:spacing w:after="0" w:line="261" w:lineRule="auto"/>
        <w:tabs>
          <w:tab w:leader="none" w:pos="130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424(b) or Rule 433 under the Securities Act to have been filed prior to the issuance of any Placement Notice hereunder shall have been made within the applicable time period prescribed for such filing by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424(b) (without reliance on Rule 424(b)(8) of the Securities Act) or Rule 433, as applicable.</w:t>
      </w:r>
    </w:p>
    <w:p>
      <w:pPr>
        <w:spacing w:after="0" w:line="20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(i) approved for listing on Nasdaq, subject only to notice of issuance, or</w:t>
      </w:r>
    </w:p>
    <w:p>
      <w:pPr>
        <w:spacing w:after="0" w:line="27" w:lineRule="exact"/>
        <w:rPr>
          <w:rFonts w:ascii="Times New Roman" w:cs="Times New Roman" w:eastAsia="Times New Roman" w:hAnsi="Times New Roman"/>
          <w:sz w:val="18"/>
          <w:szCs w:val="18"/>
          <w:color w:val="auto"/>
        </w:rPr>
      </w:pPr>
    </w:p>
    <w:p>
      <w:pPr>
        <w:ind w:right="360" w:firstLine="8"/>
        <w:spacing w:after="0" w:line="261" w:lineRule="auto"/>
        <w:tabs>
          <w:tab w:leader="none" w:pos="2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an application for listing of the Placement Shares on Nasdaq at, or prior to, the First Placement Notice Date and Nasdaq shall have reviewed such application and not provided any objections thereto.</w:t>
      </w:r>
    </w:p>
    <w:p>
      <w:pPr>
        <w:spacing w:after="0" w:line="179" w:lineRule="exact"/>
        <w:rPr>
          <w:rFonts w:ascii="Times New Roman" w:cs="Times New Roman" w:eastAsia="Times New Roman" w:hAnsi="Times New Roman"/>
          <w:sz w:val="18"/>
          <w:szCs w:val="18"/>
          <w:color w:val="auto"/>
        </w:rPr>
      </w:pPr>
    </w:p>
    <w:p>
      <w:pPr>
        <w:ind w:right="40" w:firstLine="656"/>
        <w:spacing w:after="0" w:line="282" w:lineRule="auto"/>
        <w:tabs>
          <w:tab w:leader="none" w:pos="13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FINRA shall have raised no objection to the terms of the offering contemplated hereby and the amount of compensation allowable or payable to the Agent as described in the Prospectus.</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the Agent to terminate this Agreement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11(a).</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52" w:lineRule="auto"/>
        <w:tabs>
          <w:tab w:leader="none" w:pos="129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xml:space="preserve">.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but not limited to, any and all investigative, legal and other expenses reasonably incurred in connection with, and any and all amounts paid in settlement of (in accordance with this Section 9), any action, suit, investigation or proceeding between any of the indemnified parties and any indemnifying parties or between any indemnified party and any third party (including, without limitation,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Shares under the securities laws thereof or filed with the Commission, (y) the omission or alleged omission to state in any such document a material fact required to be stated therein or necessary to make the statements therein (solely with respect to the Prospectus, in light of the circumstances under which they were made) not misleading or (z) any breach by any of the indemnifying parties of any of their respective representations, warranties or agreements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w:t>
      </w:r>
    </w:p>
    <w:p>
      <w:pPr>
        <w:spacing w:after="0" w:line="193" w:lineRule="exact"/>
        <w:rPr>
          <w:rFonts w:ascii="Times New Roman" w:cs="Times New Roman" w:eastAsia="Times New Roman" w:hAnsi="Times New Roman"/>
          <w:sz w:val="18"/>
          <w:szCs w:val="18"/>
          <w:color w:val="auto"/>
        </w:rPr>
      </w:pPr>
    </w:p>
    <w:p>
      <w:pPr>
        <w:ind w:right="180" w:firstLine="656"/>
        <w:spacing w:after="0" w:line="256" w:lineRule="auto"/>
        <w:tabs>
          <w:tab w:leader="none" w:pos="130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Indemnification</w:t>
      </w:r>
      <w:r>
        <w:rPr>
          <w:rFonts w:ascii="Times New Roman" w:cs="Times New Roman" w:eastAsia="Times New Roman" w:hAnsi="Times New Roman"/>
          <w:sz w:val="18"/>
          <w:szCs w:val="18"/>
          <w:color w:val="auto"/>
        </w:rPr>
        <w:t>. The Agent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87" w:lineRule="exact"/>
        <w:rPr>
          <w:rFonts w:ascii="Times New Roman" w:cs="Times New Roman" w:eastAsia="Times New Roman" w:hAnsi="Times New Roman"/>
          <w:sz w:val="18"/>
          <w:szCs w:val="18"/>
          <w:color w:val="auto"/>
        </w:rPr>
      </w:pPr>
    </w:p>
    <w:p>
      <w:pPr>
        <w:ind w:right="40" w:firstLine="656"/>
        <w:spacing w:after="0" w:line="254" w:lineRule="auto"/>
        <w:tabs>
          <w:tab w:leader="none" w:pos="130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ind w:right="40"/>
        <w:spacing w:after="0" w:line="252" w:lineRule="auto"/>
        <w:rPr>
          <w:sz w:val="20"/>
          <w:szCs w:val="20"/>
          <w:color w:val="auto"/>
        </w:rPr>
      </w:pPr>
      <w:r>
        <w:rPr>
          <w:rFonts w:ascii="Times New Roman" w:cs="Times New Roman" w:eastAsia="Times New Roman" w:hAnsi="Times New Roman"/>
          <w:sz w:val="18"/>
          <w:szCs w:val="18"/>
          <w:color w:val="auto"/>
        </w:rPr>
        <w:t>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spacing w:after="0" w:line="189" w:lineRule="exact"/>
        <w:rPr>
          <w:sz w:val="20"/>
          <w:szCs w:val="20"/>
          <w:color w:val="auto"/>
        </w:rPr>
      </w:pPr>
    </w:p>
    <w:p>
      <w:pPr>
        <w:ind w:firstLine="656"/>
        <w:spacing w:after="0" w:line="257" w:lineRule="auto"/>
        <w:tabs>
          <w:tab w:leader="none" w:pos="13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Without Consent if Failure to Reimburse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indemnified party shall have requested an indemnifying party to reimburse the indemnified party for reasonable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rFonts w:ascii="Times New Roman" w:cs="Times New Roman" w:eastAsia="Times New Roman" w:hAnsi="Times New Roman"/>
          <w:sz w:val="18"/>
          <w:szCs w:val="18"/>
          <w:color w:val="auto"/>
        </w:rPr>
      </w:pPr>
    </w:p>
    <w:p>
      <w:pPr>
        <w:ind w:firstLine="656"/>
        <w:spacing w:after="0" w:line="255" w:lineRule="auto"/>
        <w:tabs>
          <w:tab w:leader="none" w:pos="130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6" w:name="page37"/>
    <w:bookmarkEnd w:id="36"/>
    <w:p>
      <w:pPr>
        <w:spacing w:after="0" w:line="251" w:lineRule="auto"/>
        <w:rPr>
          <w:sz w:val="20"/>
          <w:szCs w:val="20"/>
          <w:color w:val="auto"/>
        </w:rPr>
      </w:pPr>
      <w:r>
        <w:rPr>
          <w:rFonts w:ascii="Times New Roman" w:cs="Times New Roman" w:eastAsia="Times New Roman" w:hAnsi="Times New Roman"/>
          <w:sz w:val="18"/>
          <w:szCs w:val="18"/>
          <w:color w:val="auto"/>
        </w:rPr>
        <w:t xml:space="preserve">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9(e) were to be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spacing w:after="0" w:line="206" w:lineRule="exact"/>
        <w:rPr>
          <w:sz w:val="20"/>
          <w:szCs w:val="20"/>
          <w:color w:val="auto"/>
        </w:rPr>
      </w:pPr>
    </w:p>
    <w:p>
      <w:pPr>
        <w:ind w:firstLine="656"/>
        <w:spacing w:after="0" w:line="261" w:lineRule="auto"/>
        <w:tabs>
          <w:tab w:leader="none" w:pos="12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p>
      <w:pPr>
        <w:ind w:left="1260" w:hanging="644"/>
        <w:spacing w:after="0"/>
        <w:tabs>
          <w:tab w:leader="none" w:pos="1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656"/>
        <w:spacing w:after="0" w:line="252" w:lineRule="auto"/>
        <w:tabs>
          <w:tab w:leader="none" w:pos="12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have the right, by giving notice as hereinafter specified, at any time to terminate this Agreement if (i) any Material Adverse Effect, or any development that could reasonably be expected to result in a Material Adverse Effect,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the case of any failure of the Company to deliver (or cause another person to deliver) any certification, opinion or letter required under Section 7(m), Section 7(n), Section 7(o) or Section 7(p), the Agent’s right to terminate shall not arise unless such failure to deliver (or cause to be delivered) continues for more than 15 calendar days from the date such delivery was required, (iii) 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16 and Section 17 hereof shall remain in full force and effect notwithstanding such termination. If the Agent elects to terminate this Agreement as provided in this Section 11(a), the Agent shall provide the required notice as specified in Section 12.</w:t>
      </w:r>
    </w:p>
    <w:p>
      <w:pPr>
        <w:spacing w:after="0" w:line="198" w:lineRule="exact"/>
        <w:rPr>
          <w:rFonts w:ascii="Times New Roman" w:cs="Times New Roman" w:eastAsia="Times New Roman" w:hAnsi="Times New Roman"/>
          <w:sz w:val="18"/>
          <w:szCs w:val="18"/>
          <w:color w:val="auto"/>
        </w:rPr>
      </w:pPr>
    </w:p>
    <w:p>
      <w:pPr>
        <w:ind w:left="-40" w:firstLine="656"/>
        <w:spacing w:after="0" w:line="266" w:lineRule="auto"/>
        <w:tabs>
          <w:tab w:leader="none" w:pos="1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76" w:lineRule="exact"/>
        <w:rPr>
          <w:rFonts w:ascii="Times New Roman" w:cs="Times New Roman" w:eastAsia="Times New Roman" w:hAnsi="Times New Roman"/>
          <w:sz w:val="18"/>
          <w:szCs w:val="18"/>
          <w:color w:val="auto"/>
        </w:rPr>
      </w:pPr>
    </w:p>
    <w:p>
      <w:pPr>
        <w:ind w:left="-40" w:right="80" w:firstLine="656"/>
        <w:spacing w:after="0" w:line="266" w:lineRule="auto"/>
        <w:tabs>
          <w:tab w:leader="none" w:pos="126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76" w:lineRule="exact"/>
        <w:rPr>
          <w:rFonts w:ascii="Times New Roman" w:cs="Times New Roman" w:eastAsia="Times New Roman" w:hAnsi="Times New Roman"/>
          <w:sz w:val="18"/>
          <w:szCs w:val="18"/>
          <w:color w:val="auto"/>
        </w:rPr>
      </w:pPr>
    </w:p>
    <w:p>
      <w:pPr>
        <w:ind w:left="-40" w:right="140" w:firstLine="656"/>
        <w:spacing w:after="0" w:line="266" w:lineRule="auto"/>
        <w:tabs>
          <w:tab w:leader="none" w:pos="1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Section 11, this Agreement shall automatically terminate upon the issuance and sale of all of the Placement Shares through the Agent on the terms and subject to the conditions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Section 7(g), Section 9, Section 10, Section 11(f), Section 16 and Section 17 hereof shall remain in full force and effect notwithstanding such termination.</w:t>
      </w:r>
    </w:p>
    <w:p>
      <w:pPr>
        <w:spacing w:after="0" w:line="176" w:lineRule="exact"/>
        <w:rPr>
          <w:rFonts w:ascii="Times New Roman" w:cs="Times New Roman" w:eastAsia="Times New Roman" w:hAnsi="Times New Roman"/>
          <w:sz w:val="18"/>
          <w:szCs w:val="18"/>
          <w:color w:val="auto"/>
        </w:rPr>
      </w:pPr>
    </w:p>
    <w:p>
      <w:pPr>
        <w:ind w:left="-40" w:right="80" w:firstLine="656"/>
        <w:spacing w:after="0" w:line="266" w:lineRule="auto"/>
        <w:tabs>
          <w:tab w:leader="none" w:pos="126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Sections 11(a), (b), (c), or (d)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termination by mutual agreement shall in all cases be deemed to provide that Section 7(g), Section 9, Section 10, Section 11(f), Section 16 and Section 17 shall remain in full force and effect.</w:t>
      </w:r>
    </w:p>
    <w:p>
      <w:pPr>
        <w:spacing w:after="0" w:line="174" w:lineRule="exact"/>
        <w:rPr>
          <w:rFonts w:ascii="Times New Roman" w:cs="Times New Roman" w:eastAsia="Times New Roman" w:hAnsi="Times New Roman"/>
          <w:sz w:val="18"/>
          <w:szCs w:val="18"/>
          <w:color w:val="auto"/>
        </w:rPr>
      </w:pPr>
    </w:p>
    <w:p>
      <w:pPr>
        <w:ind w:left="-40" w:right="60" w:firstLine="656"/>
        <w:spacing w:after="0" w:line="261" w:lineRule="auto"/>
        <w:tabs>
          <w:tab w:leader="none" w:pos="126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37" w:right="279" w:bottom="1440" w:gutter="0" w:footer="0" w:header="0"/>
        </w:sectPr>
      </w:pPr>
    </w:p>
    <w:bookmarkStart w:id="38" w:name="page39"/>
    <w:bookmarkEnd w:id="38"/>
    <w:p>
      <w:pPr>
        <w:ind w:right="480"/>
        <w:spacing w:after="0" w:line="284" w:lineRule="auto"/>
        <w:rPr>
          <w:sz w:val="20"/>
          <w:szCs w:val="20"/>
          <w:color w:val="auto"/>
        </w:rPr>
      </w:pPr>
      <w:r>
        <w:rPr>
          <w:rFonts w:ascii="Times New Roman" w:cs="Times New Roman" w:eastAsia="Times New Roman" w:hAnsi="Times New Roman"/>
          <w:sz w:val="18"/>
          <w:szCs w:val="18"/>
          <w:color w:val="auto"/>
        </w:rPr>
        <w:t xml:space="preserve">Placement Shares not otherwise sold by the Agent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remain obligated to reimburse the Agent’s expenses pursuant to Section 7(g).</w:t>
      </w:r>
    </w:p>
    <w:p>
      <w:pPr>
        <w:spacing w:after="0" w:line="160" w:lineRule="exact"/>
        <w:rPr>
          <w:sz w:val="20"/>
          <w:szCs w:val="20"/>
          <w:color w:val="auto"/>
        </w:rPr>
      </w:pPr>
    </w:p>
    <w:p>
      <w:pPr>
        <w:ind w:firstLine="656"/>
        <w:spacing w:after="0" w:line="282" w:lineRule="auto"/>
        <w:tabs>
          <w:tab w:leader="none" w:pos="129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SVB Leerink LLC</w:t>
      </w:r>
    </w:p>
    <w:p>
      <w:pPr>
        <w:ind w:left="580"/>
        <w:spacing w:after="0" w:line="222" w:lineRule="auto"/>
        <w:rPr>
          <w:sz w:val="20"/>
          <w:szCs w:val="20"/>
          <w:color w:val="auto"/>
        </w:rPr>
      </w:pPr>
      <w:r>
        <w:rPr>
          <w:rFonts w:ascii="Times New Roman" w:cs="Times New Roman" w:eastAsia="Times New Roman" w:hAnsi="Times New Roman"/>
          <w:sz w:val="18"/>
          <w:szCs w:val="18"/>
          <w:color w:val="auto"/>
        </w:rPr>
        <w:t>1301 Avenue of the Americas,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Attention: Gabriel Cavazos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Facsimile: (646) 499-7130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SVB Leerink LLC</w:t>
      </w:r>
    </w:p>
    <w:p>
      <w:pPr>
        <w:ind w:left="580"/>
        <w:spacing w:after="0" w:line="222" w:lineRule="auto"/>
        <w:rPr>
          <w:sz w:val="20"/>
          <w:szCs w:val="20"/>
          <w:color w:val="auto"/>
        </w:rPr>
      </w:pPr>
      <w:r>
        <w:rPr>
          <w:rFonts w:ascii="Times New Roman" w:cs="Times New Roman" w:eastAsia="Times New Roman" w:hAnsi="Times New Roman"/>
          <w:sz w:val="18"/>
          <w:szCs w:val="18"/>
          <w:color w:val="auto"/>
        </w:rPr>
        <w:t>1301 Avenue of the Americas,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Attention: Stuart R. Nayman, Esq.</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Facsimile: (646) 499-7051</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E-mail: stuart.nayman@leerink.com</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Attention: Brian Rosenzweig, Esq.</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Facsimile: (646) 441-9108</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E-mail: brosenzweig@cov.com</w:t>
      </w:r>
    </w:p>
    <w:p>
      <w:pPr>
        <w:spacing w:after="0" w:line="207" w:lineRule="exact"/>
        <w:rPr>
          <w:sz w:val="20"/>
          <w:szCs w:val="20"/>
          <w:color w:val="auto"/>
        </w:rPr>
      </w:pPr>
    </w:p>
    <w:p>
      <w:pPr>
        <w:jc w:val="center"/>
        <w:ind w:right="8160"/>
        <w:spacing w:after="0"/>
        <w:rPr>
          <w:sz w:val="20"/>
          <w:szCs w:val="20"/>
          <w:color w:val="auto"/>
        </w:rPr>
      </w:pPr>
      <w:r>
        <w:rPr>
          <w:rFonts w:ascii="Times New Roman" w:cs="Times New Roman" w:eastAsia="Times New Roman" w:hAnsi="Times New Roman"/>
          <w:sz w:val="17"/>
          <w:szCs w:val="17"/>
          <w:color w:val="auto"/>
        </w:rPr>
        <w:t>and if to the Company, shall be delivered to:</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7" w:lineRule="exact"/>
        <w:rPr>
          <w:sz w:val="20"/>
          <w:szCs w:val="20"/>
          <w:color w:val="auto"/>
        </w:rPr>
      </w:pPr>
    </w:p>
    <w:p>
      <w:pPr>
        <w:ind w:left="660" w:right="9640" w:hanging="4"/>
        <w:spacing w:after="0" w:line="220" w:lineRule="auto"/>
        <w:tabs>
          <w:tab w:leader="none" w:pos="9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Broadway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rFonts w:ascii="Times New Roman" w:cs="Times New Roman" w:eastAsia="Times New Roman" w:hAnsi="Times New Roman"/>
          <w:sz w:val="18"/>
          <w:szCs w:val="18"/>
          <w:color w:val="auto"/>
        </w:rPr>
      </w:pPr>
    </w:p>
    <w:p>
      <w:pPr>
        <w:ind w:left="660" w:right="82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New York 10038 Attention: Chief Executive Officer Facsimile: (212) 320-0245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John F. Kennedy Parkway, Suite 120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Short Hills, New Jersey 07078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Emilio Ragosa, Esq.</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(973) 215-2804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emilio.ragosa@dlapiper.com</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5" w:right="299" w:bottom="1440" w:gutter="0" w:footer="0" w:header="0"/>
        </w:sectPr>
      </w:pPr>
    </w:p>
    <w:bookmarkStart w:id="39" w:name="page40"/>
    <w:bookmarkEnd w:id="39"/>
    <w:p>
      <w:pPr>
        <w:ind w:right="120"/>
        <w:spacing w:after="0" w:line="274" w:lineRule="auto"/>
        <w:rPr>
          <w:sz w:val="20"/>
          <w:szCs w:val="20"/>
          <w:color w:val="auto"/>
        </w:rPr>
      </w:pPr>
      <w:r>
        <w:rPr>
          <w:rFonts w:ascii="Times New Roman" w:cs="Times New Roman" w:eastAsia="Times New Roman" w:hAnsi="Times New Roman"/>
          <w:sz w:val="17"/>
          <w:szCs w:val="17"/>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in the next paragraph, (iii) 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7"/>
          <w:szCs w:val="17"/>
          <w:b w:val="1"/>
          <w:bCs w:val="1"/>
          <w:u w:val="single" w:color="auto"/>
          <w:color w:val="auto"/>
        </w:rPr>
        <w:t>Business Day</w:t>
      </w:r>
      <w:r>
        <w:rPr>
          <w:rFonts w:ascii="Times New Roman" w:cs="Times New Roman" w:eastAsia="Times New Roman" w:hAnsi="Times New Roman"/>
          <w:sz w:val="17"/>
          <w:szCs w:val="17"/>
          <w:color w:val="auto"/>
        </w:rPr>
        <w:t>” shall mean any day on which the Nasdaq and commercial banks in the City of New York are open for business.</w:t>
      </w:r>
    </w:p>
    <w:p>
      <w:pPr>
        <w:spacing w:after="0" w:line="1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Notice</w:t>
      </w:r>
      <w:r>
        <w:rPr>
          <w:rFonts w:ascii="Times New Roman" w:cs="Times New Roman" w:eastAsia="Times New Roman" w:hAnsi="Times New Roman"/>
          <w:sz w:val="18"/>
          <w:szCs w:val="18"/>
          <w:color w:val="auto"/>
        </w:rPr>
        <w:t>”), which shall be sent to the requesting party within 10 days of receipt of the written request for Nonelectronic Notice.</w:t>
      </w:r>
    </w:p>
    <w:p>
      <w:pPr>
        <w:spacing w:after="0" w:line="184" w:lineRule="exact"/>
        <w:rPr>
          <w:sz w:val="20"/>
          <w:szCs w:val="20"/>
          <w:color w:val="auto"/>
        </w:rPr>
      </w:pPr>
    </w:p>
    <w:p>
      <w:pPr>
        <w:ind w:right="60" w:firstLine="656"/>
        <w:spacing w:after="0" w:line="255" w:lineRule="auto"/>
        <w:tabs>
          <w:tab w:leader="none" w:pos="129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Agent may assign its rights and obligations hereunder to an affiliate of the Agent without obtaining the Company’s consent, so long as such affiliate is a registered broker-dealer.</w:t>
      </w:r>
    </w:p>
    <w:p>
      <w:pPr>
        <w:spacing w:after="0" w:line="185" w:lineRule="exact"/>
        <w:rPr>
          <w:rFonts w:ascii="Times New Roman" w:cs="Times New Roman" w:eastAsia="Times New Roman" w:hAnsi="Times New Roman"/>
          <w:sz w:val="18"/>
          <w:szCs w:val="18"/>
          <w:color w:val="auto"/>
        </w:rPr>
      </w:pPr>
    </w:p>
    <w:p>
      <w:pPr>
        <w:ind w:right="520" w:firstLine="656"/>
        <w:spacing w:after="0" w:line="282" w:lineRule="auto"/>
        <w:tabs>
          <w:tab w:leader="none" w:pos="129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Share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split, share dividend or similar event effected with respect to the Shares.</w:t>
      </w:r>
    </w:p>
    <w:p>
      <w:pPr>
        <w:spacing w:after="0" w:line="161" w:lineRule="exact"/>
        <w:rPr>
          <w:rFonts w:ascii="Times New Roman" w:cs="Times New Roman" w:eastAsia="Times New Roman" w:hAnsi="Times New Roman"/>
          <w:sz w:val="18"/>
          <w:szCs w:val="18"/>
          <w:color w:val="auto"/>
        </w:rPr>
      </w:pPr>
    </w:p>
    <w:p>
      <w:pPr>
        <w:ind w:right="40" w:firstLine="656"/>
        <w:spacing w:after="0" w:line="253" w:lineRule="auto"/>
        <w:tabs>
          <w:tab w:leader="none" w:pos="129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 Waiver</w:t>
      </w:r>
      <w:r>
        <w:rPr>
          <w:rFonts w:ascii="Times New Roman" w:cs="Times New Roman" w:eastAsia="Times New Roman" w:hAnsi="Times New Roman"/>
          <w:sz w:val="18"/>
          <w:szCs w:val="18"/>
          <w:color w:val="auto"/>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may be amended by either party from time to time by sending a notice containing a revised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other party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manner provided in Section 12 and, upon such amendment, all references herein to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shall automatically be deemed to refer to such amended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In the event that any one or more of the provisions contained herein, or the application thereof in any circumstance, is held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p>
      <w:pPr>
        <w:ind w:right="300"/>
        <w:spacing w:after="0" w:line="282" w:lineRule="auto"/>
        <w:rPr>
          <w:sz w:val="20"/>
          <w:szCs w:val="20"/>
          <w:color w:val="auto"/>
        </w:rPr>
      </w:pPr>
      <w:r>
        <w:rPr>
          <w:rFonts w:ascii="Times New Roman" w:cs="Times New Roman" w:eastAsia="Times New Roman" w:hAnsi="Times New Roman"/>
          <w:sz w:val="18"/>
          <w:szCs w:val="18"/>
          <w:color w:val="auto"/>
        </w:rPr>
        <w:t>right, power, or privilege hereunder shall operate as a waiver thereof, nor shall any single or partial exercise thereof preclude any other or further exercise thereof or the exercise of any right, power, or privilege hereunder.</w:t>
      </w:r>
    </w:p>
    <w:p>
      <w:pPr>
        <w:spacing w:after="0" w:line="158" w:lineRule="exact"/>
        <w:rPr>
          <w:sz w:val="20"/>
          <w:szCs w:val="20"/>
          <w:color w:val="auto"/>
        </w:rPr>
      </w:pPr>
    </w:p>
    <w:p>
      <w:pPr>
        <w:ind w:right="100" w:firstLine="656"/>
        <w:spacing w:after="0" w:line="278" w:lineRule="auto"/>
        <w:tabs>
          <w:tab w:leader="none" w:pos="129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LAW AND TIME; WAIVER OF JURY TRIAL</w:t>
      </w:r>
      <w:r>
        <w:rPr>
          <w:rFonts w:ascii="Times New Roman" w:cs="Times New Roman" w:eastAsia="Times New Roman" w:hAnsi="Times New Roman"/>
          <w:sz w:val="17"/>
          <w:szCs w:val="17"/>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68" w:lineRule="exact"/>
        <w:rPr>
          <w:rFonts w:ascii="Times New Roman" w:cs="Times New Roman" w:eastAsia="Times New Roman" w:hAnsi="Times New Roman"/>
          <w:sz w:val="17"/>
          <w:szCs w:val="17"/>
          <w:color w:val="auto"/>
        </w:rPr>
      </w:pPr>
    </w:p>
    <w:p>
      <w:pPr>
        <w:ind w:firstLine="656"/>
        <w:spacing w:after="0" w:line="255" w:lineRule="auto"/>
        <w:tabs>
          <w:tab w:leader="none" w:pos="129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and exhibit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defined in the singular shall have a comparable meaning when used in the plural, and vice versa.</w:t>
      </w:r>
    </w:p>
    <w:p>
      <w:pPr>
        <w:spacing w:after="0" w:line="225" w:lineRule="exact"/>
        <w:rPr>
          <w:rFonts w:ascii="Times New Roman" w:cs="Times New Roman" w:eastAsia="Times New Roman" w:hAnsi="Times New Roman"/>
          <w:sz w:val="18"/>
          <w:szCs w:val="18"/>
          <w:color w:val="auto"/>
        </w:rPr>
      </w:pPr>
    </w:p>
    <w:p>
      <w:pPr>
        <w:ind w:right="460" w:firstLine="656"/>
        <w:spacing w:after="0" w:line="282" w:lineRule="auto"/>
        <w:tabs>
          <w:tab w:leader="none" w:pos="130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“hereto,” “herein” and “hereunder” and words of similar import, when used in this Agreement, shall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the word “include,” “includes” or “including” is used in this Agreement, it shall be deemed to be followed by the words “without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w:t>
      </w:r>
    </w:p>
    <w:p>
      <w:pPr>
        <w:spacing w:after="0" w:line="20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gender shall include each other gender.</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130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6" w:lineRule="exact"/>
        <w:rPr>
          <w:sz w:val="20"/>
          <w:szCs w:val="20"/>
          <w:color w:val="auto"/>
        </w:rPr>
      </w:pPr>
    </w:p>
    <w:p>
      <w:pPr>
        <w:ind w:right="200" w:firstLine="656"/>
        <w:spacing w:after="0" w:line="266" w:lineRule="auto"/>
        <w:tabs>
          <w:tab w:leader="none" w:pos="129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The Company represents, warrants and agrees that, unless it obtains the prior written consent of the Agent, which consent shall not be unreasonably withheld, conditioned or delayed, and the Agent represents, warrants and agrees that, unless it obtains the prior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1" w:name="page42"/>
    <w:bookmarkEnd w:id="41"/>
    <w:p>
      <w:pPr>
        <w:ind w:right="20"/>
        <w:spacing w:after="0" w:line="256" w:lineRule="auto"/>
        <w:rPr>
          <w:sz w:val="20"/>
          <w:szCs w:val="20"/>
          <w:color w:val="auto"/>
        </w:rPr>
      </w:pPr>
      <w:r>
        <w:rPr>
          <w:rFonts w:ascii="Times New Roman" w:cs="Times New Roman" w:eastAsia="Times New Roman" w:hAnsi="Times New Roman"/>
          <w:sz w:val="18"/>
          <w:szCs w:val="18"/>
          <w:color w:val="auto"/>
        </w:rPr>
        <w:t>written consent of the Company,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Times New Roman" w:cs="Times New Roman" w:eastAsia="Times New Roman" w:hAnsi="Times New Roman"/>
          <w:sz w:val="18"/>
          <w:szCs w:val="18"/>
          <w:b w:val="1"/>
          <w:bCs w:val="1"/>
          <w:u w:val="single" w:color="auto"/>
          <w:color w:val="auto"/>
        </w:rPr>
        <w:t>Permitted Free Writing Prospectus</w:t>
      </w:r>
      <w:r>
        <w:rPr>
          <w:rFonts w:ascii="Times New Roman" w:cs="Times New Roman" w:eastAsia="Times New Roman" w:hAnsi="Times New Roman"/>
          <w:sz w:val="18"/>
          <w:szCs w:val="18"/>
          <w:color w:val="auto"/>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spacing w:after="0" w:line="188"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5" w:lineRule="exact"/>
        <w:rPr>
          <w:sz w:val="20"/>
          <w:szCs w:val="20"/>
          <w:color w:val="auto"/>
        </w:rPr>
      </w:pPr>
    </w:p>
    <w:p>
      <w:pPr>
        <w:ind w:right="240" w:firstLine="656"/>
        <w:spacing w:after="0" w:line="258" w:lineRule="auto"/>
        <w:tabs>
          <w:tab w:leader="none" w:pos="129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been retained to act as sales agent in connection with the sale of the Shares, the Agent has acted at arms’ length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spacing w:after="0" w:line="183" w:lineRule="exact"/>
        <w:rPr>
          <w:rFonts w:ascii="Times New Roman" w:cs="Times New Roman" w:eastAsia="Times New Roman" w:hAnsi="Times New Roman"/>
          <w:sz w:val="18"/>
          <w:szCs w:val="18"/>
          <w:color w:val="auto"/>
        </w:rPr>
      </w:pPr>
    </w:p>
    <w:p>
      <w:pPr>
        <w:ind w:right="200" w:firstLine="656"/>
        <w:spacing w:after="0" w:line="282" w:lineRule="auto"/>
        <w:tabs>
          <w:tab w:leader="none" w:pos="13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ind w:right="780" w:firstLine="656"/>
        <w:spacing w:after="0" w:line="282" w:lineRule="auto"/>
        <w:tabs>
          <w:tab w:leader="none" w:pos="130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61" w:lineRule="exact"/>
        <w:rPr>
          <w:rFonts w:ascii="Times New Roman" w:cs="Times New Roman" w:eastAsia="Times New Roman" w:hAnsi="Times New Roman"/>
          <w:sz w:val="18"/>
          <w:szCs w:val="18"/>
          <w:color w:val="auto"/>
        </w:rPr>
      </w:pPr>
    </w:p>
    <w:p>
      <w:pPr>
        <w:ind w:firstLine="656"/>
        <w:spacing w:after="0" w:line="266" w:lineRule="auto"/>
        <w:tabs>
          <w:tab w:leader="none" w:pos="13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spacing w:after="0" w:line="176" w:lineRule="exact"/>
        <w:rPr>
          <w:rFonts w:ascii="Times New Roman" w:cs="Times New Roman" w:eastAsia="Times New Roman" w:hAnsi="Times New Roman"/>
          <w:sz w:val="18"/>
          <w:szCs w:val="18"/>
          <w:color w:val="auto"/>
        </w:rPr>
      </w:pPr>
    </w:p>
    <w:p>
      <w:pPr>
        <w:ind w:firstLine="656"/>
        <w:spacing w:after="0" w:line="261" w:lineRule="auto"/>
        <w:tabs>
          <w:tab w:leader="none" w:pos="130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stockholders (or other equity holders), creditors or employees of the Company.</w:t>
      </w:r>
    </w:p>
    <w:p>
      <w:pPr>
        <w:spacing w:after="0" w:line="180" w:lineRule="exact"/>
        <w:rPr>
          <w:sz w:val="20"/>
          <w:szCs w:val="20"/>
          <w:color w:val="auto"/>
        </w:rPr>
      </w:pPr>
    </w:p>
    <w:p>
      <w:pPr>
        <w:jc w:val="both"/>
        <w:ind w:right="200" w:firstLine="656"/>
        <w:spacing w:after="0" w:line="266" w:lineRule="auto"/>
        <w:tabs>
          <w:tab w:leader="none" w:pos="129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w:t>
      </w:r>
    </w:p>
    <w:p>
      <w:pPr>
        <w:spacing w:after="0" w:line="176" w:lineRule="exact"/>
        <w:rPr>
          <w:rFonts w:ascii="Times New Roman" w:cs="Times New Roman" w:eastAsia="Times New Roman" w:hAnsi="Times New Roman"/>
          <w:sz w:val="18"/>
          <w:szCs w:val="18"/>
          <w:color w:val="auto"/>
        </w:rPr>
      </w:pPr>
    </w:p>
    <w:p>
      <w:pPr>
        <w:ind w:right="440" w:firstLine="656"/>
        <w:spacing w:after="0" w:line="266" w:lineRule="auto"/>
        <w:tabs>
          <w:tab w:leader="none" w:pos="129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w:t>
      </w:r>
      <w:r>
        <w:rPr>
          <w:rFonts w:ascii="Times New Roman" w:cs="Times New Roman" w:eastAsia="Times New Roman" w:hAnsi="Times New Roman"/>
          <w:sz w:val="18"/>
          <w:szCs w:val="18"/>
          <w:color w:val="auto"/>
        </w:rPr>
        <w:t>. The Agent may not provide any information gained in connection with this Agreement and the transactions contemplated by this Agreement, including due diligence, to any third party other than its legal counsel advising it on this Agreement unless expressly approved by the Company in writing.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2" w:name="page43"/>
    <w:bookmarkEnd w:id="42"/>
    <w:p>
      <w:pPr>
        <w:ind w:right="360" w:firstLine="656"/>
        <w:spacing w:after="0" w:line="286" w:lineRule="auto"/>
        <w:tabs>
          <w:tab w:leader="none" w:pos="129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Information; Knowledge of the Company</w:t>
      </w:r>
      <w:r>
        <w:rPr>
          <w:rFonts w:ascii="Times New Roman" w:cs="Times New Roman" w:eastAsia="Times New Roman" w:hAnsi="Times New Roman"/>
          <w:sz w:val="18"/>
          <w:szCs w:val="18"/>
          <w:color w:val="auto"/>
        </w:rPr>
        <w:t>. As used in this Agreement, “</w:t>
      </w:r>
      <w:r>
        <w:rPr>
          <w:rFonts w:ascii="Times New Roman" w:cs="Times New Roman" w:eastAsia="Times New Roman" w:hAnsi="Times New Roman"/>
          <w:sz w:val="18"/>
          <w:szCs w:val="18"/>
          <w:b w:val="1"/>
          <w:bCs w:val="1"/>
          <w:u w:val="single" w:color="auto"/>
          <w:color w:val="auto"/>
        </w:rPr>
        <w:t>Agent’s Information</w:t>
      </w:r>
      <w:r>
        <w:rPr>
          <w:rFonts w:ascii="Times New Roman" w:cs="Times New Roman" w:eastAsia="Times New Roman" w:hAnsi="Times New Roman"/>
          <w:sz w:val="18"/>
          <w:szCs w:val="18"/>
          <w:color w:val="auto"/>
        </w:rPr>
        <w:t>” means solely the following information in the Registration Statement and the Prospectus: the fifth paragraph under the heading “Plan of Distribution” in the Prospectus Supplement.</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4"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[Remainder of Page Intentionally Blank]</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43" w:name="page44"/>
    <w:bookmarkEnd w:id="43"/>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00" w:val="left"/>
        </w:tabs>
        <w:rPr>
          <w:sz w:val="20"/>
          <w:szCs w:val="20"/>
          <w:color w:val="auto"/>
        </w:rPr>
      </w:pPr>
      <w:r>
        <w:rPr>
          <w:rFonts w:ascii="Times New Roman" w:cs="Times New Roman" w:eastAsia="Times New Roman" w:hAnsi="Times New Roman"/>
          <w:sz w:val="18"/>
          <w:szCs w:val="18"/>
          <w:color w:val="auto"/>
        </w:rPr>
        <w:t>By:</w:t>
        <w:tab/>
        <w:t>/s/ Herriot Tabuteau</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Name: Herriot Tabuteau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ACCEPTED as of the date</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first-above written:</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SVB LEERINK LLC</w:t>
      </w:r>
    </w:p>
    <w:p>
      <w:pPr>
        <w:spacing w:after="0" w:line="200" w:lineRule="exact"/>
        <w:rPr>
          <w:sz w:val="20"/>
          <w:szCs w:val="20"/>
          <w:color w:val="auto"/>
        </w:rPr>
      </w:pPr>
    </w:p>
    <w:p>
      <w:pPr>
        <w:spacing w:after="0" w:line="223" w:lineRule="exact"/>
        <w:rPr>
          <w:sz w:val="20"/>
          <w:szCs w:val="20"/>
          <w:color w:val="auto"/>
        </w:rPr>
      </w:pPr>
    </w:p>
    <w:p>
      <w:pPr>
        <w:ind w:left="5720"/>
        <w:spacing w:after="0"/>
        <w:tabs>
          <w:tab w:leader="none" w:pos="6200" w:val="left"/>
        </w:tabs>
        <w:rPr>
          <w:sz w:val="20"/>
          <w:szCs w:val="20"/>
          <w:color w:val="auto"/>
        </w:rPr>
      </w:pPr>
      <w:r>
        <w:rPr>
          <w:rFonts w:ascii="Times New Roman" w:cs="Times New Roman" w:eastAsia="Times New Roman" w:hAnsi="Times New Roman"/>
          <w:sz w:val="18"/>
          <w:szCs w:val="18"/>
          <w:color w:val="auto"/>
        </w:rPr>
        <w:t>By:</w:t>
        <w:tab/>
        <w:t>/s/ Gabriel Cavazos</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Name: Gabriel Cavazos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8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w w:val="99"/>
              </w:rPr>
              <w:t>FORM OF PLACEMENT NOTICE</w:t>
            </w:r>
          </w:p>
        </w:tc>
      </w:tr>
      <w:tr>
        <w:trPr>
          <w:trHeight w:val="4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top w:val="single" w:sz="8" w:color="auto"/>
            </w:tcBorders>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w:t>
            </w:r>
          </w:p>
        </w:tc>
        <w:tc>
          <w:tcPr>
            <w:tcW w:w="22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Axsome Therapeutics, Inc.</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6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SVB Leerink LLC</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6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SVB Leerink—At the Market Offering—Placement Notice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dated May 9, 2019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between Axsome Therapeutics,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SVB Leerink LLC (“</w:t>
      </w:r>
      <w:r>
        <w:rPr>
          <w:rFonts w:ascii="Times New Roman" w:cs="Times New Roman" w:eastAsia="Times New Roman" w:hAnsi="Times New Roman"/>
          <w:sz w:val="18"/>
          <w:szCs w:val="18"/>
          <w:b w:val="1"/>
          <w:bCs w:val="1"/>
          <w:u w:val="single" w:color="auto"/>
          <w:color w:val="auto"/>
        </w:rPr>
        <w:t>SVB Leerink</w:t>
      </w:r>
      <w:r>
        <w:rPr>
          <w:rFonts w:ascii="Times New Roman" w:cs="Times New Roman" w:eastAsia="Times New Roman" w:hAnsi="Times New Roman"/>
          <w:sz w:val="18"/>
          <w:szCs w:val="18"/>
          <w:color w:val="auto"/>
        </w:rPr>
        <w:t>”), I hereby request on behalf of the Company that SVB Leerink sell up to [ ] shares of common stock, $0.0001 par value per share, of the Company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xml:space="preserve">”), at a minimum market price of $ per share[;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more than [ ] Shares shall be sold in any one Trading Day (as such term is defined in Section 3 of the Agreement)]. Sales should begin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this Placement Notice] and end on [DATE] [until all Shares that are the subject of this Placement Notice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Herriot Tabuteau,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Pizzie, Chief Financial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SVB Leerink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Rahul Chaudhary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Morley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Spector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Stuart Nayman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Olson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 Cavazos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The Company shall pay SVB Leerink compensation in cash equal to 3.0% of the gross proceeds from the sales of Shares pursuant to the terms of the Sales Agreement of which this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forms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7(m)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w:t>
      </w:r>
    </w:p>
    <w:p>
      <w:pPr>
        <w:spacing w:after="0" w:line="225"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Each of Herriot Tabuteau, the duly qualified and elected Chief Executive Officer of Axsome Therapeutics,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Nick Pizzie, the duly qualified and elected Chief Financial Officer of the Company, does hereby certify in his respective capacity and on behalf of the Company, pursuant to Section 7(m) of the Sales Agreement, dated May 9, 2019 (the “</w:t>
      </w:r>
      <w:r>
        <w:rPr>
          <w:rFonts w:ascii="Times New Roman" w:cs="Times New Roman" w:eastAsia="Times New Roman" w:hAnsi="Times New Roman"/>
          <w:sz w:val="18"/>
          <w:szCs w:val="18"/>
          <w:b w:val="1"/>
          <w:bCs w:val="1"/>
          <w:u w:val="single" w:color="auto"/>
          <w:color w:val="auto"/>
        </w:rPr>
        <w:t>Sales Agreement</w:t>
      </w:r>
      <w:r>
        <w:rPr>
          <w:rFonts w:ascii="Times New Roman" w:cs="Times New Roman" w:eastAsia="Times New Roman" w:hAnsi="Times New Roman"/>
          <w:sz w:val="18"/>
          <w:szCs w:val="18"/>
          <w:color w:val="auto"/>
        </w:rPr>
        <w:t>”), by and between the Company and SVB Leerink LLC, that, after due inquiry, to the best of the knowledge of the undersigned:</w:t>
      </w:r>
    </w:p>
    <w:p>
      <w:pPr>
        <w:spacing w:after="0" w:line="181" w:lineRule="exact"/>
        <w:rPr>
          <w:sz w:val="20"/>
          <w:szCs w:val="20"/>
          <w:color w:val="auto"/>
        </w:rPr>
      </w:pPr>
    </w:p>
    <w:p>
      <w:pPr>
        <w:ind w:right="140" w:firstLine="656"/>
        <w:spacing w:after="0" w:line="258" w:lineRule="auto"/>
        <w:tabs>
          <w:tab w:leader="none" w:pos="13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Section 6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and (B) to the extent such representations and warranties are not subject to any qualifications or exceptions relating to materiality or Material Adverse Effect, are true and correct in all material respects as of the date hereof as if made on and as of the date hereof with the same force and effect as if expressly made on and as of the date hereof.</w:t>
      </w:r>
    </w:p>
    <w:p>
      <w:pPr>
        <w:spacing w:after="0" w:line="183" w:lineRule="exact"/>
        <w:rPr>
          <w:rFonts w:ascii="Times New Roman" w:cs="Times New Roman" w:eastAsia="Times New Roman" w:hAnsi="Times New Roman"/>
          <w:sz w:val="18"/>
          <w:szCs w:val="18"/>
          <w:color w:val="auto"/>
        </w:rPr>
      </w:pPr>
    </w:p>
    <w:p>
      <w:pPr>
        <w:ind w:right="300" w:firstLine="656"/>
        <w:spacing w:after="0" w:line="282" w:lineRule="auto"/>
        <w:tabs>
          <w:tab w:leader="none" w:pos="132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61" w:lineRule="exact"/>
        <w:rPr>
          <w:rFonts w:ascii="Times New Roman" w:cs="Times New Roman" w:eastAsia="Times New Roman" w:hAnsi="Times New Roman"/>
          <w:sz w:val="18"/>
          <w:szCs w:val="18"/>
          <w:color w:val="auto"/>
        </w:rPr>
      </w:pPr>
    </w:p>
    <w:p>
      <w:pPr>
        <w:ind w:right="20" w:firstLine="656"/>
        <w:spacing w:after="0" w:line="256" w:lineRule="auto"/>
        <w:tabs>
          <w:tab w:leader="none" w:pos="133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 the Registration Statement complies in all material respects with the requirements of the Securities Act and does not contain any untrue statement of a material fact or omit to state a material fact required to be stated therein or necessary in order to make the statements therein not misleading, (B) the Prospectus complies in all material respects with the requirements of the Securities Act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or for clauses (A) and (B) above, to be true and correct.</w:t>
      </w:r>
    </w:p>
    <w:p>
      <w:pPr>
        <w:spacing w:after="0" w:line="187" w:lineRule="exact"/>
        <w:rPr>
          <w:rFonts w:ascii="Times New Roman" w:cs="Times New Roman" w:eastAsia="Times New Roman" w:hAnsi="Times New Roman"/>
          <w:sz w:val="18"/>
          <w:szCs w:val="18"/>
          <w:color w:val="auto"/>
        </w:rPr>
      </w:pPr>
    </w:p>
    <w:p>
      <w:pPr>
        <w:ind w:right="40" w:firstLine="656"/>
        <w:spacing w:after="0" w:line="261" w:lineRule="auto"/>
        <w:tabs>
          <w:tab w:leader="none" w:pos="131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since the date as of which information is given in the Prospectus, as amended or supplemented to the date hereof.</w:t>
      </w:r>
    </w:p>
    <w:p>
      <w:pPr>
        <w:spacing w:after="0" w:line="180"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possess any material non-public information.</w:t>
      </w:r>
    </w:p>
    <w:p>
      <w:pPr>
        <w:spacing w:after="0" w:line="225" w:lineRule="exact"/>
        <w:rPr>
          <w:rFonts w:ascii="Times New Roman" w:cs="Times New Roman" w:eastAsia="Times New Roman" w:hAnsi="Times New Roman"/>
          <w:sz w:val="18"/>
          <w:szCs w:val="18"/>
          <w:color w:val="auto"/>
        </w:rPr>
      </w:pPr>
    </w:p>
    <w:p>
      <w:pPr>
        <w:jc w:val="both"/>
        <w:ind w:right="140" w:firstLine="656"/>
        <w:spacing w:after="0" w:line="266" w:lineRule="auto"/>
        <w:tabs>
          <w:tab w:leader="none" w:pos="131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Placement Shares that may be sold pursuant to the Sales Agreement has been duly authorized by the Company’s board of directors or a duly authorized committee thereof pursuant to a resolution or unanimous written consent in accordance with the Company’s amended and restated articles of incorporation, amended and restated bylaws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to them in the Sales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undersigned, in his respective capacity as Chief Executive Officer and Chief Financial Officer of the Company, has executed this Officers’ Certificate on behalf of the Company.</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Herriot Tabuteau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17145</wp:posOffset>
            </wp:positionV>
            <wp:extent cx="32156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17145</wp:posOffset>
            </wp:positionV>
            <wp:extent cx="32156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Signature Page to Officers’ Certificate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240" w:top="337" w:right="9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Broadway, 3rd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Axsome Therapeutics, Inc. Registration Statement on Form S-3 (File No. 333-214859)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counsel to Axsome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issuance and sale by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of shares of the Company’s common stock, par value $0.0001 per share, having an aggregate offering price of up to $50.0 million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Shares</w:t>
      </w:r>
      <w:r>
        <w:rPr>
          <w:rFonts w:ascii="Times New Roman" w:cs="Times New Roman" w:eastAsia="Times New Roman" w:hAnsi="Times New Roman"/>
          <w:sz w:val="18"/>
          <w:szCs w:val="18"/>
          <w:color w:val="auto"/>
        </w:rPr>
        <w:t>”), pursuant to the Registration Statement on Form S-3 (File No. 333-214859), filed with the Securities and Exchange Commission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on December 1, 2016, which was declared effective by the SEC on December 16, 2016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related base prospectus, dated December 16, 2016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the prospectus supplement, dated May 9,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filed with the SEC pursuant to Rule 424(b) under the Act, and a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dated May 9, 2019 by and between the Company and SVB Leerink LLC, as sales agent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this opinion letter, we have examined the Registration Statement, the Prospectus, the Sales Agreement,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Based upon the foregoing, we are of the opinion that the Placement Shares have been duly authorized by the Company and, when issued and sold by the Company and delivered by the Company against receipt of the purchase price therefor, in the manner contemplated by the Sales Agreement, will be validly issued, fully paid and non-assessable.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herein are limited to the Delaware General Corporation Law.</w:t>
      </w:r>
    </w:p>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Exhibit 5.1 to the Registration Statement and to the reference to us under the caption “Legal Matters” in the Prospectus Supplement. In giving such consent, we do not hereby admit that we are acting within the category of persons whose consent is required under Section 7 of the Act or the rules or regulations of the SEC thereunder.</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1."/>
      <w:numFmt w:val="decimal"/>
      <w:start w:val="2"/>
    </w:lvl>
  </w:abstractNum>
  <w:abstractNum w:abstractNumId="2">
    <w:nsid w:val="5072367"/>
    <w:multiLevelType w:val="hybridMultilevel"/>
    <w:lvl w:ilvl="0">
      <w:lvlJc w:val="left"/>
      <w:lvlText w:val="%1."/>
      <w:numFmt w:val="decimal"/>
      <w:start w:val="3"/>
    </w:lvl>
  </w:abstractNum>
  <w:abstractNum w:abstractNumId="3">
    <w:nsid w:val="3804823E"/>
    <w:multiLevelType w:val="hybridMultilevel"/>
    <w:lvl w:ilvl="0">
      <w:lvlJc w:val="left"/>
      <w:lvlText w:val="(%1)"/>
      <w:numFmt w:val="lowerLetter"/>
      <w:start w:val="1"/>
    </w:lvl>
  </w:abstractNum>
  <w:abstractNum w:abstractNumId="4">
    <w:nsid w:val="77465F01"/>
    <w:multiLevelType w:val="hybridMultilevel"/>
    <w:lvl w:ilvl="0">
      <w:lvlJc w:val="left"/>
      <w:lvlText w:val="(%1)"/>
      <w:numFmt w:val="lowerLetter"/>
      <w:start w:val="2"/>
    </w:lvl>
  </w:abstractNum>
  <w:abstractNum w:abstractNumId="5">
    <w:nsid w:val="7724C67E"/>
    <w:multiLevelType w:val="hybridMultilevel"/>
    <w:lvl w:ilvl="0">
      <w:lvlJc w:val="left"/>
      <w:lvlText w:val="%1."/>
      <w:numFmt w:val="decimal"/>
      <w:start w:val="5"/>
    </w:lvl>
  </w:abstractNum>
  <w:abstractNum w:abstractNumId="6">
    <w:nsid w:val="5C482A97"/>
    <w:multiLevelType w:val="hybridMultilevel"/>
    <w:lvl w:ilvl="0">
      <w:lvlJc w:val="left"/>
      <w:lvlText w:val="(%1)"/>
      <w:numFmt w:val="lowerLetter"/>
      <w:start w:val="1"/>
    </w:lvl>
  </w:abstractNum>
  <w:abstractNum w:abstractNumId="7">
    <w:nsid w:val="2463B9EA"/>
    <w:multiLevelType w:val="hybridMultilevel"/>
    <w:lvl w:ilvl="0">
      <w:lvlJc w:val="left"/>
      <w:lvlText w:val="%1"/>
      <w:numFmt w:val="lowerLetter"/>
      <w:start w:val="1"/>
    </w:lvl>
    <w:lvl w:ilvl="1">
      <w:lvlJc w:val="left"/>
      <w:lvlText w:val="(%2)"/>
      <w:numFmt w:val="lowerLetter"/>
      <w:start w:val="3"/>
    </w:lvl>
  </w:abstractNum>
  <w:abstractNum w:abstractNumId="8">
    <w:nsid w:val="5E884ADC"/>
    <w:multiLevelType w:val="hybridMultilevel"/>
    <w:lvl w:ilvl="0">
      <w:lvlJc w:val="left"/>
      <w:lvlText w:val="(%1)"/>
      <w:numFmt w:val="lowerLetter"/>
      <w:start w:val="61"/>
    </w:lvl>
    <w:lvl w:ilvl="1">
      <w:lvlJc w:val="left"/>
      <w:lvlText w:val="%2"/>
      <w:numFmt w:val="lowerLetter"/>
      <w:start w:val="1"/>
    </w:lvl>
  </w:abstractNum>
  <w:abstractNum w:abstractNumId="9">
    <w:nsid w:val="51EAD36B"/>
    <w:multiLevelType w:val="hybridMultilevel"/>
    <w:lvl w:ilvl="0">
      <w:lvlJc w:val="left"/>
      <w:lvlText w:val="%1."/>
      <w:numFmt w:val="decimal"/>
      <w:start w:val="6"/>
    </w:lvl>
  </w:abstractNum>
  <w:abstractNum w:abstractNumId="10">
    <w:nsid w:val="2D517796"/>
    <w:multiLevelType w:val="hybridMultilevel"/>
    <w:lvl w:ilvl="0">
      <w:lvlJc w:val="left"/>
      <w:lvlText w:val="(%1)"/>
      <w:numFmt w:val="lowerLetter"/>
      <w:start w:val="1"/>
    </w:lvl>
  </w:abstractNum>
  <w:abstractNum w:abstractNumId="11">
    <w:nsid w:val="580BD78F"/>
    <w:multiLevelType w:val="hybridMultilevel"/>
    <w:lvl w:ilvl="0">
      <w:lvlJc w:val="left"/>
      <w:lvlText w:val="(%1)"/>
      <w:numFmt w:val="lowerLetter"/>
      <w:start w:val="2"/>
    </w:lvl>
  </w:abstractNum>
  <w:abstractNum w:abstractNumId="12">
    <w:nsid w:val="153EA438"/>
    <w:multiLevelType w:val="hybridMultilevel"/>
    <w:lvl w:ilvl="0">
      <w:lvlJc w:val="left"/>
      <w:lvlText w:val="(%1)"/>
      <w:numFmt w:val="lowerLetter"/>
      <w:start w:val="6"/>
    </w:lvl>
  </w:abstractNum>
  <w:abstractNum w:abstractNumId="13">
    <w:nsid w:val="3855585C"/>
    <w:multiLevelType w:val="hybridMultilevel"/>
    <w:lvl w:ilvl="0">
      <w:lvlJc w:val="left"/>
      <w:lvlText w:val="(%1)"/>
      <w:numFmt w:val="lowerLetter"/>
      <w:start w:val="12"/>
    </w:lvl>
  </w:abstractNum>
  <w:abstractNum w:abstractNumId="14">
    <w:nsid w:val="70A64E2A"/>
    <w:multiLevelType w:val="hybridMultilevel"/>
    <w:lvl w:ilvl="0">
      <w:lvlJc w:val="left"/>
      <w:lvlText w:val="(%1)"/>
      <w:numFmt w:val="lowerLetter"/>
      <w:start w:val="14"/>
    </w:lvl>
  </w:abstractNum>
  <w:abstractNum w:abstractNumId="15">
    <w:nsid w:val="6A2342EC"/>
    <w:multiLevelType w:val="hybridMultilevel"/>
    <w:lvl w:ilvl="0">
      <w:lvlJc w:val="left"/>
      <w:lvlText w:val="(%1)"/>
      <w:numFmt w:val="lowerLetter"/>
      <w:start w:val="19"/>
    </w:lvl>
  </w:abstractNum>
  <w:abstractNum w:abstractNumId="16">
    <w:nsid w:val="2A487CB0"/>
    <w:multiLevelType w:val="hybridMultilevel"/>
    <w:lvl w:ilvl="0">
      <w:lvlJc w:val="left"/>
      <w:lvlText w:val="%1"/>
      <w:numFmt w:val="lowerLetter"/>
      <w:start w:val="1"/>
    </w:lvl>
    <w:lvl w:ilvl="1">
      <w:lvlJc w:val="left"/>
      <w:lvlText w:val="(%2)"/>
      <w:numFmt w:val="lowerLetter"/>
      <w:start w:val="22"/>
    </w:lvl>
  </w:abstractNum>
  <w:abstractNum w:abstractNumId="17">
    <w:nsid w:val="1D4ED43B"/>
    <w:multiLevelType w:val="hybridMultilevel"/>
    <w:lvl w:ilvl="0">
      <w:lvlJc w:val="left"/>
      <w:lvlText w:val="(%1)"/>
      <w:numFmt w:val="lowerLetter"/>
      <w:start w:val="35"/>
    </w:lvl>
    <w:lvl w:ilvl="1">
      <w:lvlJc w:val="left"/>
      <w:lvlText w:val="(%2)"/>
      <w:numFmt w:val="lowerLetter"/>
      <w:start w:val="23"/>
    </w:lvl>
  </w:abstractNum>
  <w:abstractNum w:abstractNumId="18">
    <w:nsid w:val="725A06FB"/>
    <w:multiLevelType w:val="hybridMultilevel"/>
    <w:lvl w:ilvl="0">
      <w:lvlJc w:val="left"/>
      <w:lvlText w:val="(%1)"/>
      <w:numFmt w:val="lowerLetter"/>
      <w:start w:val="61"/>
    </w:lvl>
    <w:lvl w:ilvl="1">
      <w:lvlJc w:val="left"/>
      <w:lvlText w:val="(%2)"/>
      <w:numFmt w:val="lowerLetter"/>
      <w:start w:val="25"/>
    </w:lvl>
  </w:abstractNum>
  <w:abstractNum w:abstractNumId="19">
    <w:nsid w:val="2CD89A32"/>
    <w:multiLevelType w:val="hybridMultilevel"/>
    <w:lvl w:ilvl="0">
      <w:lvlJc w:val="left"/>
      <w:lvlText w:val="(%1)"/>
      <w:numFmt w:val="lowerLetter"/>
      <w:start w:val="61"/>
    </w:lvl>
    <w:lvl w:ilvl="1">
      <w:lvlJc w:val="left"/>
      <w:lvlText w:val="%2"/>
      <w:numFmt w:val="lowerLetter"/>
      <w:start w:val="1"/>
    </w:lvl>
  </w:abstractNum>
  <w:abstractNum w:abstractNumId="20">
    <w:nsid w:val="57E4CCAF"/>
    <w:multiLevelType w:val="hybridMultilevel"/>
    <w:lvl w:ilvl="0">
      <w:lvlJc w:val="left"/>
      <w:lvlText w:val="(%1)"/>
      <w:numFmt w:val="lowerLetter"/>
      <w:start w:val="26"/>
    </w:lvl>
  </w:abstractNum>
  <w:abstractNum w:abstractNumId="21">
    <w:nsid w:val="7A6D8D3C"/>
    <w:multiLevelType w:val="hybridMultilevel"/>
    <w:lvl w:ilvl="0">
      <w:lvlJc w:val="left"/>
      <w:lvlText w:val="(%1)"/>
      <w:numFmt w:val="lowerLetter"/>
      <w:start w:val="27"/>
    </w:lvl>
  </w:abstractNum>
  <w:abstractNum w:abstractNumId="22">
    <w:nsid w:val="4B588F54"/>
    <w:multiLevelType w:val="hybridMultilevel"/>
    <w:lvl w:ilvl="0">
      <w:lvlJc w:val="left"/>
      <w:lvlText w:val="%1"/>
      <w:numFmt w:val="upperLetter"/>
      <w:start w:val="1"/>
    </w:lvl>
    <w:lvl w:ilvl="1">
      <w:lvlJc w:val="left"/>
      <w:lvlText w:val="(%2)"/>
      <w:numFmt w:val="lowerLetter"/>
      <w:start w:val="30"/>
    </w:lvl>
  </w:abstractNum>
  <w:abstractNum w:abstractNumId="23">
    <w:nsid w:val="542289EC"/>
    <w:multiLevelType w:val="hybridMultilevel"/>
    <w:lvl w:ilvl="0">
      <w:lvlJc w:val="left"/>
      <w:lvlText w:val="(%1)"/>
      <w:numFmt w:val="upperLetter"/>
      <w:start w:val="3"/>
    </w:lvl>
    <w:lvl w:ilvl="1">
      <w:lvlJc w:val="left"/>
      <w:lvlText w:val="(%2)"/>
      <w:numFmt w:val="lowerLetter"/>
      <w:start w:val="31"/>
    </w:lvl>
  </w:abstractNum>
  <w:abstractNum w:abstractNumId="24">
    <w:nsid w:val="6DE91B18"/>
    <w:multiLevelType w:val="hybridMultilevel"/>
    <w:lvl w:ilvl="0">
      <w:lvlJc w:val="left"/>
      <w:lvlText w:val="(%1)"/>
      <w:numFmt w:val="lowerLetter"/>
      <w:start w:val="34"/>
    </w:lvl>
  </w:abstractNum>
  <w:abstractNum w:abstractNumId="25">
    <w:nsid w:val="38437FDB"/>
    <w:multiLevelType w:val="hybridMultilevel"/>
    <w:lvl w:ilvl="0">
      <w:lvlJc w:val="left"/>
      <w:lvlText w:val="(%1)"/>
      <w:numFmt w:val="lowerLetter"/>
      <w:start w:val="37"/>
    </w:lvl>
  </w:abstractNum>
  <w:abstractNum w:abstractNumId="26">
    <w:nsid w:val="7644A45C"/>
    <w:multiLevelType w:val="hybridMultilevel"/>
    <w:lvl w:ilvl="0">
      <w:lvlJc w:val="left"/>
      <w:lvlText w:val="(%1)"/>
      <w:numFmt w:val="lowerLetter"/>
      <w:start w:val="41"/>
    </w:lvl>
  </w:abstractNum>
  <w:abstractNum w:abstractNumId="27">
    <w:nsid w:val="32FFF902"/>
    <w:multiLevelType w:val="hybridMultilevel"/>
    <w:lvl w:ilvl="0">
      <w:lvlJc w:val="left"/>
      <w:lvlText w:val="(%1)"/>
      <w:numFmt w:val="lowerLetter"/>
      <w:start w:val="43"/>
    </w:lvl>
  </w:abstractNum>
  <w:abstractNum w:abstractNumId="28">
    <w:nsid w:val="684A481A"/>
    <w:multiLevelType w:val="hybridMultilevel"/>
    <w:lvl w:ilvl="0">
      <w:lvlJc w:val="left"/>
      <w:lvlText w:val="(%1)"/>
      <w:numFmt w:val="lowerLetter"/>
      <w:start w:val="44"/>
    </w:lvl>
  </w:abstractNum>
  <w:abstractNum w:abstractNumId="29">
    <w:nsid w:val="579478FE"/>
    <w:multiLevelType w:val="hybridMultilevel"/>
    <w:lvl w:ilvl="0">
      <w:lvlJc w:val="left"/>
      <w:lvlText w:val="(%1)"/>
      <w:numFmt w:val="lowerLetter"/>
      <w:start w:val="46"/>
    </w:lvl>
  </w:abstractNum>
  <w:abstractNum w:abstractNumId="30">
    <w:nsid w:val="749ABB43"/>
    <w:multiLevelType w:val="hybridMultilevel"/>
    <w:lvl w:ilvl="0">
      <w:lvlJc w:val="left"/>
      <w:lvlText w:val="(%1)"/>
      <w:numFmt w:val="lowerLetter"/>
      <w:start w:val="52"/>
    </w:lvl>
  </w:abstractNum>
  <w:abstractNum w:abstractNumId="31">
    <w:nsid w:val="3DC240FB"/>
    <w:multiLevelType w:val="hybridMultilevel"/>
    <w:lvl w:ilvl="0">
      <w:lvlJc w:val="left"/>
      <w:lvlText w:val="%1"/>
      <w:numFmt w:val="lowerLetter"/>
      <w:start w:val="1"/>
    </w:lvl>
    <w:lvl w:ilvl="1">
      <w:lvlJc w:val="left"/>
      <w:lvlText w:val="(%2)"/>
      <w:numFmt w:val="lowerLetter"/>
      <w:start w:val="53"/>
    </w:lvl>
  </w:abstractNum>
  <w:abstractNum w:abstractNumId="32">
    <w:nsid w:val="1BA026FA"/>
    <w:multiLevelType w:val="hybridMultilevel"/>
    <w:lvl w:ilvl="0">
      <w:lvlJc w:val="left"/>
      <w:lvlText w:val="(%1)"/>
      <w:numFmt w:val="lowerLetter"/>
      <w:start w:val="35"/>
    </w:lvl>
    <w:lvl w:ilvl="1">
      <w:lvlJc w:val="left"/>
      <w:lvlText w:val="(%2)"/>
      <w:numFmt w:val="lowerLetter"/>
      <w:start w:val="54"/>
    </w:lvl>
  </w:abstractNum>
  <w:abstractNum w:abstractNumId="33">
    <w:nsid w:val="79A1DEAA"/>
    <w:multiLevelType w:val="hybridMultilevel"/>
    <w:lvl w:ilvl="0">
      <w:lvlJc w:val="left"/>
      <w:lvlText w:val="%1."/>
      <w:numFmt w:val="decimal"/>
      <w:start w:val="7"/>
    </w:lvl>
  </w:abstractNum>
  <w:abstractNum w:abstractNumId="34">
    <w:nsid w:val="75C6C33A"/>
    <w:multiLevelType w:val="hybridMultilevel"/>
    <w:lvl w:ilvl="0">
      <w:lvlJc w:val="left"/>
      <w:lvlText w:val="(%1)"/>
      <w:numFmt w:val="lowerLetter"/>
      <w:start w:val="1"/>
    </w:lvl>
  </w:abstractNum>
  <w:abstractNum w:abstractNumId="35">
    <w:nsid w:val="12E685FB"/>
    <w:multiLevelType w:val="hybridMultilevel"/>
    <w:lvl w:ilvl="0">
      <w:lvlJc w:val="left"/>
      <w:lvlText w:val="(%1)"/>
      <w:numFmt w:val="lowerLetter"/>
      <w:start w:val="2"/>
    </w:lvl>
  </w:abstractNum>
  <w:abstractNum w:abstractNumId="36">
    <w:nsid w:val="70C6A529"/>
    <w:multiLevelType w:val="hybridMultilevel"/>
    <w:lvl w:ilvl="0">
      <w:lvlJc w:val="left"/>
      <w:lvlText w:val="%1"/>
      <w:numFmt w:val="lowerRoman"/>
      <w:start w:val="1"/>
    </w:lvl>
    <w:lvl w:ilvl="1">
      <w:lvlJc w:val="left"/>
      <w:lvlText w:val="(%2)"/>
      <w:numFmt w:val="lowerLetter"/>
      <w:start w:val="5"/>
    </w:lvl>
  </w:abstractNum>
  <w:abstractNum w:abstractNumId="37">
    <w:nsid w:val="520EEDD1"/>
    <w:multiLevelType w:val="hybridMultilevel"/>
    <w:lvl w:ilvl="0">
      <w:lvlJc w:val="left"/>
      <w:lvlText w:val="(%1)"/>
      <w:numFmt w:val="lowerRoman"/>
      <w:start w:val="8"/>
    </w:lvl>
    <w:lvl w:ilvl="1">
      <w:lvlJc w:val="left"/>
      <w:lvlText w:val="(%2)"/>
      <w:numFmt w:val="lowerLetter"/>
      <w:start w:val="8"/>
    </w:lvl>
  </w:abstractNum>
  <w:abstractNum w:abstractNumId="38">
    <w:nsid w:val="374A3FE6"/>
    <w:multiLevelType w:val="hybridMultilevel"/>
    <w:lvl w:ilvl="0">
      <w:lvlJc w:val="left"/>
      <w:lvlText w:val="(%1)"/>
      <w:numFmt w:val="lowerLetter"/>
      <w:start w:val="35"/>
    </w:lvl>
    <w:lvl w:ilvl="1">
      <w:lvlJc w:val="left"/>
      <w:lvlText w:val="(%2)"/>
      <w:numFmt w:val="lowerLetter"/>
      <w:start w:val="10"/>
    </w:lvl>
    <w:lvl w:ilvl="2">
      <w:lvlJc w:val="left"/>
      <w:lvlText w:val="(%3)"/>
      <w:numFmt w:val="lowerLetter"/>
      <w:start w:val="9"/>
    </w:lvl>
  </w:abstractNum>
  <w:abstractNum w:abstractNumId="39">
    <w:nsid w:val="4F4EF005"/>
    <w:multiLevelType w:val="hybridMultilevel"/>
    <w:lvl w:ilvl="0">
      <w:lvlJc w:val="left"/>
      <w:lvlText w:val="%1"/>
      <w:numFmt w:val="lowerRoman"/>
      <w:start w:val="1"/>
    </w:lvl>
    <w:lvl w:ilvl="1">
      <w:lvlJc w:val="left"/>
      <w:lvlText w:val="(%2)"/>
      <w:numFmt w:val="lowerRoman"/>
      <w:start w:val="2"/>
    </w:lvl>
  </w:abstractNum>
  <w:abstractNum w:abstractNumId="40">
    <w:nsid w:val="23F9C13C"/>
    <w:multiLevelType w:val="hybridMultilevel"/>
    <w:lvl w:ilvl="0">
      <w:lvlJc w:val="left"/>
      <w:lvlText w:val="(%1)"/>
      <w:numFmt w:val="lowerRoman"/>
      <w:start w:val="1"/>
    </w:lvl>
    <w:lvl w:ilvl="1">
      <w:lvlJc w:val="left"/>
      <w:lvlText w:val="%2"/>
      <w:numFmt w:val="lowerRoman"/>
      <w:start w:val="1"/>
    </w:lvl>
  </w:abstractNum>
  <w:abstractNum w:abstractNumId="41">
    <w:nsid w:val="649BB77C"/>
    <w:multiLevelType w:val="hybridMultilevel"/>
    <w:lvl w:ilvl="0">
      <w:lvlJc w:val="left"/>
      <w:lvlText w:val="(%1)"/>
      <w:numFmt w:val="lowerLetter"/>
      <w:start w:val="14"/>
    </w:lvl>
  </w:abstractNum>
  <w:abstractNum w:abstractNumId="42">
    <w:nsid w:val="275AC794"/>
    <w:multiLevelType w:val="hybridMultilevel"/>
    <w:lvl w:ilvl="0">
      <w:lvlJc w:val="left"/>
      <w:lvlText w:val="%1"/>
      <w:numFmt w:val="lowerRoman"/>
      <w:start w:val="1"/>
    </w:lvl>
    <w:lvl w:ilvl="1">
      <w:lvlJc w:val="left"/>
      <w:lvlText w:val="(%2)"/>
      <w:numFmt w:val="lowerLetter"/>
      <w:start w:val="16"/>
    </w:lvl>
  </w:abstractNum>
  <w:abstractNum w:abstractNumId="43">
    <w:nsid w:val="39386575"/>
    <w:multiLevelType w:val="hybridMultilevel"/>
    <w:lvl w:ilvl="0">
      <w:lvlJc w:val="left"/>
      <w:lvlText w:val="(%1)"/>
      <w:numFmt w:val="lowerRoman"/>
      <w:start w:val="2"/>
    </w:lvl>
    <w:lvl w:ilvl="1">
      <w:lvlJc w:val="left"/>
      <w:lvlText w:val="(%2)"/>
      <w:numFmt w:val="lowerLetter"/>
      <w:start w:val="17"/>
    </w:lvl>
  </w:abstractNum>
  <w:abstractNum w:abstractNumId="44">
    <w:nsid w:val="1CF10FD8"/>
    <w:multiLevelType w:val="hybridMultilevel"/>
    <w:lvl w:ilvl="0">
      <w:lvlJc w:val="left"/>
      <w:lvlText w:val="(%1)"/>
      <w:numFmt w:val="lowerLetter"/>
      <w:start w:val="20"/>
    </w:lvl>
  </w:abstractNum>
  <w:abstractNum w:abstractNumId="45">
    <w:nsid w:val="180115BE"/>
    <w:multiLevelType w:val="hybridMultilevel"/>
    <w:lvl w:ilvl="0">
      <w:lvlJc w:val="left"/>
      <w:lvlText w:val="(%1)"/>
      <w:numFmt w:val="lowerLetter"/>
      <w:start w:val="25"/>
    </w:lvl>
  </w:abstractNum>
  <w:abstractNum w:abstractNumId="46">
    <w:nsid w:val="235BA861"/>
    <w:multiLevelType w:val="hybridMultilevel"/>
    <w:lvl w:ilvl="0">
      <w:lvlJc w:val="left"/>
      <w:lvlText w:val="(%1)"/>
      <w:numFmt w:val="lowerLetter"/>
      <w:start w:val="27"/>
    </w:lvl>
  </w:abstractNum>
  <w:abstractNum w:abstractNumId="47">
    <w:nsid w:val="47398C89"/>
    <w:multiLevelType w:val="hybridMultilevel"/>
    <w:lvl w:ilvl="0">
      <w:lvlJc w:val="left"/>
      <w:lvlText w:val="%1."/>
      <w:numFmt w:val="decimal"/>
      <w:start w:val="8"/>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lowerLetter"/>
      <w:start w:val="2"/>
    </w:lvl>
  </w:abstractNum>
  <w:abstractNum w:abstractNumId="50">
    <w:nsid w:val="741226BB"/>
    <w:multiLevelType w:val="hybridMultilevel"/>
    <w:lvl w:ilvl="0">
      <w:lvlJc w:val="left"/>
      <w:lvlText w:val="%1"/>
      <w:numFmt w:val="lowerLetter"/>
      <w:start w:val="1"/>
    </w:lvl>
    <w:lvl w:ilvl="1">
      <w:lvlJc w:val="left"/>
      <w:lvlText w:val="(%2)"/>
      <w:numFmt w:val="lowerLetter"/>
      <w:start w:val="8"/>
    </w:lvl>
  </w:abstractNum>
  <w:abstractNum w:abstractNumId="51">
    <w:nsid w:val="D34B6A8"/>
    <w:multiLevelType w:val="hybridMultilevel"/>
    <w:lvl w:ilvl="0">
      <w:lvlJc w:val="left"/>
      <w:lvlText w:val="(%1)"/>
      <w:numFmt w:val="lowerLetter"/>
      <w:start w:val="35"/>
    </w:lvl>
    <w:lvl w:ilvl="1">
      <w:lvlJc w:val="left"/>
      <w:lvlText w:val="(%2)"/>
      <w:numFmt w:val="lowerLetter"/>
      <w:start w:val="16"/>
    </w:lvl>
  </w:abstractNum>
  <w:abstractNum w:abstractNumId="52">
    <w:nsid w:val="10233C99"/>
    <w:multiLevelType w:val="hybridMultilevel"/>
    <w:lvl w:ilvl="0">
      <w:lvlJc w:val="left"/>
      <w:lvlText w:val="%1."/>
      <w:numFmt w:val="decimal"/>
      <w:start w:val="9"/>
    </w:lvl>
  </w:abstractNum>
  <w:abstractNum w:abstractNumId="53">
    <w:nsid w:val="3F6AB60F"/>
    <w:multiLevelType w:val="hybridMultilevel"/>
    <w:lvl w:ilvl="0">
      <w:lvlJc w:val="left"/>
      <w:lvlText w:val="(%1)"/>
      <w:numFmt w:val="lowerLetter"/>
      <w:start w:val="1"/>
    </w:lvl>
  </w:abstractNum>
  <w:abstractNum w:abstractNumId="54">
    <w:nsid w:val="61574095"/>
    <w:multiLevelType w:val="hybridMultilevel"/>
    <w:lvl w:ilvl="0">
      <w:lvlJc w:val="left"/>
      <w:lvlText w:val="(%1)"/>
      <w:numFmt w:val="lowerLetter"/>
      <w:start w:val="4"/>
    </w:lvl>
  </w:abstractNum>
  <w:abstractNum w:abstractNumId="55">
    <w:nsid w:val="7E0C57B1"/>
    <w:multiLevelType w:val="hybridMultilevel"/>
    <w:lvl w:ilvl="0">
      <w:lvlJc w:val="left"/>
      <w:lvlText w:val="%1."/>
      <w:numFmt w:val="decimal"/>
      <w:start w:val="10"/>
    </w:lvl>
  </w:abstractNum>
  <w:abstractNum w:abstractNumId="56">
    <w:nsid w:val="77AE35EB"/>
    <w:multiLevelType w:val="hybridMultilevel"/>
    <w:lvl w:ilvl="0">
      <w:lvlJc w:val="left"/>
      <w:lvlText w:val="%1."/>
      <w:numFmt w:val="decimal"/>
      <w:start w:val="11"/>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decimal"/>
      <w:start w:val="12"/>
    </w:lvl>
  </w:abstractNum>
  <w:abstractNum w:abstractNumId="59">
    <w:nsid w:val="5FF87E05"/>
    <w:multiLevelType w:val="hybridMultilevel"/>
    <w:lvl w:ilvl="0">
      <w:lvlJc w:val="left"/>
      <w:lvlText w:val="%1"/>
      <w:numFmt w:val="decimal"/>
      <w:start w:val="200"/>
    </w:lvl>
  </w:abstractNum>
  <w:abstractNum w:abstractNumId="60">
    <w:nsid w:val="2F305DEF"/>
    <w:multiLevelType w:val="hybridMultilevel"/>
    <w:lvl w:ilvl="0">
      <w:lvlJc w:val="left"/>
      <w:lvlText w:val="%1."/>
      <w:numFmt w:val="decimal"/>
      <w:start w:val="13"/>
    </w:lvl>
  </w:abstractNum>
  <w:abstractNum w:abstractNumId="61">
    <w:nsid w:val="25A70BF7"/>
    <w:multiLevelType w:val="hybridMultilevel"/>
    <w:lvl w:ilvl="0">
      <w:lvlJc w:val="left"/>
      <w:lvlText w:val="%1."/>
      <w:numFmt w:val="decimal"/>
      <w:start w:val="16"/>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decimal"/>
      <w:start w:val="19"/>
    </w:lvl>
  </w:abstractNum>
  <w:abstractNum w:abstractNumId="64">
    <w:nsid w:val="1F48EAA1"/>
    <w:multiLevelType w:val="hybridMultilevel"/>
    <w:lvl w:ilvl="0">
      <w:lvlJc w:val="left"/>
      <w:lvlText w:val="%1."/>
      <w:numFmt w:val="decimal"/>
      <w:start w:val="20"/>
    </w:lvl>
  </w:abstractNum>
  <w:abstractNum w:abstractNumId="65">
    <w:nsid w:val="1381823A"/>
    <w:multiLevelType w:val="hybridMultilevel"/>
    <w:lvl w:ilvl="0">
      <w:lvlJc w:val="left"/>
      <w:lvlText w:val="(%1)"/>
      <w:numFmt w:val="lowerLetter"/>
      <w:start w:val="1"/>
    </w:lvl>
  </w:abstractNum>
  <w:abstractNum w:abstractNumId="66">
    <w:nsid w:val="5DB70AE5"/>
    <w:multiLevelType w:val="hybridMultilevel"/>
    <w:lvl w:ilvl="0">
      <w:lvlJc w:val="left"/>
      <w:lvlText w:val="%1."/>
      <w:numFmt w:val="decimal"/>
      <w:start w:val="21"/>
    </w:lvl>
  </w:abstractNum>
  <w:abstractNum w:abstractNumId="67">
    <w:nsid w:val="100F8FCA"/>
    <w:multiLevelType w:val="hybridMultilevel"/>
    <w:lvl w:ilvl="0">
      <w:lvlJc w:val="left"/>
      <w:lvlText w:val="%1."/>
      <w:numFmt w:val="decimal"/>
      <w:start w:val="23"/>
    </w:lvl>
  </w:abstractNum>
  <w:abstractNum w:abstractNumId="68">
    <w:nsid w:val="6590700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2019-12-28T12:45:26Z</dcterms:created>
  <dcterms:modified xsi:type="dcterms:W3CDTF">2019-12-28T12:45:26Z</dcterms:modified>
</cp:coreProperties>
</file>