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173355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25, 2020</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1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0"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Cortlandt Street, 16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4"/>
          <w:szCs w:val="24"/>
          <w:color w:val="auto"/>
        </w:rPr>
      </w:pPr>
    </w:p>
    <w:p>
      <w:pPr>
        <w:ind w:left="164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New York, New York</w:t>
      </w:r>
      <w:r>
        <w:rPr>
          <w:sz w:val="20"/>
          <w:szCs w:val="20"/>
          <w:color w:val="auto"/>
        </w:rPr>
        <w:tab/>
      </w:r>
      <w:r>
        <w:rPr>
          <w:rFonts w:ascii="Times New Roman" w:cs="Times New Roman" w:eastAsia="Times New Roman" w:hAnsi="Times New Roman"/>
          <w:sz w:val="17"/>
          <w:szCs w:val="17"/>
          <w:b w:val="1"/>
          <w:bCs w:val="1"/>
          <w:color w:val="auto"/>
        </w:rPr>
        <w:t>10007</w:t>
      </w:r>
    </w:p>
    <w:p>
      <w:pPr>
        <w:ind w:left="102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tbl>
      <w:tblPr>
        <w:tblLayout w:type="fixed"/>
        <w:tblInd w:w="500" w:type="dxa"/>
        <w:tblCellMar>
          <w:top w:w="0" w:type="dxa"/>
          <w:left w:w="0" w:type="dxa"/>
          <w:bottom w:w="0" w:type="dxa"/>
          <w:right w:w="0" w:type="dxa"/>
        </w:tblCellMar>
      </w:tblPr>
      <w:tr>
        <w:trPr>
          <w:trHeight w:val="187"/>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128905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6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1.01 Entry Into a Material Definitive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20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On September 25, 2020 (the “Closing Date”), Axsome Therapeutics, Inc.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16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Amount</w:t>
      </w:r>
      <w:r>
        <w:rPr>
          <w:rFonts w:ascii="Times New Roman" w:cs="Times New Roman" w:eastAsia="Times New Roman" w:hAnsi="Times New Roman"/>
          <w:sz w:val="18"/>
          <w:szCs w:val="18"/>
          <w:color w:val="auto"/>
        </w:rPr>
        <w:t>. The Loan Agreement provides for term loans in an aggregate principal amount of up to $225.0 million under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tranches. The tranches consist of (i) a first tranche consisting of term loans in an aggregate principal amount of $60.0 million, of which $50.0 million was funded to the Company on the Closing Date (the “First Advance”), and of which the remaining $10.0 million is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Company intends to use the proceeds of the Term Loan Advances for working capital and general corporate purposes. In addition, approximately $21.5 million of the proceeds from the First Advance was used to satisfy in full and retire the Company’s indebtedness under its previously outstanding credit facility with Silicon Valley Bank and West River Innovation Lending Fund VIII, LP (the “SVB Term Loan”).</w:t>
      </w:r>
    </w:p>
    <w:p>
      <w:pPr>
        <w:spacing w:after="0" w:line="18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Interest Rate and Repayment</w:t>
      </w:r>
      <w:r>
        <w:rPr>
          <w:rFonts w:ascii="Times New Roman" w:cs="Times New Roman" w:eastAsia="Times New Roman" w:hAnsi="Times New Roman"/>
          <w:sz w:val="18"/>
          <w:szCs w:val="18"/>
          <w:color w:val="auto"/>
        </w:rPr>
        <w:t>. The outstanding principal balance of the term loans bears interest at an annual rate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greater of either (i) the prime rate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plus 5.90% or (ii) 9.15%, subject to an ability by the Company, during certain periods (each, a “PIK Deferral Period”), to request a reduction of the then-effective cash-pay interest rate by up to 1.00% per annum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76"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Prepayment Penalty</w:t>
      </w:r>
      <w:r>
        <w:rPr>
          <w:rFonts w:ascii="Times New Roman" w:cs="Times New Roman" w:eastAsia="Times New Roman" w:hAnsi="Times New Roman"/>
          <w:sz w:val="18"/>
          <w:szCs w:val="18"/>
          <w:color w:val="auto"/>
        </w:rPr>
        <w:t>. The Company may, at its option prepay the term loans in full or in part, subject to a prepayment penalty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67"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i w:val="1"/>
          <w:iCs w:val="1"/>
          <w:color w:val="auto"/>
        </w:rPr>
        <w:t>Covenants; Representations and Warranties; Other Provisions</w:t>
      </w:r>
      <w:r>
        <w:rPr>
          <w:rFonts w:ascii="Times New Roman" w:cs="Times New Roman" w:eastAsia="Times New Roman" w:hAnsi="Times New Roman"/>
          <w:sz w:val="18"/>
          <w:szCs w:val="18"/>
          <w:color w:val="auto"/>
        </w:rPr>
        <w:t>. The Loan Agreement contains customary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are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as further detailed in the Loan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 w:name="page3"/>
    <w:bookmarkEnd w:id="2"/>
    <w:p>
      <w:pPr>
        <w:ind w:right="10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Default Provisions</w:t>
      </w:r>
      <w:r>
        <w:rPr>
          <w:rFonts w:ascii="Times New Roman" w:cs="Times New Roman" w:eastAsia="Times New Roman" w:hAnsi="Times New Roman"/>
          <w:sz w:val="18"/>
          <w:szCs w:val="18"/>
          <w:color w:val="auto"/>
        </w:rPr>
        <w:t>. The Loan Agreement provides for events of default customary for term loans of this type,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non-payment, breaches or defaults in the performance of covenants, insolvency, bankruptcy and the occurrence of a material adverse effect on the Company.</w:t>
      </w:r>
    </w:p>
    <w:p>
      <w:pPr>
        <w:spacing w:after="0" w:line="161"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As collateral for the obligations, the Company has granted to Hercules a senior security interest in all of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title, and interest in, to and under all of Company’s property, inclusive of intellectual property, which includes one of the Company’s existing license agreements (the “License Agreement”) with Antecip Bioventures II LLC (“Antecip”), subject to limited exceptions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Antecip consented to the collateral assignment of the License Agreement, among other things, under a direct agreement (the “Direct Agreement”) with the Company and Hercules.</w:t>
      </w:r>
    </w:p>
    <w:p>
      <w:pPr>
        <w:spacing w:after="0" w:line="16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of the Loan Agreement and the Direct Agreement are not complete and are qualified in their entirety by reference to the full text of the Loan Agreement and the Direct Agreement, which will be filed as exhibits to the Company’s next Quarterly Report on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w:t>
      </w:r>
    </w:p>
    <w:p>
      <w:pPr>
        <w:spacing w:after="0" w:line="20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entry into the Loan Agreement, the Company issued to Hercules a warrant (the “Warrant”) to purchase a number of shares of the Company’s common stock, par value $0.0001 per share (the “Common Stock”) equal to 2.5% of the aggregate amount of the Term Loan Advances that are funded, as such amounts are funded. On the Closing Date, the Company issued a Warrant for 15,541 shares of Common Stock. The Warrant will be exercisable for a period of seven years from the date of issuance at a per-share exercise price equal to $80.43, which was the volume weighted average price of the Company’s Common Stock over the ten day trading period immediately preceding the Closing Date, subject to certain adjustments as specified in the Warrant.</w:t>
      </w:r>
    </w:p>
    <w:p>
      <w:pPr>
        <w:spacing w:after="0" w:line="17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issuance of the Warrant by the Company to Hercules was made in reliance on the exemption from registration contained in Section 4(a)(2) of the Securities Act of 1933, as amended.</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Warrant is not complete and is qualified in its entirety by reference to the full text of the Warrant, which will be filed as an exhibit to the Company’s next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0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termination of the SVB Term Loan is incorporated by reference into this Item 1.02.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0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the Loan Agreement is incorporated by reference into this Item 2.03.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0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information provided in Item 1.01 of this Current Report on Form 8-K regarding the Warrant is incorporated by reference into this Item 3.02.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a press release announcing the execution of the Loan Agreement. A copy of the press release is attached hereto as Exhibit 99.1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16"/>
                <w:szCs w:val="16"/>
                <w:color w:val="auto"/>
              </w:rPr>
            </w:pPr>
          </w:p>
        </w:tc>
        <w:tc>
          <w:tcPr>
            <w:tcW w:w="86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Press Release dated September 29, 2020.</w:t>
              </w:r>
            </w:hyperlink>
          </w:p>
        </w:tc>
      </w:tr>
    </w:tbl>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644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9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29, 2020</w:t>
            </w: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78"/>
        </w:trPr>
        <w:tc>
          <w:tcPr>
            <w:tcW w:w="3480" w:type="dxa"/>
            <w:vAlign w:val="bottom"/>
          </w:tcPr>
          <w:p>
            <w:pPr>
              <w:spacing w:after="0"/>
              <w:rPr>
                <w:sz w:val="15"/>
                <w:szCs w:val="15"/>
                <w:color w:val="auto"/>
              </w:rPr>
            </w:pPr>
          </w:p>
        </w:tc>
        <w:tc>
          <w:tcPr>
            <w:tcW w:w="1880" w:type="dxa"/>
            <w:vAlign w:val="bottom"/>
          </w:tcPr>
          <w:p>
            <w:pPr>
              <w:ind w:left="1500"/>
              <w:spacing w:after="0" w:line="177" w:lineRule="exact"/>
              <w:rPr>
                <w:sz w:val="20"/>
                <w:szCs w:val="20"/>
                <w:color w:val="auto"/>
              </w:rPr>
            </w:pPr>
            <w:r>
              <w:rPr>
                <w:rFonts w:ascii="Times New Roman" w:cs="Times New Roman" w:eastAsia="Times New Roman" w:hAnsi="Times New Roman"/>
                <w:sz w:val="18"/>
                <w:szCs w:val="18"/>
                <w:color w:val="auto"/>
                <w:w w:val="74"/>
              </w:rPr>
              <w:t>Name:</w:t>
            </w:r>
          </w:p>
        </w:tc>
        <w:tc>
          <w:tcPr>
            <w:tcW w:w="4560" w:type="dxa"/>
            <w:vAlign w:val="bottom"/>
            <w:tcBorders>
              <w:top w:val="single" w:sz="8" w:color="auto"/>
            </w:tcBorders>
            <w:gridSpan w:val="2"/>
          </w:tcPr>
          <w:p>
            <w:pPr>
              <w:ind w:left="200"/>
              <w:spacing w:after="0" w:line="177"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80" w:type="dxa"/>
            <w:vAlign w:val="bottom"/>
          </w:tcPr>
          <w:p>
            <w:pPr>
              <w:spacing w:after="0"/>
              <w:rPr>
                <w:sz w:val="20"/>
                <w:szCs w:val="20"/>
                <w:color w:val="auto"/>
              </w:rPr>
            </w:pPr>
          </w:p>
        </w:tc>
        <w:tc>
          <w:tcPr>
            <w:tcW w:w="19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7"/>
              </w:rPr>
              <w:t>Title:</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44018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Announces $225 Million Term Loan Facility with Hercules Capital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Non-dilutive committed capital extends cash runway into at least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Facility strengthens balance sheet through anticipated commercial launches of Axsome’s two lead CNS product candidates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YORK, September 29, 2020 (Globe Newswire) – Axsome Therapeutics, Inc. (NASDAQ: AXSM), a biopharmaceutical company developing novel therapies for the management of central nervous system (CNS) disorders, has secured a $225 million term loan facility with Hercules Capital, Inc. (NYSE: HTGC). The committed capital strengthens the Company’s balance sheet through the anticipated commercial launches of its two lead product candidates, AXS-05 for major depressive disorder (MDD) and AXS-07 for migraine, and extends its cash runway into at least 2024, based on current operating plans.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committed non-dilutive capital from this term loan facility increases our financial flexibility as we execute on the anticipated upcoming commercial launches of our first two potentially life-changing investigational medicines for patients living with depression and migraine,” said Herriot Tabuteau, MD, Chief Executive Officer of Axsome. “Simultaneously we will continue to advance the rest of our differentiated late-stage CNS pipeline which includes two other Breakthrough Therapy designated programs, AXS-05 in Alzheimer’s disease agitation and AXS-12 in narcolepsy, as we build a leading CNS company.”</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“Hercules is proud to partner with Axsome ahead of the filing of its New Drug Applications for AXS-05 in depression and for AXS-07 in migraine, and to support its work to develop novel treatments for the millions of patients with CNS disorders,” said Scott Bluestein, Chief Executive Officer and Chief Investment Officer of Hercules Capital. “The significant commitment from Hercules aligns with Axsome’s growth plans and provides an example of the breadth of our platform and our ability to finance life sciences companies through all stages of development.”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new $225 million term loan facility, $60 million may be drawn at closing; $115 million may be drawn at the Company’s option, in three separate tranches, upon approval of AXS-05 in MDD, upon approval of AXS-07 in migraine, and upon certain combined sales criteria for AXS-05 and AXS-07; and an additional $50 million is available, subject to the approval of Hercules Capital, to support future strategic initiatives, including further pipeline advancement or expansion. Of the initial $60 million, the Company drew down $50 million at closing, with the additional $10 million available to be drawn at the Company’s option. A portion of the initial drawdown was used to repay the Company’s previously existing $20 million principal loan with Silicon Valley Bank along with associated final payment fees. The new term loan facility bears interest at a calculated prime-based variable rate currently at 9.15%. It matures in October 2025 and has an initial interest-only payment period of 30 months, which may be extended to up to 48 months upon the drawing of future tranches. Axsome will issue warrants to purchase 15,541 shares of Axsome common stock upon initial funding of the facility.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details of the loan agreement, will be filed with the Securities and Exchange Commission on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117" w:right="1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Hercules Capital,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Hercules Capital, Inc. (NYSE: HTGC) is the leading and largest specialty finance company focused on providing senior secured venture growth loans to high-growth innovative venture capital-backed companies in a broad variety of technology, life sciences and sustainable and renewable technology industries. Since inception (December 2003), Hercules has committed more than $10.5 billion to over 500 companies and is the lender of choice for entrepreneurs and venture capital firms seeking growth capital financing.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with or without a special protocol assessment); the potential for our clinical trials to provide a basis for accelerated approval of our product candidates for the treatment of several indications and accelerate their development timelines and commercial paths to patients (including, but not limited to, with or without a breakthrough therapy designation);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our ability to fund our commercial launch, which assumes product approval;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181" w:lineRule="auto"/>
        <w:rPr>
          <w:sz w:val="20"/>
          <w:szCs w:val="20"/>
          <w:color w:val="auto"/>
        </w:rPr>
      </w:pPr>
      <w:r>
        <w:rPr>
          <w:rFonts w:ascii="Times New Roman" w:cs="Times New Roman" w:eastAsia="Times New Roman" w:hAnsi="Times New Roman"/>
          <w:sz w:val="18"/>
          <w:szCs w:val="18"/>
          <w:color w:val="auto"/>
        </w:rPr>
        <w:t>22 Cortlandt Street,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5880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sectPr>
      <w:pgSz w:w="11900" w:h="16838" w:orient="portrait"/>
      <w:cols w:equalWidth="0" w:num="1">
        <w:col w:w="9240"/>
      </w:cols>
      <w:pgMar w:left="1320" w:top="873"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2020-09-29T06:07:33Z</dcterms:created>
  <dcterms:modified xsi:type="dcterms:W3CDTF">2020-09-29T06:07:33Z</dcterms:modified>
</cp:coreProperties>
</file>