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876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87680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TABUTEAU HERRIOT</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AXSOME THERAPEUTICS,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22 CORTLANDT STREET, 16TH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44"/>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Axsome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AXSM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03/02/2023</w:t>
      </w:r>
    </w:p>
    <w:p>
      <w:pPr>
        <w:spacing w:after="0" w:line="20" w:lineRule="exact"/>
        <w:rPr>
          <w:sz w:val="24"/>
          <w:szCs w:val="24"/>
          <w:color w:val="auto"/>
        </w:rPr>
      </w:pPr>
      <w:r>
        <w:rPr>
          <w:sz w:val="24"/>
          <w:szCs w:val="24"/>
          <w:color w:val="auto"/>
        </w:rPr>
        <w:br w:type="column"/>
      </w: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tbl>
      <w:tblPr>
        <w:tblLayout w:type="fixed"/>
        <w:tblInd w:w="196" w:type="dxa"/>
        <w:tblCellMar>
          <w:top w:w="0" w:type="dxa"/>
          <w:left w:w="0" w:type="dxa"/>
          <w:bottom w:w="0" w:type="dxa"/>
          <w:right w:w="0" w:type="dxa"/>
        </w:tblCellMar>
      </w:tblPr>
      <w:tr>
        <w:trPr>
          <w:trHeight w:val="215"/>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2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280" w:type="dxa"/>
            <w:vAlign w:val="bottom"/>
          </w:tcPr>
          <w:p>
            <w:pPr>
              <w:ind w:left="50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8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96"/>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389"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204"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10007</w:t>
            </w:r>
          </w:p>
        </w:tc>
      </w:tr>
      <w:tr>
        <w:trPr>
          <w:trHeight w:val="146"/>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2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47"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color w:val="0000FF"/>
                <w:w w:val="94"/>
              </w:rPr>
              <w:t>110,032</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ind w:right="123"/>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65.32</w:t>
            </w:r>
          </w:p>
        </w:tc>
        <w:tc>
          <w:tcPr>
            <w:tcW w:w="1080" w:type="dxa"/>
            <w:vAlign w:val="bottom"/>
          </w:tcPr>
          <w:p>
            <w:pPr>
              <w:jc w:val="right"/>
              <w:ind w:right="180"/>
              <w:spacing w:after="0" w:line="128" w:lineRule="exact"/>
              <w:rPr>
                <w:sz w:val="20"/>
                <w:szCs w:val="20"/>
                <w:color w:val="auto"/>
              </w:rPr>
            </w:pPr>
            <w:r>
              <w:rPr>
                <w:rFonts w:ascii="Times New Roman" w:cs="Times New Roman" w:eastAsia="Times New Roman" w:hAnsi="Times New Roman"/>
                <w:sz w:val="13"/>
                <w:szCs w:val="13"/>
                <w:color w:val="0000FF"/>
              </w:rPr>
              <w:t>03/02/2023</w:t>
            </w:r>
          </w:p>
        </w:tc>
        <w:tc>
          <w:tcPr>
            <w:tcW w:w="1060" w:type="dxa"/>
            <w:vAlign w:val="bottom"/>
          </w:tcPr>
          <w:p>
            <w:pPr>
              <w:spacing w:after="0"/>
              <w:rPr>
                <w:sz w:val="11"/>
                <w:szCs w:val="11"/>
                <w:color w:val="auto"/>
              </w:rPr>
            </w:pPr>
          </w:p>
        </w:tc>
        <w:tc>
          <w:tcPr>
            <w:tcW w:w="80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jc w:val="right"/>
              <w:ind w:right="81"/>
              <w:spacing w:after="0" w:line="128" w:lineRule="exact"/>
              <w:rPr>
                <w:sz w:val="20"/>
                <w:szCs w:val="20"/>
                <w:color w:val="auto"/>
              </w:rPr>
            </w:pPr>
            <w:r>
              <w:rPr>
                <w:rFonts w:ascii="Times New Roman" w:cs="Times New Roman" w:eastAsia="Times New Roman" w:hAnsi="Times New Roman"/>
                <w:sz w:val="13"/>
                <w:szCs w:val="13"/>
                <w:color w:val="0000FF"/>
              </w:rPr>
              <w:t>110,032</w:t>
            </w: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tcPr>
          <w:p>
            <w:pPr>
              <w:jc w:val="right"/>
              <w:ind w:right="2"/>
              <w:spacing w:after="0" w:line="128" w:lineRule="exact"/>
              <w:rPr>
                <w:sz w:val="20"/>
                <w:szCs w:val="20"/>
                <w:color w:val="auto"/>
              </w:rPr>
            </w:pPr>
            <w:r>
              <w:rPr>
                <w:rFonts w:ascii="Times New Roman" w:cs="Times New Roman" w:eastAsia="Times New Roman" w:hAnsi="Times New Roman"/>
                <w:sz w:val="13"/>
                <w:szCs w:val="13"/>
                <w:color w:val="0000FF"/>
              </w:rPr>
              <w:t>03/01/2033</w:t>
            </w: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tcPr>
          <w:p>
            <w:pPr>
              <w:ind w:left="20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20" w:type="dxa"/>
            <w:vAlign w:val="bottom"/>
          </w:tcPr>
          <w:p>
            <w:pPr>
              <w:jc w:val="right"/>
              <w:ind w:right="202"/>
              <w:spacing w:after="0" w:line="128" w:lineRule="exact"/>
              <w:rPr>
                <w:sz w:val="20"/>
                <w:szCs w:val="20"/>
                <w:color w:val="auto"/>
              </w:rPr>
            </w:pPr>
            <w:r>
              <w:rPr>
                <w:rFonts w:ascii="Times New Roman" w:cs="Times New Roman" w:eastAsia="Times New Roman" w:hAnsi="Times New Roman"/>
                <w:sz w:val="13"/>
                <w:szCs w:val="13"/>
                <w:color w:val="0000FF"/>
              </w:rPr>
              <w:t>110,032</w:t>
            </w:r>
          </w:p>
        </w:tc>
        <w:tc>
          <w:tcPr>
            <w:tcW w:w="7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right"/>
              <w:ind w:right="242"/>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color w:val="0000FF"/>
              </w:rPr>
              <w:t>62,400</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80" w:type="dxa"/>
            <w:vAlign w:val="bottom"/>
          </w:tcPr>
          <w:p>
            <w:pPr>
              <w:jc w:val="right"/>
              <w:ind w:right="180"/>
              <w:spacing w:after="0" w:line="128" w:lineRule="exact"/>
              <w:rPr>
                <w:sz w:val="20"/>
                <w:szCs w:val="20"/>
                <w:color w:val="auto"/>
              </w:rPr>
            </w:pPr>
            <w:r>
              <w:rPr>
                <w:rFonts w:ascii="Times New Roman" w:cs="Times New Roman" w:eastAsia="Times New Roman" w:hAnsi="Times New Roman"/>
                <w:sz w:val="13"/>
                <w:szCs w:val="13"/>
                <w:color w:val="0000FF"/>
              </w:rPr>
              <w:t>03/02/2023</w:t>
            </w:r>
          </w:p>
        </w:tc>
        <w:tc>
          <w:tcPr>
            <w:tcW w:w="1060" w:type="dxa"/>
            <w:vAlign w:val="bottom"/>
          </w:tcPr>
          <w:p>
            <w:pPr>
              <w:spacing w:after="0"/>
              <w:rPr>
                <w:sz w:val="11"/>
                <w:szCs w:val="11"/>
                <w:color w:val="auto"/>
              </w:rPr>
            </w:pPr>
          </w:p>
        </w:tc>
        <w:tc>
          <w:tcPr>
            <w:tcW w:w="80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jc w:val="right"/>
              <w:ind w:right="101"/>
              <w:spacing w:after="0" w:line="128" w:lineRule="exact"/>
              <w:rPr>
                <w:sz w:val="20"/>
                <w:szCs w:val="20"/>
                <w:color w:val="auto"/>
              </w:rPr>
            </w:pPr>
            <w:r>
              <w:rPr>
                <w:rFonts w:ascii="Times New Roman" w:cs="Times New Roman" w:eastAsia="Times New Roman" w:hAnsi="Times New Roman"/>
                <w:sz w:val="13"/>
                <w:szCs w:val="13"/>
                <w:color w:val="0000FF"/>
              </w:rPr>
              <w:t>62,400</w:t>
            </w: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tcPr>
          <w:p>
            <w:pPr>
              <w:ind w:left="20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20" w:type="dxa"/>
            <w:vAlign w:val="bottom"/>
          </w:tcPr>
          <w:p>
            <w:pPr>
              <w:jc w:val="right"/>
              <w:ind w:right="222"/>
              <w:spacing w:after="0" w:line="128" w:lineRule="exact"/>
              <w:rPr>
                <w:sz w:val="20"/>
                <w:szCs w:val="20"/>
                <w:color w:val="auto"/>
              </w:rPr>
            </w:pPr>
            <w:r>
              <w:rPr>
                <w:rFonts w:ascii="Times New Roman" w:cs="Times New Roman" w:eastAsia="Times New Roman" w:hAnsi="Times New Roman"/>
                <w:sz w:val="13"/>
                <w:szCs w:val="13"/>
                <w:color w:val="0000FF"/>
              </w:rPr>
              <w:t>62,400</w:t>
            </w:r>
          </w:p>
        </w:tc>
        <w:tc>
          <w:tcPr>
            <w:tcW w:w="7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will vest in substantially equal quarterly installments over four years such that the option will be fully vested on March 2, 2027.</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1" w:lineRule="exact"/>
        <w:rPr>
          <w:rFonts w:ascii="Times New Roman" w:cs="Times New Roman" w:eastAsia="Times New Roman" w:hAnsi="Times New Roman"/>
          <w:sz w:val="13"/>
          <w:szCs w:val="13"/>
          <w:color w:val="008000"/>
        </w:rPr>
      </w:pPr>
    </w:p>
    <w:p>
      <w:pPr>
        <w:ind w:left="40" w:right="220"/>
        <w:spacing w:after="0" w:line="235"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RSUs will vest on the one (1) year anniversary of the date of grant. The remaining RSUs will vest in in three substantially equal annual installments, such that the RSUs will be fully vested on March 2, 2027. Vested shares will be delivered to the reporting person upon the earlier of (i) the closing of a Change in Control (as defined in the Issuer's Amended and Restated 2015 Omnibus Incentive Compensation Plan (the "Plan"), (ii) the reporting person's separation of service from the Issuer (including termination with or without Cause (as defined in the Plan), or termination due to death or disability), or (iii) seven (7) years from the date of grant.</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Herriot Tabuteau, M.D.</w:t>
            </w:r>
          </w:p>
        </w:tc>
        <w:tc>
          <w:tcPr>
            <w:tcW w:w="44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03/06/2023</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9927" TargetMode="External"/><Relationship Id="rId13"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2023-03-06T17:42:11Z</dcterms:created>
  <dcterms:modified xsi:type="dcterms:W3CDTF">2023-03-06T17:42:11Z</dcterms:modified>
</cp:coreProperties>
</file>