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axsm-20260630.htm"/>
        <w:bookmarkStart w:id="1" w:name="ksaxsm20260630"/>
        <w:bookmarkEnd w:id="0"/>
        <w:bookmarkEnd w:id="1"/>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UNITED STATES</w:t>
      </w:r>
    </w:p>
    <w:p>
      <w:pPr>
        <w:pStyle w:val="TextBody"/>
        <w:bidi w:val="0"/>
        <w:jc w:val="center"/>
        <w:rPr>
          <w:rFonts w:ascii="Times New Roman" w:hAnsi="Times New Roman"/>
          <w:b/>
          <w:color w:val="000000"/>
          <w:sz w:val="26"/>
        </w:rPr>
      </w:pPr>
      <w:r>
        <w:rPr>
          <w:rFonts w:ascii="Times New Roman" w:hAnsi="Times New Roman"/>
          <w:b/>
          <w:color w:val="000000"/>
          <w:sz w:val="26"/>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26"/>
        </w:rPr>
        <w:t>FORM</w:t>
      </w:r>
      <w:r>
        <w:rPr>
          <w:rFonts w:ascii="Times New Roman" w:hAnsi="Times New Roman"/>
          <w:color w:val="000000"/>
          <w:sz w:val="20"/>
        </w:rPr>
        <w:t xml:space="preserve"> </w:t>
      </w:r>
      <w:r>
        <w:rPr>
          <w:rFonts w:ascii="Times New Roman" w:hAnsi="Times New Roman"/>
          <w:b/>
          <w:color w:val="000000"/>
          <w:sz w:val="26"/>
        </w:rPr>
        <w:t>10-Q</w:t>
      </w:r>
    </w:p>
    <w:p>
      <w:pPr>
        <w:pStyle w:val="TextBody"/>
        <w:bidi w:val="0"/>
        <w:spacing w:before="60" w:after="283"/>
        <w:jc w:val="center"/>
        <w:rPr/>
      </w:pPr>
      <w:r>
        <w:rPr>
          <w:color w:val="000000"/>
        </w:rPr>
        <w:t xml:space="preserve">☒ </w:t>
      </w:r>
      <w:r>
        <w:rPr>
          <w:rFonts w:ascii="Times New Roman" w:hAnsi="Times New Roman"/>
          <w:b/>
          <w:color w:val="000000"/>
          <w:sz w:val="18"/>
        </w:rPr>
        <w:t>QUARTERLY REPORT PURSUANT TO SECTION 13 OR 15(d) OF THE SECURITIES EXCHANGE ACT OF 1934</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OR</w:t>
      </w:r>
    </w:p>
    <w:p>
      <w:pPr>
        <w:pStyle w:val="TextBody"/>
        <w:bidi w:val="0"/>
        <w:spacing w:before="60" w:after="283"/>
        <w:jc w:val="center"/>
        <w:rPr/>
      </w:pPr>
      <w:r>
        <w:rPr>
          <w:color w:val="00000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transition period from ________ to ________</w:t>
      </w:r>
    </w:p>
    <w:p>
      <w:pPr>
        <w:pStyle w:val="TextBody"/>
        <w:bidi w:val="0"/>
        <w:spacing w:before="60" w:after="283"/>
        <w:jc w:val="center"/>
        <w:rPr>
          <w:rFonts w:ascii="Times New Roman" w:hAnsi="Times New Roman"/>
          <w:sz w:val="20"/>
        </w:rPr>
      </w:pPr>
      <w:r>
        <w:rPr>
          <w:rFonts w:ascii="Times New Roman" w:hAnsi="Times New Roman"/>
          <w:b/>
          <w:color w:val="000000"/>
          <w:sz w:val="18"/>
        </w:rPr>
        <w:t>Commission File Number</w:t>
      </w:r>
      <w:r>
        <w:rPr>
          <w:rFonts w:ascii="Times New Roman" w:hAnsi="Times New Roman"/>
          <w:color w:val="000000"/>
          <w:sz w:val="20"/>
        </w:rPr>
        <w:t xml:space="preserve"> </w:t>
      </w:r>
      <w:r>
        <w:rPr>
          <w:rFonts w:ascii="Times New Roman" w:hAnsi="Times New Roman"/>
          <w:b/>
          <w:color w:val="000000"/>
          <w:sz w:val="18"/>
        </w:rPr>
        <w:t>001-37635</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26"/>
        </w:rPr>
      </w:pPr>
      <w:r>
        <w:rPr>
          <w:rFonts w:ascii="Times New Roman" w:hAnsi="Times New Roman"/>
          <w:b/>
          <w:color w:val="000000"/>
          <w:sz w:val="26"/>
        </w:rPr>
        <w:t>AXSOME THERAPEUTICS,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bidi w:val="0"/>
        <w:jc w:val="left"/>
        <w:rPr/>
      </w:pPr>
      <w:r>
        <w:rPr/>
        <w:t> </w:t>
      </w:r>
    </w:p>
    <w:tbl>
      <w:tblPr>
        <w:tblW w:w="6962" w:type="dxa"/>
        <w:jc w:val="left"/>
        <w:tblInd w:w="0" w:type="dxa"/>
        <w:tblLayout w:type="fixed"/>
        <w:tblCellMar>
          <w:top w:w="28" w:type="dxa"/>
          <w:left w:w="28" w:type="dxa"/>
          <w:bottom w:w="28" w:type="dxa"/>
          <w:right w:w="28" w:type="dxa"/>
        </w:tblCellMar>
      </w:tblPr>
      <w:tblGrid>
        <w:gridCol w:w="4291"/>
        <w:gridCol w:w="2671"/>
      </w:tblGrid>
      <w:tr>
        <w:trPr/>
        <w:tc>
          <w:tcPr>
            <w:tcW w:w="429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45-4241907</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bl>
    <w:p>
      <w:pPr>
        <w:pStyle w:val="TextBody"/>
        <w:bidi w:val="0"/>
        <w:jc w:val="left"/>
        <w:rPr/>
      </w:pPr>
      <w:r>
        <w:rPr/>
        <w:t> </w:t>
      </w:r>
    </w:p>
    <w:tbl>
      <w:tblPr>
        <w:tblW w:w="3782" w:type="dxa"/>
        <w:jc w:val="left"/>
        <w:tblInd w:w="0" w:type="dxa"/>
        <w:tblLayout w:type="fixed"/>
        <w:tblCellMar>
          <w:top w:w="28" w:type="dxa"/>
          <w:left w:w="28" w:type="dxa"/>
          <w:bottom w:w="28" w:type="dxa"/>
          <w:right w:w="28" w:type="dxa"/>
        </w:tblCellMar>
      </w:tblPr>
      <w:tblGrid>
        <w:gridCol w:w="2866"/>
        <w:gridCol w:w="916"/>
      </w:tblGrid>
      <w:tr>
        <w:trPr/>
        <w:tc>
          <w:tcPr>
            <w:tcW w:w="28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One World Trade Center</w:t>
            </w:r>
          </w:p>
          <w:p>
            <w:pPr>
              <w:pStyle w:val="TableContents"/>
              <w:bidi w:val="0"/>
              <w:jc w:val="center"/>
              <w:rPr>
                <w:rFonts w:ascii="Times New Roman" w:hAnsi="Times New Roman"/>
                <w:b/>
                <w:color w:val="000000"/>
                <w:sz w:val="18"/>
              </w:rPr>
            </w:pPr>
            <w:r>
              <w:rPr>
                <w:rFonts w:ascii="Times New Roman" w:hAnsi="Times New Roman"/>
                <w:b/>
                <w:color w:val="000000"/>
                <w:sz w:val="18"/>
              </w:rPr>
              <w:t>29th Floor</w:t>
            </w:r>
          </w:p>
          <w:p>
            <w:pPr>
              <w:pStyle w:val="TableContents"/>
              <w:bidi w:val="0"/>
              <w:spacing w:before="0" w:after="283"/>
              <w:jc w:val="center"/>
              <w:rPr>
                <w:rFonts w:ascii="Times New Roman" w:hAnsi="Times New Roman"/>
                <w:sz w:val="18"/>
              </w:rPr>
            </w:pPr>
            <w:r>
              <w:rPr>
                <w:rFonts w:ascii="Times New Roman" w:hAnsi="Times New Roman"/>
                <w:b/>
                <w:color w:val="000000"/>
                <w:sz w:val="18"/>
              </w:rPr>
              <w:t>New York,</w:t>
            </w:r>
            <w:r>
              <w:rPr>
                <w:rFonts w:ascii="Times New Roman" w:hAnsi="Times New Roman"/>
                <w:color w:val="000000"/>
                <w:sz w:val="18"/>
              </w:rPr>
              <w:t xml:space="preserve"> </w:t>
            </w:r>
            <w:r>
              <w:rPr>
                <w:rFonts w:ascii="Times New Roman" w:hAnsi="Times New Roman"/>
                <w:b/>
                <w:color w:val="000000"/>
                <w:sz w:val="18"/>
              </w:rPr>
              <w:t>New York</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10007</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Registrant’s telephone number, including area code: (212)</w:t>
      </w:r>
      <w:r>
        <w:rPr>
          <w:rFonts w:ascii="Times New Roman" w:hAnsi="Times New Roman"/>
          <w:color w:val="000000"/>
          <w:sz w:val="20"/>
        </w:rPr>
        <w:t xml:space="preserve"> </w:t>
      </w:r>
      <w:r>
        <w:rPr>
          <w:rFonts w:ascii="Times New Roman" w:hAnsi="Times New Roman"/>
          <w:b/>
          <w:color w:val="000000"/>
          <w:sz w:val="18"/>
        </w:rPr>
        <w:t>332-3241</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6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8290" w:type="dxa"/>
        <w:jc w:val="left"/>
        <w:tblInd w:w="0" w:type="dxa"/>
        <w:tblLayout w:type="fixed"/>
        <w:tblCellMar>
          <w:top w:w="28" w:type="dxa"/>
          <w:left w:w="28" w:type="dxa"/>
          <w:bottom w:w="28" w:type="dxa"/>
          <w:right w:w="28" w:type="dxa"/>
        </w:tblCellMar>
      </w:tblPr>
      <w:tblGrid>
        <w:gridCol w:w="3301"/>
        <w:gridCol w:w="146"/>
        <w:gridCol w:w="1426"/>
        <w:gridCol w:w="146"/>
        <w:gridCol w:w="327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301"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pPr>
            <w:r>
              <w:rPr/>
              <w:t> </w:t>
            </w:r>
          </w:p>
        </w:tc>
        <w:tc>
          <w:tcPr>
            <w:tcW w:w="3271"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AXSM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Market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6"/>
        </w:rPr>
        <w:t>There were 52,380,818</w:t>
      </w:r>
      <w:r>
        <w:rPr>
          <w:rFonts w:ascii="Times New Roman" w:hAnsi="Times New Roman"/>
          <w:color w:val="000000"/>
          <w:sz w:val="20"/>
        </w:rPr>
        <w:t xml:space="preserve"> </w:t>
      </w:r>
      <w:r>
        <w:rPr>
          <w:rFonts w:ascii="Times New Roman" w:hAnsi="Times New Roman"/>
          <w:color w:val="000000"/>
          <w:sz w:val="16"/>
        </w:rPr>
        <w:t>shares of the registrant’s common stock, $0.0001 par value, outstanding as of August 3, 2026.</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AXSOME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aps/>
          <w:color w:val="000000"/>
          <w:sz w:val="20"/>
        </w:rPr>
      </w:pPr>
      <w:r>
        <w:rPr>
          <w:rFonts w:ascii="Times New Roman" w:hAnsi="Times New Roman"/>
          <w:b/>
          <w:caps/>
          <w:color w:val="000000"/>
          <w:sz w:val="20"/>
        </w:rPr>
        <w:t>FOR THE QUARTER ENDED June 30, 2026</w:t>
      </w:r>
    </w:p>
    <w:p>
      <w:pPr>
        <w:pStyle w:val="TextBody"/>
        <w:bidi w:val="0"/>
        <w:jc w:val="center"/>
        <w:rPr/>
      </w:pPr>
      <w:r>
        <w:rPr/>
        <w:t> </w:t>
      </w:r>
    </w:p>
    <w:p>
      <w:pPr>
        <w:pStyle w:val="TextBody"/>
        <w:bidi w:val="0"/>
        <w:jc w:val="center"/>
        <w:rPr>
          <w:rFonts w:ascii="Times New Roman" w:hAnsi="Times New Roman"/>
          <w:sz w:val="20"/>
        </w:rPr>
      </w:pPr>
      <w:bookmarkStart w:id="2" w:name="table_contents"/>
      <w:bookmarkEnd w:id="2"/>
      <w:r>
        <w:rPr>
          <w:rFonts w:ascii="Times New Roman" w:hAnsi="Times New Roman"/>
          <w:b/>
          <w:color w:val="000000"/>
          <w:sz w:val="20"/>
        </w:rPr>
        <w:t>TABLE</w:t>
      </w:r>
      <w:r>
        <w:rPr>
          <w:rFonts w:ascii="Times New Roman" w:hAnsi="Times New Roman"/>
          <w:color w:val="000000"/>
          <w:sz w:val="20"/>
        </w:rPr>
        <w:t xml:space="preserve"> </w:t>
      </w:r>
      <w:r>
        <w:rPr>
          <w:rFonts w:ascii="Times New Roman" w:hAnsi="Times New Roman"/>
          <w:b/>
          <w:color w:val="000000"/>
          <w:sz w:val="20"/>
        </w:rPr>
        <w:t>OF</w:t>
      </w:r>
      <w:r>
        <w:rPr>
          <w:rFonts w:ascii="Times New Roman" w:hAnsi="Times New Roman"/>
          <w:color w:val="000000"/>
          <w:sz w:val="20"/>
        </w:rPr>
        <w:t xml:space="preserve"> </w:t>
      </w:r>
      <w:r>
        <w:rPr>
          <w:rFonts w:ascii="Times New Roman" w:hAnsi="Times New Roman"/>
          <w:b/>
          <w:color w:val="000000"/>
          <w:sz w:val="20"/>
        </w:rPr>
        <w:t>C</w:t>
      </w:r>
      <w:bookmarkStart w:id="3" w:name="toc_page"/>
      <w:bookmarkEnd w:id="3"/>
      <w:r>
        <w:rPr>
          <w:rFonts w:ascii="Times New Roman" w:hAnsi="Times New Roman"/>
          <w:b/>
          <w:color w:val="000000"/>
          <w:sz w:val="20"/>
        </w:rPr>
        <w:t>ONTENTS</w:t>
      </w:r>
    </w:p>
    <w:p>
      <w:pPr>
        <w:pStyle w:val="TextBody"/>
        <w:bidi w:val="0"/>
        <w:jc w:val="left"/>
        <w:rPr/>
      </w:pPr>
      <w:r>
        <w:rPr/>
        <w:t> </w:t>
      </w:r>
    </w:p>
    <w:tbl>
      <w:tblPr>
        <w:tblW w:w="8969" w:type="dxa"/>
        <w:jc w:val="left"/>
        <w:tblInd w:w="0" w:type="dxa"/>
        <w:tblLayout w:type="fixed"/>
        <w:tblCellMar>
          <w:top w:w="28" w:type="dxa"/>
          <w:left w:w="28" w:type="dxa"/>
          <w:bottom w:w="28" w:type="dxa"/>
          <w:right w:w="28" w:type="dxa"/>
        </w:tblCellMar>
      </w:tblPr>
      <w:tblGrid>
        <w:gridCol w:w="886"/>
        <w:gridCol w:w="7366"/>
        <w:gridCol w:w="14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252" w:type="dxa"/>
            <w:gridSpan w:val="2"/>
            <w:tcBorders/>
            <w:tcMar>
              <w:top w:w="0" w:type="dxa"/>
              <w:left w:w="0" w:type="dxa"/>
              <w:bottom w:w="0" w:type="dxa"/>
              <w:right w:w="0" w:type="dxa"/>
            </w:tcMar>
            <w:vAlign w:val="center"/>
          </w:tcPr>
          <w:p>
            <w:pPr>
              <w:pStyle w:val="TableContents"/>
              <w:bidi w:val="0"/>
              <w:spacing w:before="0" w:after="283"/>
              <w:jc w:val="left"/>
              <w:rPr/>
            </w:pPr>
            <w:hyperlink w:anchor="cautionary_note_regarding_forwardlooking">
              <w:r>
                <w:rPr>
                  <w:rStyle w:val="InternetLink"/>
                  <w:rFonts w:ascii="Times New Roman" w:hAnsi="Times New Roman"/>
                  <w:color w:val="000000"/>
                  <w:sz w:val="20"/>
                </w:rPr>
                <w:t>CAUTIONARY NOTE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2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52"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00"/>
                  <w:sz w:val="20"/>
                </w:rPr>
                <w:t>PART I —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00"/>
                  <w:sz w:val="20"/>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00"/>
                  <w:sz w:val="20"/>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00"/>
                  <w:sz w:val="20"/>
                </w:rPr>
                <w:t>Quantitative and Qualitative Disclosure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00"/>
                  <w:sz w:val="20"/>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2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52" w:type="dxa"/>
            <w:gridSpan w:val="2"/>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00"/>
                  <w:sz w:val="20"/>
                </w:rPr>
                <w:t>PART II —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00"/>
                  <w:sz w:val="20"/>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00"/>
                  <w:sz w:val="20"/>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00"/>
                  <w:sz w:val="20"/>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00"/>
                  <w:sz w:val="20"/>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80"/>
                  <w:sz w:val="20"/>
                </w:rPr>
                <w:t>Signature</w:t>
              </w:r>
            </w:hyperlink>
            <w:r>
              <w:rPr>
                <w:rFonts w:ascii="Times New Roman" w:hAnsi="Times New Roman"/>
                <w:color w:val="000000"/>
                <w:sz w:val="20"/>
              </w:rPr>
              <w: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 w:name="cautionary_note_regarding_forwardlooking"/>
      <w:bookmarkEnd w:id="4"/>
      <w:r>
        <w:rPr>
          <w:rFonts w:ascii="Times New Roman" w:hAnsi="Times New Roman"/>
          <w:b/>
          <w:color w:val="000000"/>
          <w:sz w:val="20"/>
        </w:rPr>
        <w:t>CAUTIONARY NOTE</w:t>
      </w:r>
      <w:r>
        <w:rPr>
          <w:rFonts w:ascii="Times New Roman" w:hAnsi="Times New Roman"/>
          <w:color w:val="000000"/>
          <w:sz w:val="20"/>
        </w:rPr>
        <w:t xml:space="preserve"> </w:t>
      </w:r>
      <w:r>
        <w:rPr>
          <w:rFonts w:ascii="Times New Roman" w:hAnsi="Times New Roman"/>
          <w:b/>
          <w:color w:val="000000"/>
          <w:sz w:val="20"/>
        </w:rPr>
        <w:t>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U.S.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expectations for increases or decreases in expenses;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expectations for the clinical and preclinical development, manufacturing and regulatory approval of our product candidates, and commercialization of our pharmaceutical products or any other products that we may acquire or in-license;</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estimates of the sufficiency of our existing capital resources combined with future anticipated cash flows to finance our operating requirements;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expectations for incurring capital expenditures to expand our research and development and manufacturing capabilities;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unforeseen circumstances or other disruptions to normal business operations arising from or related to geopolitical conflicts or pandemics;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future revenue projections, sales forecasts, and potential peak market data;</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expectations for generating revenue or becoming profitable on a sustained basis;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expectations or ability to enter into marketing and other partnership agreements;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expectations or ability to enter into product acquisitions and in-licensing transactions;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expectations or ability to build our own commercial infrastructure to manufacture, market and sell our products;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expected losses;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ability to obtain and maintain intellectual property protection for our products;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the acceptance of our products by doctors, patients, or payors;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stock price and its volatility;</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ability to attract and retain key personnel;</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the performance of third-party manufacturers;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expectations for future capital requirements; and</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ability to successfully implement our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contained in this report reflect our views and assumptions only as of the date that this report is signed. Except as required by law, we assume no responsibility for updating any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5" w:name="part_i_financial_information"/>
      <w:bookmarkEnd w:id="5"/>
      <w:r>
        <w:rPr>
          <w:rFonts w:ascii="Times New Roman" w:hAnsi="Times New Roman"/>
          <w:b/>
          <w:color w:val="000000"/>
          <w:sz w:val="20"/>
        </w:rPr>
        <w:t>PART I. FINANCIAL INFORMATION</w:t>
      </w:r>
    </w:p>
    <w:p>
      <w:pPr>
        <w:pStyle w:val="TextBody"/>
        <w:bidi w:val="0"/>
        <w:spacing w:before="240" w:after="283"/>
        <w:jc w:val="left"/>
        <w:rPr>
          <w:rFonts w:ascii="Times New Roman" w:hAnsi="Times New Roman"/>
          <w:b/>
          <w:color w:val="000000"/>
          <w:sz w:val="20"/>
        </w:rPr>
      </w:pPr>
      <w:bookmarkStart w:id="6" w:name="item_1_financial_statements"/>
      <w:bookmarkEnd w:id="6"/>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Axsome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952"/>
        <w:gridCol w:w="146"/>
        <w:gridCol w:w="211"/>
        <w:gridCol w:w="991"/>
        <w:gridCol w:w="166"/>
        <w:gridCol w:w="146"/>
        <w:gridCol w:w="211"/>
        <w:gridCol w:w="991"/>
        <w:gridCol w:w="391"/>
      </w:tblGrid>
      <w:tr>
        <w:trPr/>
        <w:tc>
          <w:tcPr>
            <w:tcW w:w="6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588,986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 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inventory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payable,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liability,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per share (10,000,000 shares authorized, none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per share (150,000,000 shares authorized, 52,299,889 and 50,882,766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1,394,251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(1,305,961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Axsome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 (Unaudited)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revenue and milestone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 (excluding amortization and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(107,386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51,799,708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49,442,001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51,500,690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49,158,159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Axsome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Stockholders’ Equity (Unaudited)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3726"/>
        <w:gridCol w:w="146"/>
        <w:gridCol w:w="146"/>
        <w:gridCol w:w="916"/>
        <w:gridCol w:w="146"/>
        <w:gridCol w:w="146"/>
        <w:gridCol w:w="206"/>
        <w:gridCol w:w="365"/>
        <w:gridCol w:w="146"/>
        <w:gridCol w:w="146"/>
        <w:gridCol w:w="212"/>
        <w:gridCol w:w="895"/>
        <w:gridCol w:w="166"/>
        <w:gridCol w:w="146"/>
        <w:gridCol w:w="196"/>
        <w:gridCol w:w="886"/>
        <w:gridCol w:w="166"/>
        <w:gridCol w:w="146"/>
        <w:gridCol w:w="203"/>
        <w:gridCol w:w="687"/>
        <w:gridCol w:w="413"/>
      </w:tblGrid>
      <w:tr>
        <w:trPr/>
        <w:tc>
          <w:tcPr>
            <w:tcW w:w="3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48,667,587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1,179,797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(1,122,787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57,015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23,647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upon 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331,853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17,035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upon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upon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19,257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Shares tendered for withholding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(4,336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(59,413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49,216,759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1,235,400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(1,182,200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53,205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24,954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upon exercise of options and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11,661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upon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32,116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Shares tendered for 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(47,973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49,815,301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1,303,243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(1,230,173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73,075</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50,882,766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1,394,251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(1,305,961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88,295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23,906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upon 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412,310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9,981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upon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6,248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Shares tendered for 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(64,542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51,420,445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1,425,085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(1,370,503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54,587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27,625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upon exercise of options and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755,644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41,968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upon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upon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13,272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Shares tendered for 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(2,834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(51,314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52,299,889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1,505,116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(1,421,817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83,304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Axsome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 (Unaudited)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7442"/>
        <w:gridCol w:w="146"/>
        <w:gridCol w:w="196"/>
        <w:gridCol w:w="751"/>
        <w:gridCol w:w="166"/>
        <w:gridCol w:w="146"/>
        <w:gridCol w:w="196"/>
        <w:gridCol w:w="751"/>
        <w:gridCol w:w="411"/>
      </w:tblGrid>
      <w:tr>
        <w:trPr/>
        <w:tc>
          <w:tcPr>
            <w:tcW w:w="7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from lease modification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 amortization for 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Non-current inventory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(75,798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draw down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(191,988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on principal portion of finance lease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upon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common stock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upon exercise of options and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28,696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of tax withholdings on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315,353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319,850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303,016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 obtained in exchange for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right-of-use asset obtained in exchange for 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 in operating lease right-of-use asset due to lease modification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 in operating lease liability due to lease modification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Axsome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Nature of Business and 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Axsome Therapeutics, Inc. (“Axsome” or the “Company”), based in New York, New York, is a biopharmaceutical company dedicated to the development and commercialization of innovative medicines to improve the brain health of individuals living with central nervous system (“CNS”) conditions. Axsome has a broad and diverse commercial portfolio of four U.S. Food and Drug Administration (“FDA”) approved treatments for major depressive disorder, agitation associated with dementia due to Alzheimer’s disease (AADDAD), excessive daytime sleepiness associated with narcolepsy or obstructive sleep apnea, and migraine. Additionally, Axsome is advancing a deep pipeline of numerous novel product candidates in early- to late-stage development targeting a range of serious, underserved conditions across psychiatry and neurology that collectively impact over 150 million people in the United States.</w:t>
      </w:r>
    </w:p>
    <w:p>
      <w:pPr>
        <w:pStyle w:val="TextBody"/>
        <w:bidi w:val="0"/>
        <w:spacing w:before="240" w:after="283"/>
        <w:jc w:val="left"/>
        <w:rPr>
          <w:rFonts w:ascii="Times New Roman" w:hAnsi="Times New Roman"/>
          <w:sz w:val="20"/>
        </w:rPr>
      </w:pPr>
      <w:r>
        <w:rPr>
          <w:rFonts w:ascii="Times New Roman" w:hAnsi="Times New Roman"/>
          <w:color w:val="000000"/>
          <w:sz w:val="20"/>
        </w:rPr>
        <w:t>SUNOSI</w:t>
      </w:r>
      <w:r>
        <w:rPr>
          <w:rFonts w:ascii="Times New Roman" w:hAnsi="Times New Roman"/>
          <w:color w:val="000000"/>
          <w:sz w:val="13"/>
        </w:rPr>
        <w:t>®</w:t>
      </w:r>
      <w:r>
        <w:rPr>
          <w:rFonts w:ascii="Times New Roman" w:hAnsi="Times New Roman"/>
          <w:color w:val="000000"/>
          <w:sz w:val="20"/>
        </w:rPr>
        <w:t xml:space="preserve"> is a novel, oral, dopamine and norepinephrine reuptake inhibitor (DNRI), trace amine-associated receptor 1 (TAAR1) agonist, and 5-HT1A agonist approved in the United States, the European Union, and Canada for the treatment of excessive daytime sleepiness in adult patients with obstructive sleep apnea or narcolepsy. SUNOSI was approved by the FDA in March 2019, by the European Commission in January 2020, and by Health Canada in May 2021. The Company acquired the U.S. rights to SUNOSI in May 2022 and, in November 2022, acquired worldwide ex-U.S. rights, excluding certain Asian markets. In February 2023, the Company announced a licensing transaction with Atnahs Pharma UK Limited (“Pharmanovia”) to market SUNOSI in Europe and certain countries in the Middle East / North Africa.</w:t>
      </w:r>
    </w:p>
    <w:p>
      <w:pPr>
        <w:pStyle w:val="TextBody"/>
        <w:bidi w:val="0"/>
        <w:spacing w:before="240" w:after="283"/>
        <w:jc w:val="left"/>
        <w:rPr>
          <w:rFonts w:ascii="Times New Roman" w:hAnsi="Times New Roman"/>
          <w:sz w:val="20"/>
        </w:rPr>
      </w:pPr>
      <w:r>
        <w:rPr>
          <w:rFonts w:ascii="Times New Roman" w:hAnsi="Times New Roman"/>
          <w:color w:val="000000"/>
          <w:sz w:val="20"/>
        </w:rPr>
        <w:t>AUVELITY</w:t>
      </w:r>
      <w:r>
        <w:rPr>
          <w:rFonts w:ascii="Times New Roman" w:hAnsi="Times New Roman"/>
          <w:color w:val="000000"/>
          <w:sz w:val="13"/>
        </w:rPr>
        <w:t>®</w:t>
      </w:r>
      <w:r>
        <w:rPr>
          <w:rFonts w:ascii="Times New Roman" w:hAnsi="Times New Roman"/>
          <w:color w:val="000000"/>
          <w:sz w:val="20"/>
        </w:rPr>
        <w:t xml:space="preserve"> (dextromethorphan-bupropion), also referred to as “AXS-05”, was developed by the Company and approved by the FDA in August 2022 as the first and only oral, N-methyl-D-aspartate (NMDA) receptor antagonist for the treatment of major depressive disorder in adults (MDD). The Company initiated the commercial availability of AUVELITY in October 2022. In April 2026, the FDA approved AUVELITY for the treatment of AADDAD. The Company initiated the commercial launch of AUVELITY for the treatment of AADDAD in June 2026.</w:t>
      </w:r>
    </w:p>
    <w:p>
      <w:pPr>
        <w:pStyle w:val="TextBody"/>
        <w:bidi w:val="0"/>
        <w:spacing w:before="240" w:after="283"/>
        <w:jc w:val="left"/>
        <w:rPr>
          <w:rFonts w:ascii="Times New Roman" w:hAnsi="Times New Roman"/>
          <w:sz w:val="20"/>
        </w:rPr>
      </w:pPr>
      <w:r>
        <w:rPr>
          <w:rFonts w:ascii="Times New Roman" w:hAnsi="Times New Roman"/>
          <w:color w:val="000000"/>
          <w:sz w:val="20"/>
        </w:rPr>
        <w:t>SYMBRAVO</w:t>
      </w:r>
      <w:r>
        <w:rPr>
          <w:rFonts w:ascii="Times New Roman" w:hAnsi="Times New Roman"/>
          <w:color w:val="000000"/>
          <w:sz w:val="13"/>
        </w:rPr>
        <w:t>®</w:t>
      </w:r>
      <w:r>
        <w:rPr>
          <w:rFonts w:ascii="Times New Roman" w:hAnsi="Times New Roman"/>
          <w:color w:val="000000"/>
          <w:sz w:val="20"/>
        </w:rPr>
        <w:t xml:space="preserve"> (MoSEIC</w:t>
      </w:r>
      <w:r>
        <w:rPr>
          <w:rFonts w:ascii="Times New Roman" w:hAnsi="Times New Roman"/>
          <w:color w:val="000000"/>
          <w:sz w:val="13"/>
        </w:rPr>
        <w:t>TM</w:t>
      </w:r>
      <w:r>
        <w:rPr>
          <w:rFonts w:ascii="Times New Roman" w:hAnsi="Times New Roman"/>
          <w:color w:val="000000"/>
          <w:sz w:val="20"/>
        </w:rPr>
        <w:t xml:space="preserve"> meloxicam-rizatriptan) is a novel, oral, rapidly absorbed, multi-mechanistic, selective COX-2 inhibitor and 5-HT1B/1D agonist that was developed by the Company and approved by the FDA in January 2025 for the acute treatment of migraine with or without aura in adults. The Company initiated the commercial availability of SYMBRAVO in June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the Company acquired global rights to AXS-17, a novel oral GABAA receptor α2,3 subtype-selective positive allosteric modulator (PAM). The Company plans to evaluate AXS-17 as a potential treatment for epilepsy. In December 2025, the Company acquired global rights to deuterium-stabilized S-bupropion. In the first quarter of 2026, the Company acquired AXS-20, a selective PDE10A inhibitor. The Company plans to initially develop AXS-20 in schizophrenia and Tourette syndrome.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refers herein to AUVELITY, SUNOSI, SYMBRAVO (also referred to as “AXS-07”), AXS-12, AXS-14, AXS-17, AXS-20 and its programs to develop additional indications for AXS-05 and solriamfetol as the Company’s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interim consolidated financial statements have been prepared by the Company in accordance with accounting principles generally accepted in the United States (“GAAP”) for interim information and pursuant to the rules and regulations of the Securities and Exchange Commission (the “SEC”) for reporting on Form 10-Q. Accordingly, certain information and footnote disclosures normally included in financial statements prepared in accordance with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2025, filed with the SEC on February 23, 2026.</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and six months ended June 30, 2026 are not necessarily indicative of the operating results for the full fiscal year or any future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incurred operating losses since its inception and expects to continue to incur operating losses and may never become profitable. As of June 30, 2026, the Company had an accumulated deficit of $1,421.8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primary sources of cash have been proceeds from the sales of AUVELITY, SUNOSI, and SYMBRAVO, the issuance and sale of its common stock in public offerings, and the issuance of debt.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with third parties. The Company may continue to incur substantial operating losses even as it continues to generate revenues from its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believes its existing cash will be sufficient to fund its anticipated operating cash requirements for at least twelve months following the date of this filing. During that time, the Company expects that its expenses will increase primarily due to the commercialization of AUVELITY, SUNOSI, and SYMBRAVO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common stock is listed on The Nasdaq Global Market and trades under the symbol “AXSM.”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Significant Risks and Uncertainties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the Company’s ability to negotiate favorable licensing or other manufacturing and marketing agreements for its products; and the Company’s ability to raise additional capital. If the Company’s commercialization of its products is not financially successful, it will be unable to generate sufficient recurring product revenue to achieve and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currently has three commercial products, AUVELITY, SUNOSI, and SYMBRAVO. There can be no assurance that the Company’s research and development efforts will result in additional successfully commercialized products.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stock-based compensation expense; determination of fair value of warrants; accounting for research and development costs; accounting for acquisitions; impairments of goodwill and the intangible asset; determination of fair value of contingent consideration; chargebacks, cash discounts, sales rebates, returns and other adjustments; and the recoverability of the Company’s net deferred tax assets and related valuation allowance.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Accounting Standards Codification (“ASC”) Topic 606, Revenue from Contracts with Customers (“ASC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significantly all of the economic benefits and the Company obtains a right of payment.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and Note 13. Revenues.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Contingent milestones at contract inception are estimated to the extent that it is probable that a significant revenue reversal would not occur and are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a significant revenue reversal would not occur and, if necessary, adjusts the estimate of the overall transaction price. Any such adjustments are recorded on a cumulative catch-up basis, which would affect license and other revenue, as well as earnings, in the period of adjustment.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Product Sales,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Revenues from product sales are recorded net of reserves for variable consideration. These reserves reflect the Company’s best estimate of the amount of consideration to which the Company is entitled based on the terms of the contracts. The Company sells AUVELITY, SUNOSI, and SYMBRAVO in the United States to wholesale distributors with whom the Company has entered into formal agreements (collectively, the “Distributors”). These Distributors subsequently resell the Company’s products to retail pharmacies. The Company also sells SUNOSI to Distributors in Canada and on a product supply basis to Pharmanovia. SUNOSI is subsequently sold by Pharmanovia in certain ex-U.S. markets. The Company does not sell products under consignment arrangements, and the collection of proceeds from product sales is not contingent upon customers’ sale of the goods to third parties. The Company received FDA approvals for SYMBRAVO and AUVELITY to treat AADDAD in January 2025 and April 2026, respectively, and commenced commercial sales in June 2025 and June 2026, respectively. See Note 13. Revenues for a further breakout of product sales, net.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Reserves for Variable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the Company’s best estimate of the amount of consideration to which the Company is entitled based on the terms of the contracts and are classified as reductions to accounts receivable, net if payable to a customer or accrued expenses and other current liabilities if payable to a third-party.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 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Trade Discounts and Allowances -</w:t>
      </w:r>
      <w:r>
        <w:rPr>
          <w:rFonts w:ascii="Times New Roman" w:hAnsi="Times New Roman"/>
          <w:color w:val="000000"/>
          <w:sz w:val="20"/>
        </w:rPr>
        <w:t xml:space="preserve"> The Company generally provides discounts which include incentive fees that are explicitly stated in the Company’s contracts 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 net on the consolidated balance sheets.</w:t>
      </w:r>
    </w:p>
    <w:p>
      <w:pPr>
        <w:pStyle w:val="TextBody"/>
        <w:bidi w:val="0"/>
        <w:spacing w:before="240" w:after="283"/>
        <w:jc w:val="left"/>
        <w:rPr>
          <w:rFonts w:ascii="Times New Roman" w:hAnsi="Times New Roman"/>
          <w:sz w:val="20"/>
        </w:rPr>
      </w:pPr>
      <w:r>
        <w:rPr>
          <w:rFonts w:ascii="Times New Roman" w:hAnsi="Times New Roman"/>
          <w:i/>
          <w:color w:val="000000"/>
          <w:sz w:val="20"/>
        </w:rPr>
        <w:t>Product Returns -</w:t>
      </w:r>
      <w:r>
        <w:rPr>
          <w:rFonts w:ascii="Times New Roman" w:hAnsi="Times New Roman"/>
          <w:color w:val="000000"/>
          <w:sz w:val="20"/>
        </w:rPr>
        <w:t xml:space="preserve"> The Company generally offers a limited right of return for product that has been purchased from the Company based on the product’s expiration date. The Company estimates the amount of its product sales that may be returned and records this estimate as a reduction of revenue in the period the related product sale is recognized, as well as a component of accrued expense and other current liabilities. The Company currently estimates product return liabilities using available industry data, historical product sales information, and actual returns experience.</w:t>
      </w:r>
    </w:p>
    <w:p>
      <w:pPr>
        <w:pStyle w:val="TextBody"/>
        <w:bidi w:val="0"/>
        <w:spacing w:before="240" w:after="283"/>
        <w:jc w:val="left"/>
        <w:rPr>
          <w:rFonts w:ascii="Times New Roman" w:hAnsi="Times New Roman"/>
          <w:sz w:val="20"/>
        </w:rPr>
      </w:pPr>
      <w:r>
        <w:rPr>
          <w:rFonts w:ascii="Times New Roman" w:hAnsi="Times New Roman"/>
          <w:i/>
          <w:color w:val="000000"/>
          <w:sz w:val="20"/>
        </w:rPr>
        <w:t>Chargebacks and Discounts -</w:t>
      </w:r>
      <w:r>
        <w:rPr>
          <w:rFonts w:ascii="Times New Roman" w:hAnsi="Times New Roman"/>
          <w:color w:val="000000"/>
          <w:sz w:val="20"/>
        </w:rPr>
        <w:t xml:space="preserve"> Chargebacks for fees and discounts to providers represent the estimated obligations resulting from contractual commitments to sell 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 net.</w:t>
      </w:r>
    </w:p>
    <w:p>
      <w:pPr>
        <w:pStyle w:val="TextBody"/>
        <w:bidi w:val="0"/>
        <w:spacing w:before="240" w:after="283"/>
        <w:jc w:val="left"/>
        <w:rPr>
          <w:rFonts w:ascii="Times New Roman" w:hAnsi="Times New Roman"/>
          <w:sz w:val="20"/>
        </w:rPr>
      </w:pPr>
      <w:r>
        <w:rPr>
          <w:rFonts w:ascii="Times New Roman" w:hAnsi="Times New Roman"/>
          <w:i/>
          <w:color w:val="000000"/>
          <w:sz w:val="20"/>
        </w:rPr>
        <w:t>Rebates -</w:t>
      </w:r>
      <w:r>
        <w:rPr>
          <w:rFonts w:ascii="Times New Roman" w:hAnsi="Times New Roman"/>
          <w:color w:val="000000"/>
          <w:sz w:val="20"/>
        </w:rPr>
        <w:t xml:space="preserve"> Rebates apply to: Medicaid, managed care, and supplemental rebates to all applicable states as defined by the statutory government 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Allowances for rebates also include amounts due for Medicare Inflation Based Rebates resulting from the Inflation Reduction Act of 2022, which includes measures requiring manufacturers to pay rebates where price increases exceed the rate of inflation. The Company estimates these rebates and records such estimates in the same period the related product sales are recognized, resulting in a reduction to product sales as well as a component of accrued expenses and other current liabilities.</w:t>
      </w:r>
    </w:p>
    <w:p>
      <w:pPr>
        <w:pStyle w:val="TextBody"/>
        <w:bidi w:val="0"/>
        <w:spacing w:before="240" w:after="283"/>
        <w:jc w:val="left"/>
        <w:rPr>
          <w:rFonts w:ascii="Times New Roman" w:hAnsi="Times New Roman"/>
          <w:sz w:val="20"/>
        </w:rPr>
      </w:pPr>
      <w:r>
        <w:rPr>
          <w:rFonts w:ascii="Times New Roman" w:hAnsi="Times New Roman"/>
          <w:i/>
          <w:color w:val="000000"/>
          <w:sz w:val="20"/>
        </w:rPr>
        <w:t>Medicare Part D Program Redesign</w:t>
      </w:r>
      <w:r>
        <w:rPr>
          <w:rFonts w:ascii="Times New Roman" w:hAnsi="Times New Roman"/>
          <w:color w:val="000000"/>
          <w:sz w:val="20"/>
        </w:rPr>
        <w:t xml:space="preserve"> - Effective January 1, 2025, the Medicare Part D coverage gap program was replaced with a redesigned program under the Inflation Reduction Act of 2022. The standard Part D benefit now comprises three phases: the deductible phase, the initial coverage phase and the catastrophic coverage phase. Applicable dispensed drugs will be subject to manufacturer discounts of 10% during the initial coverage phase and 20% during the catastrophic coverage phase. The Company estimates the percentage of goods sold to patients in the initial coverage and catastrophic coverage phases and adjusts the transaction price for such discount at the time of sale resulting in a reduction to product sales as well as a component of accrued expenses and other current liabilities.</w:t>
      </w:r>
    </w:p>
    <w:p>
      <w:pPr>
        <w:pStyle w:val="TextBody"/>
        <w:bidi w:val="0"/>
        <w:spacing w:before="240" w:after="283"/>
        <w:jc w:val="left"/>
        <w:rPr>
          <w:rFonts w:ascii="Times New Roman" w:hAnsi="Times New Roman"/>
          <w:sz w:val="20"/>
        </w:rPr>
      </w:pPr>
      <w:r>
        <w:rPr>
          <w:rFonts w:ascii="Times New Roman" w:hAnsi="Times New Roman"/>
          <w:i/>
          <w:color w:val="000000"/>
          <w:sz w:val="20"/>
        </w:rPr>
        <w:t>Other Incentives -</w:t>
      </w:r>
      <w:r>
        <w:rPr>
          <w:rFonts w:ascii="Times New Roman" w:hAnsi="Times New Roman"/>
          <w:color w:val="000000"/>
          <w:sz w:val="20"/>
        </w:rPr>
        <w:t xml:space="preserve"> Other incentives which the Company offers include voluntary patient assistance programs, such as the co-pay assistance 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reserves are recorded in the same period the related revenue is recognized, resulting in a reduction of product sales as well as a component of accrued expenses and other current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Cost of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cost of revenue consists of cost of product sales. Cost of product sales primarily include direct costs (inclusive of material, shipping, handling, and manufacturing costs), overhead and product royalties. Cost of product sales excludes depreciation and amortization.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assumed royalty and sales-based milestone commitments of Jazz to SK Biopharmaceuticals Co. Ltd. (“SK”) and Aerial Biopharma, LLC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$162.5 million based on revenue milestones and $1.0 million based on development milestones. Additionally, the Company pays a royalty to Antecip Bioventures II LLC (“Antecip”), an entity owned by Axsome’s Chief Executive Officer and Chairman of the Board of Directors (the “Board”), Herriot Tabuteau, M.D., equal to 3.0% of AUVELITY net sales.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Foreign Currency Translation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Revenues and expenses denominated in foreign currency are translated into U.S. dollars at the exchange rate on the date they are incurred. Assets and liabilities of foreign operations are translated at period-end exchange rates. The effect of exchange rate fluctuations on translating foreign currency into U.S. dollars is included in the statements of operations and is not material to the Company’s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and reporting segment, which is the business of developing and delivering novel therapies for the management of CNS disorders. See Note 19. Segment Information for further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considers all highly liquid investments that have maturities of three months or less when acquired to be cash equivalents. The Company’s cash and cash equivalents include holdings in checking and overnight sweep accounts. The Company’s cash equivalents, which are money market funds held in a sweep account, are measured at fair value on a recurring basis. As of June 30, 2026, the balance of cash and cash equivalents was $319.9 million, which approximates fair value and was determined based upon Level 1 inputs. The sweep account is valued using quoted market prices with no valuation adjustments applied. Accordingly, these securities are categorized as Level 1 on the fair value hierarchy.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Concentration of Risk</w:t>
      </w:r>
    </w:p>
    <w:p>
      <w:pPr>
        <w:pStyle w:val="TextBody"/>
        <w:bidi w:val="0"/>
        <w:spacing w:before="240" w:after="283"/>
        <w:jc w:val="left"/>
        <w:rPr>
          <w:rFonts w:ascii="Times New Roman" w:hAnsi="Times New Roman"/>
          <w:sz w:val="20"/>
        </w:rPr>
      </w:pPr>
      <w:r>
        <w:rPr>
          <w:rFonts w:ascii="Times New Roman" w:hAnsi="Times New Roman"/>
          <w:i/>
          <w:color w:val="000000"/>
          <w:sz w:val="20"/>
        </w:rPr>
        <w:t>Concentration of Credit Risk</w:t>
      </w:r>
      <w:r>
        <w:rPr>
          <w:rFonts w:ascii="Times New Roman" w:hAnsi="Times New Roman"/>
          <w:color w:val="000000"/>
          <w:sz w:val="20"/>
        </w:rPr>
        <w:t xml:space="preserve"> - Financial instruments that potentially subject the Company to a concentration of credit risk consist of cash and cash equivalents. The Company maintains its cash deposits at financial institutions, which cash deposits exceed insured limits. At June 30, 2026, the majority of the Company’s cash was held by two financial institutions, and amounts on deposit were in excess of government-provided insurance limits. The Company places its cash and cash equivalents in what it believes to be high credit quality banks and money market funds and has not recognized any losses from credit risks on such accounts since inception. See Note 3. Accounts Receivable, net below for further information.</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Concentration of Risk, Other </w:t>
      </w:r>
      <w:r>
        <w:rPr>
          <w:rFonts w:ascii="Times New Roman" w:hAnsi="Times New Roman"/>
          <w:color w:val="000000"/>
          <w:sz w:val="20"/>
        </w:rPr>
        <w:t>- The Company has a limited number of contract manufacturers for its products. At times, the Company may have only one manufacturer or supplier for its products.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accounted for the acquisition of SUNOSI (the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the intangible asset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Acquisition, the Company recorded goodwill and an intangible asset.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Goodwill is deemed to have an indefinite life and therefore not amortized. The Company tests the carrying amounts of goodwill for recoverability on an annual basis or more frequently if events or changes in circumstances indicate that the asset might be impaired. When reviewing goodwill for impairment, the Company first evaluates the qualitative factors to determine whether it is more likely than not that the fair value of a reporting unit is less than its carrying amount.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completes its annual goodwill assessment as of December 31. As of June 30, 2026, the Company has determined that it has one reporting unit. The Company has not identified any events or changes in circumstances that indicate the existence of potential impairment of goodwill during the six months ended June 30, 2026. The balance of goodwill was $12.0 million at both June 30, 2026 and December 31,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Intangible Asset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intangible asset is amortized using the straight-line method over its estimated period of benefit of ten years. The Company evaluates recoverability of the intangible asset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the intangible asset during the six months ended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Asset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Acquisitions that do not qualify as a business combination are accounted for as an acquisition of an asset. The cost of the acquisition is allocated to the assets acquired and liabilities assumed. At acquisition, in process research and development projects with no alternative future use are recorded as research and development expense. Direct and incremental transaction costs are included in the cost of the acquisition. Contingent consideration obligations relating to development, regulatory and commercial milestones are not recognized at the acquisition date and instead are recorded when it is probable they will occur and can be reasonably estimated.</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Contingent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probability weighted income approach and makes significant assumptions, including estimated future sales of SUNOSI in current and future indications, timing of regulatory and commercial milestone achievements, probability of technical and regulatory success rates, and discount rates. Contingent consideration liabilities expected to be settled within 12 months after the balance sheet date are presented in current liabilities, with the non-current portion recorded within total liabilities in the consolidated balance sheets.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noBreakHyphen/>
        <w:t>level fair value hierarchy that prioritizes the inputs used to measure fair value. This hierarchy maximizes the use of observable inputs and minimizes the use of unobservable inputs. The three levels of inputs used to measure fair value are as follows: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1—Quoted prices in active markets for identical assets or liabilities that the Company has the ability to access at the measurement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2—Inputs other than quoted prices in active markets that are observable for the asset or liability, either directly or indirectly.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3—Unobservable inputs for which there is little or no market data, which require the reporting entity to develop its own assumptions.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financial instruments are cash and cash equivalents, accounts receivable, accounts payable, accrued expenses and other liabilities, short-term and long-term debt, and current and non-current contingent consideration. The Company’s Level 1 financial instruments include cash and cash equivalents, accounts receivable, accounts payable, and accrued expenses and other liabilities. They are considered Level 1 as the carrying values reported in the accompanying consolidated financial statements approximate their respective fair values due to their short-term maturities. The carrying value of debt on the Company’s balance sheet is estimated to approximate its fair value. The Company’s Level 3 financial instruments include current and non-current contingent consideration due to the significant unobservable inputs required in determining their respective fair values.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categorized the fair value of contingent consideration liabilities as Level 3 within the fair value hierarchy as the estimate is based on significant unobservable inputs requiring management judgment.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and discount rates. Contingent consideration liabilities are subject to remeasurement at each prospective balance sheet date, with any changes in the fair value recorded in the consolidated statements of operations. See Note 6. Fair Value of Financial Instruments for further detail.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Accounts Receivable,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accounts receivable, net arise from product sales and represent amounts due from its customers. They are generally stated at the gross sales amount, less reserves resulting from trade discounts and allowances and chargebacks. Accounts receivable typically has a standard payment term of 60 days or less and does not bear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monitors the financial performance and creditworthiness of its customers so that it can properly assess and respond to changes in the customers’ credit profiles.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As of June 30, 2026, the Company did not have an allowance for doubtful accounts balance and did not experience any significant credit losses. For further information about accounts receivable, see Note 3. Accounts Receivable, net.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Debt Issuance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Debt issuance costs consist of costs incurred in obtaining long-term financing. These costs are classified on the consolidated balance sheet as a direct deduction from the carrying amount of the related debt liability and subsequently amortized as interest expense in the consolidated statement of operations using the effective interest rate method. Costs that are directly attributable to the issuance of revolving credit facilities are capitalized and ratably amortized over the term of the revolving credit facility.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evaluates amendments to its debt instruments in accordance with ASC 470-50, </w:t>
      </w:r>
      <w:r>
        <w:rPr>
          <w:rFonts w:ascii="Times New Roman" w:hAnsi="Times New Roman"/>
          <w:i/>
          <w:color w:val="000000"/>
          <w:sz w:val="20"/>
        </w:rPr>
        <w:t>Debt – Modifications and Extinguishments</w:t>
      </w:r>
      <w:r>
        <w:rPr>
          <w:rFonts w:ascii="Times New Roman" w:hAnsi="Times New Roman"/>
          <w:color w:val="000000"/>
          <w:sz w:val="20"/>
        </w:rPr>
        <w:t xml:space="preserve"> (“ASC 470”) to determine whether the amendment should be accounted for as a modification or an extinguishment. An amendment may be considered modified when the terms of the new debt and original instrument are not “substantially different” (as defined in the debt modification guidance in ASC 470). Amendments that are considered modifications are accounted for prospectively as yield adjustments, based on the revised terms, and lender fees and costs directly incurred with third parties, to the extent material, are recorded as debt discount and amortized to interest expense using the effective interest rate method.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Inventory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values its inventories at the lower of cost or estimated net realizable value. The remaining inventory associated with the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the cost of revenue.</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Inventory levels are evaluated for amounts that would be sold within one year. If the level of inventory exceeds the estimated amount that would be sold after the next 12 months, the Company classifies the estimate of such inventory as non-current.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Equipment,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Equipment consists primarily of computer equipment and is recorded at cost. Equipment is depreciated on a straight</w:t>
        <w:noBreakHyphen/>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costs are expensed as incurred. Research and development expenses consist primarily of employee-related expenses, including salaries, benefits, travel and stock-based compensation expense, contract services, costs incurred to third-party service providers for conducting research, preclinical and clinical studies, laboratory supplies, product license fees, consulting and other related expenses. In addition, research and development costs also include costs related to asset acquisitions involving clinical development programs that have not yet received regulatory approval. Research, preclinical and clinical study expenses are estimated based on services performed, pursuant to contracts with third-party research and development organizations that conduct and manage research, preclinical and clinical activities on the Company’s behalf, including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accruals are adjusted accordingly. Payments associated with licensing agreements to acquire licenses to develop, use, manufacture and commercialize products that have not reached technological feasibility and do not have alternative future use are expensed as incurred.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Advertising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Advertising costs are included in selling, general and administrative expenses, and are expensed as incurred. The Company considers advertising costs as expenses related to the promotion of the Company’s commercial products. For the three and six months ended June 30, 2026, advertising costs were $55.1 million and $114.5 million, respectively. For the three and six months ended June 30, 2025, advertising costs were $36.0 million and $63.7 million,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a tax expense of $0.1 million for the three and six months ended June 30, 2026, primarily related to its Canadian operations. The tax expense for Canada was calculated using a separate estimated annual effective tax rate. The Company maintains full valuation allowances against its deferred tax assets in its other material jurisdictions and does not expect to realize a tax benefit from its projected annual losses. Accordingly, no income tax benefit was recognized for year-to-date losses in those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June 30, 2026, the Company does not believe any material uncertain tax positions are present. In the event the Company determines that accrual of interest or penalties are necessary in the future, the amount will be presented as a component of income tax expense.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stock options issued, the Company estimates the grant date fair value of each option using the Black</w:t>
        <w:noBreakHyphen/>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issues restricted stock units (“RSUs”) and performance stock units (“PSUs”) in the form of Company common stock. The fair market value of these awards is based on the market closing price per share on the grant date and for certain awards that are subject to a post-vesting holding period, an illiquidity discount is also applied.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the grant date fair value of the stock options and RSUs over the requisite service period, which is generally the vesting term. For awards only subject to service-based vesting conditions, the Company elected to recognize stock-based compensation expense on a straight-line basis. For PSUs, the Company recognizes stock-based compensation expense when the achievement of the performance condition becomes probable. Stock-based compensation expense for PSUs with cliff-vesting terms is recognized on a straight-line basis. At the end of each reporting period, the Company reassesses the probability of achieving the performance condition and adjusts the stock-based compensation expense accordingly.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expense related to the stock-based compensation is recorded within the same financial statement line item as the grantee’s cash compensation. The Company’s policy upon exercise of stock options, vesting of RSUs and PSUs is that the Company will issue shares as new shares drawing on the Company’s 2025 Long-Term Incentive Plan share pool that the Board adopted in April 2025 and the stockholders approved in June 2025. In addition, the Company accounts for equity award forfeitures as they occur.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Basic and Diluted Net Loss per Common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RSUs, PSUs, and/or common stock pursuant to the 2023 Employee Stock Purchase Plan (the “ESPP”), which would result in the issuance of incremental shares of common stock. As the impact of these items is anti-dilutive during periods of net loss, there was no difference between basic and diluted net loss per share of common stock for the three and six months ended June 30, 2026 and 2025.</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determines if an arrangement is a lease at contract inception. Right-of-use assets represent the Company’s right to use an underlying asset for the lease term and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lease agreements contain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arrangements are primarily fixed, however, variable payments are expensed as incurred and not included in the operating lease asset and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interest rate implicit in the contract when such rate is readily determinable and uses the Company’s incremental borrowing rate when the rate implicit in the contract is not readily determinable based upon the information available at the commencement date in determining the present value of the lease payments.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Leases are accounted for under </w:t>
      </w:r>
      <w:r>
        <w:rPr>
          <w:rFonts w:ascii="Times New Roman" w:hAnsi="Times New Roman"/>
          <w:i/>
          <w:color w:val="000000"/>
          <w:sz w:val="20"/>
        </w:rPr>
        <w:t>ASC 842, Leases</w:t>
      </w:r>
      <w:r>
        <w:rPr>
          <w:rFonts w:ascii="Times New Roman" w:hAnsi="Times New Roman"/>
          <w:color w:val="000000"/>
          <w:sz w:val="20"/>
        </w:rPr>
        <w:t xml:space="preserve"> (“ASC 842”). The Company made an accounting policy election not to apply the recognition requirements to short-term leases. The Company recognizes the lease payments for short-term leases in the consolidated statements of operations on a straight-line basis over the lease term, and variable lease payments in the period in which the obligation for those payments is incurred. Therefore, the Company is not recognizing a lease liability or right-of-use asset for any lease that, at the commencement date, has a lease term of 12 months or less and does not include an option to extend the term or purchase the underlying asset that the Company is reasonably certain to exercise. The Company’s lease terms may include options to extend or terminate the lease when it is reasonably certain that the Company will exercise that option. The Company evaluates amendments to its lease arrangements in accordance with ASC 842.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operating leases are reflected in the right-of-use operating asset; operating lease liability, current portion; and operating lease liability, long-term portion in the Company’s consolidated balance sheets. Operating lease expense is recognized on a straight-line basis over the lease term and included in selling, general and administrative expenses. Finance leases are included in the non-current inventory and other assets; accrued expenses and other current liabilities; and finance lease liability, long-term in the Company’s consolidated balance sheets. Assets under the finance leases are amortized on a straight-line basis over the lease term and included in selling, general and administrative expenses.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This ASU requires additional disaggregated disclosures in the notes to financial statements for certain categories of expenses that are included on the face of the income statement. The guidance is effective for fiscal years beginning after December 15, 2026 and for interim periods within fiscal years beginning after December 15, 2027, with early adoption permitted. The Company is currently evaluating the effect of adopting this guidance on its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 Accounts Receivable, net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Accounts receivable, net consisted of the following:</w:t>
      </w:r>
    </w:p>
    <w:tbl>
      <w:tblPr>
        <w:tblW w:w="6572" w:type="dxa"/>
        <w:jc w:val="left"/>
        <w:tblInd w:w="0" w:type="dxa"/>
        <w:tblLayout w:type="fixed"/>
        <w:tblCellMar>
          <w:top w:w="28" w:type="dxa"/>
          <w:left w:w="28" w:type="dxa"/>
          <w:bottom w:w="28" w:type="dxa"/>
          <w:right w:w="28" w:type="dxa"/>
        </w:tblCellMar>
      </w:tblPr>
      <w:tblGrid>
        <w:gridCol w:w="3636"/>
        <w:gridCol w:w="146"/>
        <w:gridCol w:w="211"/>
        <w:gridCol w:w="781"/>
        <w:gridCol w:w="166"/>
        <w:gridCol w:w="146"/>
        <w:gridCol w:w="233"/>
        <w:gridCol w:w="862"/>
        <w:gridCol w:w="39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Reserves for variable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224,464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4. Inventory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Inventory consisted of the following:</w:t>
      </w:r>
    </w:p>
    <w:tbl>
      <w:tblPr>
        <w:tblW w:w="4037" w:type="dxa"/>
        <w:jc w:val="left"/>
        <w:tblInd w:w="0" w:type="dxa"/>
        <w:tblLayout w:type="fixed"/>
        <w:tblCellMar>
          <w:top w:w="28" w:type="dxa"/>
          <w:left w:w="28" w:type="dxa"/>
          <w:bottom w:w="28" w:type="dxa"/>
          <w:right w:w="28" w:type="dxa"/>
        </w:tblCellMar>
      </w:tblPr>
      <w:tblGrid>
        <w:gridCol w:w="1426"/>
        <w:gridCol w:w="146"/>
        <w:gridCol w:w="211"/>
        <w:gridCol w:w="676"/>
        <w:gridCol w:w="146"/>
        <w:gridCol w:w="146"/>
        <w:gridCol w:w="260"/>
        <w:gridCol w:w="835"/>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material inventory reserves or write downs of any excess and obsolete inventory as of June 30, 2026. Non-current inventory, which consists of raw materials and work in process inventory, is included in non-current inventory and other assets on the accompanying consolidated balance sheets. Non-current inventory is estimated to be consumed beyond the next 12 months.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the balance sheet classification of the Company’s inventory for each of the periods indicated:</w:t>
      </w:r>
    </w:p>
    <w:tbl>
      <w:tblPr>
        <w:tblW w:w="6267" w:type="dxa"/>
        <w:jc w:val="left"/>
        <w:tblInd w:w="0" w:type="dxa"/>
        <w:tblLayout w:type="fixed"/>
        <w:tblCellMar>
          <w:top w:w="28" w:type="dxa"/>
          <w:left w:w="28" w:type="dxa"/>
          <w:bottom w:w="28" w:type="dxa"/>
          <w:right w:w="28" w:type="dxa"/>
        </w:tblCellMar>
      </w:tblPr>
      <w:tblGrid>
        <w:gridCol w:w="3456"/>
        <w:gridCol w:w="146"/>
        <w:gridCol w:w="211"/>
        <w:gridCol w:w="676"/>
        <w:gridCol w:w="146"/>
        <w:gridCol w:w="146"/>
        <w:gridCol w:w="260"/>
        <w:gridCol w:w="835"/>
        <w:gridCol w:w="39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sheet classification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inventory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Intangible Asset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provides the Company’s carrying amount of the intangible asset for each of the periods indicated.</w:t>
      </w:r>
    </w:p>
    <w:tbl>
      <w:tblPr>
        <w:tblW w:w="10205" w:type="dxa"/>
        <w:jc w:val="left"/>
        <w:tblInd w:w="0" w:type="dxa"/>
        <w:tblLayout w:type="fixed"/>
        <w:tblCellMar>
          <w:top w:w="28" w:type="dxa"/>
          <w:left w:w="28" w:type="dxa"/>
          <w:bottom w:w="28" w:type="dxa"/>
          <w:right w:w="28" w:type="dxa"/>
        </w:tblCellMar>
      </w:tblPr>
      <w:tblGrid>
        <w:gridCol w:w="2148"/>
        <w:gridCol w:w="146"/>
        <w:gridCol w:w="353"/>
        <w:gridCol w:w="1133"/>
        <w:gridCol w:w="146"/>
        <w:gridCol w:w="146"/>
        <w:gridCol w:w="404"/>
        <w:gridCol w:w="1296"/>
        <w:gridCol w:w="146"/>
        <w:gridCol w:w="146"/>
        <w:gridCol w:w="328"/>
        <w:gridCol w:w="1050"/>
        <w:gridCol w:w="146"/>
        <w:gridCol w:w="146"/>
        <w:gridCol w:w="2471"/>
      </w:tblGrid>
      <w:tr>
        <w:trPr/>
        <w:tc>
          <w:tcPr>
            <w:tcW w:w="2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weighted-average useful life</w:t>
            </w:r>
          </w:p>
        </w:tc>
      </w:tr>
      <w:tr>
        <w:trPr/>
        <w:tc>
          <w:tcPr>
            <w:tcW w:w="21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Finite-lived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7-years</w:t>
            </w:r>
          </w:p>
        </w:tc>
      </w:tr>
      <w:tr>
        <w:trPr/>
        <w:tc>
          <w:tcPr>
            <w:tcW w:w="21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Finite-lived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6-years</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Based on the finite-lived intangible asset recorded as of June 30, 2026, and assuming the underlying asset will not be impaired and that the Company will not change the expected life of the asset, future amortization expense over the next five years and periods thereafter are estimated to be as follows:</w:t>
      </w:r>
    </w:p>
    <w:tbl>
      <w:tblPr>
        <w:tblW w:w="3698" w:type="dxa"/>
        <w:jc w:val="left"/>
        <w:tblInd w:w="0" w:type="dxa"/>
        <w:tblLayout w:type="fixed"/>
        <w:tblCellMar>
          <w:top w:w="28" w:type="dxa"/>
          <w:left w:w="28" w:type="dxa"/>
          <w:bottom w:w="28" w:type="dxa"/>
          <w:right w:w="28" w:type="dxa"/>
        </w:tblCellMar>
      </w:tblPr>
      <w:tblGrid>
        <w:gridCol w:w="946"/>
        <w:gridCol w:w="146"/>
        <w:gridCol w:w="574"/>
        <w:gridCol w:w="184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amortization 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Fair Value of 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Acquisition, the Company pays royalty on U.S.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$11.2 million and non-current contingent consideration liability of $69.1 million in the consolidated balance sheet as of June 30, 2026.</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fair value of financial instruments measured on a recurring basis is as follows:</w:t>
      </w:r>
    </w:p>
    <w:tbl>
      <w:tblPr>
        <w:tblW w:w="9180" w:type="dxa"/>
        <w:jc w:val="left"/>
        <w:tblInd w:w="0" w:type="dxa"/>
        <w:tblLayout w:type="fixed"/>
        <w:tblCellMar>
          <w:top w:w="28" w:type="dxa"/>
          <w:left w:w="28" w:type="dxa"/>
          <w:bottom w:w="28" w:type="dxa"/>
          <w:right w:w="28" w:type="dxa"/>
        </w:tblCellMar>
      </w:tblPr>
      <w:tblGrid>
        <w:gridCol w:w="4266"/>
        <w:gridCol w:w="146"/>
        <w:gridCol w:w="211"/>
        <w:gridCol w:w="781"/>
        <w:gridCol w:w="146"/>
        <w:gridCol w:w="146"/>
        <w:gridCol w:w="239"/>
        <w:gridCol w:w="391"/>
        <w:gridCol w:w="146"/>
        <w:gridCol w:w="146"/>
        <w:gridCol w:w="211"/>
        <w:gridCol w:w="676"/>
        <w:gridCol w:w="146"/>
        <w:gridCol w:w="146"/>
        <w:gridCol w:w="211"/>
        <w:gridCol w:w="781"/>
        <w:gridCol w:w="39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 - 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9180" w:type="dxa"/>
        <w:jc w:val="left"/>
        <w:tblInd w:w="0" w:type="dxa"/>
        <w:tblLayout w:type="fixed"/>
        <w:tblCellMar>
          <w:top w:w="28" w:type="dxa"/>
          <w:left w:w="28" w:type="dxa"/>
          <w:bottom w:w="28" w:type="dxa"/>
          <w:right w:w="28" w:type="dxa"/>
        </w:tblCellMar>
      </w:tblPr>
      <w:tblGrid>
        <w:gridCol w:w="4266"/>
        <w:gridCol w:w="146"/>
        <w:gridCol w:w="211"/>
        <w:gridCol w:w="781"/>
        <w:gridCol w:w="146"/>
        <w:gridCol w:w="146"/>
        <w:gridCol w:w="239"/>
        <w:gridCol w:w="391"/>
        <w:gridCol w:w="146"/>
        <w:gridCol w:w="146"/>
        <w:gridCol w:w="211"/>
        <w:gridCol w:w="676"/>
        <w:gridCol w:w="146"/>
        <w:gridCol w:w="146"/>
        <w:gridCol w:w="211"/>
        <w:gridCol w:w="781"/>
        <w:gridCol w:w="39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 - 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Contingent Consideration Liabilities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fair value of the contingent consideration liabilities is marked-to-market at each reporting period and was remeasured at June 30, 2026. Changes in fair value of the contingent consideration liabilities as of June 30, 2026 are as follows:</w:t>
      </w:r>
    </w:p>
    <w:tbl>
      <w:tblPr>
        <w:tblW w:w="5433" w:type="dxa"/>
        <w:jc w:val="left"/>
        <w:tblInd w:w="0" w:type="dxa"/>
        <w:tblLayout w:type="fixed"/>
        <w:tblCellMar>
          <w:top w:w="28" w:type="dxa"/>
          <w:left w:w="28" w:type="dxa"/>
          <w:bottom w:w="28" w:type="dxa"/>
          <w:right w:w="28" w:type="dxa"/>
        </w:tblCellMar>
      </w:tblPr>
      <w:tblGrid>
        <w:gridCol w:w="2941"/>
        <w:gridCol w:w="146"/>
        <w:gridCol w:w="460"/>
        <w:gridCol w:w="1475"/>
        <w:gridCol w:w="4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 consideration</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 to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recurring Level 3 fair value measurements of contingent consideration for which a liability is recorded include the following significant unobservable inputs:</w:t>
      </w:r>
    </w:p>
    <w:tbl>
      <w:tblPr>
        <w:tblW w:w="10205" w:type="dxa"/>
        <w:jc w:val="left"/>
        <w:tblInd w:w="0" w:type="dxa"/>
        <w:tblLayout w:type="fixed"/>
        <w:tblCellMar>
          <w:top w:w="28" w:type="dxa"/>
          <w:left w:w="28" w:type="dxa"/>
          <w:bottom w:w="28" w:type="dxa"/>
          <w:right w:w="28" w:type="dxa"/>
        </w:tblCellMar>
      </w:tblPr>
      <w:tblGrid>
        <w:gridCol w:w="1739"/>
        <w:gridCol w:w="146"/>
        <w:gridCol w:w="2201"/>
        <w:gridCol w:w="146"/>
        <w:gridCol w:w="1715"/>
        <w:gridCol w:w="146"/>
        <w:gridCol w:w="1959"/>
        <w:gridCol w:w="146"/>
        <w:gridCol w:w="2007"/>
      </w:tblGrid>
      <w:tr>
        <w:trPr/>
        <w:tc>
          <w:tcPr>
            <w:tcW w:w="1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methodology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(range, if applicable)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(range, if applicable)</w:t>
            </w:r>
          </w:p>
        </w:tc>
      </w:tr>
      <w:tr>
        <w:trPr/>
        <w:tc>
          <w:tcPr>
            <w:tcW w:w="17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Probability weighted income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14.9%</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Revenue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 - 19.4%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17.2% - 20.2%</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fair value measurement of contingent consideration liabilities has been classified as Level 3 as its valuation requires judgment and estimation of factors which requires use of unobservable inputs.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rates, and discount rates. If significant changes are made to one or more of these assumptions, the estimated fair value of contingent consideration liabilities may result in a significantly higher or lower fair value measurement.</w:t>
      </w:r>
    </w:p>
    <w:p>
      <w:pPr>
        <w:pStyle w:val="TextBody"/>
        <w:bidi w:val="0"/>
        <w:jc w:val="left"/>
        <w:rPr>
          <w:rFonts w:ascii="Times New Roman" w:hAnsi="Times New Roman"/>
          <w:b/>
          <w:color w:val="000000"/>
          <w:sz w:val="20"/>
        </w:rPr>
      </w:pPr>
      <w:r>
        <w:rPr>
          <w:rFonts w:ascii="Times New Roman" w:hAnsi="Times New Roman"/>
          <w:b/>
          <w:color w:val="000000"/>
          <w:sz w:val="20"/>
        </w:rPr>
        <w:t>Note 7. Accrued Expenses and Other Current Liabilities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w:t>
      </w:r>
    </w:p>
    <w:tbl>
      <w:tblPr>
        <w:tblW w:w="6767" w:type="dxa"/>
        <w:jc w:val="left"/>
        <w:tblInd w:w="0" w:type="dxa"/>
        <w:tblLayout w:type="fixed"/>
        <w:tblCellMar>
          <w:top w:w="28" w:type="dxa"/>
          <w:left w:w="28" w:type="dxa"/>
          <w:bottom w:w="28" w:type="dxa"/>
          <w:right w:w="28" w:type="dxa"/>
        </w:tblCellMar>
      </w:tblPr>
      <w:tblGrid>
        <w:gridCol w:w="4051"/>
        <w:gridCol w:w="146"/>
        <w:gridCol w:w="211"/>
        <w:gridCol w:w="781"/>
        <w:gridCol w:w="146"/>
        <w:gridCol w:w="146"/>
        <w:gridCol w:w="233"/>
        <w:gridCol w:w="862"/>
        <w:gridCol w:w="1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discounts, rebates, and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Loan and Security Agreement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Blackstone Alternative Credit Advisors LP and Blackstone Life Sciences Advisors L.L.C.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purposes of this Note 8, capitalized terms used but not otherwise defined herein shall have the meanings assigned to them in the Blackstone Loan Agreement (as defined below).</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8, 2025 (the “Closing Date”), the Company entered into a loan agreement (the “Blackstone Loan Agreement”) with Blackstone Alternative Credit Advisors LP and Blackstone Life Sciences Advisors L.L.C. (collectively, the “Blackstone Representative” and referred to herein as “Blackstone”), certain subsidiaries of the Company party thereto as guarantors, Wilmington Trust, National Association, in its capacity as administrative agent, collateral agent and security trustee (“Wilmington Trust”), and the lenders from time to time party thereto (collectively, the “Lenders”). The Blackstone Loan Agreement provides for loans in an aggregate principal amount of up to $570.0 million, consisting of (i) a first lien senior secured term loan in an aggregate principal amount of $120.0 million funded to the Company on the Closing Date, (ii) a $180.0 million senior secured term loan available to the Company at its option, of which $90.0 million was available until May 31, 2026 and the remaining $90.0 million is available until May 31, 2027 (the “Term Loans”), and (iii) a super senior revolving credit facility in an aggregate principal amount of up to $70.0 million available at the Company’s option (the “Revolver” and, together with the Term Loans, the “Loans”). The Blackstone Loan Agreement also permits the Company,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26, 2026, the Company entered into a First Incremental Revolving Credit Commitment Supplement and Amendment to the Blackstone Loan Agreement (the “First Incremental Supplement”) with Blackstone, Wilmington Trust and the Lenders party thereto, pursuant to which the aggregate principal amount of Revolving Credit Commitments under the Blackstone Loan Agreement was increased by $20.0 million, from $70.0 million to $90.0 million, and the Company’s Permitted Indebtedness (as defined in the Loan Agreement) was increased by $10.0 million, from $10.0 million to $20.0 million. The proceeds of the Term Loans were used, together with cash on hand, to repay in full the Company’s obligations under the Hercules Loan Agreement (as defined below). As of June 30, 2026, there were $120.0 million and $70.0 million of outstanding principal amounts under the Term Loans and Revolver facilities, respectively. The Company had allowed the Term Loan commitment of $90.0 million, which remained available to the Company at its option until May 31, 2026, to expire undrawn. The remaining $90.0 million of Term Loan commitment is available to the Company at its option until May 31, 2027. As of June 30, 2026, $20.0 million remained available and undrawn under the Revolver, representing the difference between the $90.0 million of Revolving Credit Commitments and the outstanding balance thereunder. The outstanding balance under the Revolver was classified as short-term based on the Company’s intent and ability to repay this amount in the next twelve months, and included in short-term borrowings on the accompanying consolidated balance sheets. In July 2026, the Company repaid the entire outstanding balance as of June 30, 2026 under the Revolver.</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Term Loans bear interest at a rate equal to the Term SOFR (“Secured Overnight Financing Rate”) plus a margin of 4.75%. The effective interest rate on the Term Loans was 9.58% for both the six months ended June 30, 2026 and 2025. The Revolver bears interest at SOFR plus a margin of 4.00%. If an Event of Default occurs and is continuing, all amounts outstanding under the Blackstone Loan Agreement will bear an additional 2.00% interest. The weighted-average interest rate on the Revolver was 7.73% and 7.67% as of June 30, 2026 and December 31, 2025, respectively. The Loans mature and the principal amount (including any interest and fees) must be repaid on the date that is five years from the Closing Date. Fees and costs that were directly attributable to the Revolver have been capitalized as deferred assets and will be ratably expensed over the life of the Revolver. Deferred assets are included in non-current inventory and other assets on the accompanying consolidated balance sheets. As of June 30, 2026, the remaining unamortized balance of deferred assets was $0.9 million.</w:t>
      </w:r>
    </w:p>
    <w:p>
      <w:pPr>
        <w:pStyle w:val="TextBody"/>
        <w:bidi w:val="0"/>
        <w:jc w:val="left"/>
        <w:rPr>
          <w:rFonts w:ascii="Times New Roman" w:hAnsi="Times New Roman"/>
          <w:color w:val="000000"/>
          <w:sz w:val="20"/>
        </w:rPr>
      </w:pPr>
      <w:r>
        <w:rPr>
          <w:rFonts w:ascii="Times New Roman" w:hAnsi="Times New Roman"/>
          <w:color w:val="000000"/>
          <w:sz w:val="20"/>
        </w:rPr>
        <w:t>The Loans are subject to mandatory prepayment provisions that may require prepayment upon a change of control, the incurrence of certain additional indebtedness, certain asset sales, or an event of loss, subject to certain conditions set forth in the Blackstone Loan Agreement. The Company may prepay the Loans in whole at its option at any time, subject to certain yield protection premiums. The obligations under the Blackstone Loan Agreement are guaranteed by the Company’s subsidiaries party thereto as guarantors and are secured by a first lien security interest in certain assets of the Company and the guarantors.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Blackstone Loan Agreement contains customary representations and warranties, affirmative and negative covenants, and events of default applicable to the Company and the guarantors. The Blackstone Loan Agreement also contains a minimum liquidity covenant of $30.0 million, tested quarterly. If an event of default occurs and is continuing, the Lenders may declare all amounts outstanding under the Blackstone Loan Agreement to be immediately due and payable.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Concurrent with the closing of the Blackstone Loan Agreement, Blackstone purchased $15.0 million of the Company’s common stock at a purchase price of $107.14 per share in a private placement transaction. The purchase agreement for the private placement contains customary representations, warranties, and covenants, and includes a lock-up period that generally prohibits, without the prior written consent of the Company, the sale, transfer, pledge, or other disposition of the securities through the period ending 120 days from the Closing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Blackstone Loan Agreement, Antecip consented to the collateral assignment of one of the license agreements, among other things, under a direct agreement among the Company, Antecip, a related party, and Blackstone. This new direct agreement superseded the prior direct agreement among the Company, Antecip and Hercules Capital, Inc. (“Hercules”) that had been entered into in connection with the Hercules Loan Agreement, which terminated automatically upon repayment of the Hercules loan obligations in full on May 8,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Hercules Capital,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2020, the Company entered into a Loan and Security Agreement for a term loan with Hercules, a Maryland corporation, in its capacity as administrative agent and collateral agent, and as a lender, and the other financial institutions that from time to time act as lenders (the “Hercules Loan Agreement”,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Borrowings under the Hercules Loan Agreement bore interest at a rate equal to: (a) if the prime rate was greater than or equal to 7.00%, the greater of either (i) the prime rate plus 2.20%, and (ii) 9.95%, but in no event greater than 10.70%, and (b) if the prime rate was less than 7.00%, 9.70%. In addition, the Company was required to pay certain end of term charges, including (A) an initial end of term charge of $4.45 million and (B) a subsequent end of term charge of (i) 1.10% of the aggregate amount of all Tranche 1A Advances (as defined in the Hercules Loan Agreement) plus (ii) 4.95% of the aggregate amount of all term loan advances (other than Tranche 1A Advances) funded minus (iii) any charges paid by the Borrower (as defined in the Hercules Loan Agreement) to Hercules related to partial prepayments of the outstanding Secured Obligations (as defined in the Hercules Loan Agreement). The end of term charges were accreted into interest expense using the effective interest rate method over the term of the loan. If certain maturity extension conditions were satisfied, the Company was required to pay an extension end of term charge equal to 1.00% of the aggregate amount of all Term Loan Advances (as defined in the Hercules Loan Agreement) outstanding as of the date on which the maturity extension conditions were satisfied, in addition to the end of term charges described above. The Company could, at its option, prepay the term loans in full or in part, subject to a prepayment penalty equal to (i) 2.0% of the Advance (as defined in the Hercules Loan Agreement) amount prepaid if the prepayment occurred prior to February 1, 2024, (ii) 1.5% of the Advance amount prepaid if the prepayment occurred on or after February 1, 2024 but prior to February 1, 2025, and (iii) 1.0% of the Advance amount prepaid if the prepayment occurred on or after February 1, 2025 but prior to February 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Debt issuance costs and the value of warrants issued in connection with the Hercules Loan Agreement were recorded as a debt discount and amortized to interest expense using the effective interest method over the expected term of the borrowing.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8, 2025, the Company repaid in full its obligations under the Hercules Loan Agreement using proceeds from the Blackstone Loan Agreement. Upon repayment, the Company recorded a loss on debt extinguishment of $10.4 million in the Company’s consolidated statement of operations. As of June 30, 2026, there are no outstanding obligations under the Hercules Loan Agreement.</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Loan Interest Expense and Amortization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Long-term debt and unamortized debt discount balances are as follows:</w:t>
      </w:r>
    </w:p>
    <w:tbl>
      <w:tblPr>
        <w:tblW w:w="6782" w:type="dxa"/>
        <w:jc w:val="left"/>
        <w:tblInd w:w="0" w:type="dxa"/>
        <w:tblLayout w:type="fixed"/>
        <w:tblCellMar>
          <w:top w:w="28" w:type="dxa"/>
          <w:left w:w="28" w:type="dxa"/>
          <w:bottom w:w="28" w:type="dxa"/>
          <w:right w:w="28" w:type="dxa"/>
        </w:tblCellMar>
      </w:tblPr>
      <w:tblGrid>
        <w:gridCol w:w="3846"/>
        <w:gridCol w:w="146"/>
        <w:gridCol w:w="211"/>
        <w:gridCol w:w="781"/>
        <w:gridCol w:w="166"/>
        <w:gridCol w:w="146"/>
        <w:gridCol w:w="233"/>
        <w:gridCol w:w="862"/>
        <w:gridCol w:w="391"/>
      </w:tblGrid>
      <w:tr>
        <w:trPr/>
        <w:tc>
          <w:tcPr>
            <w:tcW w:w="3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debt,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unamortized debt discount,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payable,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book value of debt approximates its fair value given its variable interest rate.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 expense, amortization of the final payment fee, and amortization of the debt discount related to the issuance costs and warrants for the Company’s debt are as follows:</w:t>
      </w:r>
    </w:p>
    <w:tbl>
      <w:tblPr>
        <w:tblW w:w="10205" w:type="dxa"/>
        <w:jc w:val="left"/>
        <w:tblInd w:w="0" w:type="dxa"/>
        <w:tblLayout w:type="fixed"/>
        <w:tblCellMar>
          <w:top w:w="28" w:type="dxa"/>
          <w:left w:w="28" w:type="dxa"/>
          <w:bottom w:w="28" w:type="dxa"/>
          <w:right w:w="28" w:type="dxa"/>
        </w:tblCellMar>
      </w:tblPr>
      <w:tblGrid>
        <w:gridCol w:w="5343"/>
        <w:gridCol w:w="146"/>
        <w:gridCol w:w="251"/>
        <w:gridCol w:w="681"/>
        <w:gridCol w:w="173"/>
        <w:gridCol w:w="173"/>
        <w:gridCol w:w="251"/>
        <w:gridCol w:w="681"/>
        <w:gridCol w:w="146"/>
        <w:gridCol w:w="146"/>
        <w:gridCol w:w="229"/>
        <w:gridCol w:w="622"/>
        <w:gridCol w:w="158"/>
        <w:gridCol w:w="158"/>
        <w:gridCol w:w="229"/>
        <w:gridCol w:w="622"/>
        <w:gridCol w:w="196"/>
      </w:tblGrid>
      <w:tr>
        <w:trPr/>
        <w:tc>
          <w:tcPr>
            <w:tcW w:w="53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final payment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 related issuance costs and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Scheduled principal payments on outstanding debt, long-term, as of June 30, 2026, are as follows:</w:t>
      </w:r>
    </w:p>
    <w:tbl>
      <w:tblPr>
        <w:tblW w:w="4510" w:type="dxa"/>
        <w:jc w:val="left"/>
        <w:tblInd w:w="0" w:type="dxa"/>
        <w:tblLayout w:type="fixed"/>
        <w:tblCellMar>
          <w:top w:w="28" w:type="dxa"/>
          <w:left w:w="28" w:type="dxa"/>
          <w:bottom w:w="28" w:type="dxa"/>
          <w:right w:w="28" w:type="dxa"/>
        </w:tblCellMar>
      </w:tblPr>
      <w:tblGrid>
        <w:gridCol w:w="3181"/>
        <w:gridCol w:w="146"/>
        <w:gridCol w:w="211"/>
        <w:gridCol w:w="781"/>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payments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 Commitments and Contingencies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2023, the Company entered into a sublease agreement (the “Sublease”) for the previous office space located at One World Trade Center.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2025, the Company entered into an amended sublease agreement (the “First Amendment”) to terminate the existing space in its corporate office and commence occupancy of different space within the same building. The First Amendment was treated as a lease modification to the Sublease which resulted in the recognition of a gain on modification of $2.3 million which is included in selling, general and administrative expenses. The Company also recorded a right-of-use asset and corresponding lease liability of $23.9 million during the first quarter of fiscal year 2025. Based on the Company’s past experience and current expectations for administrative office needs, the Company determined the lease term to be approximately six years. As of June 30, 2026 and December 31, 2025, the remaining lease term for the Company’s operating lease was 4.8 years and 5.3 years, respectively, and the discount rate was 7.12% as of each date.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During the six months ended June 30, 2026, the Company recognized a right-of-use asset and lease liability, both, of $10.4 million in connection to this lease. As of June 30, 2026, right-of-use asset and lease liability related to the finance lease were both $14.5 million, and the weighted average remaining lease term was 2.9 years, with a weighted average discount rate of 9.15%. As of December 31, 2025, right-of-use asset and lease liability related to the finance lease were $6.6 million and $6.8 million, respectively, and the weighted average remaining lease term was 2.8 years, with a weighted average discount rate of 9.6%.</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Lease expenses recognized were as follows:</w:t>
      </w:r>
    </w:p>
    <w:tbl>
      <w:tblPr>
        <w:tblW w:w="7982" w:type="dxa"/>
        <w:jc w:val="left"/>
        <w:tblInd w:w="0" w:type="dxa"/>
        <w:tblLayout w:type="fixed"/>
        <w:tblCellMar>
          <w:top w:w="28" w:type="dxa"/>
          <w:left w:w="28" w:type="dxa"/>
          <w:bottom w:w="28" w:type="dxa"/>
          <w:right w:w="28" w:type="dxa"/>
        </w:tblCellMar>
      </w:tblPr>
      <w:tblGrid>
        <w:gridCol w:w="3011"/>
        <w:gridCol w:w="146"/>
        <w:gridCol w:w="252"/>
        <w:gridCol w:w="683"/>
        <w:gridCol w:w="174"/>
        <w:gridCol w:w="174"/>
        <w:gridCol w:w="252"/>
        <w:gridCol w:w="683"/>
        <w:gridCol w:w="146"/>
        <w:gridCol w:w="146"/>
        <w:gridCol w:w="230"/>
        <w:gridCol w:w="623"/>
        <w:gridCol w:w="159"/>
        <w:gridCol w:w="159"/>
        <w:gridCol w:w="230"/>
        <w:gridCol w:w="623"/>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Future minimum lease payments of the Company’s leases as of June 30, 2026 were as follows:</w:t>
      </w:r>
    </w:p>
    <w:tbl>
      <w:tblPr>
        <w:tblW w:w="5865" w:type="dxa"/>
        <w:jc w:val="left"/>
        <w:tblInd w:w="0" w:type="dxa"/>
        <w:tblLayout w:type="fixed"/>
        <w:tblCellMar>
          <w:top w:w="28" w:type="dxa"/>
          <w:left w:w="28" w:type="dxa"/>
          <w:bottom w:w="28" w:type="dxa"/>
          <w:right w:w="28" w:type="dxa"/>
        </w:tblCellMar>
      </w:tblPr>
      <w:tblGrid>
        <w:gridCol w:w="2786"/>
        <w:gridCol w:w="146"/>
        <w:gridCol w:w="296"/>
        <w:gridCol w:w="949"/>
        <w:gridCol w:w="166"/>
        <w:gridCol w:w="146"/>
        <w:gridCol w:w="253"/>
        <w:gridCol w:w="812"/>
        <w:gridCol w:w="311"/>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be involved in various claims, litigation and legal proceedings from time to time. On a quarterly basis, the Company reviews the status of each significant matter and assesses its potential financial exposure. Because of uncertainties related to claims, litigation and legal proceedings, accruals are based on the Company’s best estimates based on available information. The Company records accruals for outstanding legal matters if a matter is both probable to result in material liability and the amount of loss or a range of possible loss can be reasonably estimated. If a loss contingency is not both probable and reasonably estimable, the Company does not establish an accrued liability.</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Stockholder Derivative Action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July 21, 2022, Daniel Engel filed a stockholder derivative complaint captioned </w:t>
      </w:r>
      <w:r>
        <w:rPr>
          <w:rFonts w:ascii="Times New Roman" w:hAnsi="Times New Roman"/>
          <w:i/>
          <w:color w:val="000000"/>
          <w:sz w:val="20"/>
        </w:rPr>
        <w:t>Engel v. Herriot Tabuteau, et al.</w:t>
      </w:r>
      <w:r>
        <w:rPr>
          <w:rFonts w:ascii="Times New Roman" w:hAnsi="Times New Roman"/>
          <w:color w:val="000000"/>
          <w:sz w:val="20"/>
        </w:rPr>
        <w:t xml:space="preserve"> in the SDNY District Court against the Company’s then-current directors, certain of the Company’s current and former officers, and the Company (as nominal defendant). On January 27, 2023, Kyle Guterba filed a stockholder derivative complaint captioned </w:t>
      </w:r>
      <w:r>
        <w:rPr>
          <w:rFonts w:ascii="Times New Roman" w:hAnsi="Times New Roman"/>
          <w:i/>
          <w:color w:val="000000"/>
          <w:sz w:val="20"/>
        </w:rPr>
        <w:t>Guterba v. Tabuteau, et al.</w:t>
      </w:r>
      <w:r>
        <w:rPr>
          <w:rFonts w:ascii="Times New Roman" w:hAnsi="Times New Roman"/>
          <w:color w:val="000000"/>
          <w:sz w:val="20"/>
        </w:rPr>
        <w:t>in the SDNY District Court against the Company’s then-current directors, certain of the Company’s current and former officers, and the Company (as nominal defendant). The SDNY derivative complaints arise out of similar allegations as those made in a now-resolved securities class action relating to the Company’s AXS-07 product (the “Securities Class Action”). The plaintiffs assert claims for breach of fiduciary duties against all of the defendants and for contribution for violations of Section 10(b) and 21D of the Exchange Act. The plaintiffs seek unspecified damages, fees, interest, and costs, as well as corporate governance changes. The Engel and Guterba matters were consolidated on February 28, 2023 and were stayed pending further proceedings in the Securities Class Action. On November 25, 2025, the plaintiffs filed an amended complaint. On February 13, 2026, the defendants moved to dismiss the amended complaint. The motion to dismiss is fully briefed and the parties await the Court’s decision.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September 23, 2025, John Wickstrom filed a stockholder derivative complaint captioned </w:t>
      </w:r>
      <w:r>
        <w:rPr>
          <w:rFonts w:ascii="Times New Roman" w:hAnsi="Times New Roman"/>
          <w:i/>
          <w:color w:val="000000"/>
          <w:sz w:val="20"/>
        </w:rPr>
        <w:t>Wickstrom v. Herriot Tabuteau, et al.</w:t>
      </w:r>
      <w:r>
        <w:rPr>
          <w:rFonts w:ascii="Times New Roman" w:hAnsi="Times New Roman"/>
          <w:color w:val="000000"/>
          <w:sz w:val="20"/>
        </w:rPr>
        <w:t xml:space="preserve"> in the Court of Chancery of the State of Delaware against the Company’s current directors, certain of the Company’s current and former officers, and the Company (as nominal defendant). On September 29, 2025, John Gildea filed a stockholder derivative complaint captioned </w:t>
      </w:r>
      <w:r>
        <w:rPr>
          <w:rFonts w:ascii="Times New Roman" w:hAnsi="Times New Roman"/>
          <w:i/>
          <w:color w:val="000000"/>
          <w:sz w:val="20"/>
        </w:rPr>
        <w:t>Gildea v. Herriot Tabuteau, et al.</w:t>
      </w:r>
      <w:r>
        <w:rPr>
          <w:rFonts w:ascii="Times New Roman" w:hAnsi="Times New Roman"/>
          <w:color w:val="000000"/>
          <w:sz w:val="20"/>
        </w:rPr>
        <w:t xml:space="preserve"> in the Court of Chancery of the State of Delaware against the Company’s current directors, certain of the Company’s current and former officers, and the Company (as nominal defendant). The Delaware derivative complaints arise out of similar allegations as those made in the Securities Class Action and the SDNY derivative action. The plaintiffs assert claims for breach of fiduciary duties, unjust enrichment, and corporate waste against all of the defendants. The plaintiffs seek unspecified damages, fees, interest, and costs, as well as corporate governance changes. On November 6, 2025, the court consolidated the actions and designated the complaint in the Wickstrom action as the operative complaint. On February 2, 2026, the defendants moved to dismiss the complaint. On July 9, 2026, the court granted defendants’ motion and dismissed the complaint with prejudice.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SUNOSI Paragraph IV Litigation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September 13, 2023, the Company commenced a patent infringement action against six generic drug companies relating to each company’s Abbreviated New Drug Application (“ANDA”) for SUNOSI. The generic drug companies were: Hikma Pharmaceuticals USA, Inc. (“Hikma”); Unichem Laboratories Ltd. (“Unichem”); Sandoz Inc (“Sandoz”); Hetero USA, Inc., Hetero Labs Limited Unit-V, and Hetero Labs Ltd. (collectively, “Hetero”); Alkem Laboratories Ltd. (“Alkem”); and Aurobindo Pharma USA, Inc. and Aurobindo Pharma Limited (collectively, “Aurobindo”). This action was captioned </w:t>
      </w:r>
      <w:r>
        <w:rPr>
          <w:rFonts w:ascii="Times New Roman" w:hAnsi="Times New Roman"/>
          <w:i/>
          <w:color w:val="000000"/>
          <w:sz w:val="20"/>
        </w:rPr>
        <w:t>Axsome Malta Ltd. &amp; Axsome Therapeutics, Inc. v. Alkem Laboratories Ltd., et al</w:t>
      </w:r>
      <w:r>
        <w:rPr>
          <w:rFonts w:ascii="Times New Roman" w:hAnsi="Times New Roman"/>
          <w:color w:val="000000"/>
          <w:sz w:val="20"/>
        </w:rPr>
        <w:t xml:space="preserve">. No. 2:23-cv-20354 in the U.S. District Court for the District of New Jersey, or the NJ District Court. Between December 2023 and February 2026, the Company commenced several additional related patent infringement actions against the defendants.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executed settlement agreements with all current ANDA filers. Each ANDA filer agrees not to launch its generic solriamfetol product until September 1, 2040, if pediatric exclusivity is granted for SUNOSI, or on or after March 1, 2040, if no pediatric exclusivity is granted, or earlier under certain circumstances. Specifically, the Company entered into settlement agreements with Unichem on June 4, 2024, with Hikma on March 2, 2025, with Hetero on May 21, 2025, with Alkem on February 13, 2026, and with Aurobindo on June 2, 2026. Additionally, on August 21, 2024, the Company reached an agreement to dismiss the actions pending against Sandoz Inc. No actions remain pending.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SYMBRAVO Paragraph IV Litigation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September 26, 2025, the Company commenced a patent infringement action against Apotex Inc. (“Apotex”) relating to Apotex’s ANDA for SYMBRAVO. This action is captioned </w:t>
      </w:r>
      <w:r>
        <w:rPr>
          <w:rFonts w:ascii="Times New Roman" w:hAnsi="Times New Roman"/>
          <w:i/>
          <w:color w:val="000000"/>
          <w:sz w:val="20"/>
        </w:rPr>
        <w:t xml:space="preserve">Axsome Therapeutics, Inc. v. Apotex, Inc., </w:t>
      </w:r>
      <w:r>
        <w:rPr>
          <w:rFonts w:ascii="Times New Roman" w:hAnsi="Times New Roman"/>
          <w:color w:val="000000"/>
          <w:sz w:val="20"/>
        </w:rPr>
        <w:t>No. 1:25-cv-16038 in the NJ District Court. On March 10, 2026, Apotex filed a motion for judgment on the pleadings to dismiss certain of the asserted patents. The motion is fully briefed, but the Court has not yet ruled on Apotex’s motion. The action is currently in fact discovery.</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believes that its assertions in pending legal proceedings have merit and does not believe that any of these matters, individually or in the aggregate, will have a material adverse effect on its financial position. As of June 30, 2026, there were no potential material losses from claims, asserted or unasserted, or legal proceedings that the Company determined were both probable and reasonably estimable.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 Stockholders’ Equity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Public Offerings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Offerings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the Company entered into a sales agreement (the “March 2022 Sales Agreement”) with Leerink Partners LLC (“Leerink”) and filed a prospectus supplement. The March 2022 Sales Agreement supersedes the sales agreement, dated December 5, 2019, by and between the Company and Leerink. The Company exhausted sales of shares of our common stock under our sales agreement, dated December 5, 2019.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March 2022 Sales Agreement, for the three months ended June 30, 2026, the Company received approximately $13.5 million in gross proceeds through the sale of 54,644 shares, of which net proceeds were approximately $13.3 million. For the six months ended June 30, 2026, the Company received approximately $19.8 million in gross proceeds through the sale of 90,446 shares, of which net proceeds were approximately $19.5 million under the March 2022 Sales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Blackstone Securities Purchase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the Company entered into a securities purchase agreement with Blackstone, and its affiliates, for the private placement (the “Private Placement”) of an aggregate of 140,000 shares of the Company’s common stock, at a purchase price of $107.14 per share. Gross proceeds from the Private Placement were approximately $15.0 million. The closing of the Private Placement occurred contemporaneously with the closing of the Blackstone Loan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Shelf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3, 2025, the Company filed an automatic shelf registration statement (File No. 333-291228) (the “2025 Shelf Registration Statement”) with the SEC for the issuance of common stock, preferred stock, warrants, rights, debt securities and units. It became effective upon filing with the SEC and is currently the Company’s only active shelf registration.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SEC rules, the 2025 Shelf Registration Statement allows for the potential future offer and sale by the Company, from time to time, in one or more public offerings of an unlimited amount of the Company’s common stock, preferred stock, debt securities, and units at indeterminate prices. At the time any of the securities covered by the 2025 Shelf Registration Statement are offered for sale, a prospectus supplement will be prepared and filed with the SEC containing specific information about the terms of any such offering.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 Incentive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2015, the Board adopted the 2015 Omnibus Incentive Compensation Plan, as amended from time to time (the “2015 Plan”) and the Company’s stockholders approved the 2015 Plan in November 2015. In April 2025, the Board adopted the Company’s 2025 Long-Term Incentive Plan (“2025 Plan”) and the Company’s stockholders approved the 2025 Plan in June 2025. The Company will make all future equity awards from the 2025 Plan and the Company does not intend to grant any future equity awards from the 2015 Plan. As of June 30, 2026, there were 1,993,655 shares available for future grant under the 2025 Plan.</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stock option activity as of June 30, 2026:</w:t>
      </w:r>
    </w:p>
    <w:tbl>
      <w:tblPr>
        <w:tblW w:w="9563" w:type="dxa"/>
        <w:jc w:val="left"/>
        <w:tblInd w:w="0" w:type="dxa"/>
        <w:tblLayout w:type="fixed"/>
        <w:tblCellMar>
          <w:top w:w="28" w:type="dxa"/>
          <w:left w:w="28" w:type="dxa"/>
          <w:bottom w:w="28" w:type="dxa"/>
          <w:right w:w="28" w:type="dxa"/>
        </w:tblCellMar>
      </w:tblPr>
      <w:tblGrid>
        <w:gridCol w:w="3766"/>
        <w:gridCol w:w="146"/>
        <w:gridCol w:w="146"/>
        <w:gridCol w:w="991"/>
        <w:gridCol w:w="166"/>
        <w:gridCol w:w="146"/>
        <w:gridCol w:w="290"/>
        <w:gridCol w:w="790"/>
        <w:gridCol w:w="146"/>
        <w:gridCol w:w="146"/>
        <w:gridCol w:w="289"/>
        <w:gridCol w:w="716"/>
        <w:gridCol w:w="146"/>
        <w:gridCol w:w="146"/>
        <w:gridCol w:w="211"/>
        <w:gridCol w:w="931"/>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5,901,579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1,130,181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1,130,181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4,771,457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951,605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option exercise history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In prior years, expected volatility was based on historical volatilities of similar entities within the Company’s industry which were commensurate with the Company’s expected term assumption. Currently, expected volatility is based on historical volatility information of the Company’s common stock since the Company’s initial public offering in 2015.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there was $68.3 million of total unrecognized compensation cost related to unvested stock options which is expected to be recognized over a weighted average period of 1.6 years.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RSUs is recognized as an expense ratably over the vesting period of four years. As of June 30, 2026, total compensation cost not yet recognized related to nonvested RSUs was $157.0 million, which is expected to be recognized over a weighted-average period of 3.0 years. The intrinsic value of RSUs lapsed during the six months ended June 30, 2026 was $34.1 million.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the RSU activity for the six months ended June 30, 2026:</w:t>
      </w:r>
    </w:p>
    <w:tbl>
      <w:tblPr>
        <w:tblW w:w="5619" w:type="dxa"/>
        <w:jc w:val="left"/>
        <w:tblInd w:w="0" w:type="dxa"/>
        <w:tblLayout w:type="fixed"/>
        <w:tblCellMar>
          <w:top w:w="28" w:type="dxa"/>
          <w:left w:w="28" w:type="dxa"/>
          <w:bottom w:w="28" w:type="dxa"/>
          <w:right w:w="28" w:type="dxa"/>
        </w:tblCellMar>
      </w:tblPr>
      <w:tblGrid>
        <w:gridCol w:w="2806"/>
        <w:gridCol w:w="146"/>
        <w:gridCol w:w="146"/>
        <w:gridCol w:w="931"/>
        <w:gridCol w:w="166"/>
        <w:gridCol w:w="146"/>
        <w:gridCol w:w="211"/>
        <w:gridCol w:w="676"/>
        <w:gridCol w:w="3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1,334,295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Performance Stock Units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February 2025, the Company granted PSUs to the executive officers. Vesting of these PSUs is subject to achievement of specified performance goals, which include achieving revenue, clinical, and regulatory targets over a three-year performance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April 2026, the Company granted an additional award of PSUs to its executive officers. Vesting of these PSUs is subject to achievement of specified performance goals, which include achieving revenue and commercialization targets over a three-year performance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both awards, the actual number of common shares that would ultimately be issued is calculated by multiplying the number of PSUs granted by a payout multiplier ranging from 0 to 2. Achievement of the performance goals will ultimately be determined by the Compensation Committee or the Board at the end of the vesting term, which is approximately 3 years from the grant date. As of June 30, 2026, total compensation cost not yet recognized related to nonvested PSUs was $9.5 million, which is expected to be recognized over a weighted-average period of 2.2 years.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sets forth the PSU activity for the six months ended June 30, 2026:</w:t>
      </w:r>
    </w:p>
    <w:tbl>
      <w:tblPr>
        <w:tblW w:w="5449" w:type="dxa"/>
        <w:jc w:val="left"/>
        <w:tblInd w:w="0" w:type="dxa"/>
        <w:tblLayout w:type="fixed"/>
        <w:tblCellMar>
          <w:top w:w="28" w:type="dxa"/>
          <w:left w:w="28" w:type="dxa"/>
          <w:bottom w:w="28" w:type="dxa"/>
          <w:right w:w="28" w:type="dxa"/>
        </w:tblCellMar>
      </w:tblPr>
      <w:tblGrid>
        <w:gridCol w:w="2806"/>
        <w:gridCol w:w="146"/>
        <w:gridCol w:w="146"/>
        <w:gridCol w:w="781"/>
        <w:gridCol w:w="146"/>
        <w:gridCol w:w="146"/>
        <w:gridCol w:w="211"/>
        <w:gridCol w:w="676"/>
        <w:gridCol w:w="3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Employee Stock Purchase Plan</w:t>
      </w:r>
    </w:p>
    <w:p>
      <w:pPr>
        <w:pStyle w:val="TextBody"/>
        <w:bidi w:val="0"/>
        <w:jc w:val="left"/>
        <w:rPr>
          <w:rFonts w:ascii="Times New Roman" w:hAnsi="Times New Roman"/>
          <w:color w:val="000000"/>
          <w:sz w:val="20"/>
        </w:rPr>
      </w:pPr>
      <w:r>
        <w:rPr>
          <w:rFonts w:ascii="Times New Roman" w:hAnsi="Times New Roman"/>
          <w:color w:val="000000"/>
          <w:sz w:val="20"/>
        </w:rPr>
        <w:t xml:space="preserve">The ESPP allows eligible employees to purchase shares of the Company’s common stock. The purchase price is equal to 85% of the lower of the closing price of the Company’s common stock on (1) the first day of the offering period or (2) the last day of the offering period. The ESPP has consecutive offering periods that begin on or about June 1st of each year with a duration of 12 months. The Company commenced the third offering period pursuant to the ESPP on June 1, 2025, and such offering ended on May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68,643 common shares have been purchased and issued pursuant to the ESPP, and $0.6 million and $1.2 million of expenses were recorded for the three and six months ended June 30, 2026. During the six months ended June 30, 2025, 59,607 common shares have been purchased and issued pursuant to the ESPP, and $0.5 million and $0.8 million of expenses were recorded for the three and six months ended June 30,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Stock-based compensation expense recognized was as follows:</w:t>
      </w:r>
    </w:p>
    <w:tbl>
      <w:tblPr>
        <w:tblW w:w="7867" w:type="dxa"/>
        <w:jc w:val="left"/>
        <w:tblInd w:w="0" w:type="dxa"/>
        <w:tblLayout w:type="fixed"/>
        <w:tblCellMar>
          <w:top w:w="28" w:type="dxa"/>
          <w:left w:w="28" w:type="dxa"/>
          <w:bottom w:w="28" w:type="dxa"/>
          <w:right w:w="28" w:type="dxa"/>
        </w:tblCellMar>
      </w:tblPr>
      <w:tblGrid>
        <w:gridCol w:w="2956"/>
        <w:gridCol w:w="146"/>
        <w:gridCol w:w="226"/>
        <w:gridCol w:w="726"/>
        <w:gridCol w:w="156"/>
        <w:gridCol w:w="156"/>
        <w:gridCol w:w="226"/>
        <w:gridCol w:w="726"/>
        <w:gridCol w:w="146"/>
        <w:gridCol w:w="146"/>
        <w:gridCol w:w="211"/>
        <w:gridCol w:w="676"/>
        <w:gridCol w:w="146"/>
        <w:gridCol w:w="146"/>
        <w:gridCol w:w="211"/>
        <w:gridCol w:w="67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7,739</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19,409</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27,148</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Stock-based compensation expense capitalized into inventory totaled $0.4 million and $0.9 million for the three and six months ended June 30, 2026, respectively, and $0.3 million and $0.7 million for the three and six months ended June 30, 2025, respectively. Capitalized stock-based compensation is recognized as an expense in cost of product sales when the related product is sold or in selling, general and administrative expense when the related product is dispensed as a physician sample.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11. Warrants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warrant activity for the six months ended June 30, 2026:</w:t>
      </w:r>
    </w:p>
    <w:tbl>
      <w:tblPr>
        <w:tblW w:w="6097" w:type="dxa"/>
        <w:jc w:val="left"/>
        <w:tblInd w:w="0" w:type="dxa"/>
        <w:tblLayout w:type="fixed"/>
        <w:tblCellMar>
          <w:top w:w="28" w:type="dxa"/>
          <w:left w:w="28" w:type="dxa"/>
          <w:bottom w:w="28" w:type="dxa"/>
          <w:right w:w="28" w:type="dxa"/>
        </w:tblCellMar>
      </w:tblPr>
      <w:tblGrid>
        <w:gridCol w:w="2941"/>
        <w:gridCol w:w="146"/>
        <w:gridCol w:w="146"/>
        <w:gridCol w:w="736"/>
        <w:gridCol w:w="166"/>
        <w:gridCol w:w="146"/>
        <w:gridCol w:w="383"/>
        <w:gridCol w:w="1042"/>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entry into the Third Amendment to the Hercules Loan Agreement, which the Company entered into in January 2023, Hercules received warrants to purchase an aggregate of 18,724 shares of the Company’s common stock at an exercise price of $73.43 per share, and in connection with the draw down of the Tranche 1C Advance, Hercules received warrants to purchase 9,700 shares of the Company’s common stock at an exercise price of $77.31 per share (collectively, the “2023 warrants”). In connection with the entry into the Second Amendment, Hercules received warrants to purchase an aggregate of 35,255 shares of the Company’s common stock at an exercise price of $31.91 per share (the “2022 warrants”), and in connection with the first advance of the 2020 Term Loan, Hercules received warrants to purchase an aggregate of 15,541 shares of the Company’s common stock at an exercise price of $80.43 per share (the “2020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2023 warrants,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$1.6 million for the 2023 warrants, $0.8 million for the 2022 warrants and $0.9 million for the 2020 warrants at the time of issuance, which was determined using the Black-Scholes option-pricing model, was recorded as additional paid-in capital and reduced the carrying value of the debt. Upon full repayment of the Company’s obligations under the Hercules Loan Agreement, no additional warrants are issuable under the Hercules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Hercules exercised the 2020 warrants and the 2022 warrants on a cashless basis in accordance with the net issuance provisions of the warrants, resulting in the net issuance of 40,177 shares of the Company’s common stock. The Company received no cash proceeds in connection with the exercise. The 2023 warrants remained outstanding as of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12. Net Loss per Common Share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common share:</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51,799,708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49,442,001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51,500,690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49,158,159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potentially dilutive securities have been excluded from the computation of diluted weighted average shares outstanding, as they would be anti-dilutive:</w:t>
      </w:r>
    </w:p>
    <w:tbl>
      <w:tblPr>
        <w:tblW w:w="4839" w:type="dxa"/>
        <w:jc w:val="left"/>
        <w:tblInd w:w="0" w:type="dxa"/>
        <w:tblLayout w:type="fixed"/>
        <w:tblCellMar>
          <w:top w:w="28" w:type="dxa"/>
          <w:left w:w="28" w:type="dxa"/>
          <w:bottom w:w="28" w:type="dxa"/>
          <w:right w:w="28" w:type="dxa"/>
        </w:tblCellMar>
      </w:tblPr>
      <w:tblGrid>
        <w:gridCol w:w="2056"/>
        <w:gridCol w:w="146"/>
        <w:gridCol w:w="146"/>
        <w:gridCol w:w="931"/>
        <w:gridCol w:w="146"/>
        <w:gridCol w:w="146"/>
        <w:gridCol w:w="146"/>
        <w:gridCol w:w="931"/>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8,090,273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1,526,153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92,598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8,075,422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9,852,525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13.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sells AUVELITY, SUNOSI, and SYMBRAVO in the United States through the Distributors. The Company also sells SUNOSI to Distributors in Canada and on a product supply basis to Pharmanovia. SUNOSI is subsequently sold by Pharmanovia in certain ex-U.S. markets. For the six months ended June 30, 2026, the Company’s three largest customers represented approximately 38%, 27%, and 24% of the Company’s gross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Royalty revenue is related to the sales of SUNOSI by Pharmanovia in certain ex-U.S. markets and milestone revenue consists of $0.5 million related to an achievement of a regulatory milestone for AUVELITY recorded in the first quarter of 2026 and $0.5 million related to an achievement of a developmental milestone for SUNOSI recorded in the second quarter of 2026.</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presents a summary of total revenues by product: </w:t>
      </w:r>
    </w:p>
    <w:tbl>
      <w:tblPr>
        <w:tblW w:w="7992" w:type="dxa"/>
        <w:jc w:val="left"/>
        <w:tblInd w:w="0" w:type="dxa"/>
        <w:tblLayout w:type="fixed"/>
        <w:tblCellMar>
          <w:top w:w="28" w:type="dxa"/>
          <w:left w:w="28" w:type="dxa"/>
          <w:bottom w:w="28" w:type="dxa"/>
          <w:right w:w="28" w:type="dxa"/>
        </w:tblCellMar>
      </w:tblPr>
      <w:tblGrid>
        <w:gridCol w:w="2611"/>
        <w:gridCol w:w="146"/>
        <w:gridCol w:w="211"/>
        <w:gridCol w:w="781"/>
        <w:gridCol w:w="146"/>
        <w:gridCol w:w="146"/>
        <w:gridCol w:w="211"/>
        <w:gridCol w:w="781"/>
        <w:gridCol w:w="146"/>
        <w:gridCol w:w="146"/>
        <w:gridCol w:w="211"/>
        <w:gridCol w:w="781"/>
        <w:gridCol w:w="146"/>
        <w:gridCol w:w="146"/>
        <w:gridCol w:w="211"/>
        <w:gridCol w:w="78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AUVELITY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SUNOSI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SYMBRAVO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product sales,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AUVELITY milestone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SUNOSI milestone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SUNOSI 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a summary of total revenues by geographic location:</w:t>
      </w:r>
    </w:p>
    <w:tbl>
      <w:tblPr>
        <w:tblW w:w="8037" w:type="dxa"/>
        <w:jc w:val="left"/>
        <w:tblInd w:w="0" w:type="dxa"/>
        <w:tblLayout w:type="fixed"/>
        <w:tblCellMar>
          <w:top w:w="28" w:type="dxa"/>
          <w:left w:w="28" w:type="dxa"/>
          <w:bottom w:w="28" w:type="dxa"/>
          <w:right w:w="28" w:type="dxa"/>
        </w:tblCellMar>
      </w:tblPr>
      <w:tblGrid>
        <w:gridCol w:w="2656"/>
        <w:gridCol w:w="146"/>
        <w:gridCol w:w="211"/>
        <w:gridCol w:w="781"/>
        <w:gridCol w:w="146"/>
        <w:gridCol w:w="146"/>
        <w:gridCol w:w="211"/>
        <w:gridCol w:w="781"/>
        <w:gridCol w:w="146"/>
        <w:gridCol w:w="146"/>
        <w:gridCol w:w="211"/>
        <w:gridCol w:w="781"/>
        <w:gridCol w:w="146"/>
        <w:gridCol w:w="146"/>
        <w:gridCol w:w="211"/>
        <w:gridCol w:w="781"/>
        <w:gridCol w:w="3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Outside of the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product sales,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and milestone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Outside of the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product sales, net includes adjustments for provisions for product sales made in previous fiscal years resulting from changes in estimates of $1.2 million for AUVELITY, $2.4 million for SUNOSI, and $0.1 million for SYMBRAVO. For the six months ended June 30, 2025, product sales, net includes adjustments for provisions for product sales made in previous fiscal years resulting from changes in estimates of $1.1 million for AUVELITY and $0.9 million for SUNOSI.</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14. License Agreements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Agreement with Pharmanovia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2023, Axsome Malta, a Malta limited company and a wholly owned subsidiary of the Company, entered into an exclusive license agreement with Pharmanovia (the “Pharmanovia License Agreement”) to commercialize and further develop SUNOSI in Europe and certain countries in the Middle East and North Africa (the “Territory”). Under the terms of the Pharmanovia License Agreement, the Company retains its existing interest in SUNOSI intellectual property and licenses those rights in the Territory to Pharmanovia. Pharmanovia is solely responsible for the clinical development and commercialization of SUNOSI in the Territory. The Company will continue to manufacture SUNOSI and provide product supply to Pharmanovia for an indefinite period of time, and the Company will recognize revenue as a component of product sales, net, when product is supplied to Pharmanovia.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consideration for entering the Pharmanovia License Agreement, the Company received a non-refundable upfront payment of €62.0 million ($65.7 million). The Company also will receive a royalty percentage in the mid-twenties on SUNOSI net sales in the Territory and is eligible to receive sales-based milestone payments totaling up to €94.5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evaluated the Pharmanovia License Agreement under ASC 606 and concluded that Pharmanovia represents a customer in the transaction. The initial transaction price consisted of the non-refundable upfront payment, which was recognized as License Revenue in the first quarter of 2023 upon transfer of the license to Pharmanovia, as the requirement for revenue recognition under ASC 606 was met.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development or regulatory milestones will be recognized as revenue immediately in the period the underlying milestone is achieved. Any consideration related to sales-based royalties will be recognized when the related sales occur. The Company recognized royalty revenue of $1.5 million and $1.1 million for the three months ended June 30, 2026 and 2025, respectively, and $2.8 million and $2.2 million for the six months ended June 30, 2026 and 2025, respectively, related to Pharmanovia’s sales of SUNOSI. No other development or sales-based milestones were recognized during the three and six months ended June 30, 2026 and 2025.</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Exclusive License Agreement with Pfizer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United States for the treatment of fibromyalgia.</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December 31, 2020.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AXS-14. During the three and six months ended June 30, 2026 and 2025, no milestone payments or royalties were paid to Pfizer by the Company.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Exclusive License Agreements with Antecip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2012, the Company entered into three exclusive license agreements with Antecip, an entity owned by the Company’s Chief Executive Officer and Chairman of the Board, Herriot Tabuteau, M.D., in which the Company was granted exclusive licenses to develop, manufacture and commercialize Antecip’s patents and applications related to the development of AXS-05 (now marketed as AUVELITY) and two product candidates no longer under active development, anywhere in the world for human therapeutic, veterinary, and diagnostic use. Pursuant to the agreements, the Company is required to use commercially reasonable efforts to develop, obtain regulatory approval for and commercialize these product candidates. Under the terms of the agreements, the Company is required to pay to Antecip a royalty equal to 3.0% for AXS-05 (and 1.5% or 4.5% for the other two product candidates no longer under active development),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The Company began recording royalty payments to Antecip along with the initiation of sales of AUVELITY (the components of which are referred to as “AXS-05”) in the fourth quarter of 2022. The Company recorded royalty expense due to Antecip of $5.3 million and $3.6 million for the three months ended June 30, 2026 and 2025, respectively, and $9.9 million and $6.5 million for the six months ended June 30, 2026 and 2025, respectively, which is equal to 3.0% of net sales of AUVELITY. This is considered to be a related party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Blackstone Loan Agreement, Antecip consented to the collateral assignment of one of the license agreements, among other things, under a direct agreement among the Company, Antecip, a related party, and Blackstone. This new direct agreement superseded the prior direct agreement among the Company, Antecip and Hercules that had been entered into in connection with the Hercules Loan Agreement, which terminated automatically upon repayment of the Hercules loan obligations in full on May 8,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15.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first quarter of 2026, the Company acquired the global rights to balipodect (AXS-20), a selective PDE10A Inhibitor for the treatment of schizophrenia and other neuropsychiatric conditions, from Takeda Pharmaceutical Company Limited (Takeda), for $10.4 million, inclusive of transaction costs. Takeda is eligible to receive up to $260.0 million in development, regulatory and sales-based milestones and a mid single-digit royalty on potential global net sales of balipodect.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accounted for the transaction as an acquisition of an asset, as substantially all the fair value of the assets acquired were concentrated in balipodect. The Company recorded a charge of $10.4 million in research and development expense, inclusive of the upfront payment and direct transaction costs.</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16. Royalty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25, 2022, the Company entered into an Asset Purchase Agreement (the “Purchase Agreement”) with Jazz, pursuant to which the Company was to acquire commercial and development rights with respect to SUNOSI from Jazz in certain U.S. and ex-U.S. markets. The Acquisition occurred in two separate closings. The sale and purchase of specified initial assets contemplated by the Purchase Agreement occurred on May 9, 2022 (the “Initial Closing”), following the satisfaction or waiver of the closing conditions under the Purchase Agreement. The sale and purchase of specified ex-U.S. assets contemplated by the Purchase Agreement occurred on November 14, 2022, following the satisfaction or waiver of the closing conditions under the Purchase Agreement (the “Final Closing”). The Company accounted for the Initial Closing as a business combination using the acquisition method of accounting, and the Company accounted for the Final Closing as an asset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Purchase Agreement, the Company agreed to make non-refundable, non-creditable royalty payments to Jazz equal to a (A) high single-digit royalty for any current indication, or (B) mid single-digit royalty for any future indication of net sales in the U.S. Territory made during the applicable royalty term. There are no royalty payments due to Jazz for net sales outside of the U.S. Territory.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Initial Closing, the Company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$162.5 million based on revenue milestones and $1.0 million based on development milestones. During the three and six months ended June 30, 2026 and 2025, no milestone payments were made to SK or Aerial by the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17. Income Taxes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table below presents the Company’s loss before income taxes and effective tax rates for all periods presented:</w:t>
      </w:r>
    </w:p>
    <w:tbl>
      <w:tblPr>
        <w:tblW w:w="8292" w:type="dxa"/>
        <w:jc w:val="left"/>
        <w:tblInd w:w="0" w:type="dxa"/>
        <w:tblLayout w:type="fixed"/>
        <w:tblCellMar>
          <w:top w:w="28" w:type="dxa"/>
          <w:left w:w="28" w:type="dxa"/>
          <w:bottom w:w="28" w:type="dxa"/>
          <w:right w:w="28" w:type="dxa"/>
        </w:tblCellMar>
      </w:tblPr>
      <w:tblGrid>
        <w:gridCol w:w="2461"/>
        <w:gridCol w:w="146"/>
        <w:gridCol w:w="211"/>
        <w:gridCol w:w="736"/>
        <w:gridCol w:w="271"/>
        <w:gridCol w:w="146"/>
        <w:gridCol w:w="211"/>
        <w:gridCol w:w="736"/>
        <w:gridCol w:w="331"/>
        <w:gridCol w:w="146"/>
        <w:gridCol w:w="211"/>
        <w:gridCol w:w="841"/>
        <w:gridCol w:w="271"/>
        <w:gridCol w:w="146"/>
        <w:gridCol w:w="211"/>
        <w:gridCol w:w="841"/>
        <w:gridCol w:w="37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(48,933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income taxes in the United States and foreign jurisdictions in which the Company does business. These foreign jurisdictions have statutory tax rates different from those in the United States. Accordingly, the Company’s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 The Company regularly assesses the likelihood of adverse outcomes resulting from the examination of the Company’s tax returns by the Internal Revenue Service (the “IRS”) and other tax authorities to determine the adequacy of its income tax reserves and expense. Should actual events or results differ from the Company’s current expectations, charges or credits to its income tax expense may become necessary.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a tax expense of $0.1 million for the three and six months ended June 30, 2026. The tax expense is primarily related to unfavorable return-to-provision adjustments attributable to certain foreign tax returns filed during June 2026. For the three and six months ended June 30, 2025, the Company recorded a discrete income tax benefit of $1.0 million. The discrete tax benefit is related to favorable return-to-provision adjustments attributable to certain foreign tax returns filed during July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have any unrecognized tax benefits as of June 30, 2026 related to uncertain tax positions that would impact the effective income tax rate if recognized.</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quarter ended March 31, 2026, the IRS completed its examination of the Company’s U.S. federal income tax returns for the 2021 tax year. The IRS made adjustments to the Company’s R&amp;D and Orphan Drug tax credit carryforwards, however these adjustments did not have a material impact on the Company’s consolidated financial statements because the tax credits were fully offset by the valuation allowance. The Company is not currently under examination at the state level.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 The Company is currently under examination by the Canada Revenue Agency for the Company’s 2024 and 2025 Canadian income tax returns.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18. Related 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the Company’s inception, Herriot Tabuteau, M.D. has been the Company’s founder, Chief Executive Officer, Chairman of the Company’s Board, and the beneficial owner of more than 5% of the outstanding shares of the Company’s common stock. In connection with the formation of the Company, in January 2012, the Company issued to Antecip Bioventures II LLC, an entity controlled by Dr. Tabuteau, an aggregate of 7,344,500 shares of the Company’s common stock for nominal consideration. The Company recorded royalty expense due to Antecip of $5.3 million and $3.6 million for the three months ended June 30, 2026 and 2025, respectively, and $9.9 million and $6.5 million for the six months ended June 30, 2026 and 2025, respectively, which equal 3.0% of net sales of AUVELITY for those respective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 party to three exclusive license agreements with Antecip Bioventures II LLC, an entity owned by Dr. Tabuteau. See Note 14. License Agreements for further information regarding the license agreements.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19. 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views its operations and manages its business as one operating and reportable segment, which is the business of developing and delivering novel therapies for the management of CNS disorders. The Company’s focus centers around the CNS disorders market as its primary operating environment. Consistent with the operational structure, the Chief Executive Officer, as the chief operating decision maker (“CODM”), manages and allocates resources on a consolidated basis. This decision-making process reflects the way in which the financial information is regularly reviewed and used by the CODM to evaluate performance, set operational targets, forecast future financial results, and allocate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CODM assesses financial performance and allocates resources based on consolidated net loss that also is reported on the consolidated statements of operations. The measure of segment assets is reported on the balance sheet as total consolidated assets. The CODM utilizes consolidated net loss by comparing actual results against budgeted amounts on a quarterly basis. As part of this process, consolidated net loss is a critical performance measure used to evaluate the Company’s operating performance and guide strategic decisions and resource allocations, including additional investments in research and development and commercialization activities.</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information about the Company’s one reportable segment and includes the reconciliation to consolidated net loss.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44"/>
        <w:gridCol w:w="146"/>
        <w:gridCol w:w="211"/>
        <w:gridCol w:w="781"/>
        <w:gridCol w:w="166"/>
        <w:gridCol w:w="146"/>
        <w:gridCol w:w="211"/>
        <w:gridCol w:w="781"/>
        <w:gridCol w:w="166"/>
        <w:gridCol w:w="146"/>
        <w:gridCol w:w="211"/>
        <w:gridCol w:w="841"/>
        <w:gridCol w:w="166"/>
        <w:gridCol w:w="146"/>
        <w:gridCol w:w="211"/>
        <w:gridCol w:w="841"/>
        <w:gridCol w:w="591"/>
      </w:tblGrid>
      <w:tr>
        <w:trPr/>
        <w:tc>
          <w:tcPr>
            <w:tcW w:w="4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271,505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 (excluding amortization and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 (excluding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Solriamfetol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AXS-05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AXS-07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AXS-12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AXS-14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Other research and development</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 (excluding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 expense (excluding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Interest expense, net</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and reconciling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(107,386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4"/>
        </w:rPr>
      </w:pPr>
      <w:r>
        <w:rPr>
          <w:rFonts w:ascii="Times New Roman" w:hAnsi="Times New Roman"/>
          <w:color w:val="000000"/>
          <w:sz w:val="14"/>
        </w:rPr>
        <w:t>(a)</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Other research and development expenses primarily consist of facilities charges, third party consultant costs, costs related to other product candidates, costs related to asset acquisitions, and other unallocated costs.</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(b)</w:t>
      </w:r>
    </w:p>
    <w:p>
      <w:pPr>
        <w:pStyle w:val="TextBody"/>
        <w:bidi w:val="0"/>
        <w:spacing w:before="0" w:after="0"/>
        <w:jc w:val="left"/>
        <w:rPr>
          <w:rFonts w:ascii="Times New Roman" w:hAnsi="Times New Roman"/>
          <w:sz w:val="24"/>
        </w:rPr>
      </w:pPr>
      <w:r>
        <w:rPr>
          <w:rFonts w:ascii="Times New Roman" w:hAnsi="Times New Roman"/>
          <w:color w:val="000000"/>
          <w:sz w:val="14"/>
        </w:rPr>
        <w:t>Interest expense, net of $1,540</w:t>
      </w:r>
      <w:r>
        <w:rPr>
          <w:rFonts w:ascii="Times New Roman" w:hAnsi="Times New Roman"/>
          <w:color w:val="000000"/>
          <w:sz w:val="24"/>
        </w:rPr>
        <w:t xml:space="preserve"> </w:t>
      </w:r>
      <w:r>
        <w:rPr>
          <w:rFonts w:ascii="Times New Roman" w:hAnsi="Times New Roman"/>
          <w:color w:val="000000"/>
          <w:sz w:val="14"/>
        </w:rPr>
        <w:t>for the three months ended June 30, 2026 comprises (i) consolidated interest expense of $3,200</w:t>
      </w:r>
      <w:r>
        <w:rPr>
          <w:rFonts w:ascii="Times New Roman" w:hAnsi="Times New Roman"/>
          <w:color w:val="000000"/>
          <w:sz w:val="24"/>
        </w:rPr>
        <w:t xml:space="preserve"> </w:t>
      </w:r>
      <w:r>
        <w:rPr>
          <w:rFonts w:ascii="Times New Roman" w:hAnsi="Times New Roman"/>
          <w:color w:val="000000"/>
          <w:sz w:val="14"/>
        </w:rPr>
        <w:t>and (ii) consolidated interest income of $1,660. Interest expense, net of $2,725</w:t>
      </w:r>
      <w:r>
        <w:rPr>
          <w:rFonts w:ascii="Times New Roman" w:hAnsi="Times New Roman"/>
          <w:color w:val="000000"/>
          <w:sz w:val="24"/>
        </w:rPr>
        <w:t xml:space="preserve"> </w:t>
      </w:r>
      <w:r>
        <w:rPr>
          <w:rFonts w:ascii="Times New Roman" w:hAnsi="Times New Roman"/>
          <w:color w:val="000000"/>
          <w:sz w:val="14"/>
        </w:rPr>
        <w:t>for the six months ended June 30, 2026 comprises (i) consolidated interest expense of $6,292</w:t>
      </w:r>
      <w:r>
        <w:rPr>
          <w:rFonts w:ascii="Times New Roman" w:hAnsi="Times New Roman"/>
          <w:color w:val="000000"/>
          <w:sz w:val="24"/>
        </w:rPr>
        <w:t xml:space="preserve"> </w:t>
      </w:r>
      <w:r>
        <w:rPr>
          <w:rFonts w:ascii="Times New Roman" w:hAnsi="Times New Roman"/>
          <w:color w:val="000000"/>
          <w:sz w:val="14"/>
        </w:rPr>
        <w:t>and (ii) consolidated interest income of $3,567. Interest expense, net of $1,834</w:t>
      </w:r>
      <w:r>
        <w:rPr>
          <w:rFonts w:ascii="Times New Roman" w:hAnsi="Times New Roman"/>
          <w:color w:val="000000"/>
          <w:sz w:val="24"/>
        </w:rPr>
        <w:t xml:space="preserve"> </w:t>
      </w:r>
      <w:r>
        <w:rPr>
          <w:rFonts w:ascii="Times New Roman" w:hAnsi="Times New Roman"/>
          <w:color w:val="000000"/>
          <w:sz w:val="14"/>
        </w:rPr>
        <w:t>for the three months ended June 30, 2025 comprises (i) consolidated interest expense of $4,086</w:t>
      </w:r>
      <w:r>
        <w:rPr>
          <w:rFonts w:ascii="Times New Roman" w:hAnsi="Times New Roman"/>
          <w:color w:val="000000"/>
          <w:sz w:val="24"/>
        </w:rPr>
        <w:t xml:space="preserve"> </w:t>
      </w:r>
      <w:r>
        <w:rPr>
          <w:rFonts w:ascii="Times New Roman" w:hAnsi="Times New Roman"/>
          <w:color w:val="000000"/>
          <w:sz w:val="14"/>
        </w:rPr>
        <w:t>and (ii) consolidated interest income of $2,252. Interest expense, net of $4,265</w:t>
      </w:r>
      <w:r>
        <w:rPr>
          <w:rFonts w:ascii="Times New Roman" w:hAnsi="Times New Roman"/>
          <w:color w:val="000000"/>
          <w:sz w:val="24"/>
        </w:rPr>
        <w:t xml:space="preserve"> </w:t>
      </w:r>
      <w:r>
        <w:rPr>
          <w:rFonts w:ascii="Times New Roman" w:hAnsi="Times New Roman"/>
          <w:color w:val="000000"/>
          <w:sz w:val="14"/>
        </w:rPr>
        <w:t>for the six months ended June 30, 2025 comprises (i) consolidated interest expense of $9,344</w:t>
      </w:r>
      <w:r>
        <w:rPr>
          <w:rFonts w:ascii="Times New Roman" w:hAnsi="Times New Roman"/>
          <w:color w:val="000000"/>
          <w:sz w:val="24"/>
        </w:rPr>
        <w:t xml:space="preserve"> </w:t>
      </w:r>
      <w:r>
        <w:rPr>
          <w:rFonts w:ascii="Times New Roman" w:hAnsi="Times New Roman"/>
          <w:color w:val="000000"/>
          <w:sz w:val="14"/>
        </w:rPr>
        <w:t>and (ii) consolidated interest income of $5,079.</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(c)</w:t>
      </w:r>
    </w:p>
    <w:p>
      <w:pPr>
        <w:pStyle w:val="TextBody"/>
        <w:bidi w:val="0"/>
        <w:jc w:val="left"/>
        <w:rPr>
          <w:rFonts w:ascii="Times New Roman" w:hAnsi="Times New Roman"/>
          <w:color w:val="000000"/>
          <w:sz w:val="14"/>
        </w:rPr>
      </w:pPr>
      <w:r>
        <w:rPr>
          <w:rFonts w:ascii="Times New Roman" w:hAnsi="Times New Roman"/>
          <w:color w:val="000000"/>
          <w:sz w:val="14"/>
        </w:rPr>
        <w:t>Other segment items included in Segment net loss include intangible asset amortization, loss on debt extinguishment, and other miscellaneous items.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2. Summary of Significant Accounting Policies for further details on the products from which the Company derives its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13. Revenues for details of revenue from external customers by geography.</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7" w:name="item_2_managements_discussion_analysis_f"/>
      <w:bookmarkEnd w:id="7"/>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discussion and analysis contain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pStyle w:val="TextBody"/>
        <w:bidi w:val="0"/>
        <w:spacing w:before="240" w:after="283"/>
        <w:jc w:val="left"/>
        <w:rPr>
          <w:rFonts w:ascii="Times New Roman" w:hAnsi="Times New Roman"/>
          <w:sz w:val="20"/>
        </w:rPr>
      </w:pPr>
      <w:r>
        <w:rPr>
          <w:rFonts w:ascii="Times New Roman" w:hAnsi="Times New Roman"/>
          <w:i/>
          <w:color w:val="000000"/>
          <w:sz w:val="20"/>
        </w:rPr>
        <w:t>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2025 which was filed with the U.S. Securities and Exchange Commission, or SEC, on February 23, 2026</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sz w:val="20"/>
        </w:rPr>
      </w:pPr>
      <w:r>
        <w:rPr>
          <w:rFonts w:ascii="Times New Roman" w:hAnsi="Times New Roman"/>
          <w:color w:val="000000"/>
          <w:sz w:val="20"/>
        </w:rPr>
        <w:t>We are a biopharmaceutical company focused on the development and commercialization of innovative medicines for people living with central nervous system (“CNS”) conditions. Our operations are primarily directed toward the commercialization of our marketed products, AUVELITY</w:t>
      </w:r>
      <w:r>
        <w:rPr>
          <w:rFonts w:ascii="Times New Roman" w:hAnsi="Times New Roman"/>
          <w:color w:val="000000"/>
          <w:sz w:val="13"/>
        </w:rPr>
        <w:t>®</w:t>
      </w:r>
      <w:r>
        <w:rPr>
          <w:rFonts w:ascii="Times New Roman" w:hAnsi="Times New Roman"/>
          <w:color w:val="000000"/>
          <w:sz w:val="20"/>
        </w:rPr>
        <w:t>, SUNOSI</w:t>
      </w:r>
      <w:r>
        <w:rPr>
          <w:rFonts w:ascii="Times New Roman" w:hAnsi="Times New Roman"/>
          <w:color w:val="000000"/>
          <w:sz w:val="13"/>
        </w:rPr>
        <w:t>®</w:t>
      </w:r>
      <w:r>
        <w:rPr>
          <w:rFonts w:ascii="Times New Roman" w:hAnsi="Times New Roman"/>
          <w:color w:val="000000"/>
          <w:sz w:val="20"/>
        </w:rPr>
        <w:t>, and SYMBRAVO</w:t>
      </w:r>
      <w:r>
        <w:rPr>
          <w:rFonts w:ascii="Times New Roman" w:hAnsi="Times New Roman"/>
          <w:color w:val="000000"/>
          <w:sz w:val="13"/>
        </w:rPr>
        <w:t>®</w:t>
      </w:r>
      <w:r>
        <w:rPr>
          <w:rFonts w:ascii="Times New Roman" w:hAnsi="Times New Roman"/>
          <w:color w:val="000000"/>
          <w:sz w:val="20"/>
        </w:rPr>
        <w:t>, as well as the advancement of our pipeline of novel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Commercial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products are our primary sources of revenue and are expected to be key contributors to future revenue growth.</w:t>
      </w:r>
    </w:p>
    <w:p>
      <w:pPr>
        <w:pStyle w:val="TextBody"/>
        <w:bidi w:val="0"/>
        <w:spacing w:before="240" w:after="283"/>
        <w:jc w:val="left"/>
        <w:rPr>
          <w:rFonts w:ascii="Times New Roman" w:hAnsi="Times New Roman"/>
          <w:sz w:val="20"/>
        </w:rPr>
      </w:pPr>
      <w:r>
        <w:rPr>
          <w:rFonts w:ascii="Times New Roman" w:hAnsi="Times New Roman"/>
          <w:b/>
          <w:i/>
          <w:color w:val="000000"/>
          <w:sz w:val="20"/>
        </w:rPr>
        <w:t>AUVELITY</w:t>
      </w:r>
      <w:r>
        <w:rPr>
          <w:rFonts w:ascii="Times New Roman" w:hAnsi="Times New Roman"/>
          <w:b/>
          <w:i/>
          <w:color w:val="000000"/>
          <w:sz w:val="13"/>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AUVELITY (dextromethorphan and bupropion) was developed by Axsome and approved by the FDA in August 2022 for the treatment of MDD (as defined below) in adults. We launched AUVELITY in the U.S. in October 2022 as the first and only oral, N-methyl-D-aspartate (NMDA) receptor antagonist approved for MDD in adults and the only oral antidepressant with rapid-acting efficacy reflected in the FDA label. In April 2026, the FDA approved AUVELITY for the treatment of agitation associated with dementia due to Alzheimer’s disease (AADDAD). We initiated the commercial launch of AUVELITY for the treatment of AADDAD in June 2026. AUVELITY utilizes a proprietary formulation and dose of dextromethorphan and bupropion, and Axsome’s metabolic inhibition technology, to modulate the delivery of the components.</w:t>
      </w:r>
    </w:p>
    <w:p>
      <w:pPr>
        <w:pStyle w:val="TextBody"/>
        <w:bidi w:val="0"/>
        <w:spacing w:before="240" w:after="283"/>
        <w:jc w:val="left"/>
        <w:rPr>
          <w:rFonts w:ascii="Times New Roman" w:hAnsi="Times New Roman"/>
          <w:sz w:val="20"/>
        </w:rPr>
      </w:pPr>
      <w:r>
        <w:rPr>
          <w:rFonts w:ascii="Times New Roman" w:hAnsi="Times New Roman"/>
          <w:b/>
          <w:i/>
          <w:color w:val="000000"/>
          <w:sz w:val="20"/>
        </w:rPr>
        <w:t>SUNOSI</w:t>
      </w:r>
      <w:r>
        <w:rPr>
          <w:rFonts w:ascii="Times New Roman" w:hAnsi="Times New Roman"/>
          <w:b/>
          <w:i/>
          <w:color w:val="000000"/>
          <w:sz w:val="13"/>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SUNOSI (solriamfetol) is a novel, oral, dopamine and norepinephrine reuptake inhibitor (DNRI), trace amine-associated receptor 1 (TAAR1) agonist, and 5-HT1A agonist approved in the United States, the European Union, and Canada for the treatment of EDS in adult patients with obstructive sleep apnea or narcolepsy. We acquired the U.S. rights to SUNOSI from Jazz Pharmaceuticals plc, or Jazz, in May 2022, and the ex-U.S. rights (excluding certain Asian markets) from Jazz in November 2022. We have been commercializing SUNOSI since we completed these acquisitions. SK Biopharmaceuticals Co. Ltd., or SK, is the originator of SUNOSI and retains rights in 12 Asian markets, including China, Korea, and Japan. We refer to the acquisition of SUNOSI herein as the Acquisition. In February 2023, we entered into a licensing agreement, or the Pharmanovia License Agreement, with Atnahs Pharma UK Limited, or Pharmanovia, that granted to Pharmanovia the exclusive right to market SUNOSI in Europe and certain countries in the Middle East and North Africa, referred to as the Licensed Territory. Approximately 22 million adults and 185,000 people in the U.S. are affected by OSA and narcolepsy, respectively.</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SYMBRAVO</w:t>
      </w:r>
      <w:r>
        <w:rPr>
          <w:rFonts w:ascii="Times New Roman" w:hAnsi="Times New Roman"/>
          <w:b/>
          <w:i/>
          <w:color w:val="000000"/>
          <w:sz w:val="13"/>
        </w:rPr>
        <w:t>®</w:t>
      </w:r>
    </w:p>
    <w:p>
      <w:pPr>
        <w:pStyle w:val="TextBody"/>
        <w:bidi w:val="0"/>
        <w:spacing w:before="240" w:after="283"/>
        <w:jc w:val="left"/>
        <w:rPr>
          <w:rFonts w:ascii="Times New Roman" w:hAnsi="Times New Roman"/>
          <w:sz w:val="20"/>
        </w:rPr>
      </w:pPr>
      <w:r>
        <w:rPr>
          <w:rFonts w:ascii="Times New Roman" w:hAnsi="Times New Roman"/>
          <w:color w:val="000000"/>
          <w:sz w:val="20"/>
        </w:rPr>
        <w:t>SYMBRAVO (MoSEIC</w:t>
      </w:r>
      <w:r>
        <w:rPr>
          <w:rFonts w:ascii="Times New Roman" w:hAnsi="Times New Roman"/>
          <w:color w:val="000000"/>
          <w:sz w:val="13"/>
        </w:rPr>
        <w:t>TM</w:t>
      </w:r>
      <w:r>
        <w:rPr>
          <w:rFonts w:ascii="Times New Roman" w:hAnsi="Times New Roman"/>
          <w:color w:val="000000"/>
          <w:sz w:val="20"/>
        </w:rPr>
        <w:t xml:space="preserve"> meloxicam-rizatriptan) is a novel, oral, rapidly absorbed, multi-mechanistic, selective COX-2 inhibitor and 5-HT1B/1D agonist that was developed by us and approved by the FDA in January 2025 for the acute treatment of migraine with or without aura in adults. We launched SYMBRAVO in the U.S. in June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Pipeline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advancing a diversified CNS pipeline of potentially transformative medicines for serious neurological and psychiatric conditions. As part of our ongoing research and development activities, we have and will continue to allocate significant resources to support the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AXS-05 (dextromethorphan-bupropion) is a novel, oral, investigational NMDA receptor antagonist, sigma-1 receptor agonist, aminoketone, and CYP2D6 inhibitor being developed for smoking cessation. AXS-05 utilizes a proprietary formulation and dose of dextromethorphan and bupropion, and Axsome’s metabolic inhibition technology, to modulate the delivery of the components.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Solriamfetol is a novel, oral, investigational DNRI, TAAR1 agonist, and 5-HT1A agonist being developed for the treatment of attention deficit hyperactivity disorder (“ADHD”), binge eating disorder (“BED”), major depressive disorder (“MDD”) with EDS symptoms, and excessive sleepiness associated with shift work disorder (“SWD”). In March 2025, we announced positive topline results from the FOCUS Phase 3 trial of solriamfetol in ADHD in adults. We recently announced the initiations of the FOCUS-2 and FOCUS-3 studies, Phase 3, randomized, double-blind, placebo-controlled, multicenter trials evaluating the efficacy and safety of solriamfetol in children and adolescents with ADHD, respectively. In February 2026, we initiated the CLARITY study, a Phase 3, double-blind, placebo-controlled, multicenter randomized withdrawal trial of solriamfetol in patients with MDD with EDS symptoms. Enrollment for the ENGAGE and SUSTAIN Phase 3 trials of solriamfetol in BED and SWD, respectively, are ongoing.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AXS-12 (reboxetine) is a novel, oral, investigational, highly selective and potent norepinephrine reuptake inhibitor and cortical dopamine modulator being developed for the treatment of narcolepsy. We have completed three positive Phase 2 and Phase 3, placebo-controlled efficacy trials and a long-term safety trial. In July 2026, the FDA accepted for filing the Company’s New Drug Application (NDA) for AXS-12 for the treatment of cataplexy in narcolepsy. The FDA has set a Prescription Drug User Fee Act (PDUFA) target action date of May 1, 2027. AXS-12 was previously granted FDA Orphan Drug Designation for narcolepsy.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AXS-14 (esreboxetine) is a novel, oral, investigational, highly selective and potent norepinephrine reuptake inhibitor being developed for the management of fibromyalgia. The efficacy and safety of AXS-14 have previously been demonstrated in completed, positive Phase 2 and Phase 3 clinical trials. In January 2026, we initiated the FORWARD study, a Phase 3, double-blind, placebo-controlled, multicenter, randomized withdrawal trial of AXS-14 in patients with fibromyalgia.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AXS-17 is a novel, oral, investigational GABAA α2,3 receptor positive allosteric modulator that we acquired in November 2025. We plan to evaluate AXS-17 as a potential treatment for epilepsy.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AXS-20 is a novel, oral, investigational phosphodiesterase 10A (PDE10A) inhibitor that we acquired from Takeda in the first quarter of 2026. AXS-20 has completed a proof-of-concept Phase 2 trial in 164 patients with schizophrenia and has demonstrated a favorable safety and tolerability profile in clinical studies in over 360 individuals to date. We plan to evaluate AXS-20 as a potential treatment for schizophrenia and Tourette syndrome.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incorporation in January 2012, our operations to date have included organizing and staffing our company, business planning, raising capital, developing our compounds, engaging in other discovery and preclinical activities, and the commercial launches of AUVELITY, SUNOSI, and SYMBRAVO. Subsequent to our IPO, we financed our operations primarily through proceeds from sales of our common stock to equity investors and debt borrowings. For a further discussion, see the section entitled “Liquidity and Capital Resources” below.</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become profitable depends on our ability to generate revenue. The revenue we have generated, and anticipate to continue to generate, from the commercial sales of AUVELITY, SUNOSI, and SYMBRAVO, is expected to be an important contributor to our progress toward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operating and net losses since inception. We incurred net losses of $115.9 million and $107.4 million for the six months ended June 30, 2026 and 2025, respectively. Our accumulated deficit as of June 30, 2026 was $1,421.8 million, and we expect to incur significant expenses and continuing operating losses. We expect our expenses to increase in connection with our ongoing activities, as we continue the commercialization of our on-market products and the development and clinical trials of, and seek regulatory approval for, our current product candidates and any other product candidates that we develop or in-license and advance to clinical development. Further, we have incurred and will continue to incur additional costs associated with operating as a public company. Accordingly, we may need additional financing to support our continuing operations. We may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generated total revenues of $218.4 million and $150.0 million in the three months ended June 30, 2026 and 2025, respectively, and $409.6 million and $271.5 million in the six months ended June 30,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in the first quarter of 2026, we recorded a milestone revenue of $0.5 million related to an achievement of a regulatory milestone for AUVELITY and in the second quarter of 2026, we recorded a milestone revenue of $0.5 million related to a developmental milestone for SUNOSI.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AUVELITY, SUNOSI, and SYMBRAVO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or may not generate revenue in the future.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Agreement with Pharmanovia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2023, we entered into the Pharmanovia License Agreement with Pharmanovia to commercialize and further develop SUNOSI in the Territory. Pharmanovia is a UK-based global life cycle management healthcare company that focuses on four core therapeutic areas – Oncology, Endocrinology, Neurology and Cardiovascular.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eligible to receive sales-based and other milestone payments totaling up to €94.5 million. We will receive a royalty percentage in the mid-twenties on net sales of the Licensed Products (as defined in the Pharmanovia License Agreement) in the Territory. We recognized royalty revenue of $1.5 million and $1.1 million for the three months ended June 30, 2026 and 2025, respectively, and $2.8 million and $2.2 million for the six months ended June 30, 2026 and 2025, respectively, related to Pharmanovia’s sales of SUNOSI.</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revenue includes direct costs of formulating, manufacturing and packaging drug product, overhead costs consisting of labor, customs, stock-based compensation, shipping, outside inventory management, royalty expense, and other miscellaneous operating costs.</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primarily include preclinical studies, clinical trials, manufacturing costs, employee-related expenses including salaries, benefits, travel, and stock</w:t>
        <w:noBreakHyphen/>
        <w:t>based compensation expense, contract services, including external research and development expenses incurred under arrangements with third parties, such as contract research organizations, or CROs, facilities costs, overhead costs, depreciation, and other related costs. In addition, research and development costs also include costs related to asset acquisitions involving clinical development programs that have not yet received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We have and will incur substantial costs beyond our present and planned clinical trials in order to file an NDA for any of our product candidates. It is difficult to determine with certainty the costs and duration of our current or future clinical trials and preclinical studies, or to what extent we will generate revenue from the commercialization and sale of AUVELITY, SUNOSI, and SYMBRAVO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consist of salaries and related costs for personnel in executive, commercial, finance, and operational functions, including stock-based compensation and travel expenses. Also included in selling, general and administrative expenses are marketing costs, other commercial costs, pre-commercialization costs, facility-related costs, insurance expense, professional fees for legal and accounting services, and patent filing and prosecution costs. Selling, general and administrative expenses are expensed when incurred.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 and cash equivalents.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Intangible asset amortization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intangible asset is amortized using the straight-line method over its estimated period of benefit of ten years. We evaluate recoverability of the intangible asset periodically by considering events or changes in circumstances that may warrant revised estimates of useful life or that indicate the asset may be impaired.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in contingent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Consideration paid in a business combination may include potential future payments that are contingent upon the acquired business achieving certain milestones in the future (“contingent consideration”). The royalty payments due to Jazz are a high single-digit royalty on our U.S. net sales of SUNOSI in the current indication and a mid single-digit royalty on our U.S. net sales of SUNOSI for future indications. Contingent consideration liabilities are measured at their estimated fair value as of the date of acquisition, with subsequent changes in fair value recorded in the consolidated statements of operations in the period the change is recognized. We estimate the fair value of the contingent consideration as of the acquisition date and reporting periods thereafter using the estimated future cash outflows based on future sales.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discussion and analysis of our financial condition and results of operations is based on our consolidated financial statements, which have been prepared in accordance with generally accepted accounting principles in the United States of America, or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to the critical accounting policies disclosed in our 2025 Annual Report on Form 10-K. Our critical accounting policies are described in the notes to the consolidated financial statements appearing elsewhere in this Quarterly Report on Form 10-Q.</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revenue and milestone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 (excluding amortization and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(107,386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51,799,708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49,442,001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51,500,690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49,158,159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Product sales, net. </w:t>
      </w:r>
      <w:r>
        <w:rPr>
          <w:rFonts w:ascii="Times New Roman" w:hAnsi="Times New Roman"/>
          <w:color w:val="000000"/>
          <w:sz w:val="20"/>
        </w:rPr>
        <w:t>AUVELITY U.S. net sales were $180.3 million and $333.0 million for the three and six months ended June 30, 2026, respectively, as compared to $119.6 million and $215.9 million for the same periods in 2025. SUNOSI net sales were $33.8 million and $66.5 million for the three and six months ended June 30, 2026, respectively, as compared to $28.9 million and $53.0 million for the same periods in 2025. We began commercial sales of SYMBRAVO in June 2025 and had U.S. net sales of $2.3 million and $6.3 million for the three and six months ended June 30, 2026, respectively, as compared to $0.4 million for the three months ended June 30, 2025. There were no SYMBRAVO sales recorded during the three months ended March 31, 2025. The increases in product sales were primarily due to the increase in unit sales volume for both AUVELITY and SUNOSI.</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the activity of our sales allowance and reserves as of and for the six months ended June 30, 2026 (in thousands):</w:t>
      </w:r>
    </w:p>
    <w:tbl>
      <w:tblPr>
        <w:tblW w:w="10205" w:type="dxa"/>
        <w:jc w:val="left"/>
        <w:tblInd w:w="0" w:type="dxa"/>
        <w:tblLayout w:type="fixed"/>
        <w:tblCellMar>
          <w:top w:w="28" w:type="dxa"/>
          <w:left w:w="28" w:type="dxa"/>
          <w:bottom w:w="28" w:type="dxa"/>
          <w:right w:w="28" w:type="dxa"/>
        </w:tblCellMar>
      </w:tblPr>
      <w:tblGrid>
        <w:gridCol w:w="1869"/>
        <w:gridCol w:w="146"/>
        <w:gridCol w:w="494"/>
        <w:gridCol w:w="1971"/>
        <w:gridCol w:w="166"/>
        <w:gridCol w:w="146"/>
        <w:gridCol w:w="378"/>
        <w:gridCol w:w="1322"/>
        <w:gridCol w:w="166"/>
        <w:gridCol w:w="146"/>
        <w:gridCol w:w="365"/>
        <w:gridCol w:w="1276"/>
        <w:gridCol w:w="166"/>
        <w:gridCol w:w="146"/>
        <w:gridCol w:w="211"/>
        <w:gridCol w:w="841"/>
        <w:gridCol w:w="396"/>
      </w:tblGrid>
      <w:tr>
        <w:trPr/>
        <w:tc>
          <w:tcPr>
            <w:tcW w:w="1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 discounts and rebates, returns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discounts and chargebacks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Medicaid and Medicare rebates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172,455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420,173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(359,468</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233,160</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Royalty revenue and milestone revenue.</w:t>
      </w:r>
      <w:r>
        <w:rPr>
          <w:rFonts w:ascii="Times New Roman" w:hAnsi="Times New Roman"/>
          <w:color w:val="000000"/>
          <w:sz w:val="20"/>
        </w:rPr>
        <w:t xml:space="preserve"> Royalty revenue was $1.5 million and $2.8 million for the three and six months ended June 30, 2026, respectively, as compared to $1.1 million and $2.2 million for the same periods in 2025, attributable to Pharmanovia sales of SUNOSI in the out-licensed markets. The increase was in line with the increase in unit sales volume of SUNOSI in certain ex-U.S. markets. Further, we recognized milestone revenue of $0.5 million related to a regulatory milestone for AUVELITY in the first quarter of 2026 and $0.5 million related to a developmental milestone for SUNOSI in the second quarter of 2026.</w:t>
      </w:r>
    </w:p>
    <w:p>
      <w:pPr>
        <w:pStyle w:val="TextBody"/>
        <w:bidi w:val="0"/>
        <w:spacing w:before="240" w:after="283"/>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Cost of revenue was $13.6 million and $28.3 million for the three and six months ended June 30, 2026, respectively, as compared to $13.4 million and $23.2 million for the same periods in 2025. The increase was in line with the increase in sales of AUVELITY and SUNOSI, the commercial launch of AUVELITY for the treatment of AADDAD in June 2026, and the commercial launch of SYMBRAVO in June 2025.</w:t>
      </w:r>
    </w:p>
    <w:p>
      <w:pPr>
        <w:pStyle w:val="TextBody"/>
        <w:bidi w:val="0"/>
        <w:spacing w:before="240" w:after="240"/>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The following table summarizes our research and development expenses for our primary products for the three and six months ended June 30, 2026 and 2025 (in thousands):</w:t>
      </w:r>
    </w:p>
    <w:tbl>
      <w:tblPr>
        <w:tblW w:w="8607" w:type="dxa"/>
        <w:jc w:val="left"/>
        <w:tblInd w:w="0" w:type="dxa"/>
        <w:tblLayout w:type="fixed"/>
        <w:tblCellMar>
          <w:top w:w="28" w:type="dxa"/>
          <w:left w:w="28" w:type="dxa"/>
          <w:bottom w:w="28" w:type="dxa"/>
          <w:right w:w="28" w:type="dxa"/>
        </w:tblCellMar>
      </w:tblPr>
      <w:tblGrid>
        <w:gridCol w:w="3496"/>
        <w:gridCol w:w="146"/>
        <w:gridCol w:w="226"/>
        <w:gridCol w:w="726"/>
        <w:gridCol w:w="156"/>
        <w:gridCol w:w="156"/>
        <w:gridCol w:w="226"/>
        <w:gridCol w:w="726"/>
        <w:gridCol w:w="146"/>
        <w:gridCol w:w="146"/>
        <w:gridCol w:w="211"/>
        <w:gridCol w:w="676"/>
        <w:gridCol w:w="146"/>
        <w:gridCol w:w="146"/>
        <w:gridCol w:w="211"/>
        <w:gridCol w:w="676"/>
        <w:gridCol w:w="3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Solriamfetol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AXS-05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AXS-07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AXS-12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AXS-14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7,739</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46,227</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 Other research and development expenses primarily consist of facilities charges, third party consultant costs, costs related to other product candidates, costs related to asset acquisitions, and other unallocated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decreased by $3.3 million and increased by $4.6 million for the three and six months ended June 30, 2026, respectively, as compared to the same periods in 2025. The decrease for the three months period was primarily due to lower spending on AXS-05, driven by the timing of clinical study activities, along with lower costs for AXS-14, reflecting regulatory costs incurred in the prior year period. This was partially offset by higher spending on solriamfetol. The increase for the six months period was primarily due to asset acquisition costs related to AXS-20, which were partially offset by lower spending on AXS-05, driven by the timing of clinical study activities. We expect research and development costs to moderately increase as our recently started clinical trials further enroll.</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Selling, general and administrative expenses were $208.1 million and $393.1 million for the three and six months ended June 30, 2026, respectively, as compared to $130.3 million and $251.1 million for the same periods in 2025. The increases in both comparable periods were primarily related to pre-launch activities for AUVELITY for the treatment of AADDAD, higher commercial activities for AUVELITY including a national direct-to-consumer advertising campaign and sales force expansion, commercial activities for SYMBRAVO which was launched in June 2025, and higher personnel costs related to organizational growth. We anticipate SG&amp;A expenses to marginally increase through the end of 2026 as we continue commercial activities for AUVELITY and SYMBRAVO.</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Gain in Fair Value of Contingent Consideration. </w:t>
      </w:r>
      <w:r>
        <w:rPr>
          <w:rFonts w:ascii="Times New Roman" w:hAnsi="Times New Roman"/>
          <w:color w:val="000000"/>
          <w:sz w:val="20"/>
        </w:rPr>
        <w:t>The $1.5 million and $0.9 million changes for the three and six months ended June 30, 2026, respectively, as compared to $8.1 million and $6.6 million changes for the same periods in 2025, were primarily related to changes in significant assumptions, including future sales estimates, and significant unobservable inputs, including discount rates.</w:t>
      </w:r>
    </w:p>
    <w:p>
      <w:pPr>
        <w:pStyle w:val="TextBody"/>
        <w:bidi w:val="0"/>
        <w:spacing w:before="240" w:after="283"/>
        <w:jc w:val="left"/>
        <w:rPr>
          <w:rFonts w:ascii="Times New Roman" w:hAnsi="Times New Roman"/>
          <w:sz w:val="20"/>
        </w:rPr>
      </w:pPr>
      <w:r>
        <w:rPr>
          <w:rFonts w:ascii="Times New Roman" w:hAnsi="Times New Roman"/>
          <w:i/>
          <w:color w:val="000000"/>
          <w:sz w:val="20"/>
        </w:rPr>
        <w:t>Intangible asset amortization</w:t>
      </w:r>
      <w:r>
        <w:rPr>
          <w:rFonts w:ascii="Times New Roman" w:hAnsi="Times New Roman"/>
          <w:color w:val="000000"/>
          <w:sz w:val="20"/>
        </w:rPr>
        <w:t>. We amortize the intangible asset, which we recognized as part of the Acquisition, over its useful life of 10 years. Intangible asset amortization was $1.6 million for both the three months ended June 30, 2026 and 2025 and $3.2 million for both the six months ended June 30, 2026 and 2025.</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 net.</w:t>
      </w:r>
      <w:r>
        <w:rPr>
          <w:rFonts w:ascii="Times New Roman" w:hAnsi="Times New Roman"/>
          <w:color w:val="000000"/>
          <w:sz w:val="20"/>
        </w:rPr>
        <w:t xml:space="preserve"> Interest expense, net was $1.5 million and $2.7 million for the three and six months ended June 30, 2026, respectively, as compared to $1.8 million and $4.3 million for the same periods in 2025. The decrease was due to lower interest expense from the Blackstone Loan Agreement, which was partially offset by less interest income from lower interest rates.</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xml:space="preserve"> We recorded an income tax expense of $0.1 million for the three and six months ended June 30, 2026. We recorded an income tax benefit of $1.0 million for the same periods in 2025.</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Net loss. </w:t>
      </w:r>
      <w:r>
        <w:rPr>
          <w:rFonts w:ascii="Times New Roman" w:hAnsi="Times New Roman"/>
          <w:color w:val="000000"/>
          <w:sz w:val="20"/>
        </w:rPr>
        <w:t>Net loss was $51.3 million and $115.9 million for the three and six months ended June 30, 2026, respectively, as compared to $48.0 million and $107.4 million for the same periods in 2025. The increase was primarily due to higher selling, general and administrative expenses from commercial activities for AUVELITY, including a national direct-to-consumer advertising campaign and sales force expansion, commercial activities for SYMBRAVO, and higher personnel costs related to organizational growth. This was partially offset by higher net product sales from AUVELITY, SUNOSI, and SYMBRAVO.</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through June 30, 2026, we have financed our operations primarily through proceeds from equity offerings, debt borrowings, and proceeds from product sales. See discussion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we entered into a sales agreement with Leerink, or the March 2022 Sales Agreement with Leerink, and filed a prospectus supplement. The March 2022 Sales Agreement supersedes the sales agreement, dated December 5, 2019, by and between us and Leerink. We exhausted sales of shares of our common stock under our sales agreement, dated December 5, 2019.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March 2022 Sales Agreement, for the six months ended June 30, 2026, we received approximately $19.8 million in gross proceeds through the sale of 90,446 shares, of which net proceeds were approximately $19.5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may conduct additional offerings of one or more of the securities covered by the 2025 Shelf Registration Statement in such amounts, prices and terms to be announced when and if the securities are offered. At the time any of our securities covered by the 2025 Shelf Registration Statement are offered for sale, a prospectus supplement will be prepared and filed with the SEC containing specific information about the terms of any such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21, 2023, we entered into a sublease agreement with Advance Magazine Publishers d/b/a Conde Nast for the entirety of the twenty-second floor of One World Trade Center in New York, NY, or the Sublease.</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17, 2025, we entered into an Amendment to our Sublease, or the First Amendment, pursuant to which we relinquished our then existing space in One World Trade Center and commenced occupancy of different space within the building. This space is utilized as our corporate and executive offices. The First Amendment extends the Sublease expiration date to January 31, 2036. We now have a one-time option to terminate the Sublease effective March 30, 2031 upon the payment of a fee to the sublandlord. We are responsible for base rent under the Sublease and certain additional customary variable costs, such as an allocable portion of building taxes and operating expenses. In connection with the Sublease and First Amendment, we received certain rent and work concessions from the sublandlord.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entered into a fleet lease program in the first quarter of 2024. The lease agreement includes an initial 12-month noncancelable period with monthly renewal options thereafter. Lease terms range from approximately 40 to 50 months and are classified as finance leases. See Note 9. Commitments and Contingencies for further information on future contractual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described below in the “Loan Agreement with Blackstone” section, on May 8, 2025, we entered into the Blackstone Loan Agreement with Blackstone, certain subsidiaries of the Company party thereto as guarantors, Wilmington Trust, and the Lenders. The Blackstone Loan Agreement provides for Loans in an aggregate principal amount of up to $570.0 million. Further, we entered into a securities purchase agreement with Blackstone, and its affiliates, for the private placement (the “Private Placement”) of an aggregate of 140,000 shares of our common stock, at a purchase price of $107.14 per share. Gross proceeds from the Private Placement were approximately $15.0 million. The closing of the Private Placement occurred contemporaneously with the closing of the Blackstone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8, 2025, we repaid in full our obligations under the Hercules Loan Agreement using proceeds from the Blackstone Loan Agreement. As of June 30, 2026, there are no outstanding obligations under the Hercules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current cash is sufficient to fund anticipated operations into cash flow positivity, based on the current operating plan.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our primary sources and uses of cash for the periods indicated (in thousands):</w:t>
      </w:r>
    </w:p>
    <w:tbl>
      <w:tblPr>
        <w:tblW w:w="5419" w:type="dxa"/>
        <w:jc w:val="left"/>
        <w:tblInd w:w="0" w:type="dxa"/>
        <w:tblLayout w:type="fixed"/>
        <w:tblCellMar>
          <w:top w:w="28" w:type="dxa"/>
          <w:left w:w="28" w:type="dxa"/>
          <w:bottom w:w="28" w:type="dxa"/>
          <w:right w:w="28" w:type="dxa"/>
        </w:tblCellMar>
      </w:tblPr>
      <w:tblGrid>
        <w:gridCol w:w="2656"/>
        <w:gridCol w:w="146"/>
        <w:gridCol w:w="211"/>
        <w:gridCol w:w="736"/>
        <w:gridCol w:w="166"/>
        <w:gridCol w:w="146"/>
        <w:gridCol w:w="211"/>
        <w:gridCol w:w="736"/>
        <w:gridCol w:w="4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Cash used in operating activities for the six months ended June 30, 2026 was $53.7 million, as compared to $75.8 million for the same period in 2025. The decrease of $22.1 million was primarily due to higher net product revenues from AUVELITY, SUNOSI, and SYMBRAVO, which was partially offset by increased cash used for commercial and clinical-related activities.</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Cash used in investing activities for the six months ended June 30, 2026 was $571 thousand, as compared to $351 thousand for the same period in 2025. The increase was due to higher purchases of equipment in the current year to support increased headcount.</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Cash provided by financing activities was $51.1 million for the six months ended June 30, 2026, which primarily included proceeds of $51.9 million from the issuance of common stock upon the exercise of employee stock options and under the ESPP as well as net proceeds of $19.5 million from issuance of common stock for financing purposes, which was partially offset by payments of contingent consideration and tax withholdings on stock awards, for a total of $18.4 million. Financing activities also include $140.0 million in gross proceeds from the Blackstone revolving credit facilities and $140.0 million in repayments for the Blackstone revolving credit facilities. Cash provided by financing activities was $63.8 million for the six months ended June 30, 2025, which included net proceeds of $186.4 million from draw-downs related to the Blackstone Loans and net proceeds of $51.4 million from issuance of common stock for financing purposes as well as proceeds of $28.7 million from the issuance of common stock upon the exercise of employee stock options and under the ESPP, which was partially offset by the repayment of the Hercules Loan, for a total of $192.0 million, and payments of contingent consideration and tax withholdings on stock awards, for a total of $9.7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Funding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achieved profitability since our inception, and we expect to continue to have losses as we continue the development of, and seek regulatory approvals for, our product candidates, while further investing in AUVELITY, SUNOSI, and SYMBRAVO. We are subject to all of the risks pertinent to the development of new product candidates, and we may encounter unforeseen expenses, difficulties, complications, delays, and other unknown factors that may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rate of progress, results, and cost of our clinical studies and other related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enter into collaborative agreements for the development and commercialization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and development requirements of any other product candidates that we pursue;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timing, and outcome of regulatory reviews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and timing of our commercialization activities, including product manufacturing, marketing, sales, and distribution, for any of our products and product candidates for which we receive marketing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product liability or other lawsuits related to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expenses needed to attract and retain skilled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general and administrative expenses related to being a public company;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revenue received from commercial sales of our products and product candidates for which we receive marketing approval;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involved in preparing, filing, and prosecuting patent applications, maintaining and enforcing our intellectual property rights, and defending our intellectual property</w:t>
        <w:noBreakHyphen/>
        <w:t>related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Please see “Risk Factors” for additional risks associated with our substantial capital requirements.</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agreement with Pfizer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Pfizer can also receive up to $323 million upon the achievement of certain regulatory and sales milestones, and tiered mid-single to low double-digit royalties on future sales of any such approved clinical products containing compounds reboxetine and esreboxetine. Pfizer will also have a right of first negotiation on any potential future strategic transactions involving AXS-12 and AXS-14.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agreements with Antecip Bioventures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three exclusive license agreements with Antecip, an entity owned by our Chief Executive Officer and Chairman of the Board, Herriot Tabuteau, M.D., we are obligated to make specified royalty payments ranging from 1.5% to 4.5%, subject to up to a 50% reduction depending on required payments to third parties, on net sales of our products containing the licensed technology of AXS-02, AXS-05, and AXS-04.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Blackstone Loan Agreement (see below), Antecip consented to the collateral assignment of one of the license agreements, among other things, under a direct agreement among us, Antecip, a related party, and Blackstone. This new direct agreement superseded the prior direct agreement among us, Antecip and Hercules that had been entered into in connection with the Hercules Loan Agreement, which terminated automatically upon repayment of the Hercules loan obligations in full on May 8,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Asset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first quarter of 2026, we acquired the global rights to balipodect (AXS-20), a selective PDE10A Inhibitor for the treatment of schizophrenia and other neuropsychiatric conditions, from Takeda Pharmaceutical Company Limited (Takeda), for $10.4 million, inclusive of transaction costs. Takeda is eligible to receive up to $260.0 million in development, regulatory and sales-based milestones and a mid single-digit royalty on potential global net sales of balipodect.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Loan Agreement with Blackstone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the Closing Date, we entered into the Blackstone Loan Agreement with Blackstone, certain subsidiaries of the Company party thereto as guarantors, Wilmington Trust, and the Lenders, providing for loans in an aggregate principal amount of up to $570.0 million, consisting of (i) a first lien senior secured term loan in an aggregate principal amount of $120.0 million funded to us on the Closing Date, (ii) a $180.0 million senior secured term loan which is available to us at our option, of which $90.0 million was available to us until May 31, 2026, and of which the remaining $90.0 million is available until May 31, 2027 (the “Term Loans”) and (iii) a super senior revolving credit facility in an aggregate principal amount of up to $70.0 million available at our option (the “Revolver” and collectively with the Term Loans, the “Loans”). The Blackstone Loan Agreement also permits us,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26, 2026, the Company entered into a First Incremental Revolving Credit Commitment Supplement and Amendment to the Blackstone Loan Agreement (the “First Incremental Supplement”) with Blackstone, Wilmington Trust and the Lenders party thereto, pursuant to which the aggregate principal amount of Revolving Credit Commitments under the Blackstone Loan Agreement was increased by $20.0 million, from $70.0 million to $90.0 million, and the Company’s Permitted Indebtedness (as defined in the Loan Agreement) was increased by $10.0 million, from $10.0 million to $20.0 million. The proceeds of the Term Loans were used, together with cash on hand, to repay in full our obligations under the Hercules Loan Agreement, which resulted in a recording of a loss on debt extinguishment of $10.4 million in the consolidated statement of operations. The Term Loans bear interest at a variable SOFR plus 4.75%. The Revolver bears interest at SOFR plus 4.0%. The maturity date of the Loans is May 8, 2030. The Blackstone Loan Agreement provides for additional drawdowns at our option, subject to certain conditions, and includes customary covenants and a minimum liquidity covenant of $30.0 million. The obligations under the Blackstone Loan Agreement are secured by a first lien on certain assets of ours and our subsidiaries. The Company had allowed the Term Loan commitment of $90.0 million, which remained available to the Company at its option until May 31, 2026, to expire undrawn.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8, 2025, we repaid in full our obligations under the Hercules Loan Agreement using proceeds from the Blackstone Loan Agreement. As of June 30, 2026, there are no outstanding obligations under the Hercules Loan Agreement.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Royalty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Asset Purchase Agreement, dated as of March 25, 2022, or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initial closing, we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$162.5 million based on revenue milestones and $1.0 million based on development milestones.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Employees and Human Capital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August 3, 2026, we had 1,346 full</w:t>
        <w:noBreakHyphen/>
        <w:t>time employees. None of our employees are represented by a collective bargaining agreement and we have never experienced any work stoppage. We believe that we maintain good relations with our employees. Our employees are highly skilled, and many hold advanced degrees. Many of our employees have experience with drug commercialization or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may take further actions, in compliance with all appropriate government regulations, that we determine to be in the best interest of our employees.</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Shelf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3, 2025, we filed an automatic shelf registration statement (File No. 333-291228), or the 2025 Shelf Registration Statement, with the SEC for the issuance of common stock, preferred stock, warrants, rights, debt securities, and units up to an unlimited amount, which we refer to as the 2025 Shelf Registration Statement. In the future, we may conduct additional offerings of one or more of these securities utilizing the 2025 Shelf Registration Statement in such amounts, prices and terms to be announced when and if the securities are offered. At the time any of our securities covered by the 2025 Shelf Registration Statement are offered for sale, a prospectus supplement will be prepared and filed with the SEC containing specific information about the terms of any such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2025 Shelf Registration Statement, we filed a new sales agreement prospectus to replace the prior prospectus supplement filed in December 2022, which would have expired in December 2025. The new sales agreement prospectus covered the issuance and sale by us of up to the same $250 million of our common stock that may be issued and sold from time to time through Leerink, as the sales agent, under the March 2022 Sales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have during the periods presented, and we do not currently have, any off-balance sheet arrangements, as defined by applicable SEC regulations.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 to Note 2. Summary of Significant Accounting Policies to our consolidated financial statements included in Part I, Financial Information, Item 1, Financial Statements, of this Quarterly Report on Form 10-Q for a discussion of recently issued accounting pronouncements.</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8" w:name="item_3_quantitative_qualitative_disclosu"/>
      <w:bookmarkEnd w:id="8"/>
      <w:r>
        <w:rPr>
          <w:rFonts w:ascii="Times New Roman" w:hAnsi="Times New Roman"/>
          <w:b/>
          <w:color w:val="000000"/>
          <w:sz w:val="20"/>
        </w:rPr>
        <w:t>ITEM 3. QUANTITATIVE AND QUALITATIVE DISCLOSURE ABOUT MARKET RISK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These market risks are principally limited to interest rate fluctuations. We had cash of $319.9 million and $322.9 million as of June 30, 2026 and December 31, 2025, respectively. The primary objective of our investment activities is to preserve principal and liquidity while maximizing income without significantly increasing risk. We do not enter into investments for trading or speculative purposes. Due to the short-term nature of our investment portfolio and debt agreement, which use short-term interest rates and the SOFR, respectively,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Foreign Currency Exchange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contract with vendors and third-party manufacturers located in Europe and certain invoices are denominated in foreign currencies. Royalty revenues from Pharmanovia are derived from their sales of SUNOSI in ex-U.S. markets and those sales are primarily denominated in Euros. We are therefore subject to fluctuations in foreign currency rates for the Euro, Swiss Franc, and British Pound, in connection with these agreements, and recognize foreign exchange gains or losses in our statement of operations. We have not historically hedged our foreign currency exchange rate risk. To date, we have not incurred any material effects from foreign currency changes on these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believe a 10% change in these currencies on June 30, 2026 would have had a material effect on our results of operations or financial condition.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Inflation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and pricing of contracts. We do not believe that inflation has had a material effect on our business, financial condition, or results of operations during the six months ended June 30, 2026.</w:t>
      </w:r>
    </w:p>
    <w:p>
      <w:pPr>
        <w:pStyle w:val="TextBody"/>
        <w:bidi w:val="0"/>
        <w:spacing w:before="240" w:after="283"/>
        <w:jc w:val="left"/>
        <w:rPr>
          <w:rFonts w:ascii="Times New Roman" w:hAnsi="Times New Roman"/>
          <w:sz w:val="20"/>
        </w:rPr>
      </w:pPr>
      <w:bookmarkStart w:id="9" w:name="item_4_controls_procedures"/>
      <w:bookmarkEnd w:id="9"/>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left"/>
        <w:rPr>
          <w:rFonts w:ascii="Times New Roman" w:hAnsi="Times New Roman"/>
          <w:sz w:val="20"/>
        </w:rPr>
      </w:pPr>
      <w:r>
        <w:rPr>
          <w:rFonts w:ascii="Times New Roman" w:hAnsi="Times New Roman"/>
          <w:i/>
          <w:color w:val="000000"/>
          <w:sz w:val="20"/>
        </w:rPr>
        <w:t>Disclosure Controls and Procedures.</w:t>
      </w:r>
      <w:r>
        <w:rPr>
          <w:rFonts w:ascii="Times New Roman" w:hAnsi="Times New Roman"/>
          <w:color w:val="000000"/>
          <w:sz w:val="20"/>
        </w:rPr>
        <w:t xml:space="preserve"> Our management, with the participation of our principal executive officer and our principal financial 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xml:space="preserve"> During the quarter ended June 30, 2026, there have been no changes in internal controls over financial reporting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0" w:name="part_ii_or_information"/>
      <w:bookmarkEnd w:id="10"/>
      <w:r>
        <w:rPr>
          <w:rFonts w:ascii="Times New Roman" w:hAnsi="Times New Roman"/>
          <w:b/>
          <w:color w:val="000000"/>
          <w:sz w:val="20"/>
        </w:rPr>
        <w:t>PART II. OTHER INFORMATION</w:t>
      </w:r>
    </w:p>
    <w:p>
      <w:pPr>
        <w:pStyle w:val="TextBody"/>
        <w:bidi w:val="0"/>
        <w:spacing w:before="240" w:after="283"/>
        <w:jc w:val="left"/>
        <w:rPr>
          <w:rFonts w:ascii="Times New Roman" w:hAnsi="Times New Roman"/>
          <w:b/>
          <w:color w:val="000000"/>
          <w:sz w:val="20"/>
        </w:rPr>
      </w:pPr>
      <w:bookmarkStart w:id="11" w:name="item_1_legal_proceedings"/>
      <w:bookmarkEnd w:id="11"/>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described in Note 9. Commitments and Contingencies, we, and our subsidiaries, are currently not a party to, and our property is not currently the subject of, any material pending legal proceedings; however, we may also become involved in various claims and legal actions arising in the ordinary course of business.</w:t>
      </w:r>
    </w:p>
    <w:p>
      <w:pPr>
        <w:pStyle w:val="TextBody"/>
        <w:bidi w:val="0"/>
        <w:spacing w:before="240" w:after="283"/>
        <w:jc w:val="left"/>
        <w:rPr>
          <w:rFonts w:ascii="Times New Roman" w:hAnsi="Times New Roman"/>
          <w:b/>
          <w:color w:val="000000"/>
          <w:sz w:val="20"/>
        </w:rPr>
      </w:pPr>
      <w:bookmarkStart w:id="12" w:name="item1a_risk_factors"/>
      <w:bookmarkEnd w:id="12"/>
      <w:r>
        <w:rPr>
          <w:rFonts w:ascii="Times New Roman" w:hAnsi="Times New Roman"/>
          <w:b/>
          <w:color w:val="000000"/>
          <w:sz w:val="20"/>
        </w:rPr>
        <w:t>ITEM 1A. 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We have restated and revised our risk factors for material updates for this quarter, where appropriate, from those included in our Annual Report on Form 10-K dated and filed with the SEC on February 23, 2026. Investors should carefully consider all of the information set forth in this Quarterly Report on Form 10-Q, including the following risk factors, before deciding to invest in any of the Company’s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a number of risks and uncertainties, including those risks discussed at length below. These risks include, among others,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anticipate that we will continue to have losses, and may never achieve or maintain profitability.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operating activities may be restricted as a result of covenants related to the outstanding indebtedness under our loan facility with Blackstone, and we may be required to repay the outstanding indebtedness in an event of default, which could have a materially adverse effect on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 limited operating history of commercializing products, which may make it difficult to evaluate our business and prospects.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substantially dependent on the success of our products and cannot guarantee that any of our product candidates will successfully complete any planned or ongoing clinical trials, receive regulatory approval, or be successfully commercialized.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safety and efficacy data for our product candidates, a reference drug, or published literature does not satisfactorily demonstrate safety and efficacy to the Food and Drug Administration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significant competition from other pharmaceutical and biotechnology companies, academic institutions, government agencies, and other research organizations. Our operating results will suffer if we fail to compete effectively.</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establish effective marketing, sales and distribution capabilities or enter into agreements with third parties to market, sell and distribute our products, we may be unable to generate substantial product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any of our products do not achieve broad market acceptance, we may be unable to generate substantial product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or fail to generate potential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Patent reform legislation could increase the uncertainties and costs surrounding the prosecution of our patent applications and the enforcement or defense of our issued patents.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comply with federal, state, and foreign healthcare laws, including laws governing fraud and abuse, transparency, health and data protection, information privacy and security, we could face substantial penalties and liabilities, and our business, financial condition, results of operations, and prospects could be adversely affected.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government or third-party payors fail to provide adequate coverage and reimbursement for any of our products, or if such payors and health care providers, including health maintenance organizations (HMOs) and long-term care facilities, choose to use therapies that are less expensive, our products may lose or fail to generate potential revenue and our prospects for profitability may be limited.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may be able to exert significant control over matters subject to stockholder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use of our net operating loss carryforwards and research tax credits may be limited.</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CONDITION AND CAPITAL REQUIREMENTS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anticipate that we will continue to have losses, and may never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biopharmaceutical company with a limited operating history. Since inception, we have incurred a history of losses and our ability to maintain profitability in the future remains uncertain. Our net loss was $115.9 million and $107.4 million for the six months ended June 30, 2026 and 2025, respectively. As of June 30, 2026, we had an accumulated deficit of $1,421.8 million. In 2022, we commenced the commercial sale of AUVELITY to treat MDD in the United States and SUNOSI in the United States and select global markets. In January 2025, SYMBRAVO was approved by the FDA for the acute treatment of migraine with or without aura in adults and commenced commercial sales in June 2025. Additionally, in April 2026, the FDA approved an expanded indication for AUVELITY to treat agitation associated with dementia due to Alzheimer’s disease (AADDAD). Apart from AUVELITY, SUNOSI, and SYMBRAVO, we have no other products which have received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incur substantial expenses and operating losses for the foreseeable future, as we continue to develop our current and future product candidates. In addition, we expect to incur significant sales, marketing, and manufacturing expenses related to the commercialization of AUVELITY, SUNOSI, SYMBRAVO, and any other product candidate which the FDA may approve or which we may in-license. We anticipate that our expenses will increase substantially as we: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seek regulatory approval for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hire additional commercial, clinical, medical, quality, regulatory, and scientific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expand our sales, marketing, and distribution infrastructure;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expand external manufacturing capabilities and production to commercialize any additional products for which we may obtain regulatory approval and that we choose not to license to a third party;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undertake additional manufacturing activities of our product candidates to satisfy FDA requirements for marketing application submissions;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to evaluate, plan for, and conduct clinical trials for AXS-05 as an aid to smoking cessation treatment and other CNS disorders;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to evaluate, plan for, and conduct clinical trials for solriamfetol in additional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to evaluate, plan for, and potentially submit NDAs for other pipeline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to expand commercial sales of AUVELITY, SUNOSI, and SYMBRAVO;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 in</w:t>
        <w:noBreakHyphen/>
        <w:t>license, or acquire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 late</w:t>
        <w:noBreakHyphen/>
        <w:t>stage clinical trials for any product candidates that successfully complete early</w:t>
        <w:noBreakHyphen/>
        <w:t>stage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 additional non</w:t>
        <w:noBreakHyphen/>
        <w:t>clinical studies with any product candidates;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Conducting clinical trials, pursuing regulatory approvals, establishing outsourced manufacturing relationships, and successfully manufacturing and commercializing our product candidates is a time</w:t>
        <w:noBreakHyphen/>
        <w:t>consuming, expensive, and uncertain process that takes years to complete. We may need to raise additional capital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fund our future clinical trials for our current product candidates, especially if we encounter any unforeseen delays or difficulties in our planned development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fund our operations and continue to commercialize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qualify and outsource the commercial scale manufacturing of our products under cGMP;</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 additional product candidates;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w:t>
        <w:noBreakHyphen/>
        <w:t>license other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current cash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rate of progress and costs related to the development of our product candidates, including the costs of preparing filings for regulatory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associated with conducting additional clinical and non-clinical studies with any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potential for delays in our efforts to seek regulatory approval for our product candidates, and any costs associated with such delays;</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associated with selling, marketing, and distributing our approved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of filing, prosecuting, defending, and enforcing any patent claims and other intellectual property rights associated with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and timing of manufacturing, or having third parties manufacture, sufficient supplies of our product candidates in preparation for commercialization;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revenues from commercial sales of our approved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terms and timing of any collaborative, licensing, co</w:t>
        <w:noBreakHyphen/>
        <w:t>promotion, or other arrangements that we may establish;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the commercialization of any of our current products and, if approved, any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operating activities may be restricted as a result of covenants related to the outstanding indebtedness under our loan facility with Blackstone, and we may be required to repay the outstanding indebtedness in an event of default, which could have a materially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8, 2025 (the “Closing Date”), we entered into a loan agreement (the “Blackstone Loan Agreement”) with Blackstone Alternative Credit Advisors LP and Blackstone Life Sciences Advisors L.L.C. (collectively, the “Blackstone Representative” and referred to herein as “Blackstone”), certain subsidiaries of the Company party thereto as guarantors, Wilmington Trust, National Association, in its capacity as administrative agent, collateral agent and security trustee (“Wilmington Trust”), and the lenders from time to time party thereto (collectively, the “Lenders”), providing for loans in an aggregate principal amount of up to $570.0 million, consisting of (i) a first lien senior secured term loan in an aggregate principal amount of $120.0 million funded to us on the Closing Date, (ii) a $180.0 million senior secured term loan which is available to us at the Company’s option, of which $90.0 million was available to us until May 31, 2026, and of which the remaining $90.0 million is available until May 31, 2027 (the “Term Loans”) and (iii) a super senior revolving credit facility in an aggregate principal amount of up to $70.0 million available at our option (the “Revolver” and collectively with the Term Loans, the “Loans”). The Blackstone Loan Agreement also permits us,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26, 2026, the Company entered into a First Incremental Revolving Credit Commitment Supplement and Amendment to the Blackstone Loan Agreement (the “First Incremental Supplement”) with Blackstone, Wilmington Trust and the Lenders party thereto, pursuant to which the aggregate principal amount of Revolving Credit Commitments under the Blackstone Loan Agreement was increased by $20.0 million, from $70.0 million to $90.0 million, and the Company’s Permitted Indebtedness (as defined in the Loan Agreement) was increased by $10.0 million, from $10.0 million to $20.0 million. The proceeds of the Term Loans were used, together with cash on hand, to repay in full our obligations under the Hercules Loan Agreement, which resulted in a recording of a loss on debt extinguishment of $10.4 million in the Company’s consolidated statement of operations. The Term Loans bear interest at a variable SOFR plus 4.75%. The Revolver bears interest at SOFR plus 4.0%. The maturity date of the Loans is May 8, 2030. The Blackstone Loan Agreement provides for additional drawdowns at our option, subject to certain conditions, and includes customary covenants and a minimum liquidity covenant of $30.0 million. The obligations under the Blackstone Loan Agreement are secured by a first lien on certain assets of ours and our subsidiaries. The Company had allowed the Term Loan commitment of $90.0 million, which remained available to the Company at its option until May 31, 2026, to expire undrawn.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Blackstone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covenants under the Blackstone Loan Agreement also require maintaining a minimum amount of cash in an account or accounts in which the Lenders have a first priority security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breach of any of the covenants under the Blackstone Loan Agreement could result in a default. Upon the occurrence of an event of default,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 limited operating history of commercializing products, which may make it difficult to evaluate our business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biopharmaceutical company. Prior to our commercialization of AUVELITY and SUNOSI in 2022, and the approval and U.S. commercialization of SYMBRAVO in 2025, we had not obtained marketing approvals for any product candidates, manufactured products on a commercial scale or arranged for a third 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undertaking commercial activities. We may continue to encounter unforeseen expenses, difficulties, complications and delays, and this may not be a successful transition.</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currently operating in a period of economic uncertainty and capital markets disruption, which has been significantly impacted by geopolitical instability, including ongoing military conflicts between Russia and Ukraine, hostilities in the Middle East, including Iran, and elsewhere and record inflation. Our business, financial condition, and results of operations could be materially adversely affected by any negative impact on the global economy and capital markets resulting from the conflicts in Russia and Ukraine, the Middle East and elsewhere, and geopolitical tensions, or record inflation.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U.S. and global markets are experiencing volatility and disruption following the escalation of geopolitical tensions, including the military conflict between Russia and Ukraine and heightened instability in the Middle East involving Iran. Since Russia’s full-scale invasion of Ukraine in February 2022, the duration, severity, and broader economic effects of the conflict have remained uncertain, and the conflict has contributed to, and could continue to contribute to market disruptions, including significant volatility in commodity prices, credit and capital markets, as well as supply chain interruptions.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military conflict in Ukraine has led to sanctions and other penalties being levied by the United States, European Union and other countries against Russia. Additional potential sanctions and penalties have also been proposed and/or threatened. Most recently, in June 2026, the European Union (“EU”) renewed its existing economic sanctions for an additional twelve months, keeping them in effect until July 31,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United States and other countries maintain extensive sanctions and trade restrictions with respect to Iran. These measures could be modified, broadened in scope or subject to more rigorous enforcement in response to future developments involving Iran or the broader Middle East.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geopolitical developments, including military actions, sanctions, cyberattacks and related market disruptions, could adversely affect the global economy and financial markets, result in reduced liquidity, and potentially make it more difficult for us to obtain additional funding. Although our business has not been materially impacted by these geopolitical issues, or the U.S. domestic political climate, to date, it is impossible to predict the extent to which our operations, or those of our suppliers and manufacturers, will be impacted in the short and long term, or the ways in which conflicts may impact our business. The extent and duration of military action, sanctions, and resulting market disruptions are impossible to predict, but could be substantial. Any such disruptions may also magnify the impact of other risks described herein.</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Political uncertainty may have an adverse impact on our operating performance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political uncertainty may have an adverse impact on our operating performance and results of operations. In particular, the U.S. continues to experience significant political events that cast uncertainty on the U.S. and global financial and economic markets. For example, from October 1, 2025 to November 12, 2025, the U.S. federal government experienced a shutdown due to an impasse over funding for the 2026 fiscal year, impacting a number of federal services, and the shutdown has since ended. In addition, the U.S. Department of Commerce conducted and completed national security investigations into the importation of pharmaceuticals and pharmaceutical ingredients pursuant to Section 232 of the Trade Expansion Act of 1962 (as amended, the “Trade Expansion Act”), which resulted in the issuance of a presidential proclamation in April 2026 that imposed tariffs on certain imports within the pharmaceutical industry. Further, the U.S. has announced and adopted a tariff framework that includes up to a 100% tariff on certain patented pharmaceuticals and related ingredients imported into the U.S., subject to available exemptions, reduced rates, and transitional relief, with phased effective dates beginning July 31, 2026 for certain large companies and September 29, 2026 for other importers. While imposition of such tariffs had previously been delayed to permit negotiations with large drug manufacturers, the tariffs have now been formally adopted while negotiations and exemptions continue. Recent developments indicate that certain companies may qualify for reduced-rate or zero-tariff treatment through approved onshoring plans and, in some cases, most favored nation (MFN) pricing agreements, although the scope, timing, and durability of such relief remain subject to governmental implementation and future policy changes. While we currently do not anticipate a material impact from such tariffs on our business or operations, such tariffs, if and as they are implemented along with other policy changes, could have adverse implications on drug pricing, drug production levels and patient access, and may result in supply chain or other operational disruptions. Further, if we are required to change our current manufacturing partners or suppliers now or in the future in order to avoid such tariffs, the terms of new agreements that we may enter into may not be favorable to us and related operational disruptions may heighten manufacturing and compliance risks and derail commercialization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in April 2025, the U.S. administration imposed increased tariffs on all countries and individualized “reciprocal” higher tariffs on certain countries with which the U.S. has the largest trade deficits, which were subsequently paused, modified, and ultimately terminated in February 2026 following a U.S. Supreme Court ruling invalidating the legal authority under which such tariffs were imposed. After the U.S. Supreme Court decision, on April 2, 2026, the U.S. administration issued a presidential proclamation pursuant to Section 232 of the Trade Expansion Act imposing tariffs on certain imported patented pharmaceutical products and associated pharmaceutical ingredients. In general, the U.S. administration has imposed up to a 100% tariff on imported patented pharmaceuticals and associated ingredients, subject to certain exceptions for certain products, and reduced-rate or zero-tariff treatment where companies have qualifying agreements with the U.S. administration regarding MFN drug pricing and/or onshore manufacturing. We are in the process of reviewing the proclamation and related implementation guidance, but we believe such tariffs will not have a material impact on our business at this time. Certain countries responded by announcing retaliatory tariffs on U.S. imports. A few days later, the U.S. administration reduced the tariffs imposed on most countries to 10 percent for a period of 90 days to allow trade negotiations with those countries. This pause was initially set to expire on July 9, 2025, but was extended thereafter, with significant tariff changes taking effect with certain countries on August 1, 2025. Tariffs remain a dynamic issue and have become a central part of the U.S. trade policy, undergoing continuous expansion and modification, including the imposition in February 2026 of a temporary 10% global import surcharge under separate statutory authority, although pharmaceuticals and pharmaceutical ingredients were identified among exempt categories under that temporary surcharge, and China’s tariffs being reduced in November 2025 and further actions in early 2026. Additionally, on January 17, 2026, President Trump announced proposed tariffs of 10%, increasing to 25% on June 1, 2026, on imports from eight European allies in connection with efforts to secure a ‘deal’ regarding Greenland, although the legal authority, scope and implementation of such proposed tariffs remain uncertain. It is presently unclear how these actions may impact the biopharmaceutical industry in the U.S. Any actions taken by the U.S. administration, including the many recent executive orders and tariff increases, may have a negative impact on the U.S. economy, global markets and on our business,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administration may also enact other new regulations or policies that affect trade with China or otherwise impact the pharmaceutical industry by enacting laws to restrict U.S. pharmaceutical companies from contracting with Chinese companies on the development, research or manufacturing of pharmaceutical products. In December 2025, the BIOSECURE Act was signed into law as part of the Fiscal Year 2026 National Defense Authorization Act, which restricts U.S. government agencies from purchasing or obtaining certain biotechnology equipment or services from “biotechnology companies of concern” (“BCC”), which includes certain Chinese biotech firms; entering, extending or renewing a contract with any entity using biotechnology equipment or services provided by a BCC to perform a government contract; or granting government funds or loans for such biotechnology equipment or services. While we do not currently anticipate any material impact from the BIOSECURE Act, its requirements are expected to be implemented on a phased basis through future regulatory guidance and procurement rulemaking, and the scope of covered entities will depend on future designation processes. The BIOSECURE Act may have significant implications for U.S. companies with government contracts that obtain biotechnology equipment or services from a BCC, including contracts with the Department of Veterans Affairs, and any related impact on reimbursement under Medicaid and Medicare Part 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executive orders were signed to implement MFN drug pricing policies designed to align certain prescription drug prices in the U.S. to lower prices available in other countries. Since issuance of these executive orders, the U.S. administration has begun implementing MFN pricing through a combination of voluntary pricing agreements with pharmaceutical manufacturers, proposed mandatory pricing models applicable to certain Medicare programs, and other administrative actions. Investigations and regulatory proceedings have examined international price differentials and policy approaches for implementation, including through administrative rulemaking and demonstration models. MFN pricing initiatives have been linked to other regulatory and trade measures, including tariff exemptions and incentives for domestic manufacturing, further increasing their potential impact on commercialization and pricing strategies.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MFN policies are implemented and continue to evolve, changes to drug pricing could affect the profitability of pharmaceutical and biotech companies in the U.S. as well as in other countries, as a price referencing policy to the U.S. market could make it commercially unviable to commercialize a drug product in a price constrained market. Although certain MFN pricing initiatives have been announced or implemented, the details of future regulations, pricing models, enforcement mechanisms and related policies remain uncertain, and may pose long-term risks to our business and our future commercialization plans of our drug candidates. In addition, the Fair Prescription Drug Prices for Americans Act was re-introduced in May 2025 and proposes to cap the retail list price of prescription drugs and biological products in the United States at the average retail list price for such product among certain countries. Although it is uncertain if these pricing proposals will take effect, reducing drug prices remains a bipartisan effort and, if made effective, could significantly impact coverage, pricing, and reimbursement for any approved product. These and other similar developments could significantly limit the degree of market acceptance of our products or any of our other product candidates that receive marketing authorization. We expect that healthcare reform measures that may be adopted in the future may result in increased financial liability for manufacturers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Climate change or legal, regulatory or market measures to address climate change may negatively affect our business, results of operations, cash flows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our supply chain, which may result in increased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AND THE DEVELOPMENT OF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substantially dependent on the success of our products and cannot guarantee that any of our product candidates will successfully complete any planned or ongoing clinical trials, receive regulatory approval, or be successfully commercialized.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have three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AUVELITY, SUNOSI, and SYMBRAVO,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will require additional clinical and non-clinical development, regulatory approval, commercial manufacturing arrangements, significant marketing efforts, and further investment before we generate any revenues from the sale of such product candidates. Multiple clinical trials are ongoing. As a result of one or more risks discussed in this section, we cannot assure you that we will meet projected timelines related to these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Strategies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submitted NDAs to the FDA for AUVELITY to treat MDD (which was approved), SYMBRAVO (which was approved), and AXS-14 (which received a Refuse to File letter from the FDA, and which we plan to resubmit), as well as submitted a supplemental New Drug Application (sNDA) for AXS-05 to treat AADDAD (which was approved) and an NDA for AXS-12 for the treatment of cataplexy in narcolepsy (which was accepted for filing by the FDA in July 2026),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are susceptible to the risks of failure inherent at any stage of product development, including the appearance of unexpected adverse events or failure to achieve their primary endpoints in subsequent clinical trials, including our initiated and planned Phase 3 clinical trials. We conducted one interim analysis for the Phase 2/3 trial of AXS-05 in TRD and one interim analysis for the Phase 2/3 trial of AXS-05 for the treatment of AADDAD.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approved for marketing by applicable regulatory authorities, our ability to generate revenues from our product candidates depends on our ability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create market demand for our product candidates through our own marketing and sales activities, and any other arrangements to promote these product candidates that we may otherwise establish;</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receive regulatory approval for claims that are necessary or desirable for successful marketing;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hire, train, and deploy a sales force to commercialize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manufacture (or have manufactured by third parties) our product candidates in sufficient quantities and at acceptable quality and manufacturing cost to meet commercial demand at launch and thereafter;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 and maintain agreements with wholesalers, distributors, and group purchasing organizations on commercially reasonable terms;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create partnerships with, or offer licenses to, third parties to promote and sell our product candidates in foreign markets where we receive marketing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maintain patent and trade secret protection and regulatory exclusivity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launch commercial sales of our product candidates, whether alone or in collaboration with others;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achieve market acceptance of our product candidates by patients, the medical community, and government and private third</w:t>
        <w:noBreakHyphen/>
        <w:t>party payors;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achieve appropriate reimbursement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effectively compete with other therapies;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maintain a continued acceptable safety profile of our product candidates following launch.</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Potential conflicts of interest exist with respect to the intellectual property rights that we license from an entity owned by our Chief Executive Officer and Chairman of the Board, and it is possible that our interests and their interests may diverge.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we have limited financial and managerial resources, we focus on developing product candidates for specific indications that we identify as most likely to succeed, in terms of both their regulatory approval and commercialization. As such, we are currently primarily focused on the development of solriamfetol for additional indications, AXS-05 for smoking cessation,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Note 14. License Agreements, we are required to pay to an entity owned by our Chief Executive Officer and Chairman of the Board certain royalty payments related to any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future growth may depend on our ability to identify and develop product candidates, and if we do not successfully identify and develop product candidates or integrate them into our operations, we may have limited growth opportunities.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component of our business strategy is to continue to develop a pipeline of product candidates by developing products that we believe are a strategic fit with our focus on CNS therapies. However, these business activities may entail numerous operational and financial risks,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difficulty or inability to secure financing to fund business activities for such development;</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disruption of our business and diversion of our management’s time and attention;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higher than expected development costs;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exposure to unknown liabilities;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difficulty in managing multiple product development programs;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inability to successfully develop new products or clinical failure.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instance, we received a Refuse to File from the FDA relating to the Company’s product candidate AXS-14 for the management of fibromyalgia in June 2025. Likewise, our prior efforts have resulted in our decision not to further develop certain product candidates that, at one time, appeared to be promising. Moreover, we may devote resources to potential development that are never completed, or we may fail to realize the anticipated benefits of such efforts. If we do not successfully develop and commercialize product candidates, we may not be able to obtain revenues from such product candidates in future periods.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not permitted to commercialize, market, promote, or sell any product candidate in the United States without obtaining marketing approval from the FDA. In the EU, we are not permitted to commercialize, market, promote, or sell any product candidate without obtaining marketing approval from the European Community (“EC”) or national competent authorities at the EU member state level.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we currently plan to, at least initially, seek approval of some of our product candidates using the 505(b)(2) pathway. These 505(b)(2) product candidates include additional indications for AXS-05. The FDA interprets Section 505(b)(2) of the Federal Food, Drug, and Cosmetic Act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noBreakHyphen/>
        <w:t>wide warnings. For instance, antidepressants, including AUVELITY, include a class</w:t>
        <w:noBreakHyphen/>
        <w:t>wide black box warning regarding the increased risk of suicidal thoughts and behavior.</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because we plan to file certain product candidates under an NDA submitted pursuant to 505(b)(2), we will rely, at least in part, upon a reference drug and published literature. For example, we have and/or intend to rely on third-party studies in the published literature as well as FDA findings of safety and efficacy for approved drug products containing the same active molecules in AXS-05.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submitted NDAs for AUVELITY to treat MDD and SYMBRAVO pursuant to the 505(b)(2) process, we have not conducted certain additional clinical trials for these products and, as such, we will have less experience with actual testing of these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ANDA, for a generic version of the approved product. We may, however, not be able to immediately submit an ANDA or have an ANDA approval made effective, as we could be blocked by others’ periods of patent and regulatory exclusivity protection.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regulatory approval timelines and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timeline for review and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The timeline for regulatory approval can be affected by a variety of factors, including budget and funding levels, agency staffing, and statutory, regulatory, and policy changes. In addition, approval policies, regulations, or the type and amount of clinical data necessary to gain approval may change during the course of a product candidate’s clinical development, vary among jurisdictions, and/or require us to amend our clinical trial protocols or conduct additional studies that require regulatory or Institutional Review Board (“IRB”) approval, or otherwise cause delays in the approval or rejection of an application. To date, we have submitted two NDAs to the FDA and have obtained regulatory approval for both of our product candidates, AUVELITY and SYMBRAVO. It is possible that none of our other existing product candidates, or any product candidates we may seek to develop in the future, will ever obtain regulatory approval. Any delay in obtaining or failure to obtain required approvals or uncertainty in the timing of regulatory action could materially adversely impact our development efforts and affect our ability or that of any of our collaborators to generate revenue from the particular product candidate, which likely would result in significant harm to our financial position and adversely impact our stock price.</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European Medicines Agency (“EMA”) and/or national competent authorities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 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noBreakHyphen/>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regulators or IRBs may not authorize us or our investigators to commence a clinical trial or conduct a clinical trial at a prospective trial site or amend trial protocols;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delays in reaching, or fail to reach, agreement on acceptable clinical trial contracts or clinical trial protocols with prospective trial sites and our CROs;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third</w:t>
        <w:noBreakHyphen/>
        <w:t>party contractors may fail to comply with regulatory requirements or the clinical trial protocol, or meet their contractual obligations to us in a timely manner, or at all, or we may be required to engage in additional clinical trial site monitoring;</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marketing approval policies during the development period rendering our data insufficient to obtain marketing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or the enactment of additional statutes or regulations;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regulatory review for each submitted product application;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of clinical trials of our product candidates may be greater than we anticipate, or we may have insufficient funds for a clinical trial or to pay the substantial user fees required by the FDA upon the filing of an NDA;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may be insufficient or inadequate;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decide, or regulators may require us, to conduct additional clinical trials, analyses, reports, data, or preclinical/non-clinical studies, or we may abandon product development programs. For instance, we relied on the completed Phase 2 trial and Phase 3 trial to support an NDA for AXS-14 for the management of fibromyalgia; however, we received a Refuse to File from the FDA. On January 15, 2026, we announced the initiation of the Phase 3 FORWARD trial, which we are conducting to address the FDA’s feedback. Furthermore, we submitted an NDA for AXS-12 for the treatment of cataplexy in narcolepsy, which was accepted by the FDA in July 2026 with a Prescription Drug User Fee Act (PDUFA) target action date of May 1, 2027. Although we relied on the Phase 2 CONCERT trial, Phase 3 SYMPHONY trial, and Phase 3 ENCORE trial to support the NDA for AXS-12 for the treatment of cataplexy and narcolepsy, the FDA could still require additional studies to support the approval of the NDA for this and other product candidates. The outcome of our studies may further necessitate additional clinical or preclinical work;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fail to reach an agreement with regulators regarding the scope or design of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have delays in adding new investigators or clinical trial sites, or we may experience a withdrawal of clinical trial sites;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be regulatory questions regarding interpretations of data and results, or new information may emerge regarding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belief that certain product attributes are advantageous or may require further study of product attributes that are different from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comparable foreign regulatory authorities may not accept data from studies with clinical trial sites in foreign countries;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intended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comparable foreign regulatory authorities may fail to approve or subsequently find fault with the manufacturing processes or our manufacturing facilities for clinical and future commercial supplies;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Chemistry, Manufacturing, and Controls (“CMC”) data necessary for our NDA filing and approval, we will need to conduct stability studies and provide stability data to establish appropriate retest or expiration dating periods;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may not demonstrate sufficient long-term stability to support an NDA filing or obtain approval, or the product shelf life may be limited by stability results;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be delays in the FDA’s ability to conduct necessary Pre-Approval Inspections, or PAIs, and more generally the FDA or comparable foreign regulatory authorities may take longer than we anticipate to make a decision on our product candidates;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demonstrate that a product candidate provides an advantage over current standards of care or current or future competitive therapies in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we are required to conduct additional clinical trials or other testing of our product candidates beyond that which we currently contemplate, if we are unable to successfully complete clinical trials or other testing of our product candidates, if the results of these trials or tests are not positive, or are only modestly positive, or if there are safety concerns, we may: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 delayed in obtaining marketing approval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obtain marketing approval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 or are not covered by our intellectual property;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 subject to additional post</w:t>
        <w:noBreakHyphen/>
        <w:t>marketing testing and surveillance requirements, including REMS;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have the product removed from the market after obtaining marketing approval.</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product development plans may be impacted. For example, in December 2022, with the passage of the Food and Drug Omnibus Reform Act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diversity action plans must include the sponsor’s goals for enrollment, the underlying rationale for those goals, and an explanation of how the sponsor intends to meet them. In terms of the compliance deadline, the requirement to submit a diversity action plan applies to clinical studies for which enrollment begins 180 days after the final guidance is published, which was originally anticipated to occur in June 2025. In January 2025, the previously published draft guidance was temporarily removed from the FDA website following an executive order, but was restored and reinstated the following month per a court order. However, it remains in draft form, which impacts the eventual publication date of the final guidance, and as a result, may delay the compliance deadline.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FDA’s review of our regulatory submissions may be delayed in the future due to reasons beyond our control. FDA operations are affected by various factors, such as shifting government priorities, budgets and funding levels, authorization and payment of user fees, the ability to hire and retain key personnel, as well as other statutory, regulatory, and policy changes impacting the U.S. Department of Health and Human Services (“HHS”), the FDA, or other HHS agencies. Specifically, in 2025, FDA faced a reduction in size, a prolonged federal government shutdown, as well as frequent administrative turnover and agency restructuring following the institution of the new administration, which have directly or indirectly impacted FDA’s ability to support research and development activities. If legislation, administrative action, or changes in policy prevent the FDA or other regulatory authorities from conducting routine inspections, reviews, or other regulatory activities, it could significantly impact the ability of the FDA to provide feedback on our clinical programs, meet with or engage in other informal interactions with us, and review and process our regulatory submissions (including our pending regulatory submissions) in a timely manner. In addition, any future government shutdown or a widespread freeze on federal funding could significantly impact the ability of the FDA to timely review and process our regulatory submissions or cause other agencies that support the FDA to slow their work. Any such factors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Complete Response Letter (“CRL”) with respect to our NDA for SYMBRAVO, the FDA noted the need for additional CMC data. SYMBRAVO was subsequently approved by the FDA. With respect to our NDA for AXS-14 for the management of fibromyalgia, the FDA stated that upon preliminary review, it found that our NDA was not sufficiently complete to permit a substantive review. To address the FDA’s feedback, we plan to conduct an additional controlled trial, which will use a fixed-dose paradigm and a 12-week primary endpoint as requested by the FDA.</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 Furthermore, there is the possibility that the FDA or comparable foreign regulatory authorities have not previously reviewed product candidates for the indications we are pursuing, such as AADDAD or smoking cessation. As a result, we may experience delays in regulatory approval due to uncertainties in the approval process.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cannot demonstrate an acceptable safety and toxicity profile for our product candidates, we will not be able to continue our clinical trials of or obtain approval for those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preclinical or non-clinical testing may produce inconclusive or negative safety results, which may require us to conduct additional non-clinical testing or to abandon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may have unfavorable pharmacology or toxicity characteristics or suggest possible drug-drug interaction;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may cause undesirable side effects;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other regulatory authorities may determine that additional safety testing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such events would increase our costs and could delay or prevent our ability to commercialize our product candidates, which could adversely impact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FDA may determine that any of our current or future product candidates have undesirable side effects that could delay or prevent their regulatory approval or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requests for additional data or information issued by the FDA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noBreakHyphen/>
        <w:t>marketing testing and surveillance, or other requirements, including REMS, to monitor the safety or efficacy of the products, and in turn prevent us from commercializing and generating revenues from the sale of any of our current or future product candidates.</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Based on the side effects disclosed in the EMA required product label for marketed drugs that contain the same active molecule as our product candidates,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r>
        <w:rPr>
          <w:rFonts w:ascii="Times New Roman" w:hAnsi="Times New Roman"/>
          <w:color w:val="000000"/>
          <w:sz w:val="13"/>
        </w:rPr>
        <w:t>®</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Known side effects for AUVELITY, SUNOSI, and SYMBRAVO are described on the approved labels for those products. In relation to further development efforts with respect to these compounds, different patient populations may react to these compounds differently. For example, AADDAD patients in the case of AXS-05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noBreakHyphen/>
        <w:t>benefit perspective. The drug</w:t>
        <w:noBreakHyphen/>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eligibility criteria for, and design of, the clinical trial in question, including factors such as frequency of required assessments, length of the study, and ongoing monitoring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perceived risks and benefits of the product candidate under study, including the potential advantages or disadvantages of the product candidate being studied in relation to other available therapies;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in recruiting and enrolling patients in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efforts to facilitate timely enrollment in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patient referral practices of physicians;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effectiveness of publicity created by clinical trial sites regarding the trial;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ability to comply with the specific instructions related to the trial protocol, proper documentation, and use of the drug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inability to obtain or maintain patient informed consents;</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 that enrolled patients will drop out before completion;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ability to identify patients for enrollment and maintain a sufficient level of patient participants in our clinical studies;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ability to monitor patients adequately during and after treatment;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proximity and availability of clinical trial sites for prospective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Development of combination product candidates may present more or different challenges than development of single agent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product candidates of ours, including AXS-05,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product candidate manufacturing or formulation may result in additional costs or delay.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Failure to obtain marketing approval in international jurisdictions would prevent our products from being marketed abroad.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market and sell our products in the EU, and many other jurisdictions, we or our third</w:t>
        <w:noBreakHyphen/>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received a Fast Track product designation for AXS-05 for both the treatment of TRD as well as for the treatment of AADDAD, and we may seek Fast Track designation for our other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received Breakthrough Therapy designation for AXS-05 for both the treatment of MDD and the treatment of AADDAD,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 however, Priority Review does not guarantee FDA approval and could still lead to further data requests or denial.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noBreakHyphen/>
        <w:t>label” uses, resulting in damage to our reputation and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any of our collaborators, must comply with laws, regulations, and other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HHS’s Office of Inspector General (“OIG”),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authorities’ approval for any desired uses or indications for our products and product candidates, we may not market or promote our products for those indications and uses, referred to as off label uses, and our business may be adversely affected. We further must be able to sufficiently substantiate any claims that we make for our products including claims comparing our products to other companies’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noBreakHyphen/>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noBreakHyphen/>
        <w:t>label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noBreakHyphen/>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noBreakHyphen/>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damages, fines, actions,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suspension or debarment from government procurement and potential adverse actions affecting future orders under existing contracts. Recent court decisions have impacted the FDA’s enforcement activity regarding off-label promotion in light of First Amendment considerations; however, there are still significant risks in this area, such as where communications are misleading or conduct is the alleged cause of false claims, in part due to the potential False Claims Act (“FCA”) exposure. The FCA allows a private individual to bring a </w:t>
      </w:r>
      <w:r>
        <w:rPr>
          <w:rFonts w:ascii="Times New Roman" w:hAnsi="Times New Roman"/>
          <w:i/>
          <w:color w:val="000000"/>
          <w:sz w:val="20"/>
        </w:rPr>
        <w:t>qui tam</w:t>
      </w:r>
      <w:r>
        <w:rPr>
          <w:rFonts w:ascii="Times New Roman" w:hAnsi="Times New Roman"/>
          <w:color w:val="000000"/>
          <w:sz w:val="20"/>
        </w:rPr>
        <w:t xml:space="preserve">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w:t>
      </w:r>
      <w:r>
        <w:rPr>
          <w:rFonts w:ascii="Times New Roman" w:hAnsi="Times New Roman"/>
          <w:i/>
          <w:color w:val="000000"/>
          <w:sz w:val="20"/>
        </w:rPr>
        <w:t>qui tam</w:t>
      </w:r>
      <w:r>
        <w:rPr>
          <w:rFonts w:ascii="Times New Roman" w:hAnsi="Times New Roman"/>
          <w:color w:val="000000"/>
          <w:sz w:val="20"/>
        </w:rPr>
        <w:t xml:space="preserve"> lawsuit, the individual will share in the proceeds from any fines or settlement funds. If the government declines to intervene, the individual may pursue the case alone. Under the FCA, a penalty may be imposed for each false claim, which, for example, might be a claim for payment for each prescription for the product, and, when aggregated, these penalties often total millions of dollars and incentivize </w:t>
      </w:r>
      <w:r>
        <w:rPr>
          <w:rFonts w:ascii="Times New Roman" w:hAnsi="Times New Roman"/>
          <w:i/>
          <w:color w:val="000000"/>
          <w:sz w:val="20"/>
        </w:rPr>
        <w:t>qui tam</w:t>
      </w:r>
      <w:r>
        <w:rPr>
          <w:rFonts w:ascii="Times New Roman" w:hAnsi="Times New Roman"/>
          <w:color w:val="000000"/>
          <w:sz w:val="20"/>
        </w:rPr>
        <w:t xml:space="preserve"> lawsuits. These FCA lawsuits against pharmaceutical companies have increased significantly in volume and breadth, leading to several substantial civil settlements and criminal resolutions, pertaining to certain sales practices and promoting off-label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other actions and, if we do not successfully defend against such actions, those actions may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distribution of product samples to physicians must further comply with the requirements of the Prescription Drug Marketing Act of 1987 (“PDMA”).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product(s) are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current Good Manufacturing Practice (“cGMP”) requirements relating to manufacturing, quality control, quality assurance, and corresponding maintenance of records and documents; requirements regarding the distribution of samples to physicians and recordkeeping; and Good Clinical Practice (“GCP”), for any clinical trials that we conduct post-approval.</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in early September 2025, following a presidential memorandum directing the FDA to “take appropriate action to enforce the Federal Food, Drug, and Cosmetic Act’s prescription drug advertising provisions, and otherwise ensure truthful and non-misleading information in direct-to-consumer (DTC) prescription drug advertisements”, the FDA issued more than 100 enforcement letters to pharmaceutical companies and compounding firms and other entities. Since that time, the FDA has continued to pursue enforcement activity in this area and has announced additional regulatory initiatives focused on DTC prescription drug advertising. In particular, HHS and the FDA have announced plans to pursue rulemaking designed to require more extensive risk disclosure in DTC prescription drug advertising, including by revisiting the long-standing “adequate provision” framework applicable to broadcast advertising, and have indicated that they are committed to a “more expansive reading” of the FDA’s enforcement authorities than that taken by previous administrations. In connection with these developments, we received an untitled letter from the FDA’s Center for Drug Evaluation and Research, asserting that a particular DTC print advertisement for AUVELITY was false and misleading. We responded to the untitled letter, and the FDA confirmed via close-out letter that we adequately addressed the FDA’s concerns. Failure to comply with current or forthcoming FDA requirements may trigger enforcement by the FDA, Department of Justice, or HHS Office of Inspector General (as well as state authorities), which may result in warning letters, civil and criminal penalties, agreements restricting promotional practices, and significant reputational harm.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any of our collaborators, including our contract manufacturers, could be subject to periodic unannounced inspections by the FDA to monitor and ensure compliance with cGMP and GCP. Notably, in May 2025, the FDA announced its intent to expand its use of unannounced inspections of foreign facilities manufacturing products for distribution in the United States, which may impact our operations. Further, application holders must further notify the FDA, and depending on the nature of the change, obtain FDA pre-approval for product and manufacturing changes. Application fees may apply to certain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restrictions on manufacturing or distribution, or marketing of such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restrictions on the labeling, including required additional warnings, such as black box warnings, contraindications, precautions, and restrictions on the approved indication or use;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modifications to promotional pieces;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requirements to conduct post</w:t>
        <w:noBreakHyphen/>
        <w:t>marketing studies or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holds or termination of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to the way the drug is administered;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liability for harm caused to patients or subjects;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reputational harm;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drug becoming less competitive;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warning or untitled letters;</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suspension of marketing or withdrawal of the products from the market;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authority issuance of safety alerts, Dear Healthcare Provider letters, press releases, or other communications containing warnings or other safety information about the drug;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recall of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fines, damages, restitution, or disgorgement of profits or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refusal to permit the import or export of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seizure or detention;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FDA debarment, debarment from government contracts, and refusal of future orders under existing contracts, exclusion from federal healthcare programs, consent decrees, or corporate integrity agreements;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injunctions or the imposition of civil or criminal penalties, including imprisonment.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the particular product,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there is a great degree of uncertainty regarding how U.S. Supreme Court decisions, including </w:t>
      </w:r>
      <w:r>
        <w:rPr>
          <w:rFonts w:ascii="Times New Roman" w:hAnsi="Times New Roman"/>
          <w:i/>
          <w:color w:val="000000"/>
          <w:sz w:val="20"/>
        </w:rPr>
        <w:t>Loper Bright Enterprises v. Raimondo</w:t>
      </w:r>
      <w:r>
        <w:rPr>
          <w:rFonts w:ascii="Times New Roman" w:hAnsi="Times New Roman"/>
          <w:color w:val="000000"/>
          <w:sz w:val="20"/>
        </w:rPr>
        <w:t xml:space="preserve">, 603 U.S. 369 (2024) and </w:t>
      </w:r>
      <w:r>
        <w:rPr>
          <w:rFonts w:ascii="Times New Roman" w:hAnsi="Times New Roman"/>
          <w:i/>
          <w:color w:val="000000"/>
          <w:sz w:val="20"/>
        </w:rPr>
        <w:t>Corner Post, Inc. v. Board of Governors of the Federal Reserve System</w:t>
      </w:r>
      <w:r>
        <w:rPr>
          <w:rFonts w:ascii="Times New Roman" w:hAnsi="Times New Roman"/>
          <w:color w:val="000000"/>
          <w:sz w:val="20"/>
        </w:rPr>
        <w:t xml:space="preserve">, 603 U.S. 799 (2024), will impact the FDA’s enforcement and decision-making authority. </w:t>
      </w:r>
      <w:r>
        <w:rPr>
          <w:rFonts w:ascii="Times New Roman" w:hAnsi="Times New Roman"/>
          <w:i/>
          <w:color w:val="000000"/>
          <w:sz w:val="20"/>
        </w:rPr>
        <w:t>Loper Bright</w:t>
      </w:r>
      <w:r>
        <w:rPr>
          <w:rFonts w:ascii="Times New Roman" w:hAnsi="Times New Roman"/>
          <w:color w:val="000000"/>
          <w:sz w:val="20"/>
        </w:rPr>
        <w:t xml:space="preserve"> explicitly overturned </w:t>
      </w:r>
      <w:r>
        <w:rPr>
          <w:rFonts w:ascii="Times New Roman" w:hAnsi="Times New Roman"/>
          <w:i/>
          <w:color w:val="000000"/>
          <w:sz w:val="20"/>
        </w:rPr>
        <w:t xml:space="preserve">Chevron </w:t>
      </w:r>
      <w:r>
        <w:rPr>
          <w:rFonts w:ascii="Times New Roman" w:hAnsi="Times New Roman"/>
          <w:color w:val="000000"/>
          <w:sz w:val="20"/>
        </w:rPr>
        <w:t xml:space="preserve">deference, which previously gave judicial deference to administrative action by agencies in the executive branch. Furthermore, the Supreme Court’s decision in </w:t>
      </w:r>
      <w:r>
        <w:rPr>
          <w:rFonts w:ascii="Times New Roman" w:hAnsi="Times New Roman"/>
          <w:i/>
          <w:color w:val="000000"/>
          <w:sz w:val="20"/>
        </w:rPr>
        <w:t>Corner Post</w:t>
      </w:r>
      <w:r>
        <w:rPr>
          <w:rFonts w:ascii="Times New Roman" w:hAnsi="Times New Roman"/>
          <w:color w:val="000000"/>
          <w:sz w:val="20"/>
        </w:rPr>
        <w:t xml:space="preserve"> may result in challenges to FDA decisions by new litigants long into the future, resulting in greater uncertainty about our continued operations. These decisions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could impact various aspects of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any of the above actions take place, they could adversely affect our ability to achieve or sustain profitability. Further, the cost of compliance with post</w:t>
        <w:noBreakHyphen/>
        <w:t>approval regulations may have a negative effect on our operating results and financial condition.</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variety of risks associated with international operations could materially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and may become party to further agreements, pursuant to which we out-license our products outside of the United States. The Company also currently markets SUNOSI in Canada. We expect that we will be subject to additional risks related to entering into international business relationships,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different regulatory requirements for approval of drugs in foreign countries;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potential for so</w:t>
        <w:noBreakHyphen/>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stricter harmonized EU rules on data privacy and cybersecurity. These include enhanced rules on the processing of personal data, including health data, under the EU General Data Protection Regulation (GDPR), which became enforceable beginning May 25, 2018, as well as cybersecurity obligations under Directive (EU) 2022/2555 (NIS 2 Directive). The NIS 2 Directive establishes a harmonized cybersecurity framework for 18 critical sectors, including the health sector, and imposes significant compliance obligations on in-scope organizations, including risk management measures, incident prevention, detection and notification requirements, supply chain security controls, and enhanced governance and oversight, including potential personal liability at the Board level;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unexpected changes in tariffs, trade barriers, and regulatory requirements and in the health care policies of foreign jurisdictions;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 and worker rights tend to be stronger;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of compliance with U.S. laws and regulations for foreign operations, including the Foreign Corrupt Practices Act (“FCPA”) or comparable foreign regulations, and the risks and costs of noncompliance;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or natural disasters including earthquakes, typhoons, floods, and fires.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and other risks associated with our international operations may materially adversely affect our ability to attain or maintain profitable operations.</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exposed to market risk from fluctuations in currency exchange rates and interest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in multiple jurisdictions, and virtually all sales are denominated in currencies of the local jurisdiction. Additionally, we have entered and may enter into business development transactions, borrowings, or other financial transactions that may give rise to currency and interest rate exposure.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we cannot, with certainty, foresee and mitigate against such adverse changes, fluctuations in currency exchange rates, interest rates, and inflation could negatively affect our business, cash flow, results of operations,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mitigate against the adverse impact of these market fluctuations, we may from time to time enter into hedging agreements. While hedging agreements, such as currency options and forwards and interest rate swaps, may limit some of the exposure to exchange rate and interest rate fluctuations, such attempts to mitigate these risks may be costly and not always successful.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will need to obtain FDA approval (and that of comparable foreign regulatory authorities) of any proposed product names, and any failure or delay associated with such approval may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COMMERCIALIZATION OF OUR PRODUCTS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significant competition from other pharmaceutical and biotechnology companies, academic institutions, government agencies, and other research organizations. Our operating results will suffer if we fail to compete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development and commercialization of new drug products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Amgen Inc.; Biogen Inc.; Eli Lilly and Company; H. Lundbeck A/S; Harmony Biosciences LLC; Intra-Cellular Therapies, Inc.; Janssen; Jazz; Otsuka Pharmaceutical Co. Ltd.; Pfizer Inc.; and Takeda Pharmaceutical Company Limited.</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opportunities could be reduced or eliminated if our competitors develop and commercialize products that are safer, more effective, have fewer or less severe side effects, more convenient, or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Generic forms of the active ingredients of our product candidates, including dextromethorphan, bupropion, meloxicam, rizatriptan, and reboxetine,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Pharmaceuticals, Inc. (“Teva”) providing notification to the Company that Teva has submitted an ANDA to the FDA seeking approval to manufacture, use, or sell a generic version of AUVELITY. We settled the ensuing litigation in February 2025. Additionally, beginning in August 2023, we received paragraph IV certification notice letters from six other pharmaceutical companies providing notification to the Company that each such filer has submitted an ANDA to the FDA seeking approval to manufacture, use, or sell a generic version of SUNOSI. We subsequently initiated patent infringement litigation against the filers and have reached settlement agreements in the ensuing litigation with all six filers. In June 2026, we entered into a settlement agreement with the only remaining first-to-file generic applicant, thereby resolving all outstanding SUNOSI patent litigation. No patent litigation relating to SUNOSI remains pending. In August 2025, Apotex, Inc. (“Apotex”) sent a Paragraph IV certification notice regarding their ANDA submission to the FDA for a generic version of SYMBRAVO. In response, we filed a patent infringement lawsuit against Apotex in the U.S. District Court for the District of New Jersey, which remains ongoing.</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noBreakHyphen/>
        <w:t>party payors. Thus, following the introduction of a generic drug, a significant percentage of the sales of any branded product or reference listed drug is typically lost to the generic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if we do not file a patent infringement lawsuit against a generic manufacturer within 45 days of receiving notice of its paragraph IV certification, the ANDA or 505(b)(2) applicant may not be subject to a 30</w:t>
        <w:noBreakHyphen/>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AXS-12 received Orphan Drug Designation from the FDA for the treatment of narcolepsy. We may also seek Orphan Drug Designation for our other products, as appropriate.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the EMA/EC may, under certain conditions, grant orphan exclusivity to two different sponsors for the same compound or active molecule and for the same indication. For example, if another sponsor receives FDA approval for a reboxetine containing product for the treatment of narcolepsy before we obtain FDA approval for AXS-12 for the treatment of narcolepsy, we would be prevented from launching our product in the United States for this indication for a period of at least 7 years. In the EU, if another company is granted orphan exclusivity for a reboxetine containing product for the treatment of narcolepsy, we would be prevented from obtaining marketing authorization for AXS-12 for the treatment of narcolepsy for up to 10 years, which may be extended to 12 years under certain conditions. The EU Pharma Package (as described below) will reduce the standard orphan exclusivity to 9 years, with eligibility for up to 11 years of exclusivity for certain orphan products.</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establish effective marketing, sales and distribution capabilities or enter into agreements with third parties to market, sell and distribute our products, we may be unable to generate significant product awareness and that lack of awareness may limit the product revenues that we generate.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recently expanded our commercial infrastructure for the marketing, sale, and distribution of pharmaceutical products, which included the creation of a sales force to launch our commercial stage products throughout the United States. This effort requires additional compliance with a range of federal and state laws. Additionally, we currently commercialize SUNOSI outside the United States. Each global market we commercialize SUNOSI in has its own set of applicable 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recruit, train, manage, and retain adequate numbers of effective sales and marketing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inability of sales personnel to obtain access to physicians or appropriately persuade adequate numbers of physicians to prescribe any of our current or future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effectively oversee a geographically dispersed sales and marketing team;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application of federal and state drug distribution and supply chain requirements to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associated with training sales and marketing personnel on legal and regulatory compliance matters and monitoring their actions;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inability to secure adequate or any coverage and reimbursement by government and private health plans or other payers;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clinical indications and labeled claims for which the product is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limitations or warnings, including distribution or use restrictions, contained in the product’s approved labeling;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distribution and use restrictions imposed by the FDA or to which we agree as part of a mandatory REMS or voluntary risk management plan;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liability for sales or marketing personnel who fail to comply with the applicable legal and regulatory requirements;</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lack of complementary products to be offered by sales personnel, which may put us at a competitive disadvantage relative to companies with more extensive product lines;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 or engaging a contract sales 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any of our products do not achieve broad market acceptance, the revenues that we generate from their sales will be limited.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products, and, if approved, our product candidates, may not gain acceptance among physicians, patients, third-party payors, or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Physicians and their patients may likewise make decisions about therapies based on cost and insurance coverage and reimbursement. Further, patients often acclimate to the therapy that they are currently taking. While they may switch if their physicians recommend switching products, there is no guarantee. Additionally, they may also switch therapies due to lack of reimbursement for existing therapies or for other reasons. Even if physicians prescribe our products, third-party payors may not provide coverage – for example, if they do not consider our products cost-effective without a significant price concession, and, even when coverage is provided, reimbursement may be inadequate, which could negatively impact our revenue. Third-party payors may also implement onerous access controls, which could further impede our efforts to effectively transition eligible patients to our therapies.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Efforts to educate the medical community and third-party payors on the benefits of our products may require significant resources and may not be successful. If our products or any of our product candidates that are approved do not achieve an adequate level of market acceptance, we may not generate significant revenues, and we may not become profitable. Even if the medical community accepts that one of our product candidates is safe and effective for its approved indications and third-party payors provide coverage and reimbursement for the same, physicians and patients may not immediately be receptive to such product candidate and may be slow to adopt it as an accepted treatment of the approved indication or may not accept it at all. It is unlikely that any labeling approved by the FDA will contain claims that one of our product candidates is safer or more effective than competitive products or will permit us to promote such product candidate as being superior to competing products. The degree of market acceptance of any of our products will depend on a number of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efficacy of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prevalence and severity of adverse events associated with such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clinical indications for which the product is approved and the approved claims that we may make for the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limitations or warnings contained in the product’s FDA</w:t>
        <w:noBreakHyphen/>
        <w:t>approved labeling, including potential limitations or warnings for such product candidate, that may be more restrictive than other competitive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standard of care for the targeted indications for such product candidate, which could reduce the marketing impact of any claims that we could make following FDA approval, if obtained;</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relative convenience and ease of administration of such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treatment versus economic and clinical benefit in relation to alternative treatments or therapies;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availability of adequate coverage or reimbursement by third parties, such as insurance companies and other healthcare payors, and by government healthcare programs, including Medicare and Medicaid;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willingness of third-party payors to prefer other products, even if not approved for our product’s indication;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extent and strength of our marketing and distribution of such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safety, efficacy, and other potential advantages over, and availability of, alternative treatments already used or that may later be approved for any of our intended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distribution and use restrictions imposed by the FDA with respect to such product or to which we agree as part of a mandatory REMS or voluntary risk management plan;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of market introduction of such product, as well as competitive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offer such product candidate for sale at competitive prices, including prices that are competitive with generic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extent and strength of our third</w:t>
        <w:noBreakHyphen/>
        <w:t>party manufacturer and supplier support;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approval of other new products for the same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publicity about the product or favorable publicity about competitive products;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 product liability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potential market opportunities for our products and/or product candidates are difficult to precisely estimate. Our estimates of the potential market opportunities are predicated on many assumptions including industry knowledge and publications, third</w:t>
        <w:noBreakHyphen/>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potential product liability exposure, and if successful claims are brought against us, we may incur substantial liability and may have to limit our products’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including from: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decreased demand for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impairment of our business reputation or financial stability;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of related litigation;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substantial monetary awards to patients or other claimants;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diversion of management attention;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of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withdrawal of clinical trial participants and potential termination of clinical trial sites or entire clinical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inability to commercialize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negative media attention;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decrease in our stock price;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initiation of investigations and enforcement actions by regulators;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obtained limited product liability insurance coverage for our products and our clinical trials.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have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inspections periodically or as needed of certain registered establishments that handle controlled substances. Obtaining and maintaining the necessary registrations and complying with the regulatory obligations may result in delay of the importation, manufacturing, distribution or clinical research of our products and product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could have a material adverse effect on our business, results of operations, financial condition and growth prospects.</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w:t>
        <w:noBreakHyphen/>
        <w:t>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reliance on these third parties for development activities will reduce our control over these activities. Nevertheless, we are responsible for ensuring that each of our studies is conducted in accordance with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when we submit an NDA for review, we are required to report certain financial interests of our third</w:t>
        <w:noBreakHyphen/>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you that upon inspection by a given regulatory authority, such regulatory authority will determine that any of our clinical trials comply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or to meet the related submission requirements can result in enforcement actions, including civil monetary penalties and adverse publicity.</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relationships with these third parties terminate,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these third-party vendors, there can be no assurance that we will not encounter similar challenges or delays in the future or that these delays or challenges will not have a material adverse impact on our business, financial condition and prospects,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or disrupt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noBreakHyphen/>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noBreakHyphen/>
        <w:t>party manufacturers may breach, terminate, or not renew these agreements.</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problems or delays we experience in preparing for commercial</w:t>
        <w:noBreakHyphen/>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 limited number of contract manufacturers for our products. At times, we may have only one manufacturer for a product. In addition, we do not have any long</w:t>
        <w:noBreakHyphen/>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their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on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FCA;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 an NDA applicant and commercial “virtual manufacturer,” we may rely in many cases on third parties to perform many essential services for our products,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products will be significantly impacted and we may be subject to regulatory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retained third-party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and customer service, and, as a result, much of our inventory is stored at a single warehouse maintained by one such service provider. We substantially rely on this service provider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 Moreover, these agreements might terminate for a variety of reasons. If we fail to enter into alternative arrangements, this could further delay the commercialization of our products and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FCA liability and other civil monetary penalties.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Any collaboration arrangements that we are a party to or may enter into in the future may not be successful, which could adversely affect our ability to develop and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 and certain countries in the Middle East / North Africa.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license the right to market and sell our products under our collaborators’ labeler codes. Alternatively, we may enter into agreements with collaborators to market and sell our products under our own labeler code, in which case errors and omissions by collaborators in capturing and transmitting transactional data may impact the accuracy of our government price reporting.</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could fail to make timely regulatory submissions for a product candidate;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may not comply with all applicable regulatory requirements or may fail to report safety data in accordance with all applicable regulatory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collaborator with marketing and distribution rights to one or more of our product candidates that achieve regulatory approval may not commit sufficient resources to the marketing and distribution of such product candidate or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It is difficult and costly to protect our proprietary rights, and, as a result, we may not be able to ensure their protection. In addition, patents have a limited lifespan and will eventually expire.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exclusivity awarded by the FDA upon the approval of an NDA is limited in scope and duration. For example, our New Chemical Entity exclusivity for SUNOSI expired on June 17, 2024 with an Orphan Drug Exclusivity relating to the product’s narcolepsy indication that expired on June 17, 2026. For AUVELITY®, the New Product Exclusivity expired on August 18, 2025. Expanded use of AUVELITY® relating to the product’s indication for AADDAD was approved by the FDA on April 30, 2026, with the associated new indication exclusivity expiring on April 30, 2029. New Product Exclusivity for SYMBRAVO® expires on January 30, 2028. None of these expiry dates take into account the effect of the statutory 30-month stay should we timely commence litigation against any generic filer. A generic filer may be permitted to launch a generic version of either of our products following expiry of these exclusivities if our patents do not preclude a generic launch. Patent litigation is inherently uncertain, and we cannot guarantee the outcome of any such proceedings, that we would succeed in stopping the “at risk” launch of a generic version of either of our currently commercialized products during the pendency of litigation following expiry of the 30-month stay, or that we would commence such proceedings. Such a generic launch could materially impact our commercial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seek to protect intellectual property relating to our products and portfolio products by prosecuting patents in the United States and elsewhere. The patent prosecution process is expensive and time consuming, and we may not be able to and/or may choose not to file, prosecute, and maintain all necessary or desirable patent applications at a reasonable cost or in a timely manner. It is also possible that we will fail to identify patentable aspects of our research and development output before it is too late to obtain patent protection, or that we may choose not to pursue patent protection for all patentable aspects identified.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maintained,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reliably or accurately predict the breadth of claims that may be allowed or enforced in our patents and patent applications or in third party patents and patent applications. Further, the degree of future protection for our proprietary rights is uncertain, for example,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been the first to conceive of and reduce to practice the inventions covered by each of our pending patent applications and issued patents;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been the first to file patent applications for these inventions;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product candidates or technologies;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none of the pending patent applications will result in issued patents;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issued patents may not cover commercially viable active products, may not provide us with any competitive advantages, or may be successfully challenged by third parties, and we may not have a continuing application (e.g., divisional, continuation, continuation-in-part) pending that covers the relevant subject matter;</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patents of others may have an adverse effect on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products and potential product candidates;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Patents have a limited lifespan. In most countries, including the United States, the expiration of a utility patent is typically 20 years from the date that the application for the patent is filed or 20 years from the earliest non-provisional filing date to which priority is claimed if the patent is granted from a continuing application (e.g., continuation, divisional, or continuation-in-part).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and regulatory review.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Patent reform legislation could increase the uncertainties and costs surrounding the prosecution of our patent applications and the enforcement or defense of our issued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Future patent reform legislation in the U.S. and/or in jurisdictions outside the U.S. could potentially further increase the uncertainties and costs surrounding the prosecution of our patent applications and the enforcement or defense of our issued patents.</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noBreakHyphen/>
        <w:t>U.S. patent agencies for the patents and patent applications we own and those that we in</w:t>
        <w:noBreakHyphen/>
        <w:t>license. We also employ reputable law firms and other professionals to help us comply with the various documentary and other procedural requirements with respect to the patents and patent applications that we own and those that we in</w:t>
        <w:noBreakHyphen/>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or any future collaboration partner are sued for infringing intellectual property rights of third parties, it will be costly and time consuming, and an unfavorable outcome in any litigation would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develop, manufacture, market, and sell any of our products depends upon our ability to avoid infringing the proprietary rights of third parties, and our commercial success depends upon our ability, and the ability of our collaborators, to develop, manufacture, market, and/or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take time to publish and can take many years to issue, and because there is no way to guarantee we are aware of all third party patents and applications,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third party claims that we infringe their intellectual property rights, we could face a number of issues,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infringement and other intellectual property claims which, whether meritorious or not, can be expensive and time consuming to litigate and can divert management’s attention from our core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substantial damages for past infringement which we may have to pay if a court decides that our product infringes on a competitor’s patent;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court prohibiting us from selling or licensing our product unless the patent holder licenses the patent to us, which it would not be required to do;</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license is available from a patent holder, we may have to pay substantial royalties or grant cross licenses to our patents;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redesigning our products and processes so they do not infringe, which may not be possible or could require substantial funds and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w:t>
        <w:noBreakHyphen/>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licensors, which could be expensive, time consuming, and unsuccessful.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and/or to challenge the validity of the asserted patent(s) before a court or the USPTO (e.g., in post-grant proceedings such as Inter Partes Review before the Patent Trial and Appeal Board (PTAB) of the USPTO). In addition, in a patent infringement or validity proceeding, a decision maker (e.g., a court or the PTAB) may decide that a patent of ours is invalid or unenforceable, in whole or in part; construe the patent’s claims narrowly; or refuse to stop the other party from using the technology at issue on the grounds that our patents do not cover the technology in question. Any litigation proceeding or related proceeding at the USPTO could have adverse results, putting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2020, we entered into an agreement with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$97.54,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products in the United States and to seek and maintain regulatory approvals for the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Acquisition,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we acquired all the outstanding shares of Baergic Bio, Inc., now known as XIX Bio LLC (“Baergic”). The acquisition of Baergic provided global rights to AZD7325 (AXS-17), an oral GABAA receptor α2,3 subtype-selective PAM, originally licensed from AstraZeneca AB (AZ), for the potential treatment of epilepsy. We also assumed the AZD7325 license agreement between Baergic and AZ. The total upfront payment was $2.3 million, and the former Baergic shareholders and AZ are also eligible to receive contingent development, regulatory and sales-based milestone payments of up to $159.5 million and tiered low double-digit to mid-teen royalties on potential global net sales of AZD7325.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we acquired the global rights to deuterium-stabilized S-bupropion from DeuteRx, LLC (“DeuteRx”). DeuteRx is eligible to receive contingent development, regulatory and sales-based milestones of up to $523 million and a tiered low single-digit royalty on potential global net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first quarter of 2026, we acquired the global rights to balipodect (AXS-20), a selective PDE10A Inhibitor for the treatment of schizophrenia and other neuropsychiatric conditions, from Takeda Pharmaceutical Company Limited (Takeda), for $10.4 million, inclusive of transaction costs. Takeda is eligible to receive up to $260.0 million in development, regulatory and sales-based milestones and a mid single-digit royalty on potential global net sales of balipodect.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claims that our employees, independent contractors, or consultants have wrongfully used or disclosed alleged trade secrets of their former employers or other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unable to adequately prevent disclosure of trade secrets and other proprietary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trade secrets to protect our proprietary technological advances and know 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proprietary information and may not provide an adequate remedy in the event of unauthorized disclosure of proprietary information. Costly and time 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or our licensors, may not be able to protect our intellectual property rights throughout the world.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Filing, prosecuting, enforcing,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enforcing,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and/or our licensors’ intellectual property rights around the world may be inadequate to obtain a significant commercial advantage from the intellectual property that we develop or license.</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LEGAL AND COMPLIANCE MATTERS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comply with federal, state, and foreign healthcare laws, including laws governing fraud and abuse, transparency, health and data protection, information privacy and security, we could face substantial penalties and liabilities, and our business, financial condition, results of operations, and prospects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pharmaceutical company, we are subject to many federal and state healthcare laws, including those described in the “Business—Government Regulation and Product Approval” section of our most recent Annual Report on Form 10-K, such laws may include the federal Anti-Kickback Statute, the federal civil and criminal FCA, the Civil Monetary Penalties (“CMP”) Law, the Medicaid Drug Rebate Statute and other price reporting requirements, the Veterans Health Care Act of 1992, the Sunshine Act, Health Insurance Portability and Accountability Act of 1996 (“HIPAA”), the FCPA, the Affordable Care Act (“ACA”), and other state and foreign laws. Even though we do not and will not control referrals of healthcare services or bill directly to Medicare, Medicaid, or other third-party payors, certain federal and state healthcare laws and regulations pertaining to fraud and abuse, disclosures, and patients’ rights are and will be applicable to our business. We are subject to healthcare laws by both the federal government and the states in which we conduct our business as well as by other third parties, such as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numerous other laws and legislative and regulatory initiatives at the federal and state levels addressing privacy and security concerns, and some state privacy and security laws apply in broader circumstances than HIPAA and its implementing regulations. For example, the California Consumer Privacy Act, or CCPA, which went into effect on January 1, 2020, and was subsequently amended and expanded by the California Privacy Rights Act, or CPRA, taking full effect as of January 1, 2023, including the CPRA’s expansion of the “Right to Know” that impacts personal information collected on or after January 1, 2022. The CCPA and CPRA, among other things, create new data privacy obligations for covered companies and provide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Additional modifications may continue to be made to the CCPA and CPRA by the California legislature and their interpretation by regulators may continue to evolve. Since the passage of the CCPA, certain other states have passed similar laws that may also have similar impacts on our data processing practices and incurred costs. Some of these state laws or amendments to these laws are continuing to take effect, and we cannot predict if states will subsequently amend those laws, if other states will pass similar laws, or the costs and expenses that we will incur to comply with such laws. Therefore, the effects of these state data protection laws are significant and will likely require us to modify our data processing practices and may cause us to incur substantial costs and expenses to comply.</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EU member states and other foreign jurisdictions, including Switzerland, have adopted data protection laws and regulations which impose significant compliance obligations. Moreover, the collection and use of personal data, including health data, relating to individuals located in the EU, which was formerly governed by the provisions of the EU Data Protection Directive 95/46, was replaced with the EU GDPR in May 2018. The GDPR, which is wide-ranging in scope, imposes several requirements, including relating to the legal basis of the processing of personal data,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European Economic Area (“EEA”) to the U.S. and other non-EEA countries that do not provide a level of protection to personal data in line with the GDPR standard, provides an enforcement authority in each EU member state and imposes large penalties for noncompliance, including the potential for fines of up to €20 million or 4% of the annual global turnover of the noncompliant company, whichever is greater. The GDPR requirements apply not only to third-party transactions, but also to transfers of information between us and our subsidiaries, including employee information. The coming into force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also federal and state laws on marketing and solicitation, such as CAN-SPAM. The CAN-SPAM Act, among other things, obligates the sender of commercial emails to provide recipients with the ability to opt out of receiving future commercial emails from the sender. Any failure by us to comply fully with the CAN-SPAM Act may leave us subject to substantial fines and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foreign jurisdictions, such as Canada, have enacted laws that regulate our ability to send commercial messages via email. For example, Canada’s Anti-Spam Legislation (“CASL”) prohibits email marketing without the recipient’s consent, with limited exceptions. The penalties for non-compliance with CASL are considerable, including administrative monetary penalties of up to $10 million and a private right of 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our operations, are found to be in violation of any federal or state healthcare, data or information privacy law, or any other governmental laws and regulations that apply to us, we may be subject to penalties or other enforcement actions,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such physicians or other healthcare providers or entities may be subject to criminal, civil, or administrative sanctions, including but not limited to, exclusions from participation in government healthcare programs, which could also materially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government or third-party payors fail to provide adequate coverage and reimbursement for any of our products, or if such payors and health care providers, including health maintenance organizations (HMOs) and long-term care facilities, choose to use therapies that are less expensive, our products may lose or fail to generate potential revenue and our prospects for profitability may be limited.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both domestic and foreign markets, sales of our products depend in part upon the availability of coverage and reimbursement from third-party payors. Such third-party payors include government health programs, such as Medicare and Medicaid, managed care organizations, private health insurers, and other similar programs and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or other third party is responsible to pay the full price, which can significantly limit utilization. If reimbursement is not available, or is available only up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drugs. Marketing approvals, pricing, and reimbursement for new drug products varies widely from country to country. Current and future legislation and/or administrative action may significantly change the approval requirements in ways that could involve additional costs and cause delays in obtaining approvals. For example, on September 20, 2024, the Centers for Medicare &amp; Medicaid Services issued a final rule titled “Medicaid Program; Misclassification of Drugs, Program Integrity Updates Under the Medicaid Drug Rebate Program,” which may impact our reimbursement and rebate strategy.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healthcare programs, private health insurers, and other organizations. Regulatory authorities and third-party payors, such as private health insurers and HMOs,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of our products to the satisfaction of hospitals and other target customers and their third-party payors. Such studies might require us to commit a significant amount of management time and financial and other resources. Our products might not ultimately be considered cost effective. Third-party coverage and adequate reimbursement might not be available to enable us to maintain price levels sufficient to realize an appropriate return on investment in product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of our product candidates for which we obtain marketing approval could have a material adverse effect on our operating results, ability to raise capital needed to commercialize products, and overall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new legislation, regulatory proposals, and healthcare payor initiatives that may increase our costs of compliance, and adversely affect our ability to market our products, obtain collaborators, and raise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 number of legislative and regulatory changes and proposed changes regarding the healthcare system that could prevent or delay marketing approval of our product candidates, restrict or regulate post</w:t>
        <w:noBreakHyphen/>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We continue to monitor the potential impact of proposals and recently enacted legislation to lower prescription drug costs at the federal and state level. For example, the Inflation Reduction Act (“IRA”) was signed into law by President Biden in August 2022. The IRA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with the first negotiated prices having become effective as of January 1, 2026, and Medicare Part B drugs starting in 2028. The IRA’s changes include, by way of example, capping Medicare beneficiary out-of-pocket spending at $2,000 for 2025 and providing for no beneficiary cost sharing above the annual out-of-pocket threshold. Additionally, as of January 1, 2025, the existing Medicare Coverage Gap Discount Program ended and was replaced by the Manufacturer Discount Program, through which a manufacturer provides discounts for brand-name drugs and biologics in the initial and catastrophic coverage phases under the Medicare Part D benefit. These changes eliminated the Medicare Part D coverage gap benefit phase (commonly referred to as the “donut hole”), in which a Medicare beneficiary was originally responsible for 100% of the costs of covered prescription drugs following an initial coverage phase until the costs initiated a catastrophic coverage phase, but which was gradually phased out through the end of 2024.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15, 2025, the Administration issued an executive order (the “April 2025 EO”) that, among other directives, directs HHS to work with Congress to align the treatment of small molecule drugs and biologics in the Medicare price setting program under the IRA. It is currently unclear how such modifications would affect the timeframe in which Medicare price setting becomes applicable for selected drugs or biologics. The April 2025 EO also directs HHS to provide recommendations within 180 days to accelerate the approval of generics, biosimilars, combination products and second-in-class medications, as well as to address Medicaid drug rebates and Medicaid drug payment methodologies, and, within one year, to develop and implement a plan to test a payment model to enable Medicare to obtain pharmaceuticals at lower cost. Other Centers for Medicare &amp; Medicaid Services (CMS) policy changes and demonstration projects to test new care, delivery and payment models can also significantly affect how drugs, including our products, are covered and reimbursed. Legislative and regulatory proposals may also be made to expand post-approval requirements and restrict sales and promotional activities for drugs. To date, CMS has selected ten Medicare Part D drugs with prices that went into effect on January 1, 2026 and another 15 Part D drugs that will go into effect on January 1, 2027, and an additional 15 Medicare Part B or Medicare Part D drugs selected on February 1, 2026 for prices to go into effect in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list of negotiated Medicare drugs is expected to increase over time, with additional high-cost, single-source drugs – those without generic or biosimilar alternatives – becoming eligible for selection in future years under the IRA. If any of our approved products are subject to price negotiations, it could, among other things, lead to lower revenues prior to the expiry of intellectual property protections. The Medicare drug price negotiation program is currently subject to legal challenges and, therefore, its outcome remains uncertain. We continue to evaluate the impact of the IRA on our business, operations and financial condition.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ACA expanded the 340B drug discount program to additional facilities for outpatient drugs. These facilities may purchase drugs at the discounted price provided to Medicaid and dispense drugs to people with commercial insurance coverage. This program has greatly expanded over time with qualifying facilities establishing relationships with contract pharmacies, which has continued to exert downward pressure on price and profitability of outpatient medicines. Any changes to Medicaid required rebates could also affect our 340B pricing. Other aspects of the 340B program are subject to ongoing litigation, the resolution of which could impact the scope of the 340B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there have been a number of other legislative and regulatory proposals aimed at changing the pharmaceutical industry. For instance, the enacted Drug Supply Chain Security Act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largely been implemented, with FDA currently exercising enforcement discretion during a stabilization period. The distribution of product samples continues to be regulated under the PDMA, and some states also impose regulations on drug sample distribution.</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industry is currently analyzing the proposed Global Benchmark for Efficient Drug Pricing, or GLOBE Model, published by CMS in the Federal Register on December 23, 2025. This proposed mandatory payment model pilot, aimed at implementing MFN drug pricing in Medicare Part B by using international benchmarks, was subject to public comment through February 23, 2026, and CMS has not yet finalized the proposal. If finalized as proposed, the model is expected to begin on October 1, 2026, and run through September 30, 2031. The implications of this rule, along with its companion, Guarding U.S. Medicare Against Rising Drug Costs, or GUARD Model, which is focused on Part D drugs, and other MFN pricing pressures, could lead to voluntary or involuntary manufacturer price changes, which could be either temporary or long term, but all of which could adversely affect our business. Furthermore, these actions may lead to legal challenges, introducing additional uncertainty into our business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EU, several recently adopted and pending legislation will impact regulatory procedures for medicinal products. Key developments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EU Pharma Package – This is the largest reform of the EU’s Pharmaceutical Legislation in 20 years. Following a political agreement reached in December 2025, the final Regulation and Directive texts were published in March 2026 and remain subject to formal adoption and publication in the EU’s Official Journal, expected in 2026. Most provisions are expected to apply from 2028, following a two-year transition period. The reform encompasses a broad range of measures, including changes to regulatory exclusivity, incentives to combat antimicrobial resistance, intellectual property exemptions for generic medicines, orphan products, and marketing authorization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 (EU) 2021/2282 on health technology assessment (HTA Regulation) – This became applicable in the EU on January 12, 2025, introducing a single EU-level submission file for joint clinical assessments for oncology medicines and advanced therapy medicinal products The EU HTA-R will be extended to orphan medicines in January 2028 and, as of 2030, will cover all new centrally authorized medicinal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legislative initiatives include Regulation (EU) 2024/1938 on substances of human origin (SoHO Regulation), which has been adopted and published and will apply primarily from August 2027 onwards, the proposed SPC Regulation revision, the proposed Critical Medicines Act, which entered trilogue negotiations in 2026, and the proposed Biotech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other EU “horizontal” legislation may impact companies operating in the pharmaceutical sector, including Regulation (EU) 2024/1689 (AI Act), Regulation (EU) 2023/2854 (Data Act), Regulation (EU) 2025/327 (Health Data Space Regulation), which has been adopted and entered into force, and the NIS 2 Directive. Moreover, the EU is currently discussing the Digital Omnibus Package, which comprises a series of technical amendments to a wide body of EU digital legislation.</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a variety of U.S. and international laws and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currently subject to a number of government laws and regulations, and, in the future, could become subject to new government laws and regulations. The costs of compliance with such laws and regulations, or the negative results of non-compliance, could adversely affect our business, cash flow, results of operations, financial condition, and prospects; these laws and regulations include (i) additional health care reform initiatives in the U.S. or in other countries, including additional mandatory discounts or fees; (ii) the FCPA or other anti-bribery and corruption laws; (iii) new laws, regulations, and judicial or other governmental decisions affecting pricing, drug reimbursement, and access or marketing within or across jurisdictions; (iv) changes in intellectual property laws; (v) changes in accounting standards; (vi) new and increasing cybersecurity and data privacy regulations and enforcement, particularly in the EU, the U.S., and China; (vii) legislative mandates or preferences for local manufacturing of pharmaceutical products; (viii) emerging and new global regulatory requirements for reporting payments and other value transfers to healthcare professionals; (ix) environmental regulations, such as the EU’s Corporate Sustainability Reporting Directive; and (x) the potential impact of importation restrictions, embargoes, trade sanctions, and legislative and/or other regulatory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the One Big Beautiful Bill Act (“OBBBA”) reinstates the option to deduct domestic research and development expenditures in the year incurred, commencing with tax years beginning after December 31, 2024. Foreign research and development expenditures remain subject to the 15-year capitalization and amortization requirements. The OBBBA also includes other significant provisions, including tax cut extensions and modifications to the international tax framework. While we continue to evaluate the impact of these legislative changes as additional guidance becomes available, uncertainty remains regarding the timing and interpretation by tax authorities in affected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OBBBA enacted, among others, changes to eligibility requirements for premium tax credits, which are expected to result in less coverage in the ACA’s health insurance marketplace (“Marketplace”) over the next few years. The ACA’s enhanced premium tax credits expired at the end of 2025, which is expected to result in significant increases in the uninsured population who may have otherwise enrolled in insurance plans obtained through the Marketplace. In addition, the OBBBA made other changes to the enrollment and eligibility requirements for Medicaid, which resulted in the loss of coverage for certain individuals who were previously enrolled in Medicaid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Governments outside the United States tend to impose strict price controls, which may adversely affect our revenues, if 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noBreakHyphen/>
        <w:t>effectiveness of our product candidate to other available therapies. There can be no assurance that our products will be considered cost</w:t>
        <w:noBreakHyphen/>
        <w:t>effective by third</w:t>
        <w:noBreakHyphen/>
        <w:t>party payors, that an adequate level of reimbursement will be available, or that the third</w:t>
        <w:noBreakHyphen/>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third</w:t>
        <w:noBreakHyphen/>
        <w:t>party manufacturers may use hazardous materials in the production of our products and, if so, they must comply with environmental laws and regulations, which can be expensive and restrict how we or they do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Manufacturing activities for the production of our products involve the controlled storage, use, and disposal of hazardous materials, including the components of our products, and other hazardous compounds. Our third</w:t>
        <w:noBreakHyphen/>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noBreakHyphen/>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August 3, 2026, we had 1,346 full</w:t>
        <w:noBreakHyphen/>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the hiring and training of personnel for our commercial organization, and maintain appropriate systems, policies and infrastructure to support that organization;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ensure that our consultants and other service providers successfully carry out their contractual obligations, provide high quality results, and meet expected deadlines;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to carry out our own contractual obligations to our licensors and other third parties;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to improve our operational, financial, and management controls, reporting systems,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unable to successfully implement these tasks on a larger scale and, accordingly, may not achieve our development and commercialization goals.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continued growth could strain our personnel resources and infrastructure, and if we are unable to implement appropriate controls and procedures to manage our growth, we will not be able to implement our business plan successfully.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acquire businesses or products, or form strategic alliances in the future, and we may not realize the benefits of such acquisitions or alliances.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manage our business effectively if we are unable to attract and retain key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industry has experienced a high rate of turnover of management personnel.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continue to incur significant legal, accounting and other expenses that we did not incur as a private company. In addition, the Sarbanes-Oxley Act, as well as rules subsequently implemented by the SEC and The Nasdaq Stock Market LLC, or Nasdaq,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Nasdaq,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and operations would suffer in the event of system failures.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directly or through our third-party service providers, may adopt, use or incorporate artificial intelligence (AI) technology and capabilities into the information technology systems, software or other tools that we use in our business and operations. Defects in such AI technology or related security breaches, loss of data and other disruptions, as well as changes in implementation standards and enforcement practices under a rapidly evolving regulatory framework for AI technology, may adversely affect our business and operations and potentially expose us to increasing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directly or through our third-party service providers, may adopt, use or incorporate AI technology and capabilities into information technology systems, software or other tools to help us operate our business more efficiently. Use of AI technology may introduce operational, cybersecurity, privacy, intellectual property, data-integrity, bias and quality-control risks, including risks arising from inaccurate outputs, inappropriate reliance on AI-generated content, unauthorized use or disclosure of confidential or personal information, and failures by vendors to develop, deploy or monitor AI tools in accordance with applicable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regulatory framework for AI technologies is rapidly evolving as many federal, state and foreign government bodies and agencies have introduced, enacted or are considering additional laws, regulations, executive orders, guidance and other enforcement initiatives that may affect the development, procurement, deployment and use of AI technology. In addition, existing laws and regulations may be interpreted in ways that would affect the use of AI in our business. In the EU, the Artificial Intelligence Act (EU AI Act) establishes a comprehensive, risk-based governance framework for AI in the EU market. The EU AI Act and developing interpretation and application of the GDPR in respect of automated decision making, together with developing guidance and decisions concerning the impact of AI technology on data privacy, may affect our use of AI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interpretation and implementation of intellectual property protection in the field of AI are rapidly evolving and there is uncertainty and ongoing litigation in different jurisdictions as to the degree and extent of protection warranted for AI and relevant system inputs and outputs. If we fail to obtain protection for intellectual property rights for any of our intellectual property that may incorporate or be developed using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evolving regulatory framework for AI technologies and related implementation standards and enforcement practices remain uncertain, and we cannot yet determine the impact that current or future laws, regulations, standards, agency guidance, enforcement priorities or market perception of such requirements may have on our business and may not always be able to anticipate how to respond to these laws or regulations. We may need to expend resources to adjust our systems in certain jurisdictions if the laws, regulations, decisions or guidance are not consistent across jurisdictions. Further, the cost to comply with such laws, regulations, decisions and/or guidance interpreting existing laws could be significant and would increase our operating expenses. Such an increase in operating expenses, as well as any actual or perceived failure to comply with such laws and regulations, could materially and adversely affect our business, financial condition, results of operations, and prospects.</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Environmental, social and governance matters may impact our business and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 active trading market for our common stock may not be sustained.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market price of our common stock may be highly volatile.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price of our common stock is likely to be highly volatile. For example, in 2019, we experienced an extraordinary level of appreciation in our stock price. Such levels of gain are unlikely to continue in the future. Since then,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commercial success of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the commencement, enrollment, and ultimate completion, of our planned and ongoing Phase 3 clinical trials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delay or refusal on the part of the FDA in approving an NDA for any of our current and future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and stock price performance of other companies that investors deem comparable to ours;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recommendations by securities analysts;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news relating to our industry as a whole and news relating to trends in our markets;</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results of clinical trials of any of our current and future product candidates or those of our competitors;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actual or anticipated variations in quarterly or annual operating results;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to meet or exceed financial projections we provide to the public, if 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to meet or exceed the estimates and projections of the investment community, including securities analysts;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introduction of competitive products or technologies;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or developments in laws or regulations applicable to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perception of the pharmaceutical industry by the public, legislatures, regulators, and the investment community;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economic and market conditions and overall fluctuations in U.S. equity markets;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data or security breaches;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developments concerning our sources of manufacturing supply, warehousing, and inventory control;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disputes or other developments relating to patents or other proprietary rights;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additions or departures of key scientific or management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of investigations or regulatory scrutiny of our operations or lawsuits filed against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capital commitments;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investors’ general perception of our company and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and expectations of additional financing efforts, including the issuance of debt, equity or convertible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of our common stock, including sales by our directors and officers or significant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market valuations of companies similar to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partnerships, or divestitures;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conditions or trends in our industry;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other factors described in this “Risk Factors” 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pStyle w:val="TextBody"/>
        <w:bidi w:val="0"/>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quarterly operating results may fluctuate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operating results to be subject to quarterly fluctuations. Our net loss and other operating results will be affected by numerous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commercial success of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the FDA requires us to complete additional, unanticipated studies, tests, or other activities prior to approving any of our current and future product candidates, which may delay any such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identify and enter into third</w:t>
        <w:noBreakHyphen/>
        <w:t>party manufacturing arrangements capable of manufacturing any of our current or future product candidates in commercial quantities;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execution of other collaborative, licensing, or similar arrangements and the timing of payments we may make or receive under these arrangements;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variations in the level of expenses related to our future development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product liability or intellectual property infringement lawsuit in which we may become involved;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developments affecting our current products, or the products of our competitors;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level of underlying demand for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Raising additional funds by issuing securities may cause dilution to existing stockholders and raising funds through lending and licensing arrangements may restrict our operations or require us to relinquish proprietary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may be able to exert significant control over matters subject to stockholder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August 3, 2026, our executive officers, directors, and 5% stockholders and their affiliates beneficially owned an aggregate of approximately 32%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these persons or entities may have interests different from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by our existing stockholders could cause our stock price to fall.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August 3, 2026, we have outstanding 52,380,818 shares of common stock and 8,093,032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44,480,562 are freely tradable. The remainder of the outstanding shares of common stock are held by our affiliates and may be considered “control securities” for purposes of Rule 144 under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filed one or more registration statements on Form S</w:t>
        <w:noBreakHyphen/>
        <w:t xml:space="preserve">8 registering the issuance of shares of common stock subject to options or other equity awards issued and remain outstanding, or reserved for issuance under our 2015 Plan and 2025 Long-Term Incentive Plan and additional shares of common stock reserved for issuance under our 2023 Employee Stock Purchase Plan. Shares registered under registration statements on Form S-8 will be available for sale in the public market subject to vesting arrangements and exercise of options, the lock-up agreements described above and the restrictions of Rule 144 in the case of our affiliates. </w:t>
      </w:r>
    </w:p>
    <w:p>
      <w:pPr>
        <w:pStyle w:val="TextBody"/>
        <w:bidi w:val="0"/>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management will have broad discretion in the use of the net proceeds from our capital raises, including the proceeds from sales pursuant to our Sales Agreement, and may not use them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will have broad discretion in the application of the net proceeds from our capital raises, which we refer to as our Capital Raises, including the proceeds from sales pursuant to the March 2022 Sales Agreement with Leerink Partners LLC (“Leerink”),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use of our net operating loss carryforwards and research tax credits may be limited.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net operating loss carryforwards and any future research and development tax credits may expire and not be used. As of December 31, 2025, we had U.S. federal net operating loss, or NOL, carryforwards of approximately $577.9 million and foreign NOL carryforwards of $281.3 million. U.S. federal net operating loss carry forwards amounting to $59.8 million generated before the 2018 tax year will start expiring beginning 2032, if we have not used them prior to that time, and the U.S. federal net operating losses of approximately $518.1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In the event a change of ownership occurs,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Because we do not intend to pay dividends on our common stock, returns for our stockholders will be limited to any increase in the value of our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never declared or paid any cash dividends on our capital stock. In addition, the Blackstone Loan Agreement contains restrictive covenants that prohibit us from declaring or paying any dividends or making any other distributions on our common stock, except as may be expressly permitted under the facility.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pStyle w:val="TextBody"/>
        <w:bidi w:val="0"/>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are subject to the anti</w:t>
        <w:noBreakHyphen/>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unless we consent in writing to the selection of an alternate forum,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pStyle w:val="TextBody"/>
        <w:bidi w:val="0"/>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pStyle w:val="TextBody"/>
        <w:bidi w:val="0"/>
        <w:spacing w:before="240" w:after="283"/>
        <w:jc w:val="left"/>
        <w:rPr>
          <w:rFonts w:ascii="Times New Roman" w:hAnsi="Times New Roman"/>
          <w:b/>
          <w:color w:val="000000"/>
          <w:sz w:val="20"/>
        </w:rPr>
      </w:pPr>
      <w:bookmarkStart w:id="13" w:name="item_5_other_information"/>
      <w:bookmarkEnd w:id="13"/>
      <w:r>
        <w:rPr>
          <w:rFonts w:ascii="Times New Roman" w:hAnsi="Times New Roman"/>
          <w:b/>
          <w:color w:val="000000"/>
          <w:sz w:val="20"/>
        </w:rPr>
        <w:t>ITEM 5. OTHER INFORMATION.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During the second quarter of 2026, the following Rule 10b5-1 trading arrangements (as defined in Item 408(a)(1)(i) of Regulation S-K) and non-Rule 10b5-1 trading arrangements (as defined in Item 408(c) of Regulation S-K) intended to satisfy the affirmative defense of Rule 10b5-1(c) of the Exchange Act were adopted or terminated by our directors and/or executive officers:</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Adopted</w:t>
      </w:r>
    </w:p>
    <w:tbl>
      <w:tblPr>
        <w:tblW w:w="10205" w:type="dxa"/>
        <w:jc w:val="left"/>
        <w:tblInd w:w="0" w:type="dxa"/>
        <w:tblLayout w:type="fixed"/>
        <w:tblCellMar>
          <w:top w:w="28" w:type="dxa"/>
          <w:left w:w="28" w:type="dxa"/>
          <w:bottom w:w="28" w:type="dxa"/>
          <w:right w:w="28" w:type="dxa"/>
        </w:tblCellMar>
      </w:tblPr>
      <w:tblGrid>
        <w:gridCol w:w="1106"/>
        <w:gridCol w:w="1345"/>
        <w:gridCol w:w="2708"/>
        <w:gridCol w:w="2945"/>
        <w:gridCol w:w="2101"/>
      </w:tblGrid>
      <w:tr>
        <w:trPr/>
        <w:tc>
          <w:tcPr>
            <w:tcW w:w="110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106" w:type="dxa"/>
            <w:tcBorders>
              <w:top w:val="single" w:sz="8" w:space="0" w:color="000000"/>
              <w:left w:val="single" w:sz="8" w:space="0" w:color="000000"/>
              <w:bottom w:val="single" w:sz="8" w:space="0" w:color="000000"/>
              <w:right w:val="single" w:sz="8"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345"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Title</w:t>
            </w:r>
          </w:p>
        </w:tc>
        <w:tc>
          <w:tcPr>
            <w:tcW w:w="2708"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Date of Adoption</w:t>
            </w:r>
            <w:r>
              <w:rPr>
                <w:rFonts w:ascii="Times New Roman" w:hAnsi="Times New Roman"/>
                <w:color w:val="000000"/>
                <w:sz w:val="20"/>
              </w:rPr>
              <w:t> </w:t>
            </w:r>
            <w:r>
              <w:rPr>
                <w:rFonts w:ascii="Times New Roman" w:hAnsi="Times New Roman"/>
                <w:b/>
                <w:color w:val="000000"/>
                <w:sz w:val="20"/>
              </w:rPr>
              <w:t>of Rule 10b5-1 Trading Arrangement</w:t>
            </w:r>
            <w:r>
              <w:rPr>
                <w:rFonts w:ascii="Times New Roman" w:hAnsi="Times New Roman"/>
                <w:b/>
                <w:color w:val="000000"/>
                <w:sz w:val="13"/>
              </w:rPr>
              <w:t>(1)</w:t>
            </w:r>
          </w:p>
        </w:tc>
        <w:tc>
          <w:tcPr>
            <w:tcW w:w="2945"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Scheduled Expiration Date of Rule 10b5-1 Trading Arrangement</w:t>
            </w:r>
          </w:p>
        </w:tc>
        <w:tc>
          <w:tcPr>
            <w:tcW w:w="2101"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Aggregate Number of Securities to Be Sold</w:t>
            </w:r>
          </w:p>
        </w:tc>
      </w:tr>
      <w:tr>
        <w:trPr/>
        <w:tc>
          <w:tcPr>
            <w:tcW w:w="1106"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Hunter Murdock</w:t>
            </w:r>
          </w:p>
        </w:tc>
        <w:tc>
          <w:tcPr>
            <w:tcW w:w="1345"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w:t>
            </w:r>
          </w:p>
        </w:tc>
        <w:tc>
          <w:tcPr>
            <w:tcW w:w="270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May 11, 2026</w:t>
            </w:r>
            <w:r>
              <w:rPr>
                <w:rFonts w:ascii="Times New Roman" w:hAnsi="Times New Roman"/>
                <w:color w:val="000000"/>
                <w:sz w:val="13"/>
              </w:rPr>
              <w:t>(2)</w:t>
            </w:r>
          </w:p>
        </w:tc>
        <w:tc>
          <w:tcPr>
            <w:tcW w:w="2945"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2027</w:t>
            </w:r>
          </w:p>
        </w:tc>
        <w:tc>
          <w:tcPr>
            <w:tcW w:w="2101"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93,832</w:t>
            </w:r>
            <w:r>
              <w:rPr>
                <w:rFonts w:ascii="Times New Roman" w:hAnsi="Times New Roman"/>
                <w:color w:val="000000"/>
                <w:sz w:val="13"/>
              </w:rPr>
              <w:t>(3)</w:t>
            </w:r>
          </w:p>
        </w:tc>
      </w:tr>
      <w:tr>
        <w:trPr/>
        <w:tc>
          <w:tcPr>
            <w:tcW w:w="1106"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Jacobson</w:t>
            </w:r>
          </w:p>
        </w:tc>
        <w:tc>
          <w:tcPr>
            <w:tcW w:w="1345"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Officer</w:t>
            </w:r>
          </w:p>
        </w:tc>
        <w:tc>
          <w:tcPr>
            <w:tcW w:w="270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June 2, 2026</w:t>
            </w:r>
            <w:r>
              <w:rPr>
                <w:rFonts w:ascii="Times New Roman" w:hAnsi="Times New Roman"/>
                <w:color w:val="000000"/>
                <w:sz w:val="13"/>
              </w:rPr>
              <w:t>(2)</w:t>
            </w:r>
          </w:p>
        </w:tc>
        <w:tc>
          <w:tcPr>
            <w:tcW w:w="2945"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8, 2026</w:t>
            </w:r>
          </w:p>
        </w:tc>
        <w:tc>
          <w:tcPr>
            <w:tcW w:w="2101"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35,000</w:t>
            </w:r>
            <w:r>
              <w:rPr>
                <w:rFonts w:ascii="Times New Roman" w:hAnsi="Times New Roman"/>
                <w:color w:val="000000"/>
                <w:sz w:val="13"/>
              </w:rPr>
              <w:t>(3)</w:t>
            </w:r>
          </w:p>
        </w:tc>
      </w:tr>
    </w:tbl>
    <w:p>
      <w:pPr>
        <w:pStyle w:val="TextBody"/>
        <w:bidi w:val="0"/>
        <w:spacing w:before="80" w:after="283"/>
        <w:jc w:val="left"/>
        <w:rPr>
          <w:rFonts w:ascii="Times New Roman" w:hAnsi="Times New Roman"/>
          <w:color w:val="000000"/>
          <w:sz w:val="16"/>
        </w:rPr>
      </w:pPr>
      <w:r>
        <w:rPr>
          <w:rFonts w:ascii="Times New Roman" w:hAnsi="Times New Roman"/>
          <w:color w:val="000000"/>
          <w:sz w:val="16"/>
        </w:rPr>
        <w:t>(1) Date of adoption of Rule 10b5-1 trading arrangements is in accordance with both the Company’s insider trading policy and applicable SEC rules and regulations.</w:t>
      </w:r>
    </w:p>
    <w:p>
      <w:pPr>
        <w:pStyle w:val="TextBody"/>
        <w:bidi w:val="0"/>
        <w:jc w:val="left"/>
        <w:rPr>
          <w:rFonts w:ascii="Times New Roman" w:hAnsi="Times New Roman"/>
          <w:color w:val="000000"/>
          <w:sz w:val="16"/>
        </w:rPr>
      </w:pPr>
      <w:r>
        <w:rPr>
          <w:rFonts w:ascii="Times New Roman" w:hAnsi="Times New Roman"/>
          <w:color w:val="000000"/>
          <w:sz w:val="16"/>
        </w:rPr>
        <w:t>(2) The first trade pursuant to the Rule 10b5-1 trading arrangement will be, in accordance with both the Company’s insider trading policy and applicable SEC rules and regulations, on a date after the date of adoption of the Rule 10b5-1 trading arrangement.</w:t>
      </w:r>
    </w:p>
    <w:p>
      <w:pPr>
        <w:pStyle w:val="TextBody"/>
        <w:bidi w:val="0"/>
        <w:jc w:val="left"/>
        <w:rPr>
          <w:rFonts w:ascii="Times New Roman" w:hAnsi="Times New Roman"/>
          <w:color w:val="000000"/>
          <w:sz w:val="16"/>
        </w:rPr>
      </w:pPr>
      <w:r>
        <w:rPr>
          <w:rFonts w:ascii="Times New Roman" w:hAnsi="Times New Roman"/>
          <w:color w:val="000000"/>
          <w:sz w:val="16"/>
        </w:rPr>
        <w:t>(3) Represents the sale of shares underlying stock options that will be exercised prior to expiration.</w:t>
      </w:r>
    </w:p>
    <w:p>
      <w:pPr>
        <w:pStyle w:val="TextBody"/>
        <w:bidi w:val="0"/>
        <w:spacing w:before="240" w:after="240"/>
        <w:jc w:val="left"/>
        <w:rPr>
          <w:rFonts w:ascii="Times New Roman" w:hAnsi="Times New Roman"/>
          <w:b/>
          <w:color w:val="000000"/>
          <w:sz w:val="20"/>
          <w:u w:val="single"/>
        </w:rPr>
      </w:pPr>
      <w:r>
        <w:rPr>
          <w:rFonts w:ascii="Times New Roman" w:hAnsi="Times New Roman"/>
          <w:b/>
          <w:color w:val="000000"/>
          <w:sz w:val="20"/>
          <w:u w:val="single"/>
        </w:rPr>
        <w:t>Terminated</w:t>
      </w:r>
    </w:p>
    <w:tbl>
      <w:tblPr>
        <w:tblW w:w="10205" w:type="dxa"/>
        <w:jc w:val="left"/>
        <w:tblInd w:w="0" w:type="dxa"/>
        <w:tblLayout w:type="fixed"/>
        <w:tblCellMar>
          <w:top w:w="28" w:type="dxa"/>
          <w:left w:w="28" w:type="dxa"/>
          <w:bottom w:w="28" w:type="dxa"/>
          <w:right w:w="28" w:type="dxa"/>
        </w:tblCellMar>
      </w:tblPr>
      <w:tblGrid>
        <w:gridCol w:w="807"/>
        <w:gridCol w:w="1519"/>
        <w:gridCol w:w="2869"/>
        <w:gridCol w:w="2922"/>
        <w:gridCol w:w="2088"/>
      </w:tblGrid>
      <w:tr>
        <w:trPr/>
        <w:tc>
          <w:tcPr>
            <w:tcW w:w="80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807" w:type="dxa"/>
            <w:tcBorders>
              <w:top w:val="single" w:sz="8" w:space="0" w:color="000000"/>
              <w:left w:val="single" w:sz="8" w:space="0" w:color="000000"/>
              <w:bottom w:val="single" w:sz="8" w:space="0" w:color="000000"/>
              <w:right w:val="single" w:sz="8"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519"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Title</w:t>
            </w:r>
          </w:p>
        </w:tc>
        <w:tc>
          <w:tcPr>
            <w:tcW w:w="2869"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Date of Termination</w:t>
            </w:r>
            <w:r>
              <w:rPr>
                <w:rFonts w:ascii="Times New Roman" w:hAnsi="Times New Roman"/>
                <w:color w:val="000000"/>
                <w:sz w:val="20"/>
              </w:rPr>
              <w:t> </w:t>
            </w:r>
            <w:r>
              <w:rPr>
                <w:rFonts w:ascii="Times New Roman" w:hAnsi="Times New Roman"/>
                <w:b/>
                <w:color w:val="000000"/>
                <w:sz w:val="20"/>
              </w:rPr>
              <w:t>of Rule 10b5-1 Trading Arrangement</w:t>
            </w:r>
            <w:r>
              <w:rPr>
                <w:rFonts w:ascii="Times New Roman" w:hAnsi="Times New Roman"/>
                <w:b/>
                <w:color w:val="000000"/>
                <w:sz w:val="13"/>
              </w:rPr>
              <w:t>(1)</w:t>
            </w:r>
          </w:p>
        </w:tc>
        <w:tc>
          <w:tcPr>
            <w:tcW w:w="2922"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Scheduled Expiration Date of Rule 10b5-1 Trading Arrangement</w:t>
            </w:r>
          </w:p>
        </w:tc>
        <w:tc>
          <w:tcPr>
            <w:tcW w:w="2088"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Aggregate Number of Securities to Be Sold</w:t>
            </w:r>
          </w:p>
        </w:tc>
      </w:tr>
      <w:tr>
        <w:trPr/>
        <w:tc>
          <w:tcPr>
            <w:tcW w:w="807"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Ari Maizel</w:t>
            </w:r>
          </w:p>
        </w:tc>
        <w:tc>
          <w:tcPr>
            <w:tcW w:w="1519"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Commercial Officer</w:t>
            </w:r>
          </w:p>
        </w:tc>
        <w:tc>
          <w:tcPr>
            <w:tcW w:w="2869"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June 15, 2026</w:t>
            </w:r>
            <w:r>
              <w:rPr>
                <w:rFonts w:ascii="Times New Roman" w:hAnsi="Times New Roman"/>
                <w:color w:val="000000"/>
                <w:sz w:val="13"/>
              </w:rPr>
              <w:t>(2)</w:t>
            </w:r>
          </w:p>
        </w:tc>
        <w:tc>
          <w:tcPr>
            <w:tcW w:w="2922"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30, 2026</w:t>
            </w:r>
          </w:p>
        </w:tc>
        <w:tc>
          <w:tcPr>
            <w:tcW w:w="208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27,500</w:t>
            </w:r>
            <w:r>
              <w:rPr>
                <w:rFonts w:ascii="Times New Roman" w:hAnsi="Times New Roman"/>
                <w:color w:val="000000"/>
                <w:sz w:val="13"/>
              </w:rPr>
              <w:t>(3)</w:t>
            </w:r>
          </w:p>
        </w:tc>
      </w:tr>
    </w:tbl>
    <w:p>
      <w:pPr>
        <w:pStyle w:val="TextBody"/>
        <w:bidi w:val="0"/>
        <w:spacing w:before="80" w:after="283"/>
        <w:jc w:val="left"/>
        <w:rPr>
          <w:rFonts w:ascii="Times New Roman" w:hAnsi="Times New Roman"/>
          <w:color w:val="000000"/>
          <w:sz w:val="16"/>
        </w:rPr>
      </w:pPr>
      <w:r>
        <w:rPr>
          <w:rFonts w:ascii="Times New Roman" w:hAnsi="Times New Roman"/>
          <w:color w:val="000000"/>
          <w:sz w:val="16"/>
        </w:rPr>
        <w:t>(1) Date of termination of Rule 10b5-1 trading arrangements is in accordance with both the Company’s insider trading policy and applicable SEC rules and regulations.</w:t>
      </w:r>
    </w:p>
    <w:p>
      <w:pPr>
        <w:pStyle w:val="TextBody"/>
        <w:bidi w:val="0"/>
        <w:jc w:val="left"/>
        <w:rPr>
          <w:rFonts w:ascii="Times New Roman" w:hAnsi="Times New Roman"/>
          <w:color w:val="000000"/>
          <w:sz w:val="16"/>
        </w:rPr>
      </w:pPr>
      <w:r>
        <w:rPr>
          <w:rFonts w:ascii="Times New Roman" w:hAnsi="Times New Roman"/>
          <w:color w:val="000000"/>
          <w:sz w:val="16"/>
        </w:rPr>
        <w:t>(2) The date of adoption of this Rule 10b5-1 trading arrangement was September 15, 2025. The first trade pursuant to the Rule 10b5-1 trading arrangement was, in accordance with both the Company’s insider trading policy and applicable SEC rules and regulations, on a date after the date of adoption of the Rule 10b5-1 trading arrangement.</w:t>
      </w:r>
    </w:p>
    <w:p>
      <w:pPr>
        <w:pStyle w:val="TextBody"/>
        <w:bidi w:val="0"/>
        <w:jc w:val="left"/>
        <w:rPr>
          <w:rFonts w:ascii="Times New Roman" w:hAnsi="Times New Roman"/>
          <w:sz w:val="20"/>
        </w:rPr>
      </w:pPr>
      <w:r>
        <w:rPr>
          <w:rFonts w:ascii="Times New Roman" w:hAnsi="Times New Roman"/>
          <w:color w:val="000000"/>
          <w:sz w:val="16"/>
        </w:rPr>
        <w:t>(3) Prior to its termination, 15,000</w:t>
      </w:r>
      <w:r>
        <w:rPr>
          <w:rFonts w:ascii="Times New Roman" w:hAnsi="Times New Roman"/>
          <w:color w:val="000000"/>
          <w:sz w:val="20"/>
        </w:rPr>
        <w:t xml:space="preserve"> </w:t>
      </w:r>
      <w:r>
        <w:rPr>
          <w:rFonts w:ascii="Times New Roman" w:hAnsi="Times New Roman"/>
          <w:color w:val="000000"/>
          <w:sz w:val="16"/>
        </w:rPr>
        <w:t>shares of common stock pursuant to the exercise of non-qualified stock options were sold pursuant to this Rule 10b5-1 trading arrangement.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4" w:name="item_6_exhibits"/>
      <w:bookmarkEnd w:id="14"/>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filed as part of this Quarterly Report on Form 10-Q are set forth on the Exhibit Index, which is incorporated herein by reference.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INDEX OF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6"/>
        <w:gridCol w:w="146"/>
        <w:gridCol w:w="9283"/>
      </w:tblGrid>
      <w:tr>
        <w:trPr/>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3" w:type="dxa"/>
            <w:tcBorders/>
            <w:vAlign w:val="center"/>
          </w:tcPr>
          <w:p>
            <w:pPr>
              <w:pStyle w:val="TableContents"/>
              <w:bidi w:val="0"/>
              <w:spacing w:before="0" w:after="283"/>
              <w:jc w:val="left"/>
              <w:rPr>
                <w:sz w:val="4"/>
                <w:szCs w:val="4"/>
              </w:rPr>
            </w:pPr>
            <w:r>
              <w:rPr>
                <w:sz w:val="4"/>
                <w:szCs w:val="4"/>
              </w:rPr>
            </w:r>
          </w:p>
        </w:tc>
      </w:tr>
      <w:tr>
        <w:trPr/>
        <w:tc>
          <w:tcPr>
            <w:tcW w:w="77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3"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Axsome Therapeutics, Inc. Executive Severance and Change in Control Plan (Incorporated by reference, Exhibit 10.1 to the Company’s Current Report on Form 8-K (No. 001-37635), filed June 9, 2026).</w:t>
              </w:r>
            </w:hyperlink>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axsm-ex10_2.htm">
              <w:r>
                <w:rPr>
                  <w:rStyle w:val="InternetLink"/>
                  <w:rFonts w:ascii="Times New Roman" w:hAnsi="Times New Roman"/>
                  <w:color w:val="0000FF"/>
                  <w:sz w:val="20"/>
                  <w:u w:val="single"/>
                </w:rPr>
                <w:t>First Incremental Revolving Credit Commitment Supplement &amp; Amendment, dated June 26, 2026, by and among Axsome Therapeutics, Inc., Blackstone Alternative Credit Advisors LP, Blackstone Life Sciences Advisors L.L.C., the Lenders and Wilmington Trust, National Association.</w:t>
              </w:r>
            </w:hyperlink>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axsm-ex31_1.htm">
              <w:r>
                <w:rPr>
                  <w:rStyle w:val="InternetLink"/>
                  <w:rFonts w:ascii="Times New Roman" w:hAnsi="Times New Roman"/>
                  <w:color w:val="0000FF"/>
                  <w:sz w:val="20"/>
                  <w:u w:val="single"/>
                </w:rPr>
                <w:t>Certification of Principal Executive Officer pursuant to Rule 13a-14(a)/15d-14(a), as adopted pursuant to Section 302 of the Sarbanes-Oxley Act of 2002.</w:t>
              </w:r>
            </w:hyperlink>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axsm-ex31_2.htm">
              <w:r>
                <w:rPr>
                  <w:rStyle w:val="InternetLink"/>
                  <w:rFonts w:ascii="Times New Roman" w:hAnsi="Times New Roman"/>
                  <w:color w:val="0000FF"/>
                  <w:sz w:val="20"/>
                  <w:u w:val="single"/>
                </w:rPr>
                <w:t>Certification of Principal Financial Officer pursuant to Rule 13a-14(a)/15d-14(a), as adopted pursuant to Section 302 of the Sarbanes-Oxley Act of 2002.</w:t>
              </w:r>
            </w:hyperlink>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axsm-ex32_1.htm">
              <w:r>
                <w:rPr>
                  <w:rStyle w:val="InternetLink"/>
                  <w:rFonts w:ascii="Times New Roman" w:hAnsi="Times New Roman"/>
                  <w:color w:val="0000FF"/>
                  <w:sz w:val="20"/>
                  <w:u w:val="single"/>
                </w:rPr>
                <w:t>Certification of Principal Executive Officer pursuant to 18 U.S.C. §1350, as adopted pursuant to Section 906 of the Sarbanes-Oxley Act of 2002 (furnished herewith).</w:t>
              </w:r>
            </w:hyperlink>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axsm-ex32_2.htm">
              <w:r>
                <w:rPr>
                  <w:rStyle w:val="InternetLink"/>
                  <w:rFonts w:ascii="Times New Roman" w:hAnsi="Times New Roman"/>
                  <w:color w:val="0000FF"/>
                  <w:sz w:val="20"/>
                  <w:u w:val="single"/>
                </w:rPr>
                <w:t>Certification of Principal Financial Officer pursuant to 18 U.S.C. §1350, as adopted pursuant to Section 906 of the Sarbanes-Oxley Act of 2002 (furnished herewith).</w:t>
              </w:r>
            </w:hyperlink>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exhibits and schedules to and certain provisions of this exhibit have been omitted pursuant to Item 601(b)(10)(iv) of Regulation S-K as they contain information that is both not material and of the type that the registrant treats as private or confidential. The registrant agrees to supplementally furnish an unredacted copy of this exhibit, including any exhibit or schedule hereto, to the SEC upon its request; however, the registrant may request confidential treatment of such unredacted copy.</w:t>
      </w:r>
    </w:p>
    <w:p>
      <w:pPr>
        <w:pStyle w:val="TextBody"/>
        <w:bidi w:val="0"/>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5" w:name="signatures"/>
      <w:bookmarkEnd w:id="15"/>
      <w:r>
        <w:rPr>
          <w:rFonts w:ascii="Times New Roman" w:hAnsi="Times New Roman"/>
          <w:b/>
          <w:color w:val="000000"/>
          <w:sz w:val="20"/>
        </w:rPr>
        <w:t>SIGNATURES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063" w:type="dxa"/>
        <w:jc w:val="left"/>
        <w:tblInd w:w="0" w:type="dxa"/>
        <w:tblLayout w:type="fixed"/>
        <w:tblCellMar>
          <w:top w:w="28" w:type="dxa"/>
          <w:left w:w="28" w:type="dxa"/>
          <w:bottom w:w="28" w:type="dxa"/>
          <w:right w:w="28" w:type="dxa"/>
        </w:tblCellMar>
      </w:tblPr>
      <w:tblGrid>
        <w:gridCol w:w="1951"/>
        <w:gridCol w:w="34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AXSOME THERAPEUTICS,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Herriot Tabuteau,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Herriot Tabuteau,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Nick Pizzie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Nick Pizzie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right"/>
        <w:rPr/>
      </w:pPr>
      <w:bookmarkStart w:id="16" w:name="axsm-ex10_2.htm"/>
      <w:bookmarkStart w:id="17" w:name="ksaxsmex10_2"/>
      <w:bookmarkEnd w:id="16"/>
      <w:bookmarkEnd w:id="1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t>First Incremental Revolving credit commitment supplement &amp; Amendment</w:t>
      </w:r>
    </w:p>
    <w:p>
      <w:pPr>
        <w:pStyle w:val="TextBody"/>
        <w:bidi w:val="0"/>
        <w:spacing w:before="0" w:after="240"/>
        <w:jc w:val="both"/>
        <w:rPr>
          <w:rFonts w:ascii="Times New Roman" w:hAnsi="Times New Roman"/>
          <w:sz w:val="20"/>
        </w:rPr>
      </w:pPr>
      <w:r>
        <w:rPr>
          <w:rFonts w:ascii="Times New Roman" w:hAnsi="Times New Roman"/>
          <w:color w:val="000000"/>
          <w:sz w:val="24"/>
        </w:rPr>
        <w:t>This First Incremental Revolving Credit Commitment Supplement and Amendment to the Loan Agreement (this “</w:t>
      </w:r>
      <w:r>
        <w:rPr>
          <w:rFonts w:ascii="Times New Roman" w:hAnsi="Times New Roman"/>
          <w:b/>
          <w:i/>
          <w:color w:val="000000"/>
          <w:sz w:val="24"/>
        </w:rPr>
        <w:t>Supplement</w:t>
      </w:r>
      <w:r>
        <w:rPr>
          <w:rFonts w:ascii="Times New Roman" w:hAnsi="Times New Roman"/>
          <w:color w:val="000000"/>
          <w:sz w:val="20"/>
        </w:rPr>
        <w:t>”</w:t>
      </w:r>
      <w:r>
        <w:rPr>
          <w:rFonts w:ascii="Times New Roman" w:hAnsi="Times New Roman"/>
          <w:color w:val="000000"/>
          <w:sz w:val="24"/>
        </w:rPr>
        <w:t>) is made as of June 26, 2026, by and among Axsome Therapeutics, Inc., a Delaware corporation (the “</w:t>
      </w:r>
      <w:r>
        <w:rPr>
          <w:rFonts w:ascii="Times New Roman" w:hAnsi="Times New Roman"/>
          <w:b/>
          <w:i/>
          <w:color w:val="000000"/>
          <w:sz w:val="24"/>
        </w:rPr>
        <w:t>Borrower</w:t>
      </w:r>
      <w:r>
        <w:rPr>
          <w:rFonts w:ascii="Times New Roman" w:hAnsi="Times New Roman"/>
          <w:color w:val="000000"/>
          <w:sz w:val="20"/>
        </w:rPr>
        <w:t>”</w:t>
      </w:r>
      <w:r>
        <w:rPr>
          <w:rFonts w:ascii="Times New Roman" w:hAnsi="Times New Roman"/>
          <w:color w:val="000000"/>
          <w:sz w:val="24"/>
        </w:rPr>
        <w:t>), Blackstone Alternative Credit Advisors LP, Blackstone Life Sciences Advisors L.L.C. (together with Blackstone Alternative Credit Advisors LP, the “</w:t>
      </w:r>
      <w:r>
        <w:rPr>
          <w:rFonts w:ascii="Times New Roman" w:hAnsi="Times New Roman"/>
          <w:b/>
          <w:i/>
          <w:color w:val="000000"/>
          <w:sz w:val="24"/>
        </w:rPr>
        <w:t>Blackstone Representative</w:t>
      </w:r>
      <w:r>
        <w:rPr>
          <w:rFonts w:ascii="Times New Roman" w:hAnsi="Times New Roman"/>
          <w:color w:val="000000"/>
          <w:sz w:val="20"/>
        </w:rPr>
        <w:t>”</w:t>
      </w:r>
      <w:r>
        <w:rPr>
          <w:rFonts w:ascii="Times New Roman" w:hAnsi="Times New Roman"/>
          <w:color w:val="000000"/>
          <w:sz w:val="24"/>
        </w:rPr>
        <w:t>), the Lenders and Wilmington Trust, National Association (the “</w:t>
      </w:r>
      <w:r>
        <w:rPr>
          <w:rFonts w:ascii="Times New Roman" w:hAnsi="Times New Roman"/>
          <w:b/>
          <w:i/>
          <w:color w:val="000000"/>
          <w:sz w:val="24"/>
        </w:rPr>
        <w:t>Agent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WHEREAS, the Borrower entered into (a) that certain Loan Agreement, dated as of May 8, 2025 (as amended, restated, amended and restated, supplemented or modified from time to time prior to the date hereof, the “</w:t>
      </w:r>
      <w:r>
        <w:rPr>
          <w:rFonts w:ascii="Times New Roman" w:hAnsi="Times New Roman"/>
          <w:b/>
          <w:i/>
          <w:color w:val="000000"/>
          <w:sz w:val="24"/>
        </w:rPr>
        <w:t>Existing Credit Agreement</w:t>
      </w:r>
      <w:r>
        <w:rPr>
          <w:rFonts w:ascii="Times New Roman" w:hAnsi="Times New Roman"/>
          <w:color w:val="000000"/>
          <w:sz w:val="20"/>
        </w:rPr>
        <w:t>”</w:t>
      </w:r>
      <w:r>
        <w:rPr>
          <w:rFonts w:ascii="Times New Roman" w:hAnsi="Times New Roman"/>
          <w:color w:val="000000"/>
          <w:sz w:val="24"/>
        </w:rPr>
        <w:t>; and the Existing Credit Agreement, as supplemented by this Supplement, the “</w:t>
      </w:r>
      <w:r>
        <w:rPr>
          <w:rFonts w:ascii="Times New Roman" w:hAnsi="Times New Roman"/>
          <w:b/>
          <w:i/>
          <w:color w:val="000000"/>
          <w:sz w:val="24"/>
        </w:rPr>
        <w:t>Credit Agreement</w:t>
      </w:r>
      <w:r>
        <w:rPr>
          <w:rFonts w:ascii="Times New Roman" w:hAnsi="Times New Roman"/>
          <w:color w:val="000000"/>
          <w:sz w:val="20"/>
        </w:rPr>
        <w:t>”</w:t>
      </w:r>
      <w:r>
        <w:rPr>
          <w:rFonts w:ascii="Times New Roman" w:hAnsi="Times New Roman"/>
          <w:color w:val="000000"/>
          <w:sz w:val="24"/>
        </w:rPr>
        <w:t>), by and among the Borrower, certain Subsidiaries of the Borrower from time to time party thereto, the Agent, the Blackstone Representative and the Lenders from time to time party thereto and (b) that certain Fee Letter, dated as of May 8, 2025 (as amended, restated, amended and restated, supplemented or modified from time to time prior to the date hereof, the “</w:t>
      </w:r>
      <w:r>
        <w:rPr>
          <w:rFonts w:ascii="Times New Roman" w:hAnsi="Times New Roman"/>
          <w:b/>
          <w:i/>
          <w:color w:val="000000"/>
          <w:sz w:val="24"/>
        </w:rPr>
        <w:t>Fee Letter</w:t>
      </w:r>
      <w:r>
        <w:rPr>
          <w:rFonts w:ascii="Times New Roman" w:hAnsi="Times New Roman"/>
          <w:color w:val="000000"/>
          <w:sz w:val="20"/>
        </w:rPr>
        <w:t>”</w:t>
      </w:r>
      <w:r>
        <w:rPr>
          <w:rFonts w:ascii="Times New Roman" w:hAnsi="Times New Roman"/>
          <w:color w:val="000000"/>
          <w:sz w:val="24"/>
        </w:rPr>
        <w:t>), by and among the Borrower, the Blackstone Representative and the Lenders party thereto;</w:t>
      </w:r>
    </w:p>
    <w:p>
      <w:pPr>
        <w:pStyle w:val="TextBody"/>
        <w:bidi w:val="0"/>
        <w:spacing w:before="0" w:after="240"/>
        <w:jc w:val="both"/>
        <w:rPr>
          <w:rFonts w:ascii="Times New Roman" w:hAnsi="Times New Roman"/>
          <w:sz w:val="20"/>
        </w:rPr>
      </w:pPr>
      <w:r>
        <w:rPr>
          <w:rFonts w:ascii="Times New Roman" w:hAnsi="Times New Roman"/>
          <w:color w:val="000000"/>
          <w:sz w:val="24"/>
        </w:rPr>
        <w:t>WHEREAS, pursuant to the Existing Credit Agreement, the Revolving Credit Lenders extended $70,000,000 in Revolving Credit Commitments (“</w:t>
      </w:r>
      <w:r>
        <w:rPr>
          <w:rFonts w:ascii="Times New Roman" w:hAnsi="Times New Roman"/>
          <w:b/>
          <w:i/>
          <w:color w:val="000000"/>
          <w:sz w:val="24"/>
        </w:rPr>
        <w:t>Existing Revolving Credit Commitments</w:t>
      </w:r>
      <w:r>
        <w:rPr>
          <w:rFonts w:ascii="Times New Roman" w:hAnsi="Times New Roman"/>
          <w:color w:val="000000"/>
          <w:sz w:val="20"/>
        </w:rPr>
        <w:t>”</w:t>
      </w:r>
      <w:r>
        <w:rPr>
          <w:rFonts w:ascii="Times New Roman" w:hAnsi="Times New Roman"/>
          <w:color w:val="000000"/>
          <w:sz w:val="24"/>
        </w:rPr>
        <w:t>) to the Borrower;</w:t>
      </w:r>
    </w:p>
    <w:p>
      <w:pPr>
        <w:pStyle w:val="TextBody"/>
        <w:bidi w:val="0"/>
        <w:spacing w:before="0" w:after="240"/>
        <w:jc w:val="both"/>
        <w:rPr>
          <w:rFonts w:ascii="Times New Roman" w:hAnsi="Times New Roman"/>
          <w:sz w:val="20"/>
        </w:rPr>
      </w:pPr>
      <w:r>
        <w:rPr>
          <w:rFonts w:ascii="Times New Roman" w:hAnsi="Times New Roman"/>
          <w:color w:val="000000"/>
          <w:sz w:val="24"/>
        </w:rPr>
        <w:t>WHEREAS, the Borrower, in accordance with the Fee Letter, has requested that the aggregate principal amount of Existing Revolving Credit Commitments be increased by $20,000,000 (such increase, the “</w:t>
      </w:r>
      <w:r>
        <w:rPr>
          <w:rFonts w:ascii="Times New Roman" w:hAnsi="Times New Roman"/>
          <w:b/>
          <w:i/>
          <w:color w:val="000000"/>
          <w:sz w:val="24"/>
        </w:rPr>
        <w:t>First Incremental Revolving Credit Commitments</w:t>
      </w:r>
      <w:r>
        <w:rPr>
          <w:rFonts w:ascii="Times New Roman" w:hAnsi="Times New Roman"/>
          <w:color w:val="000000"/>
          <w:sz w:val="20"/>
        </w:rPr>
        <w:t>”</w:t>
      </w:r>
      <w:r>
        <w:rPr>
          <w:rFonts w:ascii="Times New Roman" w:hAnsi="Times New Roman"/>
          <w:color w:val="000000"/>
          <w:sz w:val="24"/>
        </w:rPr>
        <w:t>) such that, upon the occurrence of the First Supplement Effective Date (as defined below) and after giving effect to the First Incremental Revolving Credit Commitment Increase, the aggregate principal amount of Revolving Credit Commitments under the Loan Agreement will be $90,000,000;</w:t>
      </w:r>
    </w:p>
    <w:p>
      <w:pPr>
        <w:pStyle w:val="TextBody"/>
        <w:bidi w:val="0"/>
        <w:spacing w:before="0" w:after="240"/>
        <w:jc w:val="both"/>
        <w:rPr>
          <w:rFonts w:ascii="Times New Roman" w:hAnsi="Times New Roman"/>
          <w:sz w:val="20"/>
        </w:rPr>
      </w:pPr>
      <w:r>
        <w:rPr>
          <w:rFonts w:ascii="Times New Roman" w:hAnsi="Times New Roman"/>
          <w:color w:val="000000"/>
          <w:sz w:val="24"/>
        </w:rPr>
        <w:t>WHEREAS, each Person that executes and delivers a signature page to this Supplement in the capacity of a Revolver Increase Lender (as defined below) agrees to (i) the terms of this Supplement, (ii) provide the First Incremental Revolving Credit Commitments to the Borrower (the Revolving Credit Loans made in respect of such commitments, the “</w:t>
      </w:r>
      <w:r>
        <w:rPr>
          <w:rFonts w:ascii="Times New Roman" w:hAnsi="Times New Roman"/>
          <w:b/>
          <w:i/>
          <w:color w:val="000000"/>
          <w:sz w:val="24"/>
        </w:rPr>
        <w:t>First Incremental Revolving Credit Loans</w:t>
      </w:r>
      <w:r>
        <w:rPr>
          <w:rFonts w:ascii="Times New Roman" w:hAnsi="Times New Roman"/>
          <w:color w:val="000000"/>
          <w:sz w:val="20"/>
        </w:rPr>
        <w:t xml:space="preserve">” </w:t>
      </w:r>
      <w:r>
        <w:rPr>
          <w:rFonts w:ascii="Times New Roman" w:hAnsi="Times New Roman"/>
          <w:color w:val="000000"/>
          <w:sz w:val="24"/>
        </w:rPr>
        <w:t>and the Lenders providing such First Incremental Revolving Credit Commitments and making the First Incremental Revolving Credit Loans, the “</w:t>
      </w:r>
      <w:r>
        <w:rPr>
          <w:rFonts w:ascii="Times New Roman" w:hAnsi="Times New Roman"/>
          <w:b/>
          <w:i/>
          <w:color w:val="000000"/>
          <w:sz w:val="24"/>
        </w:rPr>
        <w:t>First Incremental Revolving Credit Lenders</w:t>
      </w:r>
      <w:r>
        <w:rPr>
          <w:rFonts w:ascii="Times New Roman" w:hAnsi="Times New Roman"/>
          <w:color w:val="000000"/>
          <w:sz w:val="20"/>
        </w:rPr>
        <w:t>”</w:t>
      </w:r>
      <w:r>
        <w:rPr>
          <w:rFonts w:ascii="Times New Roman" w:hAnsi="Times New Roman"/>
          <w:color w:val="000000"/>
          <w:sz w:val="24"/>
        </w:rPr>
        <w:t>) on the First Supplement Effective Date in a principal amount as set forth on Schedule I</w:t>
      </w:r>
      <w:r>
        <w:rPr>
          <w:rFonts w:ascii="Times New Roman" w:hAnsi="Times New Roman"/>
          <w:color w:val="000000"/>
          <w:sz w:val="20"/>
        </w:rPr>
        <w:t xml:space="preserve"> </w:t>
      </w:r>
      <w:r>
        <w:rPr>
          <w:rFonts w:ascii="Times New Roman" w:hAnsi="Times New Roman"/>
          <w:color w:val="000000"/>
          <w:sz w:val="24"/>
        </w:rPr>
        <w:t>attached hereto and (iii) make the First Incremental Revolving Credit Loans from time to time on and after the First Supplement Effective Date in accordance with the terms of the Loan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in addition, the Borrower has requested, and the Lenders party hereto, constituting the Required Lenders, are willing to, make certain other modifications to the Loan Agreement as set forth herein;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 the Agent, the Blackstone Representative and the Lenders party hereto, constituting the Required Lenders, have agreed to amend the Existing Credit Agreement on the terms and subject to the conditions set forth herein;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this Supplement is an Incremental Revolving Credit Commitment Supplement as defined in the Fee Letter and the First Incremental Revolving Credit Commitments are the “First Incremental Revolving Credit Commitment Increase” contemplated by the Fee Letter.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for and in consideration of the above premises and other good and valuable consideration, the receipt and sufficiency of which is hereby acknowledged by the parties hereto, each of the Borrower, the Agent, the Blackstone Representative and the Lenders party hereto hereby covenants and agrees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 Capitalized terms used herein and not otherwise defined herein shall have the meanings assigned to such terms in the Existing Credit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First Incremental Revolving Credit Commitments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Pursuant to Section 2.2(a)(iv) of the Existing Credit Agreement and subject to the terms and conditions in the Fee Letter and herein, effective on and as of the First Supplement Effective Date, each First Incremental Revolving Credit Lender hereby agrees to make the First Incremental Revolving Credit Loans to the Borrower from time to time in accordance with the terms of the Loan Agreement in a principal amount not to exceed its First Incremental Revolving Credit Commitment. From and after the First Supplement Effective Date, the First Incremental Revolving Credit Commitments shall constitute “Revolving Credit Commitments” under the Credit Agreement and the other Loan Documents and each First Incremental Revolving Credit Lender shall be a “Revolving Credit Lender” and a “Lender” for all purposes under the Credit Agreement and the other Loan Documents. From and after the First Supplement Effective Date, the First Incremental Revolving Credit Loans made pursuant to each First Incremental Revolving Credit Lender’s First Incremental Revolving Credit Commitments shall constitute “Revolving Credit Loans” for all purposes of the Credit Agreement and the other Loan Documents. The Commitments of the First Incremental Revolving Credit Lenders are several, and no such First Incremental Revolving Credit Lender will be responsible for any other First Incremental Revolving Credit Lender’s failure to make or acquire its First Incremental Revolving Credit Loans. The proceeds of the First Incremental Revolving Credit Loans shall be used by the Borrower in accordance with Section 5.10 of the Credit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terms of the First Incremental Revolving Credit Commitments shall be identical to the existing Revolving Credit Commitments under the Loan Agreement and the terms of the First Incremental Revolving Credit Loans shall be identical to the existing Revolving Credit Loans under the Credit Agreement. On the First Supplement Effective Date, the Borrower shall pay to the Agent for the ratable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account of the First Incremental Revolving Credit Lenders, in accordance with the terms of the Fee Letter, an upfront fee in the same amount as the Revolving Credit Upfront Fee that was payable in respect of the Existing Revolving Credit Commitments on the Closing Date pursuant to the Fee Letter.</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the First Supplement Effective Date, the Existing Revolving Credit Commitments shall be adjusted and increased by the First Incremental Revolving Credit Commitments as set forth on Schedule I attached hereto.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Amendments to the Existing Credit Agreement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14.1 of the Existing Credit Agreement is hereby amended by inserting the following definitions in the appropriate alphabetical order:</w:t>
      </w:r>
    </w:p>
    <w:p>
      <w:pPr>
        <w:pStyle w:val="Heading2"/>
        <w:bidi w:val="0"/>
        <w:spacing w:before="0" w:after="240"/>
        <w:jc w:val="both"/>
        <w:rPr/>
      </w:pPr>
      <w:r>
        <w:rPr>
          <w:color w:val="000000"/>
        </w:rPr>
        <w:t>“</w:t>
      </w:r>
      <w:r>
        <w:rPr>
          <w:rFonts w:ascii="Times New Roman" w:hAnsi="Times New Roman"/>
          <w:color w:val="000000"/>
          <w:sz w:val="24"/>
        </w:rPr>
        <w:t>First Incremental Revolving Credit Supplement</w:t>
      </w:r>
      <w:r>
        <w:rPr>
          <w:rFonts w:ascii="Times New Roman" w:hAnsi="Times New Roman"/>
          <w:color w:val="000000"/>
          <w:sz w:val="20"/>
        </w:rPr>
        <w:t xml:space="preserve">” </w:t>
      </w:r>
      <w:r>
        <w:rPr>
          <w:rFonts w:ascii="Times New Roman" w:hAnsi="Times New Roman"/>
          <w:b w:val="false"/>
          <w:color w:val="000000"/>
          <w:sz w:val="24"/>
        </w:rPr>
        <w:t>shall mean the First Incremental Revolving Credit Supplement &amp; Amendment, dated as of June 26, 2026, by and among the Borrower, the Blackstone Representative, the Lenders and the Agent.</w:t>
      </w:r>
    </w:p>
    <w:p>
      <w:pPr>
        <w:pStyle w:val="Heading2"/>
        <w:bidi w:val="0"/>
        <w:spacing w:before="0" w:after="240"/>
        <w:jc w:val="both"/>
        <w:rPr/>
      </w:pPr>
      <w:r>
        <w:rPr>
          <w:color w:val="000000"/>
        </w:rPr>
        <w:t>“</w:t>
      </w:r>
      <w:r>
        <w:rPr>
          <w:rFonts w:ascii="Times New Roman" w:hAnsi="Times New Roman"/>
          <w:color w:val="000000"/>
          <w:sz w:val="24"/>
        </w:rPr>
        <w:t>First Supplement Effective Date</w:t>
      </w:r>
      <w:r>
        <w:rPr>
          <w:rFonts w:ascii="Times New Roman" w:hAnsi="Times New Roman"/>
          <w:color w:val="000000"/>
          <w:sz w:val="20"/>
        </w:rPr>
        <w:t xml:space="preserve">” </w:t>
      </w:r>
      <w:r>
        <w:rPr>
          <w:rFonts w:ascii="Times New Roman" w:hAnsi="Times New Roman"/>
          <w:b w:val="false"/>
          <w:color w:val="000000"/>
          <w:sz w:val="24"/>
        </w:rPr>
        <w:t>shall mean June 26, 2026.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Clause (d) of the definition of “Permitted Indebtedness” in Section 14.1 of the Existing Credit Agreement is hereby amended and restated in its entirety as follows:</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(d) Indebtedness not to exceed $20,000,000 in the aggregate at any time outstanding consisting of (i) Indebtedness incurred to finance the purchase, construction, repair, or improvement of fixed assets and (ii) Finance Lease obligations, and, in each case, Permitted Refinancings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definition of “Revolving Credit Commitment” in Section 14.1 of the Existing Credit Agreement is hereby amended and restated in its entirety as follows:</w:t>
      </w:r>
    </w:p>
    <w:p>
      <w:pPr>
        <w:pStyle w:val="Heading2"/>
        <w:bidi w:val="0"/>
        <w:spacing w:before="0" w:after="240"/>
        <w:jc w:val="both"/>
        <w:rPr/>
      </w:pPr>
      <w:r>
        <w:rPr>
          <w:color w:val="000000"/>
        </w:rPr>
        <w:t>“</w:t>
      </w:r>
      <w:r>
        <w:rPr>
          <w:rFonts w:ascii="Times New Roman" w:hAnsi="Times New Roman"/>
          <w:color w:val="000000"/>
          <w:sz w:val="24"/>
        </w:rPr>
        <w:t>Revolving Credit Commitment</w:t>
      </w:r>
      <w:r>
        <w:rPr>
          <w:rFonts w:ascii="Times New Roman" w:hAnsi="Times New Roman"/>
          <w:color w:val="000000"/>
          <w:sz w:val="20"/>
        </w:rPr>
        <w:t xml:space="preserve">” </w:t>
      </w:r>
      <w:r>
        <w:rPr>
          <w:rFonts w:ascii="Times New Roman" w:hAnsi="Times New Roman"/>
          <w:b w:val="false"/>
          <w:color w:val="000000"/>
          <w:sz w:val="24"/>
        </w:rPr>
        <w:t>shall mean, as to each Revolving Credit Lender, its obligation to make Revolving Credit Loans to Borrower pursuant to Section 2.2(a)(iv), in an aggregate principal amount at any one time outstanding not to exceed the amount set forth, and opposite such Lender’s name on Schedule I of the First Incremental Revolving Credit Supplement. The aggregate Revolving Credit Commitments of all Revolving Credit Lenders shall be $90,000,000 on the First Supplement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Reaffirmation of Loan Documents</w:t>
      </w:r>
      <w:r>
        <w:rPr>
          <w:rFonts w:ascii="Times New Roman" w:hAnsi="Times New Roman"/>
          <w:color w:val="000000"/>
          <w:sz w:val="24"/>
        </w:rPr>
        <w:t>. The Borrower, as Grantor under the Security Documents, hereby (i) agrees that each of the Loan Documents is, and shall continue to be, in full force and effect and is hereby in all respects ratified and confirmed on the First Supplement Effective Date, except that, on and after the First Supplement Effective Date, each reference to “</w:t>
      </w:r>
      <w:r>
        <w:rPr>
          <w:rFonts w:ascii="Times New Roman" w:hAnsi="Times New Roman"/>
          <w:i/>
          <w:color w:val="000000"/>
          <w:sz w:val="24"/>
        </w:rPr>
        <w:t>Credit Agreement</w:t>
      </w:r>
      <w:r>
        <w:rPr>
          <w:color w:val="000000"/>
        </w:rPr>
        <w:t>”</w:t>
      </w:r>
      <w:r>
        <w:rPr>
          <w:rFonts w:ascii="Times New Roman" w:hAnsi="Times New Roman"/>
          <w:color w:val="000000"/>
          <w:sz w:val="24"/>
        </w:rPr>
        <w:t>, “</w:t>
      </w:r>
      <w:r>
        <w:rPr>
          <w:rFonts w:ascii="Times New Roman" w:hAnsi="Times New Roman"/>
          <w:i/>
          <w:color w:val="000000"/>
          <w:sz w:val="24"/>
        </w:rPr>
        <w:t>this Agreement</w:t>
      </w:r>
      <w:r>
        <w:rPr>
          <w:color w:val="000000"/>
        </w:rPr>
        <w:t>”</w:t>
      </w:r>
      <w:r>
        <w:rPr>
          <w:rFonts w:ascii="Times New Roman" w:hAnsi="Times New Roman"/>
          <w:color w:val="000000"/>
          <w:sz w:val="24"/>
        </w:rPr>
        <w:t>, “</w:t>
      </w:r>
      <w:r>
        <w:rPr>
          <w:rFonts w:ascii="Times New Roman" w:hAnsi="Times New Roman"/>
          <w:i/>
          <w:color w:val="000000"/>
          <w:sz w:val="24"/>
        </w:rPr>
        <w:t>thereunder</w:t>
      </w:r>
      <w:r>
        <w:rPr>
          <w:color w:val="000000"/>
        </w:rPr>
        <w:t>”</w:t>
      </w:r>
      <w:r>
        <w:rPr>
          <w:rFonts w:ascii="Times New Roman" w:hAnsi="Times New Roman"/>
          <w:color w:val="000000"/>
          <w:sz w:val="24"/>
        </w:rPr>
        <w:t>, “</w:t>
      </w:r>
      <w:r>
        <w:rPr>
          <w:rFonts w:ascii="Times New Roman" w:hAnsi="Times New Roman"/>
          <w:i/>
          <w:color w:val="000000"/>
          <w:sz w:val="24"/>
        </w:rPr>
        <w:t>thereof</w:t>
      </w:r>
      <w:r>
        <w:rPr>
          <w:color w:val="000000"/>
        </w:rPr>
        <w:t xml:space="preserve">” </w:t>
      </w:r>
      <w:r>
        <w:rPr>
          <w:rFonts w:ascii="Times New Roman" w:hAnsi="Times New Roman"/>
          <w:color w:val="000000"/>
          <w:sz w:val="24"/>
        </w:rPr>
        <w:t xml:space="preserve">or words of like import shall, unless the context otherwise requires, mean and be a reference to the Existing Credit Agreement as supplemented by this Supplement and (ii) confirms that the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Collateral Documents and all of the Collateral described therein do, and shall continue to, secure the payment in full and performance of all of the Secured Obligations.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Conditions Precedent to Effectiveness</w:t>
      </w:r>
      <w:r>
        <w:rPr>
          <w:rFonts w:ascii="Times New Roman" w:hAnsi="Times New Roman"/>
          <w:color w:val="000000"/>
          <w:sz w:val="24"/>
        </w:rPr>
        <w:t>. This Supplement shall not be effective unless</w:t>
      </w:r>
      <w:r>
        <w:rPr>
          <w:color w:val="000000"/>
        </w:rPr>
        <w:t xml:space="preserve"> </w:t>
      </w:r>
      <w:r>
        <w:rPr>
          <w:rFonts w:ascii="Times New Roman" w:hAnsi="Times New Roman"/>
          <w:color w:val="000000"/>
          <w:sz w:val="24"/>
        </w:rPr>
        <w:t>and until each of the following conditions precedent has been fulfilled to the satisfaction of the Agent and each of the Lenders party hereto (the date of such fulfillment, the “</w:t>
      </w:r>
      <w:r>
        <w:rPr>
          <w:rFonts w:ascii="Times New Roman" w:hAnsi="Times New Roman"/>
          <w:b/>
          <w:i/>
          <w:color w:val="000000"/>
          <w:sz w:val="24"/>
        </w:rPr>
        <w:t>First Supplement Effective Date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Supplement shall have been duly executed and delivered to the Agent by the Borrower, the Blackstone Representative and the Lenders, which constitute the Required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shall have paid all costs, fees and expenses of the Agent and the Lenders, including the upfront fee payable to the Agent in accordance with Section 2(b) above and the fees and out-of-pocket expenses of Sullivan &amp; Cromwell LLP, as outside counsel to the Lenders, and Arnold &amp; Porter Kaye Scholer LLP, as counsel to the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conditions set forth in clauses (a), (b) and (e) of Section 3.2 of the Existing Credit Agreement shall be satisfied on the First Supplement Effective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representations and warranties in Section 5 of this Supplement, Section 4 of the Credit Agreement and elsewhere in the Loan Documents shall be true, correct and complete in all material respects (unless such representations are already qualified by reference to materiality, Material Adverse Change or similar language, in which case such representations and warranties shall be true and correct in all respects) on and as of the date hereof with the same effect as though made on and as of such date, except to the extent such representations and warranties expressly relate to an earlier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the time of and after giving effect to this Supplement, (i) no Default or Event of Default shall have occurred and be continuing or would result herefrom, and (ii) no event that has had or could reasonably be expected to have a Material Adverse Change has occurred and is continuing;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Agent shall have received, in form and substance satisfactory to the Agent, such other documents, instruments and agreements as are reasonably requested by the Agent and the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Agent shall have received, for its own account, an amendment fee in the amount of $2,500.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Agent shall have received the upfront fee payable in accordance with Section 2(b) above.</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Representations and Warranties</w:t>
      </w:r>
      <w:r>
        <w:rPr>
          <w:rFonts w:ascii="Times New Roman" w:hAnsi="Times New Roman"/>
          <w:color w:val="000000"/>
          <w:sz w:val="24"/>
        </w:rPr>
        <w:t>. The Borrower hereby</w:t>
      </w:r>
      <w:r>
        <w:rPr>
          <w:color w:val="000000"/>
        </w:rPr>
        <w:t xml:space="preserve"> </w:t>
      </w:r>
      <w:r>
        <w:rPr>
          <w:rFonts w:ascii="Times New Roman" w:hAnsi="Times New Roman"/>
          <w:color w:val="000000"/>
          <w:sz w:val="24"/>
        </w:rPr>
        <w:t>represents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warrants: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execution, delivery and performance by the Borrower of this Supplement and the documents, instruments and agreements executed in connection herewith (collectively, the “</w:t>
      </w:r>
      <w:r>
        <w:rPr>
          <w:rFonts w:ascii="Times New Roman" w:hAnsi="Times New Roman"/>
          <w:b/>
          <w:i/>
          <w:color w:val="000000"/>
          <w:sz w:val="24"/>
        </w:rPr>
        <w:t>Supplement Documents</w:t>
      </w:r>
      <w:r>
        <w:rPr>
          <w:color w:val="000000"/>
        </w:rPr>
        <w:t>”</w:t>
      </w:r>
      <w:r>
        <w:rPr>
          <w:rFonts w:ascii="Times New Roman" w:hAnsi="Times New Roman"/>
          <w:color w:val="000000"/>
          <w:sz w:val="24"/>
        </w:rPr>
        <w:t>), the Borrower’s consummation of the transactions contemplated by the Supplement Documents and performance under the Supplement Documents do not and will not (i) conflict with any of its organizational, constitutional or constituent documents; (ii) contravene, conflict with, constitute a default under or violate any Law except as would not reasonably be expected to have a Material Adverse Change; (iii) contravene, conflict or violate any applicable order, writ, judgment, injunction, decree, determination or award of any Governmental Authority by which it or any of its property or assets may be bound or affected except as would not reasonably be expected to have a Material Adverse Change; (iv) require any action by, filing, registration, or qualification with, or approval of, any Governmental Authority (except such approval which has already been obtained and is in full force and effect, or the filing of any UCC financing statement) except where the failure to do so would not reasonably be expected to have a Material Adverse Change; or (v) constitute a default under or conflict with any Material Contract that, individually or in the aggregate, could reasonably be expected to result in a Material Adverse Change.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Supplement and the other Supplement Documents have been duly authorized, executed and delivered by the Borrower and constitute legal, valid and binding agreements of the Borrower, enforceable in accordance with their terms (subject, as to enforcement, to (x) the effect of applicable bankruptcy, insolvency, examinership or similar laws affecting the enforcement or creditors’ rights and (y) general principles of equity).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execution, delivery and performance by the Borrower of the Supplement and the other Supplement Documents executed or to be executed by, it is in each case within the Borrower’s powers.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Fees and Expenses</w:t>
      </w:r>
      <w:r>
        <w:rPr>
          <w:rFonts w:ascii="Times New Roman" w:hAnsi="Times New Roman"/>
          <w:color w:val="000000"/>
          <w:sz w:val="24"/>
        </w:rPr>
        <w:t>. The Borrower agrees to pay on demand all fees, costs and expenses of the Agent and the Lenders accrued prior to the First Supplement Effective Date and all fees, costs and expenses of the Agent and the Lenders incurred in connection with the preparation, execution and delivery of (i) this Supplement, (ii) any Supplement Documents, other Loan Documents or other post-closing amendments, agreements, arrangements or documentation and (iii) any other instruments and documents to be delivered hereunder or thereunder, including the fees and out-of-pocket expenses of Sullivan &amp; Cromwell LLP, as outside counsel to the Lenders, and Arnold &amp; Porter Kaye Scholer LLP, as counsel to the Agent with respect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Supplement shall constitute a Loan Document and Incremental Supplement.</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Supplement may be executed in several counterparts and by each party on a separate counterpart, each of which when so executed and delivered shall be an original, and all of which together shall constitute one instrument. An executed facsimile or electronic copy of this Supplement shall be effective for all purposes as an original hereof. The words “execution,” “execute”, “signed,” “signature,” and words of like import in or related to any document to be signed in connection with this Supplement and the transactions contemplated hereby (including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Supplement and the rights and obligations of the parties hereunder shall be governed by, and construed and enforced in accordance with, the law of the State of New York, excluding conflict of laws principles that would cause the application of laws of any other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This Supplement and its contents shall be subject to the indemnification and severability provisions of the Existing Credit Agreement, </w:t>
      </w:r>
      <w:r>
        <w:rPr>
          <w:rFonts w:ascii="Times New Roman" w:hAnsi="Times New Roman"/>
          <w:i/>
          <w:color w:val="000000"/>
          <w:sz w:val="24"/>
        </w:rPr>
        <w:t>mutatis mutandis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The Lenders party hereto, constituting each of the First Incremental Revolving Credit Lenders and the Required Lenders, hereby (i) direct the Agent to execute and deliver this Supplement and (ii) acknowledge and agree that (x) the direction in this </w:t>
      </w:r>
      <w:r>
        <w:rPr>
          <w:rFonts w:ascii="Times New Roman" w:hAnsi="Times New Roman"/>
          <w:color w:val="000000"/>
          <w:sz w:val="24"/>
          <w:u w:val="single"/>
        </w:rPr>
        <w:t>Section 8(e)</w:t>
      </w:r>
      <w:r>
        <w:rPr>
          <w:color w:val="000000"/>
        </w:rPr>
        <w:t xml:space="preserve"> </w:t>
      </w:r>
      <w:r>
        <w:rPr>
          <w:rFonts w:ascii="Times New Roman" w:hAnsi="Times New Roman"/>
          <w:color w:val="000000"/>
          <w:sz w:val="24"/>
        </w:rPr>
        <w:t xml:space="preserve">constitutes a direction from the First Incremental Revolving Credit Lenders and the Required Lenders under the provisions of </w:t>
      </w:r>
      <w:r>
        <w:rPr>
          <w:rFonts w:ascii="Times New Roman" w:hAnsi="Times New Roman"/>
          <w:color w:val="000000"/>
          <w:sz w:val="24"/>
          <w:u w:val="single"/>
        </w:rPr>
        <w:t xml:space="preserve">Section 12 </w:t>
      </w:r>
      <w:r>
        <w:rPr>
          <w:rFonts w:ascii="Times New Roman" w:hAnsi="Times New Roman"/>
          <w:color w:val="000000"/>
          <w:sz w:val="24"/>
        </w:rPr>
        <w:t xml:space="preserve">of the Credit Agreement and (y) </w:t>
      </w:r>
      <w:r>
        <w:rPr>
          <w:rFonts w:ascii="Times New Roman" w:hAnsi="Times New Roman"/>
          <w:color w:val="000000"/>
          <w:sz w:val="24"/>
          <w:u w:val="single"/>
        </w:rPr>
        <w:t>Section 12</w:t>
      </w:r>
      <w:r>
        <w:rPr>
          <w:color w:val="000000"/>
        </w:rPr>
        <w:t xml:space="preserve"> </w:t>
      </w:r>
      <w:r>
        <w:rPr>
          <w:rFonts w:ascii="Times New Roman" w:hAnsi="Times New Roman"/>
          <w:color w:val="000000"/>
          <w:sz w:val="24"/>
        </w:rPr>
        <w:t>of the Credit Agreement (including Sections 12.3 and 12.11 thereof) shall apply to any and all actions taken by the Agent in accordance with such direction.</w:t>
      </w:r>
    </w:p>
    <w:p>
      <w:pPr>
        <w:pStyle w:val="TextBody"/>
        <w:bidi w:val="0"/>
        <w:jc w:val="center"/>
        <w:rPr>
          <w:rFonts w:ascii="Times New Roman" w:hAnsi="Times New Roman"/>
          <w:color w:val="000000"/>
          <w:sz w:val="24"/>
        </w:rPr>
      </w:pPr>
      <w:r>
        <w:rPr>
          <w:rFonts w:ascii="Times New Roman" w:hAnsi="Times New Roman"/>
          <w:color w:val="000000"/>
          <w:sz w:val="24"/>
        </w:rPr>
        <w:t>[SIGNATURE PAGES FOLLOW]</w:t>
      </w:r>
    </w:p>
    <w:p>
      <w:pPr>
        <w:pStyle w:val="Heading2"/>
        <w:bidi w:val="0"/>
        <w:spacing w:before="0" w:after="24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w:t>
      </w:r>
      <w:r>
        <w:rPr>
          <w:rFonts w:ascii="Times New Roman" w:hAnsi="Times New Roman"/>
          <w:color w:val="000000"/>
          <w:sz w:val="20"/>
        </w:rPr>
        <w:t xml:space="preserve"> </w:t>
      </w:r>
      <w:r>
        <w:rPr>
          <w:rFonts w:ascii="Times New Roman" w:hAnsi="Times New Roman"/>
          <w:color w:val="000000"/>
          <w:sz w:val="24"/>
        </w:rPr>
        <w:t>WHEREOF,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hereunto</w:t>
      </w:r>
      <w:r>
        <w:rPr>
          <w:rFonts w:ascii="Times New Roman" w:hAnsi="Times New Roman"/>
          <w:color w:val="000000"/>
          <w:sz w:val="20"/>
        </w:rPr>
        <w:t xml:space="preserve"> </w:t>
      </w:r>
      <w:r>
        <w:rPr>
          <w:rFonts w:ascii="Times New Roman" w:hAnsi="Times New Roman"/>
          <w:color w:val="000000"/>
          <w:sz w:val="24"/>
        </w:rPr>
        <w:t>caused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Supplement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 executed as of the date first above written.</w:t>
      </w:r>
    </w:p>
    <w:p>
      <w:pPr>
        <w:pStyle w:val="TextBody"/>
        <w:bidi w:val="0"/>
        <w:spacing w:before="0" w:after="24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AXSOME THERAPEUTICS, INC.</w:t>
      </w:r>
    </w:p>
    <w:p>
      <w:pPr>
        <w:pStyle w:val="TextBody"/>
        <w:bidi w:val="0"/>
        <w:jc w:val="both"/>
        <w:rPr>
          <w:rFonts w:ascii="Times New Roman" w:hAnsi="Times New Roman"/>
          <w:color w:val="000000"/>
          <w:sz w:val="24"/>
        </w:rPr>
      </w:pPr>
      <w:r>
        <w:rPr>
          <w:rFonts w:ascii="Times New Roman" w:hAnsi="Times New Roman"/>
          <w:color w:val="000000"/>
          <w:sz w:val="24"/>
        </w:rPr>
        <w:t>as the Borrower, on its behalf and on behalf of each other Credit Party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Nick Pizzie</w:t>
      </w:r>
    </w:p>
    <w:p>
      <w:pPr>
        <w:pStyle w:val="TextBody"/>
        <w:bidi w:val="0"/>
        <w:jc w:val="both"/>
        <w:rPr>
          <w:rFonts w:ascii="Times New Roman" w:hAnsi="Times New Roman"/>
          <w:color w:val="000000"/>
          <w:sz w:val="24"/>
        </w:rPr>
      </w:pPr>
      <w:r>
        <w:rPr>
          <w:rFonts w:ascii="Times New Roman" w:hAnsi="Times New Roman"/>
          <w:color w:val="000000"/>
          <w:sz w:val="24"/>
        </w:rPr>
        <w:t>Name: Nick Pizzie</w:t>
      </w:r>
    </w:p>
    <w:p>
      <w:pPr>
        <w:pStyle w:val="TextBody"/>
        <w:bidi w:val="0"/>
        <w:jc w:val="both"/>
        <w:rPr>
          <w:rFonts w:ascii="Times New Roman" w:hAnsi="Times New Roman"/>
          <w:color w:val="000000"/>
          <w:sz w:val="24"/>
        </w:rPr>
      </w:pPr>
      <w:r>
        <w:rPr>
          <w:rFonts w:ascii="Times New Roman" w:hAnsi="Times New Roman"/>
          <w:color w:val="000000"/>
          <w:sz w:val="24"/>
        </w:rPr>
        <w:t>Title: Chief Financial Officer</w:t>
      </w:r>
    </w:p>
    <w:p>
      <w:pPr>
        <w:pStyle w:val="TextBody"/>
        <w:bidi w:val="0"/>
        <w:spacing w:before="1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w:t>
      </w:r>
      <w:r>
        <w:rPr>
          <w:rFonts w:ascii="Times New Roman" w:hAnsi="Times New Roman"/>
          <w:color w:val="000000"/>
          <w:sz w:val="20"/>
        </w:rPr>
        <w:t xml:space="preserve"> </w:t>
      </w:r>
      <w:r>
        <w:rPr>
          <w:rFonts w:ascii="Times New Roman" w:hAnsi="Times New Roman"/>
          <w:i/>
          <w:color w:val="000000"/>
          <w:sz w:val="24"/>
        </w:rPr>
        <w:t>Page</w:t>
      </w:r>
      <w:r>
        <w:rPr>
          <w:rFonts w:ascii="Times New Roman" w:hAnsi="Times New Roman"/>
          <w:color w:val="000000"/>
          <w:sz w:val="20"/>
        </w:rPr>
        <w:t xml:space="preserve"> </w:t>
      </w:r>
      <w:r>
        <w:rPr>
          <w:rFonts w:ascii="Times New Roman" w:hAnsi="Times New Roman"/>
          <w:i/>
          <w:color w:val="000000"/>
          <w:sz w:val="24"/>
        </w:rPr>
        <w:t>to</w:t>
      </w:r>
      <w:r>
        <w:rPr>
          <w:rFonts w:ascii="Times New Roman" w:hAnsi="Times New Roman"/>
          <w:color w:val="000000"/>
          <w:sz w:val="20"/>
        </w:rPr>
        <w:t xml:space="preserve"> </w:t>
      </w:r>
      <w:r>
        <w:rPr>
          <w:rFonts w:ascii="Times New Roman" w:hAnsi="Times New Roman"/>
          <w:i/>
          <w:color w:val="000000"/>
          <w:sz w:val="24"/>
        </w:rPr>
        <w:t>the First Incremental Revolving Credit Commitment Supplement &amp; Amendment</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BLACKSTONE LIFE SCIENCES ADVISOR L.L.C.,</w:t>
      </w:r>
    </w:p>
    <w:p>
      <w:pPr>
        <w:pStyle w:val="TextBody"/>
        <w:bidi w:val="0"/>
        <w:jc w:val="both"/>
        <w:rPr>
          <w:rFonts w:ascii="Times New Roman" w:hAnsi="Times New Roman"/>
          <w:color w:val="000000"/>
          <w:sz w:val="24"/>
        </w:rPr>
      </w:pPr>
      <w:r>
        <w:rPr>
          <w:rFonts w:ascii="Times New Roman" w:hAnsi="Times New Roman"/>
          <w:color w:val="000000"/>
          <w:sz w:val="24"/>
        </w:rPr>
        <w:t>as the Blackstone Representative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Robert Liptak</w:t>
      </w:r>
    </w:p>
    <w:p>
      <w:pPr>
        <w:pStyle w:val="TextBody"/>
        <w:bidi w:val="0"/>
        <w:jc w:val="both"/>
        <w:rPr>
          <w:rFonts w:ascii="Times New Roman" w:hAnsi="Times New Roman"/>
          <w:color w:val="000000"/>
          <w:sz w:val="24"/>
        </w:rPr>
      </w:pPr>
      <w:r>
        <w:rPr>
          <w:rFonts w:ascii="Times New Roman" w:hAnsi="Times New Roman"/>
          <w:color w:val="000000"/>
          <w:sz w:val="24"/>
        </w:rPr>
        <w:t>Name: Robert Liptak</w:t>
      </w:r>
    </w:p>
    <w:p>
      <w:pPr>
        <w:pStyle w:val="TextBody"/>
        <w:bidi w:val="0"/>
        <w:jc w:val="both"/>
        <w:rPr>
          <w:rFonts w:ascii="Times New Roman" w:hAnsi="Times New Roman"/>
          <w:color w:val="000000"/>
          <w:sz w:val="24"/>
        </w:rPr>
      </w:pPr>
      <w:r>
        <w:rPr>
          <w:rFonts w:ascii="Times New Roman" w:hAnsi="Times New Roman"/>
          <w:color w:val="000000"/>
          <w:sz w:val="24"/>
        </w:rPr>
        <w:t>Title: Authorized Signatory</w:t>
      </w:r>
    </w:p>
    <w:p>
      <w:pPr>
        <w:pStyle w:val="TextBody"/>
        <w:bidi w:val="0"/>
        <w:spacing w:before="1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w:t>
      </w:r>
      <w:r>
        <w:rPr>
          <w:rFonts w:ascii="Times New Roman" w:hAnsi="Times New Roman"/>
          <w:color w:val="000000"/>
          <w:sz w:val="20"/>
        </w:rPr>
        <w:t xml:space="preserve"> </w:t>
      </w:r>
      <w:r>
        <w:rPr>
          <w:rFonts w:ascii="Times New Roman" w:hAnsi="Times New Roman"/>
          <w:i/>
          <w:color w:val="000000"/>
          <w:sz w:val="24"/>
        </w:rPr>
        <w:t>Page</w:t>
      </w:r>
      <w:r>
        <w:rPr>
          <w:rFonts w:ascii="Times New Roman" w:hAnsi="Times New Roman"/>
          <w:color w:val="000000"/>
          <w:sz w:val="20"/>
        </w:rPr>
        <w:t xml:space="preserve"> </w:t>
      </w:r>
      <w:r>
        <w:rPr>
          <w:rFonts w:ascii="Times New Roman" w:hAnsi="Times New Roman"/>
          <w:i/>
          <w:color w:val="000000"/>
          <w:sz w:val="24"/>
        </w:rPr>
        <w:t>to</w:t>
      </w:r>
      <w:r>
        <w:rPr>
          <w:rFonts w:ascii="Times New Roman" w:hAnsi="Times New Roman"/>
          <w:color w:val="000000"/>
          <w:sz w:val="20"/>
        </w:rPr>
        <w:t xml:space="preserve"> </w:t>
      </w:r>
      <w:r>
        <w:rPr>
          <w:rFonts w:ascii="Times New Roman" w:hAnsi="Times New Roman"/>
          <w:i/>
          <w:color w:val="000000"/>
          <w:sz w:val="24"/>
        </w:rPr>
        <w:t>the First Incremental Revolving Credit Commitment Supplement &amp; Amendment</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BLACKSTONE ALTERNATIVE CREDIT</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ADVISORS LP,</w:t>
      </w:r>
    </w:p>
    <w:p>
      <w:pPr>
        <w:pStyle w:val="TextBody"/>
        <w:bidi w:val="0"/>
        <w:jc w:val="both"/>
        <w:rPr>
          <w:rFonts w:ascii="Times New Roman" w:hAnsi="Times New Roman"/>
          <w:color w:val="000000"/>
          <w:sz w:val="24"/>
        </w:rPr>
      </w:pPr>
      <w:r>
        <w:rPr>
          <w:rFonts w:ascii="Times New Roman" w:hAnsi="Times New Roman"/>
          <w:color w:val="000000"/>
          <w:sz w:val="24"/>
        </w:rPr>
        <w:t>as the Blackstone Representative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Marisa Beeney</w:t>
      </w:r>
    </w:p>
    <w:p>
      <w:pPr>
        <w:pStyle w:val="TextBody"/>
        <w:bidi w:val="0"/>
        <w:jc w:val="both"/>
        <w:rPr>
          <w:rFonts w:ascii="Times New Roman" w:hAnsi="Times New Roman"/>
          <w:color w:val="000000"/>
          <w:sz w:val="24"/>
        </w:rPr>
      </w:pPr>
      <w:r>
        <w:rPr>
          <w:rFonts w:ascii="Times New Roman" w:hAnsi="Times New Roman"/>
          <w:color w:val="000000"/>
          <w:sz w:val="24"/>
        </w:rPr>
        <w:t>Name: Marisa Beeney</w:t>
      </w:r>
    </w:p>
    <w:p>
      <w:pPr>
        <w:pStyle w:val="TextBody"/>
        <w:bidi w:val="0"/>
        <w:jc w:val="both"/>
        <w:rPr>
          <w:rFonts w:ascii="Times New Roman" w:hAnsi="Times New Roman"/>
          <w:color w:val="000000"/>
          <w:sz w:val="24"/>
        </w:rPr>
      </w:pPr>
      <w:r>
        <w:rPr>
          <w:rFonts w:ascii="Times New Roman" w:hAnsi="Times New Roman"/>
          <w:color w:val="000000"/>
          <w:sz w:val="24"/>
        </w:rPr>
        <w:t>Title: Authorized Signatory</w:t>
      </w:r>
    </w:p>
    <w:p>
      <w:pPr>
        <w:pStyle w:val="TextBody"/>
        <w:bidi w:val="0"/>
        <w:spacing w:before="1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w:t>
      </w:r>
      <w:r>
        <w:rPr>
          <w:rFonts w:ascii="Times New Roman" w:hAnsi="Times New Roman"/>
          <w:color w:val="000000"/>
          <w:sz w:val="20"/>
        </w:rPr>
        <w:t xml:space="preserve"> </w:t>
      </w:r>
      <w:r>
        <w:rPr>
          <w:rFonts w:ascii="Times New Roman" w:hAnsi="Times New Roman"/>
          <w:i/>
          <w:color w:val="000000"/>
          <w:sz w:val="24"/>
        </w:rPr>
        <w:t>Page</w:t>
      </w:r>
      <w:r>
        <w:rPr>
          <w:rFonts w:ascii="Times New Roman" w:hAnsi="Times New Roman"/>
          <w:color w:val="000000"/>
          <w:sz w:val="20"/>
        </w:rPr>
        <w:t xml:space="preserve"> </w:t>
      </w:r>
      <w:r>
        <w:rPr>
          <w:rFonts w:ascii="Times New Roman" w:hAnsi="Times New Roman"/>
          <w:i/>
          <w:color w:val="000000"/>
          <w:sz w:val="24"/>
        </w:rPr>
        <w:t>to</w:t>
      </w:r>
      <w:r>
        <w:rPr>
          <w:rFonts w:ascii="Times New Roman" w:hAnsi="Times New Roman"/>
          <w:color w:val="000000"/>
          <w:sz w:val="20"/>
        </w:rPr>
        <w:t xml:space="preserve"> </w:t>
      </w:r>
      <w:r>
        <w:rPr>
          <w:rFonts w:ascii="Times New Roman" w:hAnsi="Times New Roman"/>
          <w:i/>
          <w:color w:val="000000"/>
          <w:sz w:val="24"/>
        </w:rPr>
        <w:t>the First Incremental Revolving Credit Commitment Supplement &amp; Amendment</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AXIS AGGREGATOR, L.P.,</w:t>
      </w:r>
    </w:p>
    <w:p>
      <w:pPr>
        <w:pStyle w:val="TextBody"/>
        <w:bidi w:val="0"/>
        <w:jc w:val="both"/>
        <w:rPr>
          <w:rFonts w:ascii="Times New Roman" w:hAnsi="Times New Roman"/>
          <w:color w:val="000000"/>
          <w:sz w:val="24"/>
        </w:rPr>
      </w:pPr>
      <w:r>
        <w:rPr>
          <w:rFonts w:ascii="Times New Roman" w:hAnsi="Times New Roman"/>
          <w:color w:val="000000"/>
          <w:sz w:val="24"/>
        </w:rPr>
        <w:t>as a Lender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Robert Liptak</w:t>
      </w:r>
    </w:p>
    <w:p>
      <w:pPr>
        <w:pStyle w:val="TextBody"/>
        <w:bidi w:val="0"/>
        <w:jc w:val="both"/>
        <w:rPr>
          <w:rFonts w:ascii="Times New Roman" w:hAnsi="Times New Roman"/>
          <w:color w:val="000000"/>
          <w:sz w:val="24"/>
        </w:rPr>
      </w:pPr>
      <w:r>
        <w:rPr>
          <w:rFonts w:ascii="Times New Roman" w:hAnsi="Times New Roman"/>
          <w:color w:val="000000"/>
          <w:sz w:val="24"/>
        </w:rPr>
        <w:t>Name: Robert Liptak</w:t>
      </w:r>
    </w:p>
    <w:p>
      <w:pPr>
        <w:pStyle w:val="TextBody"/>
        <w:bidi w:val="0"/>
        <w:jc w:val="both"/>
        <w:rPr>
          <w:rFonts w:ascii="Times New Roman" w:hAnsi="Times New Roman"/>
          <w:color w:val="000000"/>
          <w:sz w:val="24"/>
        </w:rPr>
      </w:pPr>
      <w:r>
        <w:rPr>
          <w:rFonts w:ascii="Times New Roman" w:hAnsi="Times New Roman"/>
          <w:color w:val="000000"/>
          <w:sz w:val="24"/>
        </w:rPr>
        <w:t>Title: Authorized Signatory</w:t>
      </w:r>
    </w:p>
    <w:p>
      <w:pPr>
        <w:pStyle w:val="TextBody"/>
        <w:bidi w:val="0"/>
        <w:jc w:val="both"/>
        <w:rPr/>
      </w:pPr>
      <w:r>
        <w:rPr/>
        <w:t> </w:t>
      </w:r>
    </w:p>
    <w:p>
      <w:pPr>
        <w:pStyle w:val="TextBody"/>
        <w:bidi w:val="0"/>
        <w:jc w:val="left"/>
        <w:rPr/>
      </w:pPr>
      <w:r>
        <w:rPr/>
        <w:t> </w:t>
      </w:r>
    </w:p>
    <w:p>
      <w:pPr>
        <w:pStyle w:val="TextBody"/>
        <w:bidi w:val="0"/>
        <w:spacing w:before="1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w:t>
      </w:r>
      <w:r>
        <w:rPr>
          <w:rFonts w:ascii="Times New Roman" w:hAnsi="Times New Roman"/>
          <w:color w:val="000000"/>
          <w:sz w:val="20"/>
        </w:rPr>
        <w:t xml:space="preserve"> </w:t>
      </w:r>
      <w:r>
        <w:rPr>
          <w:rFonts w:ascii="Times New Roman" w:hAnsi="Times New Roman"/>
          <w:i/>
          <w:color w:val="000000"/>
          <w:sz w:val="24"/>
        </w:rPr>
        <w:t>Page</w:t>
      </w:r>
      <w:r>
        <w:rPr>
          <w:rFonts w:ascii="Times New Roman" w:hAnsi="Times New Roman"/>
          <w:color w:val="000000"/>
          <w:sz w:val="20"/>
        </w:rPr>
        <w:t xml:space="preserve"> </w:t>
      </w:r>
      <w:r>
        <w:rPr>
          <w:rFonts w:ascii="Times New Roman" w:hAnsi="Times New Roman"/>
          <w:i/>
          <w:color w:val="000000"/>
          <w:sz w:val="24"/>
        </w:rPr>
        <w:t>to</w:t>
      </w:r>
      <w:r>
        <w:rPr>
          <w:rFonts w:ascii="Times New Roman" w:hAnsi="Times New Roman"/>
          <w:color w:val="000000"/>
          <w:sz w:val="20"/>
        </w:rPr>
        <w:t xml:space="preserve"> </w:t>
      </w:r>
      <w:r>
        <w:rPr>
          <w:rFonts w:ascii="Times New Roman" w:hAnsi="Times New Roman"/>
          <w:i/>
          <w:color w:val="000000"/>
          <w:sz w:val="24"/>
        </w:rPr>
        <w:t>the First Incremental Revolving Credit Commitment Supplement &amp; Amendment</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BLACKSTONE PRIVATE CREDIT FUND,</w:t>
      </w:r>
    </w:p>
    <w:p>
      <w:pPr>
        <w:pStyle w:val="TextBody"/>
        <w:bidi w:val="0"/>
        <w:jc w:val="both"/>
        <w:rPr>
          <w:rFonts w:ascii="Times New Roman" w:hAnsi="Times New Roman"/>
          <w:color w:val="000000"/>
          <w:sz w:val="24"/>
        </w:rPr>
      </w:pPr>
      <w:r>
        <w:rPr>
          <w:rFonts w:ascii="Times New Roman" w:hAnsi="Times New Roman"/>
          <w:color w:val="000000"/>
          <w:sz w:val="24"/>
        </w:rPr>
        <w:t>as a Lender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By: Blackstone Private Credit Strategies LLC,</w:t>
      </w:r>
    </w:p>
    <w:p>
      <w:pPr>
        <w:pStyle w:val="TextBody"/>
        <w:bidi w:val="0"/>
        <w:jc w:val="both"/>
        <w:rPr>
          <w:rFonts w:ascii="Times New Roman" w:hAnsi="Times New Roman"/>
          <w:color w:val="000000"/>
          <w:sz w:val="24"/>
        </w:rPr>
      </w:pPr>
      <w:r>
        <w:rPr>
          <w:rFonts w:ascii="Times New Roman" w:hAnsi="Times New Roman"/>
          <w:color w:val="000000"/>
          <w:sz w:val="24"/>
        </w:rPr>
        <w:t>as Investment Advisor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By: Blackstone Credit BDC Advisors LLC,</w:t>
      </w:r>
    </w:p>
    <w:p>
      <w:pPr>
        <w:pStyle w:val="TextBody"/>
        <w:bidi w:val="0"/>
        <w:jc w:val="both"/>
        <w:rPr>
          <w:rFonts w:ascii="Times New Roman" w:hAnsi="Times New Roman"/>
          <w:color w:val="000000"/>
          <w:sz w:val="24"/>
        </w:rPr>
      </w:pPr>
      <w:r>
        <w:rPr>
          <w:rFonts w:ascii="Times New Roman" w:hAnsi="Times New Roman"/>
          <w:color w:val="000000"/>
          <w:sz w:val="24"/>
        </w:rPr>
        <w:t>as Sub-Investment Advisor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Marisa Beeney</w:t>
      </w:r>
    </w:p>
    <w:p>
      <w:pPr>
        <w:pStyle w:val="TextBody"/>
        <w:bidi w:val="0"/>
        <w:jc w:val="both"/>
        <w:rPr>
          <w:rFonts w:ascii="Times New Roman" w:hAnsi="Times New Roman"/>
          <w:color w:val="000000"/>
          <w:sz w:val="24"/>
        </w:rPr>
      </w:pPr>
      <w:r>
        <w:rPr>
          <w:rFonts w:ascii="Times New Roman" w:hAnsi="Times New Roman"/>
          <w:color w:val="000000"/>
          <w:sz w:val="24"/>
        </w:rPr>
        <w:t>Name: Marisa Beeney</w:t>
      </w:r>
    </w:p>
    <w:p>
      <w:pPr>
        <w:pStyle w:val="TextBody"/>
        <w:bidi w:val="0"/>
        <w:jc w:val="both"/>
        <w:rPr>
          <w:rFonts w:ascii="Times New Roman" w:hAnsi="Times New Roman"/>
          <w:color w:val="000000"/>
          <w:sz w:val="24"/>
        </w:rPr>
      </w:pPr>
      <w:r>
        <w:rPr>
          <w:rFonts w:ascii="Times New Roman" w:hAnsi="Times New Roman"/>
          <w:color w:val="000000"/>
          <w:sz w:val="24"/>
        </w:rPr>
        <w:t>Title: Authorized Signatory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BLACKSTONE SECURED LENDING FUND,</w:t>
      </w:r>
    </w:p>
    <w:p>
      <w:pPr>
        <w:pStyle w:val="TextBody"/>
        <w:bidi w:val="0"/>
        <w:jc w:val="both"/>
        <w:rPr>
          <w:rFonts w:ascii="Times New Roman" w:hAnsi="Times New Roman"/>
          <w:color w:val="000000"/>
          <w:sz w:val="24"/>
        </w:rPr>
      </w:pPr>
      <w:r>
        <w:rPr>
          <w:rFonts w:ascii="Times New Roman" w:hAnsi="Times New Roman"/>
          <w:color w:val="000000"/>
          <w:sz w:val="24"/>
        </w:rPr>
        <w:t>as a Lender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By: Blackstone Private Credit Strategies LLC,</w:t>
      </w:r>
    </w:p>
    <w:p>
      <w:pPr>
        <w:pStyle w:val="TextBody"/>
        <w:bidi w:val="0"/>
        <w:jc w:val="both"/>
        <w:rPr>
          <w:rFonts w:ascii="Times New Roman" w:hAnsi="Times New Roman"/>
          <w:color w:val="000000"/>
          <w:sz w:val="24"/>
        </w:rPr>
      </w:pPr>
      <w:r>
        <w:rPr>
          <w:rFonts w:ascii="Times New Roman" w:hAnsi="Times New Roman"/>
          <w:color w:val="000000"/>
          <w:sz w:val="24"/>
        </w:rPr>
        <w:t>as Investment Advisor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By: Blackstone Credit BDC Advisors LLC,</w:t>
      </w:r>
    </w:p>
    <w:p>
      <w:pPr>
        <w:pStyle w:val="TextBody"/>
        <w:bidi w:val="0"/>
        <w:jc w:val="both"/>
        <w:rPr>
          <w:rFonts w:ascii="Times New Roman" w:hAnsi="Times New Roman"/>
          <w:color w:val="000000"/>
          <w:sz w:val="24"/>
        </w:rPr>
      </w:pPr>
      <w:r>
        <w:rPr>
          <w:rFonts w:ascii="Times New Roman" w:hAnsi="Times New Roman"/>
          <w:color w:val="000000"/>
          <w:sz w:val="24"/>
        </w:rPr>
        <w:t>as Sub-Investment Advisor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Marisa Beeney</w:t>
      </w:r>
    </w:p>
    <w:p>
      <w:pPr>
        <w:pStyle w:val="TextBody"/>
        <w:bidi w:val="0"/>
        <w:jc w:val="both"/>
        <w:rPr>
          <w:rFonts w:ascii="Times New Roman" w:hAnsi="Times New Roman"/>
          <w:color w:val="000000"/>
          <w:sz w:val="24"/>
        </w:rPr>
      </w:pPr>
      <w:r>
        <w:rPr>
          <w:rFonts w:ascii="Times New Roman" w:hAnsi="Times New Roman"/>
          <w:color w:val="000000"/>
          <w:sz w:val="24"/>
        </w:rPr>
        <w:t>Name: Marisa Beeney</w:t>
      </w:r>
    </w:p>
    <w:p>
      <w:pPr>
        <w:pStyle w:val="TextBody"/>
        <w:bidi w:val="0"/>
        <w:jc w:val="both"/>
        <w:rPr>
          <w:rFonts w:ascii="Times New Roman" w:hAnsi="Times New Roman"/>
          <w:color w:val="000000"/>
          <w:sz w:val="24"/>
        </w:rPr>
      </w:pPr>
      <w:r>
        <w:rPr>
          <w:rFonts w:ascii="Times New Roman" w:hAnsi="Times New Roman"/>
          <w:color w:val="000000"/>
          <w:sz w:val="24"/>
        </w:rPr>
        <w:t>Title: Authorized Signatory</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spacing w:before="1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w:t>
      </w:r>
      <w:r>
        <w:rPr>
          <w:rFonts w:ascii="Times New Roman" w:hAnsi="Times New Roman"/>
          <w:color w:val="000000"/>
          <w:sz w:val="20"/>
        </w:rPr>
        <w:t xml:space="preserve"> </w:t>
      </w:r>
      <w:r>
        <w:rPr>
          <w:rFonts w:ascii="Times New Roman" w:hAnsi="Times New Roman"/>
          <w:i/>
          <w:color w:val="000000"/>
          <w:sz w:val="24"/>
        </w:rPr>
        <w:t>Page</w:t>
      </w:r>
      <w:r>
        <w:rPr>
          <w:rFonts w:ascii="Times New Roman" w:hAnsi="Times New Roman"/>
          <w:color w:val="000000"/>
          <w:sz w:val="20"/>
        </w:rPr>
        <w:t xml:space="preserve"> </w:t>
      </w:r>
      <w:r>
        <w:rPr>
          <w:rFonts w:ascii="Times New Roman" w:hAnsi="Times New Roman"/>
          <w:i/>
          <w:color w:val="000000"/>
          <w:sz w:val="24"/>
        </w:rPr>
        <w:t>to</w:t>
      </w:r>
      <w:r>
        <w:rPr>
          <w:rFonts w:ascii="Times New Roman" w:hAnsi="Times New Roman"/>
          <w:color w:val="000000"/>
          <w:sz w:val="20"/>
        </w:rPr>
        <w:t xml:space="preserve"> </w:t>
      </w:r>
      <w:r>
        <w:rPr>
          <w:rFonts w:ascii="Times New Roman" w:hAnsi="Times New Roman"/>
          <w:i/>
          <w:color w:val="000000"/>
          <w:sz w:val="24"/>
        </w:rPr>
        <w:t>the First Incremental Revolving Credit Commitment Supplement &amp; Amendment</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WILMINGTON TRUST, NATIONAL ASSOCIATION,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as Agent</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Geoffrey J. Lewis</w:t>
      </w:r>
    </w:p>
    <w:p>
      <w:pPr>
        <w:pStyle w:val="TextBody"/>
        <w:bidi w:val="0"/>
        <w:jc w:val="both"/>
        <w:rPr>
          <w:rFonts w:ascii="Times New Roman" w:hAnsi="Times New Roman"/>
          <w:color w:val="000000"/>
          <w:sz w:val="24"/>
        </w:rPr>
      </w:pPr>
      <w:r>
        <w:rPr>
          <w:rFonts w:ascii="Times New Roman" w:hAnsi="Times New Roman"/>
          <w:color w:val="000000"/>
          <w:sz w:val="24"/>
        </w:rPr>
        <w:t>Name: Geoffrey J. Lewis</w:t>
      </w:r>
    </w:p>
    <w:p>
      <w:pPr>
        <w:pStyle w:val="TextBody"/>
        <w:bidi w:val="0"/>
        <w:jc w:val="both"/>
        <w:rPr>
          <w:rFonts w:ascii="Times New Roman" w:hAnsi="Times New Roman"/>
          <w:color w:val="000000"/>
          <w:sz w:val="24"/>
        </w:rPr>
      </w:pPr>
      <w:r>
        <w:rPr>
          <w:rFonts w:ascii="Times New Roman" w:hAnsi="Times New Roman"/>
          <w:color w:val="000000"/>
          <w:sz w:val="24"/>
        </w:rPr>
        <w:t>Title: Vice President</w:t>
      </w:r>
    </w:p>
    <w:p>
      <w:pPr>
        <w:pStyle w:val="TextBody"/>
        <w:bidi w:val="0"/>
        <w:spacing w:before="1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w:t>
      </w:r>
      <w:r>
        <w:rPr>
          <w:rFonts w:ascii="Times New Roman" w:hAnsi="Times New Roman"/>
          <w:color w:val="000000"/>
          <w:sz w:val="20"/>
        </w:rPr>
        <w:t xml:space="preserve"> </w:t>
      </w:r>
      <w:r>
        <w:rPr>
          <w:rFonts w:ascii="Times New Roman" w:hAnsi="Times New Roman"/>
          <w:i/>
          <w:color w:val="000000"/>
          <w:sz w:val="24"/>
        </w:rPr>
        <w:t>Page</w:t>
      </w:r>
      <w:r>
        <w:rPr>
          <w:rFonts w:ascii="Times New Roman" w:hAnsi="Times New Roman"/>
          <w:color w:val="000000"/>
          <w:sz w:val="20"/>
        </w:rPr>
        <w:t xml:space="preserve"> </w:t>
      </w:r>
      <w:r>
        <w:rPr>
          <w:rFonts w:ascii="Times New Roman" w:hAnsi="Times New Roman"/>
          <w:i/>
          <w:color w:val="000000"/>
          <w:sz w:val="24"/>
        </w:rPr>
        <w:t>to</w:t>
      </w:r>
      <w:r>
        <w:rPr>
          <w:rFonts w:ascii="Times New Roman" w:hAnsi="Times New Roman"/>
          <w:color w:val="000000"/>
          <w:sz w:val="20"/>
        </w:rPr>
        <w:t xml:space="preserve"> </w:t>
      </w:r>
      <w:r>
        <w:rPr>
          <w:rFonts w:ascii="Times New Roman" w:hAnsi="Times New Roman"/>
          <w:i/>
          <w:color w:val="000000"/>
          <w:sz w:val="24"/>
        </w:rPr>
        <w:t>the First Incremental Revolving Credit Commitment Supplement &amp; Amendment</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I</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[CERTAIN PORTIONS OF THIS SCHEDULE HAVE BEEN OMITTED OR REDACTED PURSUANT TO ITEM 601(B)(10)(IV) OF REGULATION S-K.]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8" w:name="axsm-ex31_1.htm"/>
      <w:bookmarkStart w:id="19" w:name="ksaxsmex31_1"/>
      <w:bookmarkEnd w:id="18"/>
      <w:bookmarkEnd w:id="19"/>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31.1</w:t>
      </w:r>
    </w:p>
    <w:p>
      <w:pPr>
        <w:pStyle w:val="TextBody"/>
        <w:bidi w:val="0"/>
        <w:jc w:val="righ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OF PERIODIC REPORT</w:t>
      </w:r>
    </w:p>
    <w:p>
      <w:pPr>
        <w:pStyle w:val="TextBody"/>
        <w:bidi w:val="0"/>
        <w:jc w:val="center"/>
        <w:rPr>
          <w:rFonts w:ascii="Times New Roman" w:hAnsi="Times New Roman"/>
          <w:b/>
          <w:color w:val="000000"/>
          <w:sz w:val="18"/>
        </w:rPr>
      </w:pPr>
      <w:r>
        <w:rPr>
          <w:rFonts w:ascii="Times New Roman" w:hAnsi="Times New Roman"/>
          <w:b/>
          <w:color w:val="000000"/>
          <w:sz w:val="18"/>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 Herriot Tabuteau, M.D., certify that: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1. I have reviewed this quarterly report on Form 10-Q of Axsome Therapeutics, Inc.;</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932" w:type="dxa"/>
        <w:jc w:val="left"/>
        <w:tblInd w:w="0" w:type="dxa"/>
        <w:tblLayout w:type="fixed"/>
        <w:tblCellMar>
          <w:top w:w="28" w:type="dxa"/>
          <w:left w:w="28" w:type="dxa"/>
          <w:bottom w:w="28" w:type="dxa"/>
          <w:right w:w="28" w:type="dxa"/>
        </w:tblCellMar>
      </w:tblPr>
      <w:tblGrid>
        <w:gridCol w:w="1741"/>
        <w:gridCol w:w="2191"/>
      </w:tblGrid>
      <w:tr>
        <w:trPr/>
        <w:tc>
          <w:tcPr>
            <w:tcW w:w="174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10, 2026</w:t>
            </w:r>
          </w:p>
        </w:tc>
        <w:tc>
          <w:tcPr>
            <w:tcW w:w="219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Herriot Tabuteau, M.D.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Herriot Tabuteau, M.D.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Chief Executive Officer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jc w:val="left"/>
        <w:rPr/>
      </w:pPr>
      <w:r>
        <w:rPr/>
        <w:t> </w:t>
      </w:r>
    </w:p>
    <w:p>
      <w:pPr>
        <w:pStyle w:val="TextBody"/>
        <w:bidi w:val="0"/>
        <w:spacing w:before="5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 w:name="axsm-ex31_2.htm"/>
      <w:bookmarkStart w:id="21" w:name="ksaxsmex31_2"/>
      <w:bookmarkEnd w:id="20"/>
      <w:bookmarkEnd w:id="21"/>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31.2</w:t>
      </w:r>
    </w:p>
    <w:p>
      <w:pPr>
        <w:pStyle w:val="TextBody"/>
        <w:bidi w:val="0"/>
        <w:jc w:val="righ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OF PERIODIC REPORT</w:t>
      </w:r>
    </w:p>
    <w:p>
      <w:pPr>
        <w:pStyle w:val="TextBody"/>
        <w:bidi w:val="0"/>
        <w:jc w:val="center"/>
        <w:rPr>
          <w:rFonts w:ascii="Times New Roman" w:hAnsi="Times New Roman"/>
          <w:b/>
          <w:color w:val="000000"/>
          <w:sz w:val="18"/>
        </w:rPr>
      </w:pPr>
      <w:r>
        <w:rPr>
          <w:rFonts w:ascii="Times New Roman" w:hAnsi="Times New Roman"/>
          <w:b/>
          <w:color w:val="000000"/>
          <w:sz w:val="18"/>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 Nick Pizzie, certify that: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1. I have reviewed this quarterly report on Form 10-Q of Axsome Therapeutics, Inc.;</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57" w:type="dxa"/>
        <w:jc w:val="left"/>
        <w:tblInd w:w="0" w:type="dxa"/>
        <w:tblLayout w:type="fixed"/>
        <w:tblCellMar>
          <w:top w:w="28" w:type="dxa"/>
          <w:left w:w="28" w:type="dxa"/>
          <w:bottom w:w="28" w:type="dxa"/>
          <w:right w:w="28" w:type="dxa"/>
        </w:tblCellMar>
      </w:tblPr>
      <w:tblGrid>
        <w:gridCol w:w="1741"/>
        <w:gridCol w:w="3316"/>
      </w:tblGrid>
      <w:tr>
        <w:trPr/>
        <w:tc>
          <w:tcPr>
            <w:tcW w:w="174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10, 2026</w:t>
            </w:r>
          </w:p>
        </w:tc>
        <w:tc>
          <w:tcPr>
            <w:tcW w:w="3316"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Nick Pizzie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Nick Pizzie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Financial and Accounting Officer)</w:t>
            </w:r>
          </w:p>
        </w:tc>
      </w:tr>
    </w:tbl>
    <w:p>
      <w:pPr>
        <w:pStyle w:val="TextBody"/>
        <w:bidi w:val="0"/>
        <w:jc w:val="left"/>
        <w:rPr/>
      </w:pPr>
      <w:r>
        <w:rPr/>
        <w:t> </w:t>
      </w:r>
    </w:p>
    <w:p>
      <w:pPr>
        <w:pStyle w:val="TextBody"/>
        <w:bidi w:val="0"/>
        <w:spacing w:before="5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axsm-ex32_1.htm"/>
      <w:bookmarkStart w:id="23" w:name="ksaxsmex32_1"/>
      <w:bookmarkEnd w:id="22"/>
      <w:bookmarkEnd w:id="23"/>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32.1</w:t>
      </w:r>
    </w:p>
    <w:p>
      <w:pPr>
        <w:pStyle w:val="TextBody"/>
        <w:bidi w:val="0"/>
        <w:jc w:val="righ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STATEMENT OF PRINCIPAL EXECUTIVE OFFICER OF</w:t>
        <w:br/>
        <w:t>AXSOME THERAPEUTICS, INC.</w:t>
        <w:br/>
        <w:t>PURSUANT TO 18 U.S.C. SECTION 1350,</w:t>
        <w:br/>
        <w:t>AS ADOPTED PURSUANT TO</w:t>
        <w:b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In connection with the quarterly report of Axsome Therapeutics, Inc. (the “Company”) on Form 10-Q for the quarter ended June 30, 2026 as filed with the Securities and Exchange Commission (the “Report”), I, Herriot Tabuteau, M.D., Chief Executive Officer of the Company, certify, pursuant to 18 U.S.C. §1350, as adopted pursuant to §906 of the Sarbanes-Oxley Act of 2002, that, based on my knowledge:</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1) The Report fully complies with the requirements of Section 13(a) or 15(d) of the Securities Exchange Act of 1934, as amended; and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2) The information contained in the Report fairly presents, in all material respects, the financial condition and results of operations of the Company.</w:t>
      </w:r>
    </w:p>
    <w:p>
      <w:pPr>
        <w:pStyle w:val="TextBody"/>
        <w:bidi w:val="0"/>
        <w:jc w:val="left"/>
        <w:rPr/>
      </w:pPr>
      <w:r>
        <w:rPr/>
        <w:t> </w:t>
      </w:r>
    </w:p>
    <w:tbl>
      <w:tblPr>
        <w:tblW w:w="3932" w:type="dxa"/>
        <w:jc w:val="left"/>
        <w:tblInd w:w="0" w:type="dxa"/>
        <w:tblLayout w:type="fixed"/>
        <w:tblCellMar>
          <w:top w:w="28" w:type="dxa"/>
          <w:left w:w="28" w:type="dxa"/>
          <w:bottom w:w="28" w:type="dxa"/>
          <w:right w:w="28" w:type="dxa"/>
        </w:tblCellMar>
      </w:tblPr>
      <w:tblGrid>
        <w:gridCol w:w="1741"/>
        <w:gridCol w:w="2191"/>
      </w:tblGrid>
      <w:tr>
        <w:trPr/>
        <w:tc>
          <w:tcPr>
            <w:tcW w:w="174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10, 2026</w:t>
            </w:r>
          </w:p>
        </w:tc>
        <w:tc>
          <w:tcPr>
            <w:tcW w:w="2191"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Herriot Tabuteau, M.D.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Herriot Tabuteau, M.D.</w:t>
              <w:br/>
              <w:t>Chief Executive Officer</w:t>
              <w:br/>
              <w:t>(Principal Executive Officer)</w:t>
            </w:r>
          </w:p>
        </w:tc>
      </w:tr>
    </w:tbl>
    <w:p>
      <w:pPr>
        <w:pStyle w:val="TextBody"/>
        <w:bidi w:val="0"/>
        <w:jc w:val="left"/>
        <w:rPr/>
      </w:pPr>
      <w:r>
        <w:rPr/>
        <w:t> </w:t>
      </w:r>
    </w:p>
    <w:p>
      <w:pPr>
        <w:pStyle w:val="TextBody"/>
        <w:bidi w:val="0"/>
        <w:spacing w:before="54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axsm-ex32_2.htm"/>
      <w:bookmarkStart w:id="25" w:name="ksaxsmex32_2"/>
      <w:bookmarkEnd w:id="24"/>
      <w:bookmarkEnd w:id="25"/>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32.2</w:t>
      </w:r>
    </w:p>
    <w:p>
      <w:pPr>
        <w:pStyle w:val="TextBody"/>
        <w:bidi w:val="0"/>
        <w:jc w:val="righ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STATEMENT OF PRINCIPAL FINANCIAL OFFICER OF</w:t>
        <w:br/>
        <w:t>AXSOME THERAPEUTICS, INC.</w:t>
        <w:br/>
        <w:t>PURSUANT TO 18 U.S.C. SECTION 1350,</w:t>
        <w:br/>
        <w:t>AS ADOPTED PURSUANT TO</w:t>
        <w:b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In connection with the quarterly report of Axsome Therapeutics, Inc. (the “Company”) on Form 10-Q for the quarter ended June 30, 2026 as filed with the Securities and Exchange Commission (the “Report”), I, Nick Pizzie, Chief Financial Officer of the Company, certify, pursuant to 18 U.S.C. §1350, as adopted pursuant to §906 of the Sarbanes-Oxley Act of 2002, that, based on my knowledge:</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1) The Report fully complies with the requirements of Section 13(a) or 15(d) of the Securities Exchange Act of 1934, as amended; and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2) The information contained in the Report fairly presents, in all material respects, the financial condition and results of operations of the Company.</w:t>
      </w:r>
    </w:p>
    <w:p>
      <w:pPr>
        <w:pStyle w:val="TextBody"/>
        <w:bidi w:val="0"/>
        <w:jc w:val="left"/>
        <w:rPr/>
      </w:pPr>
      <w:r>
        <w:rPr/>
        <w:t> </w:t>
      </w:r>
    </w:p>
    <w:tbl>
      <w:tblPr>
        <w:tblW w:w="5057" w:type="dxa"/>
        <w:jc w:val="left"/>
        <w:tblInd w:w="0" w:type="dxa"/>
        <w:tblLayout w:type="fixed"/>
        <w:tblCellMar>
          <w:top w:w="28" w:type="dxa"/>
          <w:left w:w="28" w:type="dxa"/>
          <w:bottom w:w="28" w:type="dxa"/>
          <w:right w:w="28" w:type="dxa"/>
        </w:tblCellMar>
      </w:tblPr>
      <w:tblGrid>
        <w:gridCol w:w="1741"/>
        <w:gridCol w:w="3316"/>
      </w:tblGrid>
      <w:tr>
        <w:trPr/>
        <w:tc>
          <w:tcPr>
            <w:tcW w:w="174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10, 2026</w:t>
            </w:r>
          </w:p>
        </w:tc>
        <w:tc>
          <w:tcPr>
            <w:tcW w:w="3316"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Nick Pizzie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Nick Pizzie</w:t>
              <w:br/>
              <w:t>Chief Financial Officer</w:t>
              <w:br/>
              <w:t>(Principal Financial and Accounting Officer)</w:t>
            </w:r>
          </w:p>
        </w:tc>
      </w:tr>
    </w:tbl>
    <w:p>
      <w:pPr>
        <w:pStyle w:val="TextBody"/>
        <w:bidi w:val="0"/>
        <w:jc w:val="left"/>
        <w:rPr/>
      </w:pPr>
      <w:r>
        <w:rPr/>
        <w:t> </w:t>
      </w:r>
    </w:p>
    <w:p>
      <w:pPr>
        <w:pStyle w:val="TextBody"/>
        <w:bidi w:val="0"/>
        <w:spacing w:before="54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9428/000119312526264047/axsm-ex10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73674</Words>
  <Characters>412029</Characters>
  <CharactersWithSpaces>485533</CharactersWithSpaces>
  <Paragraphs>6668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