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Arial" w:cs="Arial" w:eastAsia="Arial" w:hAnsi="Arial"/>
          <w:sz w:val="5"/>
          <w:szCs w:val="5"/>
          <w:color w:val="auto"/>
        </w:rPr>
        <w:t>3</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64770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10-K</w:t>
      </w:r>
    </w:p>
    <w:p>
      <w:pPr>
        <w:spacing w:after="0" w:line="2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6" w:lineRule="exact"/>
        <w:rPr>
          <w:sz w:val="24"/>
          <w:szCs w:val="24"/>
          <w:color w:val="auto"/>
        </w:rPr>
      </w:pPr>
    </w:p>
    <w:tbl>
      <w:tblPr>
        <w:tblLayout w:type="fixed"/>
        <w:tblInd w:w="58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4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For the transition period from ________ to ________</w:t>
            </w:r>
          </w:p>
        </w:tc>
        <w:tc>
          <w:tcPr>
            <w:tcW w:w="2840" w:type="dxa"/>
            <w:vAlign w:val="bottom"/>
          </w:tcPr>
          <w:p>
            <w:pPr>
              <w:spacing w:after="0"/>
              <w:rPr>
                <w:sz w:val="16"/>
                <w:szCs w:val="16"/>
                <w:color w:val="auto"/>
              </w:rPr>
            </w:pPr>
          </w:p>
        </w:tc>
      </w:tr>
      <w:tr>
        <w:trPr>
          <w:trHeight w:val="269"/>
        </w:trPr>
        <w:tc>
          <w:tcPr>
            <w:tcW w:w="3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2"/>
              </w:rPr>
              <w:t>Commission File Number 001-37635</w:t>
            </w:r>
          </w:p>
        </w:tc>
        <w:tc>
          <w:tcPr>
            <w:tcW w:w="2840" w:type="dxa"/>
            <w:vAlign w:val="bottom"/>
          </w:tcPr>
          <w:p>
            <w:pPr>
              <w:spacing w:after="0"/>
              <w:rPr>
                <w:sz w:val="23"/>
                <w:szCs w:val="23"/>
                <w:color w:val="auto"/>
              </w:rPr>
            </w:pPr>
          </w:p>
        </w:tc>
      </w:tr>
      <w:tr>
        <w:trPr>
          <w:trHeight w:val="81"/>
        </w:trPr>
        <w:tc>
          <w:tcPr>
            <w:tcW w:w="3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367"/>
        </w:trPr>
        <w:tc>
          <w:tcPr>
            <w:tcW w:w="3120" w:type="dxa"/>
            <w:vAlign w:val="bottom"/>
          </w:tcPr>
          <w:p>
            <w:pPr>
              <w:spacing w:after="0"/>
              <w:rPr>
                <w:sz w:val="24"/>
                <w:szCs w:val="24"/>
                <w:color w:val="auto"/>
              </w:rPr>
            </w:pPr>
          </w:p>
        </w:tc>
        <w:tc>
          <w:tcPr>
            <w:tcW w:w="4160" w:type="dxa"/>
            <w:vAlign w:val="bottom"/>
            <w:gridSpan w:val="3"/>
          </w:tcPr>
          <w:p>
            <w:pPr>
              <w:jc w:val="center"/>
              <w:ind w:right="320"/>
              <w:spacing w:after="0"/>
              <w:rPr>
                <w:sz w:val="20"/>
                <w:szCs w:val="20"/>
                <w:color w:val="auto"/>
              </w:rPr>
            </w:pPr>
            <w:r>
              <w:rPr>
                <w:rFonts w:ascii="Arial" w:cs="Arial" w:eastAsia="Arial" w:hAnsi="Arial"/>
                <w:sz w:val="25"/>
                <w:szCs w:val="25"/>
                <w:b w:val="1"/>
                <w:bCs w:val="1"/>
                <w:color w:val="auto"/>
              </w:rPr>
              <w:t>AXSOME THERAPEUTICS, INC.</w:t>
            </w:r>
          </w:p>
        </w:tc>
        <w:tc>
          <w:tcPr>
            <w:tcW w:w="2840" w:type="dxa"/>
            <w:vAlign w:val="bottom"/>
          </w:tcPr>
          <w:p>
            <w:pPr>
              <w:spacing w:after="0"/>
              <w:rPr>
                <w:sz w:val="24"/>
                <w:szCs w:val="24"/>
                <w:color w:val="auto"/>
              </w:rPr>
            </w:pPr>
          </w:p>
        </w:tc>
      </w:tr>
      <w:tr>
        <w:trPr>
          <w:trHeight w:val="195"/>
        </w:trPr>
        <w:tc>
          <w:tcPr>
            <w:tcW w:w="3120" w:type="dxa"/>
            <w:vAlign w:val="bottom"/>
          </w:tcPr>
          <w:p>
            <w:pPr>
              <w:spacing w:after="0"/>
              <w:rPr>
                <w:sz w:val="17"/>
                <w:szCs w:val="17"/>
                <w:color w:val="auto"/>
              </w:rPr>
            </w:pPr>
          </w:p>
        </w:tc>
        <w:tc>
          <w:tcPr>
            <w:tcW w:w="4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840" w:type="dxa"/>
            <w:vAlign w:val="bottom"/>
          </w:tcPr>
          <w:p>
            <w:pPr>
              <w:spacing w:after="0"/>
              <w:rPr>
                <w:sz w:val="17"/>
                <w:szCs w:val="17"/>
                <w:color w:val="auto"/>
              </w:rPr>
            </w:pPr>
          </w:p>
        </w:tc>
      </w:tr>
      <w:tr>
        <w:trPr>
          <w:trHeight w:val="614"/>
        </w:trPr>
        <w:tc>
          <w:tcPr>
            <w:tcW w:w="3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jc w:val="right"/>
              <w:ind w:right="1763"/>
              <w:spacing w:after="0"/>
              <w:rPr>
                <w:sz w:val="20"/>
                <w:szCs w:val="20"/>
                <w:color w:val="auto"/>
              </w:rPr>
            </w:pPr>
            <w:r>
              <w:rPr>
                <w:rFonts w:ascii="Arial" w:cs="Arial" w:eastAsia="Arial" w:hAnsi="Arial"/>
                <w:sz w:val="18"/>
                <w:szCs w:val="18"/>
                <w:b w:val="1"/>
                <w:bCs w:val="1"/>
                <w:color w:val="auto"/>
              </w:rPr>
              <w:t>45-4241907</w:t>
            </w:r>
          </w:p>
        </w:tc>
      </w:tr>
      <w:tr>
        <w:trPr>
          <w:trHeight w:val="148"/>
        </w:trPr>
        <w:tc>
          <w:tcPr>
            <w:tcW w:w="3120" w:type="dxa"/>
            <w:vAlign w:val="bottom"/>
          </w:tcPr>
          <w:p>
            <w:pPr>
              <w:jc w:val="center"/>
              <w:ind w:left="1279"/>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40" w:type="dxa"/>
            <w:vAlign w:val="bottom"/>
          </w:tcPr>
          <w:p>
            <w:pPr>
              <w:jc w:val="center"/>
              <w:ind w:right="1623"/>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120" w:type="dxa"/>
            <w:vAlign w:val="bottom"/>
          </w:tcPr>
          <w:p>
            <w:pPr>
              <w:jc w:val="center"/>
              <w:ind w:left="1279"/>
              <w:spacing w:after="0"/>
              <w:rPr>
                <w:sz w:val="20"/>
                <w:szCs w:val="20"/>
                <w:color w:val="auto"/>
              </w:rPr>
            </w:pPr>
            <w:r>
              <w:rPr>
                <w:rFonts w:ascii="Arial" w:cs="Arial" w:eastAsia="Arial" w:hAnsi="Arial"/>
                <w:sz w:val="14"/>
                <w:szCs w:val="14"/>
                <w:color w:val="auto"/>
                <w:w w:val="94"/>
              </w:rPr>
              <w:t>incorporation or organization)</w:t>
            </w:r>
          </w:p>
        </w:tc>
        <w:tc>
          <w:tcPr>
            <w:tcW w:w="3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40" w:type="dxa"/>
            <w:vAlign w:val="bottom"/>
          </w:tcPr>
          <w:p>
            <w:pPr>
              <w:jc w:val="center"/>
              <w:ind w:right="1623"/>
              <w:spacing w:after="0"/>
              <w:rPr>
                <w:sz w:val="20"/>
                <w:szCs w:val="20"/>
                <w:color w:val="auto"/>
              </w:rPr>
            </w:pPr>
            <w:r>
              <w:rPr>
                <w:rFonts w:ascii="Arial" w:cs="Arial" w:eastAsia="Arial" w:hAnsi="Arial"/>
                <w:sz w:val="14"/>
                <w:szCs w:val="14"/>
                <w:color w:val="auto"/>
                <w:w w:val="97"/>
              </w:rPr>
              <w:t>Identification No.)</w:t>
            </w:r>
          </w:p>
        </w:tc>
      </w:tr>
      <w:tr>
        <w:trPr>
          <w:trHeight w:val="264"/>
        </w:trPr>
        <w:tc>
          <w:tcPr>
            <w:tcW w:w="3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1"/>
              </w:rPr>
              <w:t>22 Cortlandt Street</w:t>
            </w:r>
          </w:p>
        </w:tc>
        <w:tc>
          <w:tcPr>
            <w:tcW w:w="3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16"/>
        </w:trPr>
        <w:tc>
          <w:tcPr>
            <w:tcW w:w="312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40" w:type="dxa"/>
            <w:vAlign w:val="bottom"/>
          </w:tcPr>
          <w:p>
            <w:pPr>
              <w:jc w:val="right"/>
              <w:ind w:right="1963"/>
              <w:spacing w:after="0"/>
              <w:rPr>
                <w:sz w:val="20"/>
                <w:szCs w:val="20"/>
                <w:color w:val="auto"/>
              </w:rPr>
            </w:pPr>
            <w:r>
              <w:rPr>
                <w:rFonts w:ascii="Arial" w:cs="Arial" w:eastAsia="Arial" w:hAnsi="Arial"/>
                <w:sz w:val="18"/>
                <w:szCs w:val="18"/>
                <w:b w:val="1"/>
                <w:bCs w:val="1"/>
                <w:color w:val="auto"/>
              </w:rPr>
              <w:t>10007</w:t>
            </w:r>
          </w:p>
        </w:tc>
      </w:tr>
      <w:tr>
        <w:trPr>
          <w:trHeight w:val="216"/>
        </w:trPr>
        <w:tc>
          <w:tcPr>
            <w:tcW w:w="3120" w:type="dxa"/>
            <w:vAlign w:val="bottom"/>
          </w:tcPr>
          <w:p>
            <w:pPr>
              <w:jc w:val="center"/>
              <w:ind w:left="1259"/>
              <w:spacing w:after="0"/>
              <w:rPr>
                <w:sz w:val="20"/>
                <w:szCs w:val="20"/>
                <w:color w:val="auto"/>
              </w:rPr>
            </w:pPr>
            <w:r>
              <w:rPr>
                <w:rFonts w:ascii="Arial" w:cs="Arial" w:eastAsia="Arial" w:hAnsi="Arial"/>
                <w:sz w:val="18"/>
                <w:szCs w:val="18"/>
                <w:b w:val="1"/>
                <w:bCs w:val="1"/>
                <w:color w:val="auto"/>
                <w:w w:val="93"/>
              </w:rPr>
              <w:t>New York, New York</w:t>
            </w: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40" w:type="dxa"/>
            <w:vAlign w:val="bottom"/>
          </w:tcPr>
          <w:p>
            <w:pPr>
              <w:jc w:val="center"/>
              <w:ind w:right="1623"/>
              <w:spacing w:after="0"/>
              <w:rPr>
                <w:sz w:val="20"/>
                <w:szCs w:val="20"/>
                <w:color w:val="auto"/>
              </w:rPr>
            </w:pPr>
            <w:r>
              <w:rPr>
                <w:rFonts w:ascii="Arial" w:cs="Arial" w:eastAsia="Arial" w:hAnsi="Arial"/>
                <w:sz w:val="14"/>
                <w:szCs w:val="14"/>
                <w:color w:val="auto"/>
                <w:w w:val="93"/>
              </w:rPr>
              <w:t>(Zip Code)</w:t>
            </w:r>
          </w:p>
        </w:tc>
      </w:tr>
      <w:tr>
        <w:trPr>
          <w:trHeight w:val="182"/>
        </w:trPr>
        <w:tc>
          <w:tcPr>
            <w:tcW w:w="7280" w:type="dxa"/>
            <w:vAlign w:val="bottom"/>
            <w:gridSpan w:val="4"/>
          </w:tcPr>
          <w:p>
            <w:pPr>
              <w:jc w:val="center"/>
              <w:ind w:right="2800"/>
              <w:spacing w:after="0"/>
              <w:rPr>
                <w:sz w:val="20"/>
                <w:szCs w:val="20"/>
                <w:color w:val="auto"/>
              </w:rPr>
            </w:pPr>
            <w:r>
              <w:rPr>
                <w:rFonts w:ascii="Arial" w:cs="Arial" w:eastAsia="Arial" w:hAnsi="Arial"/>
                <w:sz w:val="14"/>
                <w:szCs w:val="14"/>
                <w:color w:val="auto"/>
                <w:w w:val="95"/>
              </w:rPr>
              <w:t>(Address of principal executive offices)</w:t>
            </w:r>
          </w:p>
        </w:tc>
        <w:tc>
          <w:tcPr>
            <w:tcW w:w="2840" w:type="dxa"/>
            <w:vAlign w:val="bottom"/>
          </w:tcPr>
          <w:p>
            <w:pPr>
              <w:spacing w:after="0"/>
              <w:rPr>
                <w:sz w:val="15"/>
                <w:szCs w:val="15"/>
                <w:color w:val="auto"/>
              </w:rPr>
            </w:pPr>
          </w:p>
        </w:tc>
      </w:tr>
      <w:tr>
        <w:trPr>
          <w:trHeight w:val="269"/>
        </w:trPr>
        <w:tc>
          <w:tcPr>
            <w:tcW w:w="10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r>
      <w:tr>
        <w:trPr>
          <w:trHeight w:val="283"/>
        </w:trPr>
        <w:tc>
          <w:tcPr>
            <w:tcW w:w="7280" w:type="dxa"/>
            <w:vAlign w:val="bottom"/>
            <w:gridSpan w:val="4"/>
          </w:tcPr>
          <w:p>
            <w:pPr>
              <w:jc w:val="center"/>
              <w:ind w:left="271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840" w:type="dxa"/>
            <w:vAlign w:val="bottom"/>
          </w:tcPr>
          <w:p>
            <w:pPr>
              <w:spacing w:after="0"/>
              <w:rPr>
                <w:sz w:val="24"/>
                <w:szCs w:val="24"/>
                <w:color w:val="auto"/>
              </w:rPr>
            </w:pPr>
          </w:p>
        </w:tc>
      </w:tr>
      <w:tr>
        <w:trPr>
          <w:trHeight w:val="595"/>
        </w:trPr>
        <w:tc>
          <w:tcPr>
            <w:tcW w:w="3120" w:type="dxa"/>
            <w:vAlign w:val="bottom"/>
          </w:tcPr>
          <w:p>
            <w:pPr>
              <w:jc w:val="center"/>
              <w:ind w:right="439"/>
              <w:spacing w:after="0"/>
              <w:rPr>
                <w:sz w:val="20"/>
                <w:szCs w:val="20"/>
                <w:color w:val="auto"/>
              </w:rPr>
            </w:pPr>
            <w:r>
              <w:rPr>
                <w:rFonts w:ascii="Arial" w:cs="Arial" w:eastAsia="Arial" w:hAnsi="Arial"/>
                <w:sz w:val="14"/>
                <w:szCs w:val="14"/>
                <w:color w:val="auto"/>
                <w:w w:val="93"/>
              </w:rPr>
              <w:t>Title of each class:</w:t>
            </w:r>
          </w:p>
        </w:tc>
        <w:tc>
          <w:tcPr>
            <w:tcW w:w="380" w:type="dxa"/>
            <w:vAlign w:val="bottom"/>
          </w:tcPr>
          <w:p>
            <w:pPr>
              <w:spacing w:after="0"/>
              <w:rPr>
                <w:sz w:val="24"/>
                <w:szCs w:val="24"/>
                <w:color w:val="auto"/>
              </w:rPr>
            </w:pPr>
          </w:p>
        </w:tc>
        <w:tc>
          <w:tcPr>
            <w:tcW w:w="378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Trading Symbol(s)</w:t>
            </w:r>
          </w:p>
        </w:tc>
        <w:tc>
          <w:tcPr>
            <w:tcW w:w="2840" w:type="dxa"/>
            <w:vAlign w:val="bottom"/>
          </w:tcPr>
          <w:p>
            <w:pPr>
              <w:jc w:val="center"/>
              <w:ind w:left="103"/>
              <w:spacing w:after="0"/>
              <w:rPr>
                <w:sz w:val="20"/>
                <w:szCs w:val="20"/>
                <w:color w:val="auto"/>
              </w:rPr>
            </w:pPr>
            <w:r>
              <w:rPr>
                <w:rFonts w:ascii="Arial" w:cs="Arial" w:eastAsia="Arial" w:hAnsi="Arial"/>
                <w:sz w:val="14"/>
                <w:szCs w:val="14"/>
                <w:color w:val="auto"/>
                <w:w w:val="92"/>
              </w:rPr>
              <w:t>Name of Each Exchange on Which Registered</w:t>
            </w:r>
          </w:p>
        </w:tc>
      </w:tr>
      <w:tr>
        <w:trPr>
          <w:trHeight w:val="263"/>
        </w:trPr>
        <w:tc>
          <w:tcPr>
            <w:tcW w:w="3120" w:type="dxa"/>
            <w:vAlign w:val="bottom"/>
          </w:tcPr>
          <w:p>
            <w:pPr>
              <w:jc w:val="center"/>
              <w:ind w:right="419"/>
              <w:spacing w:after="0"/>
              <w:rPr>
                <w:sz w:val="20"/>
                <w:szCs w:val="20"/>
                <w:color w:val="auto"/>
              </w:rPr>
            </w:pPr>
            <w:r>
              <w:rPr>
                <w:rFonts w:ascii="Arial" w:cs="Arial" w:eastAsia="Arial" w:hAnsi="Arial"/>
                <w:sz w:val="14"/>
                <w:szCs w:val="14"/>
                <w:color w:val="auto"/>
                <w:w w:val="91"/>
              </w:rPr>
              <w:t>Common Stock, Par Value $0.0001 Per Share</w:t>
            </w:r>
          </w:p>
        </w:tc>
        <w:tc>
          <w:tcPr>
            <w:tcW w:w="380" w:type="dxa"/>
            <w:vAlign w:val="bottom"/>
          </w:tcPr>
          <w:p>
            <w:pPr>
              <w:spacing w:after="0"/>
              <w:rPr>
                <w:sz w:val="22"/>
                <w:szCs w:val="22"/>
                <w:color w:val="auto"/>
              </w:rPr>
            </w:pPr>
          </w:p>
        </w:tc>
        <w:tc>
          <w:tcPr>
            <w:tcW w:w="3780" w:type="dxa"/>
            <w:vAlign w:val="bottom"/>
            <w:gridSpan w:val="2"/>
          </w:tcPr>
          <w:p>
            <w:pPr>
              <w:jc w:val="center"/>
              <w:ind w:right="680"/>
              <w:spacing w:after="0"/>
              <w:rPr>
                <w:sz w:val="20"/>
                <w:szCs w:val="20"/>
                <w:color w:val="auto"/>
              </w:rPr>
            </w:pPr>
            <w:r>
              <w:rPr>
                <w:rFonts w:ascii="Arial" w:cs="Arial" w:eastAsia="Arial" w:hAnsi="Arial"/>
                <w:sz w:val="14"/>
                <w:szCs w:val="14"/>
                <w:color w:val="auto"/>
              </w:rPr>
              <w:t>AXSM</w:t>
            </w:r>
          </w:p>
        </w:tc>
        <w:tc>
          <w:tcPr>
            <w:tcW w:w="2840" w:type="dxa"/>
            <w:vAlign w:val="bottom"/>
          </w:tcPr>
          <w:p>
            <w:pPr>
              <w:jc w:val="center"/>
              <w:ind w:left="103"/>
              <w:spacing w:after="0"/>
              <w:rPr>
                <w:sz w:val="20"/>
                <w:szCs w:val="20"/>
                <w:color w:val="auto"/>
              </w:rPr>
            </w:pPr>
            <w:r>
              <w:rPr>
                <w:rFonts w:ascii="Arial" w:cs="Arial" w:eastAsia="Arial" w:hAnsi="Arial"/>
                <w:sz w:val="14"/>
                <w:szCs w:val="14"/>
                <w:color w:val="auto"/>
                <w:w w:val="93"/>
              </w:rPr>
              <w:t>Nasdaq Global Market</w:t>
            </w:r>
          </w:p>
        </w:tc>
      </w:tr>
      <w:tr>
        <w:trPr>
          <w:trHeight w:val="182"/>
        </w:trPr>
        <w:tc>
          <w:tcPr>
            <w:tcW w:w="3120" w:type="dxa"/>
            <w:vAlign w:val="bottom"/>
          </w:tcPr>
          <w:p>
            <w:pPr>
              <w:jc w:val="center"/>
              <w:ind w:right="419"/>
              <w:spacing w:after="0"/>
              <w:rPr>
                <w:sz w:val="20"/>
                <w:szCs w:val="20"/>
                <w:color w:val="auto"/>
              </w:rPr>
            </w:pPr>
            <w:r>
              <w:rPr>
                <w:rFonts w:ascii="Arial" w:cs="Arial" w:eastAsia="Arial" w:hAnsi="Arial"/>
                <w:sz w:val="14"/>
                <w:szCs w:val="14"/>
                <w:color w:val="auto"/>
                <w:w w:val="95"/>
              </w:rPr>
              <w:t>(Title of Class)</w:t>
            </w:r>
          </w:p>
        </w:tc>
        <w:tc>
          <w:tcPr>
            <w:tcW w:w="3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40" w:type="dxa"/>
            <w:vAlign w:val="bottom"/>
          </w:tcPr>
          <w:p>
            <w:pPr>
              <w:spacing w:after="0"/>
              <w:rPr>
                <w:sz w:val="15"/>
                <w:szCs w:val="15"/>
                <w:color w:val="auto"/>
              </w:rPr>
            </w:pPr>
          </w:p>
        </w:tc>
      </w:tr>
    </w:tbl>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None</w:t>
      </w:r>
    </w:p>
    <w:p>
      <w:pPr>
        <w:spacing w:after="0" w:line="28"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ind w:left="7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2" w:lineRule="exact"/>
        <w:rPr>
          <w:sz w:val="24"/>
          <w:szCs w:val="24"/>
          <w:color w:val="auto"/>
        </w:rPr>
      </w:pPr>
    </w:p>
    <w:p>
      <w:pPr>
        <w:ind w:left="7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220" w:firstLine="74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60" w:firstLine="74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60" w:firstLine="74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 and “emerging growth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160"/>
              <w:spacing w:after="0"/>
              <w:rPr>
                <w:sz w:val="20"/>
                <w:szCs w:val="20"/>
                <w:color w:val="auto"/>
              </w:rPr>
            </w:pPr>
            <w:r>
              <w:rPr>
                <w:rFonts w:ascii="Arial" w:cs="Arial" w:eastAsia="Arial" w:hAnsi="Arial"/>
                <w:sz w:val="14"/>
                <w:szCs w:val="14"/>
                <w:color w:val="auto"/>
              </w:rPr>
              <w:t>Accelerated Filer</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160"/>
              <w:spacing w:after="0"/>
              <w:rPr>
                <w:sz w:val="20"/>
                <w:szCs w:val="20"/>
                <w:color w:val="auto"/>
              </w:rPr>
            </w:pPr>
            <w:r>
              <w:rPr>
                <w:rFonts w:ascii="Arial" w:cs="Arial" w:eastAsia="Arial" w:hAnsi="Arial"/>
                <w:sz w:val="14"/>
                <w:szCs w:val="14"/>
                <w:color w:val="auto"/>
              </w:rPr>
              <w:t>Smaller reporting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8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080" w:type="dxa"/>
            <w:vAlign w:val="bottom"/>
          </w:tcPr>
          <w:p>
            <w:pPr>
              <w:ind w:left="1160"/>
              <w:spacing w:after="0"/>
              <w:rPr>
                <w:sz w:val="20"/>
                <w:szCs w:val="20"/>
                <w:color w:val="auto"/>
              </w:rPr>
            </w:pPr>
            <w:r>
              <w:rPr>
                <w:rFonts w:ascii="Arial" w:cs="Arial" w:eastAsia="Arial" w:hAnsi="Arial"/>
                <w:sz w:val="14"/>
                <w:szCs w:val="14"/>
                <w:color w:val="auto"/>
              </w:rPr>
              <w:t>Emerging growth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400" w:firstLine="7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74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7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0" w:firstLine="749"/>
        <w:spacing w:after="0" w:line="270" w:lineRule="auto"/>
        <w:rPr>
          <w:sz w:val="20"/>
          <w:szCs w:val="20"/>
          <w:color w:val="auto"/>
        </w:rPr>
      </w:pPr>
      <w:r>
        <w:rPr>
          <w:rFonts w:ascii="Arial" w:cs="Arial" w:eastAsia="Arial" w:hAnsi="Arial"/>
          <w:sz w:val="13"/>
          <w:szCs w:val="13"/>
          <w:color w:val="auto"/>
        </w:rPr>
        <w:t>The aggregate market value of voting common stock held by non-affiliates of the registrant (assuming for purposes of this calculation, without conceding, that all executive officers and directors are “affiliates”) was approximately 2.4 billion as of June 30, 2020, based on the closing sale price of such stock as reported on the Nasdaq Global Market.</w:t>
      </w:r>
    </w:p>
    <w:p>
      <w:pPr>
        <w:spacing w:after="0" w:line="1" w:lineRule="exact"/>
        <w:rPr>
          <w:sz w:val="24"/>
          <w:szCs w:val="24"/>
          <w:color w:val="auto"/>
        </w:rPr>
      </w:pPr>
    </w:p>
    <w:p>
      <w:pPr>
        <w:ind w:left="760"/>
        <w:spacing w:after="0"/>
        <w:rPr>
          <w:sz w:val="20"/>
          <w:szCs w:val="20"/>
          <w:color w:val="auto"/>
        </w:rPr>
      </w:pPr>
      <w:r>
        <w:rPr>
          <w:rFonts w:ascii="Arial" w:cs="Arial" w:eastAsia="Arial" w:hAnsi="Arial"/>
          <w:sz w:val="14"/>
          <w:szCs w:val="14"/>
          <w:color w:val="auto"/>
        </w:rPr>
        <w:t>There were 37,405,268 shares of the registrant’s common stock outstanding as of February 22, 2021.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3" w:lineRule="exact"/>
        <w:rPr>
          <w:sz w:val="24"/>
          <w:szCs w:val="24"/>
          <w:color w:val="auto"/>
        </w:rPr>
      </w:pPr>
    </w:p>
    <w:p>
      <w:pPr>
        <w:jc w:val="both"/>
        <w:ind w:firstLine="749"/>
        <w:spacing w:after="0" w:line="238"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(the "Proxy Statement"), to be filed within 120 days of the registrant's fiscal year ended December 31, 2020,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780" w:type="dxa"/>
            <w:vAlign w:val="bottom"/>
          </w:tcPr>
          <w:p>
            <w:pPr>
              <w:jc w:val="center"/>
              <w:ind w:right="37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5"/>
        </w:trPr>
        <w:tc>
          <w:tcPr>
            <w:tcW w:w="9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78"/>
              </w:rPr>
              <w:t>Page</w:t>
            </w:r>
          </w:p>
        </w:tc>
      </w:tr>
      <w:tr>
        <w:trPr>
          <w:trHeight w:val="358"/>
        </w:trPr>
        <w:tc>
          <w:tcPr>
            <w:tcW w:w="107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tc>
        <w:tc>
          <w:tcPr>
            <w:tcW w:w="36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960" w:type="dxa"/>
            <w:vAlign w:val="bottom"/>
          </w:tcPr>
          <w:p>
            <w:pPr>
              <w:spacing w:after="0"/>
              <w:rPr>
                <w:sz w:val="24"/>
                <w:szCs w:val="24"/>
                <w:color w:val="auto"/>
              </w:rPr>
            </w:pPr>
          </w:p>
        </w:tc>
        <w:tc>
          <w:tcPr>
            <w:tcW w:w="9780" w:type="dxa"/>
            <w:vAlign w:val="bottom"/>
          </w:tcPr>
          <w:p>
            <w:pPr>
              <w:jc w:val="center"/>
              <w:ind w:right="350"/>
              <w:spacing w:after="0"/>
              <w:rPr>
                <w:rFonts w:ascii="Arial" w:cs="Arial" w:eastAsia="Arial" w:hAnsi="Arial"/>
                <w:sz w:val="18"/>
                <w:szCs w:val="18"/>
                <w:b w:val="1"/>
                <w:bCs w:val="1"/>
                <w:u w:val="single" w:color="auto"/>
                <w:color w:val="0000EE"/>
                <w:w w:val="98"/>
              </w:rPr>
            </w:pPr>
            <w:hyperlink w:anchor="page5">
              <w:r>
                <w:rPr>
                  <w:rFonts w:ascii="Arial" w:cs="Arial" w:eastAsia="Arial" w:hAnsi="Arial"/>
                  <w:sz w:val="18"/>
                  <w:szCs w:val="18"/>
                  <w:b w:val="1"/>
                  <w:bCs w:val="1"/>
                  <w:u w:val="single" w:color="auto"/>
                  <w:color w:val="0000EE"/>
                  <w:w w:val="98"/>
                </w:rPr>
                <w:t>PART I</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780" w:type="dxa"/>
            <w:vAlign w:val="bottom"/>
          </w:tcPr>
          <w:p>
            <w:pPr>
              <w:ind w:left="2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Unresolved Staff Comments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Properties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Legal Proceedings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Mine Safety Disclosures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338"/>
        </w:trPr>
        <w:tc>
          <w:tcPr>
            <w:tcW w:w="960" w:type="dxa"/>
            <w:vAlign w:val="bottom"/>
          </w:tcPr>
          <w:p>
            <w:pPr>
              <w:spacing w:after="0"/>
              <w:rPr>
                <w:sz w:val="24"/>
                <w:szCs w:val="24"/>
                <w:color w:val="auto"/>
              </w:rPr>
            </w:pPr>
          </w:p>
        </w:tc>
        <w:tc>
          <w:tcPr>
            <w:tcW w:w="9780" w:type="dxa"/>
            <w:vAlign w:val="bottom"/>
          </w:tcPr>
          <w:p>
            <w:pPr>
              <w:jc w:val="center"/>
              <w:ind w:right="35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PART II</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tcPr>
          <w:p>
            <w:pPr>
              <w:ind w:left="2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78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Selected Financial Data</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780" w:type="dxa"/>
            <w:vAlign w:val="bottom"/>
          </w:tcPr>
          <w:p>
            <w:pPr>
              <w:ind w:left="2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780" w:type="dxa"/>
            <w:vAlign w:val="bottom"/>
          </w:tcPr>
          <w:p>
            <w:pPr>
              <w:ind w:left="2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Quantitative and Qualitative Disclosure About Market Risk</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9780" w:type="dxa"/>
            <w:vAlign w:val="bottom"/>
          </w:tcPr>
          <w:p>
            <w:pPr>
              <w:ind w:left="2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Financial Statements and Supplementary Data</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tcPr>
          <w:p>
            <w:pPr>
              <w:ind w:left="2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Changes in and Disagreements With Accountants on Accounting and Financial Disclosure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9780" w:type="dxa"/>
            <w:vAlign w:val="bottom"/>
          </w:tcPr>
          <w:p>
            <w:pPr>
              <w:ind w:left="2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Controls and Procedures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9780" w:type="dxa"/>
            <w:vAlign w:val="bottom"/>
          </w:tcPr>
          <w:p>
            <w:pPr>
              <w:ind w:left="2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Other Information</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338"/>
        </w:trPr>
        <w:tc>
          <w:tcPr>
            <w:tcW w:w="960" w:type="dxa"/>
            <w:vAlign w:val="bottom"/>
          </w:tcPr>
          <w:p>
            <w:pPr>
              <w:spacing w:after="0"/>
              <w:rPr>
                <w:sz w:val="24"/>
                <w:szCs w:val="24"/>
                <w:color w:val="auto"/>
              </w:rPr>
            </w:pPr>
          </w:p>
        </w:tc>
        <w:tc>
          <w:tcPr>
            <w:tcW w:w="9780" w:type="dxa"/>
            <w:vAlign w:val="bottom"/>
          </w:tcPr>
          <w:p>
            <w:pPr>
              <w:jc w:val="center"/>
              <w:ind w:right="370"/>
              <w:spacing w:after="0"/>
              <w:rPr>
                <w:rFonts w:ascii="Arial" w:cs="Arial" w:eastAsia="Arial" w:hAnsi="Arial"/>
                <w:sz w:val="18"/>
                <w:szCs w:val="18"/>
                <w:b w:val="1"/>
                <w:bCs w:val="1"/>
                <w:u w:val="single" w:color="auto"/>
                <w:color w:val="0000EE"/>
              </w:rPr>
            </w:pPr>
            <w:hyperlink w:anchor="page122">
              <w:r>
                <w:rPr>
                  <w:rFonts w:ascii="Arial" w:cs="Arial" w:eastAsia="Arial" w:hAnsi="Arial"/>
                  <w:sz w:val="18"/>
                  <w:szCs w:val="18"/>
                  <w:b w:val="1"/>
                  <w:bCs w:val="1"/>
                  <w:u w:val="single" w:color="auto"/>
                  <w:color w:val="0000EE"/>
                </w:rPr>
                <w:t>PART III</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tcPr>
          <w:p>
            <w:pPr>
              <w:ind w:left="2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Directors, Executive Officers and Corporate Governance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9780" w:type="dxa"/>
            <w:vAlign w:val="bottom"/>
          </w:tcPr>
          <w:p>
            <w:pPr>
              <w:ind w:left="2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Executive Compensation</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tcPr>
          <w:p>
            <w:pPr>
              <w:ind w:left="2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Security Ownership of Certain Beneficial Owners and Management and Related Stockholder Matters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9780" w:type="dxa"/>
            <w:vAlign w:val="bottom"/>
          </w:tcPr>
          <w:p>
            <w:pPr>
              <w:ind w:left="2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Certain Relationships and Related Transactions and Director Independence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780" w:type="dxa"/>
            <w:vAlign w:val="bottom"/>
          </w:tcPr>
          <w:p>
            <w:pPr>
              <w:ind w:left="2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Principal Accountant Fees and Services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338"/>
        </w:trPr>
        <w:tc>
          <w:tcPr>
            <w:tcW w:w="960" w:type="dxa"/>
            <w:vAlign w:val="bottom"/>
          </w:tcPr>
          <w:p>
            <w:pPr>
              <w:spacing w:after="0"/>
              <w:rPr>
                <w:sz w:val="24"/>
                <w:szCs w:val="24"/>
                <w:color w:val="auto"/>
              </w:rPr>
            </w:pPr>
          </w:p>
        </w:tc>
        <w:tc>
          <w:tcPr>
            <w:tcW w:w="9780" w:type="dxa"/>
            <w:vAlign w:val="bottom"/>
          </w:tcPr>
          <w:p>
            <w:pPr>
              <w:jc w:val="center"/>
              <w:ind w:right="370"/>
              <w:spacing w:after="0"/>
              <w:rPr>
                <w:rFonts w:ascii="Arial" w:cs="Arial" w:eastAsia="Arial" w:hAnsi="Arial"/>
                <w:sz w:val="18"/>
                <w:szCs w:val="18"/>
                <w:b w:val="1"/>
                <w:bCs w:val="1"/>
                <w:u w:val="single" w:color="auto"/>
                <w:color w:val="0000EE"/>
              </w:rPr>
            </w:pPr>
            <w:hyperlink w:anchor="page123">
              <w:r>
                <w:rPr>
                  <w:rFonts w:ascii="Arial" w:cs="Arial" w:eastAsia="Arial" w:hAnsi="Arial"/>
                  <w:sz w:val="18"/>
                  <w:szCs w:val="18"/>
                  <w:b w:val="1"/>
                  <w:bCs w:val="1"/>
                  <w:u w:val="single" w:color="auto"/>
                  <w:color w:val="0000EE"/>
                </w:rPr>
                <w:t>PART IV</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780" w:type="dxa"/>
            <w:vAlign w:val="bottom"/>
          </w:tcPr>
          <w:p>
            <w:pPr>
              <w:ind w:left="2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Exhibits and Financial Statement Schedules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9780" w:type="dxa"/>
            <w:vAlign w:val="bottom"/>
          </w:tcPr>
          <w:p>
            <w:pPr>
              <w:ind w:left="2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Form 10-K Summary</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960" w:type="dxa"/>
            <w:vAlign w:val="bottom"/>
          </w:tcPr>
          <w:p>
            <w:pPr>
              <w:spacing w:after="0"/>
              <w:rPr>
                <w:sz w:val="20"/>
                <w:szCs w:val="20"/>
                <w:color w:val="auto"/>
              </w:rPr>
            </w:pPr>
          </w:p>
        </w:tc>
        <w:tc>
          <w:tcPr>
            <w:tcW w:w="9780" w:type="dxa"/>
            <w:vAlign w:val="bottom"/>
          </w:tcPr>
          <w:p>
            <w:pPr>
              <w:ind w:left="24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Signatures</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661"/>
        </w:trPr>
        <w:tc>
          <w:tcPr>
            <w:tcW w:w="960" w:type="dxa"/>
            <w:vAlign w:val="bottom"/>
          </w:tcPr>
          <w:p>
            <w:pPr>
              <w:spacing w:after="0"/>
              <w:rPr>
                <w:sz w:val="24"/>
                <w:szCs w:val="24"/>
                <w:color w:val="auto"/>
              </w:rPr>
            </w:pPr>
          </w:p>
        </w:tc>
        <w:tc>
          <w:tcPr>
            <w:tcW w:w="9780" w:type="dxa"/>
            <w:vAlign w:val="bottom"/>
          </w:tcPr>
          <w:p>
            <w:pPr>
              <w:jc w:val="center"/>
              <w:ind w:right="370"/>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9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2" w:lineRule="exact"/>
        <w:rPr>
          <w:sz w:val="20"/>
          <w:szCs w:val="20"/>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25"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the sufficiency of our existing capital resources combined with future anticipated cash flows to finance our operating requirements;</w:t>
      </w:r>
    </w:p>
    <w:p>
      <w:pPr>
        <w:spacing w:after="0" w:line="248" w:lineRule="exact"/>
        <w:rPr>
          <w:rFonts w:ascii="Arial" w:cs="Arial" w:eastAsia="Arial" w:hAnsi="Arial"/>
          <w:sz w:val="16"/>
          <w:szCs w:val="16"/>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arising from or related to COVID-19;</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0" w:lineRule="exact"/>
        <w:rPr>
          <w:sz w:val="20"/>
          <w:szCs w:val="20"/>
          <w:color w:val="auto"/>
        </w:rPr>
      </w:pPr>
    </w:p>
    <w:p>
      <w:pPr>
        <w:ind w:right="140" w:firstLine="832"/>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60" w:firstLine="832"/>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832"/>
        <w:spacing w:after="0" w:line="267" w:lineRule="auto"/>
        <w:rPr>
          <w:sz w:val="20"/>
          <w:szCs w:val="20"/>
          <w:color w:val="auto"/>
        </w:rPr>
      </w:pPr>
      <w:r>
        <w:rPr>
          <w:rFonts w:ascii="Arial" w:cs="Arial" w:eastAsia="Arial" w:hAnsi="Arial"/>
          <w:sz w:val="17"/>
          <w:szCs w:val="17"/>
          <w:color w:val="auto"/>
        </w:rPr>
        <w:t>We are a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for AXS-05 for the treatment of MDD. AXS-05 is also under development for the treatment of Alzheimer's disease agitation, or AD agitation. We have completed one Phase 2/3 controlled trial, which we refer to as the ADVANCE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MOMENTUM and INTERCEPT, and one Phase 3 long-term open-label trial, which we refer to as the MOVEMENT study. We plan to submit an NDA for AXS-07 for the acute treatment of migraine. AXS-09 is being developed for the treatment of CNS disorders. AXS-12 is being developed for the treatment of narcolepsy. We have completed a Phase 2 trial with AXS-12, which we refer to as the CONCERT study. A Phase 3 trial with AXS-12 in narcolepsy is planned.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91" w:lineRule="exact"/>
        <w:rPr>
          <w:sz w:val="20"/>
          <w:szCs w:val="20"/>
          <w:color w:val="auto"/>
        </w:rPr>
      </w:pPr>
    </w:p>
    <w:p>
      <w:pPr>
        <w:ind w:firstLine="832"/>
        <w:spacing w:after="0" w:line="218" w:lineRule="exact"/>
        <w:rPr>
          <w:sz w:val="20"/>
          <w:szCs w:val="20"/>
          <w:color w:val="auto"/>
        </w:rPr>
      </w:pPr>
      <w:r>
        <w:rPr>
          <w:rFonts w:ascii="Arial" w:cs="Arial" w:eastAsia="Arial" w:hAnsi="Arial"/>
          <w:sz w:val="18"/>
          <w:szCs w:val="18"/>
          <w:color w:val="auto"/>
        </w:rPr>
        <w:t>AXS-05 is a novel, oral, investigational NMDA receptor antagonist with multimodal activity under development for the treatment of CNS disorders. AXS-05 utilizes a proprietary formulation and dose of dextromethorphan and bupropion and utilizes our metabolic inhibition technology, to modulate the delivery of the components.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for the following indications: MDD, AD agitation, and as an aid to smoking cessation. The dextromethorphan component of AXS-05 is an uncompetitive antagonist of the N-methyl-D-aspartate, or NMDA, receptor, also known as a glutamate receptor modulator, which is a novel mechanism of action, meaning it works differently than currently approved therapies for MDD. The dextromethrophan component of AXS-05 is also a sigma-1 receptor agonist. The bupropion component of AXS-05 serves to increase the bioavailability of dextromethorphan, and is also a norepinephrine and dopamine reuptake inhibitor. AXS-05 has been granted FDA Breakthrough Therapy designation for the treatment of MDD, and Breakthrough Therapy and Fast Track designations for the treatment of AD agitation. We are developing AXS</w:t>
      </w:r>
      <w:r>
        <w:rPr>
          <w:rFonts w:ascii="MS PGothic" w:cs="MS PGothic" w:eastAsia="MS PGothic" w:hAnsi="MS PGothic"/>
          <w:sz w:val="18"/>
          <w:szCs w:val="18"/>
          <w:color w:val="auto"/>
        </w:rPr>
        <w:t>‑</w:t>
      </w:r>
      <w:r>
        <w:rPr>
          <w:rFonts w:ascii="Arial" w:cs="Arial" w:eastAsia="Arial" w:hAnsi="Arial"/>
          <w:sz w:val="18"/>
          <w:szCs w:val="18"/>
          <w:color w:val="auto"/>
        </w:rPr>
        <w:t>05 via the 505(b)(2) regulatory pathway.</w:t>
      </w:r>
    </w:p>
    <w:p>
      <w:pPr>
        <w:spacing w:after="0" w:line="204" w:lineRule="exact"/>
        <w:rPr>
          <w:sz w:val="20"/>
          <w:szCs w:val="20"/>
          <w:color w:val="auto"/>
        </w:rPr>
      </w:pPr>
    </w:p>
    <w:p>
      <w:pPr>
        <w:ind w:right="80" w:firstLine="832"/>
        <w:spacing w:after="0" w:line="271" w:lineRule="auto"/>
        <w:rPr>
          <w:sz w:val="20"/>
          <w:szCs w:val="20"/>
          <w:color w:val="auto"/>
        </w:rPr>
      </w:pPr>
      <w:r>
        <w:rPr>
          <w:rFonts w:ascii="Arial" w:cs="Arial" w:eastAsia="Arial" w:hAnsi="Arial"/>
          <w:sz w:val="17"/>
          <w:szCs w:val="17"/>
          <w:color w:val="auto"/>
        </w:rPr>
        <w:t>AXS-07 is a novel, oral, rapidly absorbed, multi-mechanistic, investigational medicine under development for the acute treatment of migraine. AXS-07 consists of MoSEIC™ (Molecular Solubility Enhanced Inclusion Complex) meloxicam and rizatriptan. Meloxicam is a long-acting nonsteroidal anti-inflammatory drug, or NSAID, with COX-2, an enzyme involved in inflammation and pain pathways, preferential inhibition and potent pain-relieving effects.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14"/>
          <w:szCs w:val="14"/>
          <w:color w:val="auto"/>
        </w:rPr>
        <w:t>1B/1D</w:t>
      </w:r>
      <w:r>
        <w:rPr>
          <w:rFonts w:ascii="Arial" w:cs="Arial" w:eastAsia="Arial" w:hAnsi="Arial"/>
          <w:sz w:val="17"/>
          <w:szCs w:val="17"/>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developing AXS-07 via the 505(b)(2) regulatory development pathway.</w:t>
      </w:r>
    </w:p>
    <w:p>
      <w:pPr>
        <w:spacing w:after="0" w:line="178" w:lineRule="exact"/>
        <w:rPr>
          <w:sz w:val="20"/>
          <w:szCs w:val="20"/>
          <w:color w:val="auto"/>
        </w:rPr>
      </w:pPr>
    </w:p>
    <w:p>
      <w:pPr>
        <w:ind w:firstLine="832"/>
        <w:spacing w:after="0" w:line="311" w:lineRule="auto"/>
        <w:rPr>
          <w:sz w:val="20"/>
          <w:szCs w:val="20"/>
          <w:color w:val="auto"/>
        </w:rPr>
      </w:pPr>
      <w:r>
        <w:rPr>
          <w:rFonts w:ascii="Arial" w:cs="Arial" w:eastAsia="Arial" w:hAnsi="Arial"/>
          <w:sz w:val="16"/>
          <w:szCs w:val="16"/>
          <w:color w:val="auto"/>
        </w:rPr>
        <w:t xml:space="preserve">AXS-09 is an oral, investigational NMDA receptor antagonist with multimodal activity consisting of esbupropion and dextromethorphan,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-enantiomers. We have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demonstrated in a Phase 1 trial that dextromethorphan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as compared to the </w:t>
      </w:r>
      <w:r>
        <w:rPr>
          <w:rFonts w:ascii="Arial" w:cs="Arial" w:eastAsia="Arial" w:hAnsi="Arial"/>
          <w:sz w:val="18"/>
          <w:szCs w:val="18"/>
          <w:i w:val="1"/>
          <w:iCs w:val="1"/>
          <w:color w:val="auto"/>
        </w:rPr>
        <w:t>R</w:t>
      </w:r>
      <w:r>
        <w:rPr>
          <w:rFonts w:ascii="Arial" w:cs="Arial" w:eastAsia="Arial" w:hAnsi="Arial"/>
          <w:sz w:val="18"/>
          <w:szCs w:val="18"/>
          <w:color w:val="auto"/>
        </w:rPr>
        <w:t>-enantiomer.</w:t>
      </w:r>
    </w:p>
    <w:p>
      <w:pPr>
        <w:spacing w:after="0" w:line="184" w:lineRule="exact"/>
        <w:rPr>
          <w:sz w:val="20"/>
          <w:szCs w:val="20"/>
          <w:color w:val="auto"/>
        </w:rPr>
      </w:pPr>
    </w:p>
    <w:p>
      <w:pPr>
        <w:ind w:right="60" w:firstLine="832"/>
        <w:spacing w:after="0" w:line="263" w:lineRule="auto"/>
        <w:rPr>
          <w:sz w:val="20"/>
          <w:szCs w:val="20"/>
          <w:color w:val="auto"/>
        </w:rPr>
      </w:pPr>
      <w:r>
        <w:rPr>
          <w:rFonts w:ascii="Arial" w:cs="Arial" w:eastAsia="Arial" w:hAnsi="Arial"/>
          <w:sz w:val="18"/>
          <w:szCs w:val="18"/>
          <w:color w:val="auto"/>
        </w:rPr>
        <w:t>AXS-12, reboxetine, is a novel, oral, investigational medicine in development for the treatment of narcolepsy. AXS-12 is a highly selective and potent norepinephrine reuptake inhibitor. AXS-12 has been granted Breakthrough Therapy designation and Orphan Drug Designation by the FDA for the treatment of cataplexy in narcolepsy.</w:t>
      </w:r>
    </w:p>
    <w:p>
      <w:pPr>
        <w:spacing w:after="0" w:line="184" w:lineRule="exact"/>
        <w:rPr>
          <w:sz w:val="20"/>
          <w:szCs w:val="20"/>
          <w:color w:val="auto"/>
        </w:rPr>
      </w:pPr>
    </w:p>
    <w:p>
      <w:pPr>
        <w:jc w:val="both"/>
        <w:ind w:right="40" w:firstLine="832"/>
        <w:spacing w:after="0" w:line="342" w:lineRule="auto"/>
        <w:rPr>
          <w:sz w:val="20"/>
          <w:szCs w:val="20"/>
          <w:color w:val="auto"/>
        </w:rPr>
      </w:pPr>
      <w:r>
        <w:rPr>
          <w:rFonts w:ascii="Arial" w:cs="Arial" w:eastAsia="Arial" w:hAnsi="Arial"/>
          <w:sz w:val="16"/>
          <w:szCs w:val="16"/>
          <w:color w:val="auto"/>
        </w:rPr>
        <w:t xml:space="preserve">AXS-14, esreboxetine, is a novel, oral, investigational medicine in development for the treatment of fibromyalgia. AXS-14 is a highly selective and potent norepinephrine reuptake inhibitor. Esreboxetine, the </w:t>
      </w:r>
      <w:r>
        <w:rPr>
          <w:rFonts w:ascii="Arial" w:cs="Arial" w:eastAsia="Arial" w:hAnsi="Arial"/>
          <w:sz w:val="16"/>
          <w:szCs w:val="16"/>
          <w:i w:val="1"/>
          <w:iCs w:val="1"/>
          <w:color w:val="auto"/>
        </w:rPr>
        <w:t>SS</w:t>
      </w:r>
      <w:r>
        <w:rPr>
          <w:rFonts w:ascii="Arial" w:cs="Arial" w:eastAsia="Arial" w:hAnsi="Arial"/>
          <w:sz w:val="16"/>
          <w:szCs w:val="16"/>
          <w:color w:val="auto"/>
        </w:rPr>
        <w:t>-enantiomer of reboxetine, is more potent and selective than racemic reboxetine.</w:t>
      </w:r>
    </w:p>
    <w:p>
      <w:pPr>
        <w:spacing w:after="0" w:line="124" w:lineRule="exact"/>
        <w:rPr>
          <w:sz w:val="20"/>
          <w:szCs w:val="20"/>
          <w:color w:val="auto"/>
        </w:rPr>
      </w:pPr>
    </w:p>
    <w:p>
      <w:pPr>
        <w:jc w:val="both"/>
        <w:ind w:right="40" w:firstLine="832"/>
        <w:spacing w:after="0" w:line="311" w:lineRule="auto"/>
        <w:rPr>
          <w:sz w:val="20"/>
          <w:szCs w:val="20"/>
          <w:color w:val="auto"/>
        </w:rPr>
      </w:pPr>
      <w:r>
        <w:rPr>
          <w:rFonts w:ascii="Arial" w:cs="Arial" w:eastAsia="Arial" w:hAnsi="Arial"/>
          <w:sz w:val="16"/>
          <w:szCs w:val="16"/>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and 2040 for AXS-05 and to 2036 for AXS-07, as well as U.S. and foreign patent applications for AXS-05, AXS-07, AXS-09, AXS-12, and AXS-14.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40" w:firstLine="832"/>
        <w:spacing w:after="0" w:line="277" w:lineRule="auto"/>
        <w:rPr>
          <w:sz w:val="20"/>
          <w:szCs w:val="20"/>
          <w:color w:val="auto"/>
        </w:rPr>
      </w:pPr>
      <w:r>
        <w:rPr>
          <w:rFonts w:ascii="Arial" w:cs="Arial" w:eastAsia="Arial" w:hAnsi="Arial"/>
          <w:sz w:val="18"/>
          <w:szCs w:val="18"/>
          <w:color w:val="auto"/>
        </w:rPr>
        <w:t>Our goal is to efficiently develop and commercialize novel, differentiated therapies for the management of CNS disorders. The primary elements of our strategy to achieve this goal are the following:</w:t>
      </w:r>
    </w:p>
    <w:p>
      <w:pPr>
        <w:spacing w:after="0" w:line="170" w:lineRule="exact"/>
        <w:rPr>
          <w:sz w:val="20"/>
          <w:szCs w:val="20"/>
          <w:color w:val="auto"/>
        </w:rPr>
      </w:pPr>
    </w:p>
    <w:p>
      <w:pPr>
        <w:ind w:left="1240" w:right="20" w:hanging="409"/>
        <w:spacing w:after="0" w:line="218" w:lineRule="exact"/>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novel CNS indications with high unmet medical need. </w:t>
      </w:r>
      <w:r>
        <w:rPr>
          <w:rFonts w:ascii="Arial" w:cs="Arial" w:eastAsia="Arial" w:hAnsi="Arial"/>
          <w:sz w:val="17"/>
          <w:szCs w:val="17"/>
          <w:color w:val="auto"/>
        </w:rPr>
        <w:t>We believe that CNS disorders are significantly underserved therapeutic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segments with currently limited treatment options. We are developing our product candidates for CNS indications where there exist significant unmet medical needs, or that have no or few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205" w:lineRule="exact"/>
        <w:rPr>
          <w:rFonts w:ascii="Arial" w:cs="Arial" w:eastAsia="Arial" w:hAnsi="Arial"/>
          <w:sz w:val="17"/>
          <w:szCs w:val="17"/>
          <w:color w:val="auto"/>
        </w:rPr>
      </w:pPr>
    </w:p>
    <w:p>
      <w:pPr>
        <w:ind w:left="1240" w:hanging="409"/>
        <w:spacing w:after="0" w:line="25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products with our proprietary medicinal chemistry and formulation technologies. </w:t>
      </w:r>
      <w:r>
        <w:rPr>
          <w:rFonts w:ascii="Arial" w:cs="Arial" w:eastAsia="Arial" w:hAnsi="Arial"/>
          <w:sz w:val="18"/>
          <w:szCs w:val="18"/>
          <w:color w:val="auto"/>
        </w:rPr>
        <w:t>Our proprietary medicinal chemistry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produce target drug molecules.</w:t>
      </w:r>
    </w:p>
    <w:p>
      <w:pPr>
        <w:spacing w:after="0" w:line="192" w:lineRule="exact"/>
        <w:rPr>
          <w:rFonts w:ascii="Arial" w:cs="Arial" w:eastAsia="Arial" w:hAnsi="Arial"/>
          <w:sz w:val="18"/>
          <w:szCs w:val="18"/>
          <w:color w:val="auto"/>
        </w:rPr>
      </w:pPr>
    </w:p>
    <w:p>
      <w:pPr>
        <w:ind w:left="1240" w:right="20" w:hanging="409"/>
        <w:spacing w:after="0" w:line="25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products with differentiated profiles. </w:t>
      </w:r>
      <w:r>
        <w:rPr>
          <w:rFonts w:ascii="Arial" w:cs="Arial" w:eastAsia="Arial" w:hAnsi="Arial"/>
          <w:sz w:val="18"/>
          <w:szCs w:val="18"/>
          <w:color w:val="auto"/>
        </w:rPr>
        <w:t>We aim to develop products with novel mechanisms of action for the intended indications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yield differentiated product profiles. For example, AXS-05 and AXS-09 combine several mechanisms of action resulting in a unique pharmacological profile that may be relevant to the treatment of numerous CNS disorders. The MoSEIC</w:t>
      </w:r>
      <w:r>
        <w:rPr>
          <w:rFonts w:ascii="Arial" w:cs="Arial" w:eastAsia="Arial" w:hAnsi="Arial"/>
          <w:sz w:val="15"/>
          <w:szCs w:val="15"/>
          <w:color w:val="auto"/>
        </w:rPr>
        <w:t>TM</w:t>
      </w:r>
      <w:r>
        <w:rPr>
          <w:rFonts w:ascii="Arial" w:cs="Arial" w:eastAsia="Arial" w:hAnsi="Arial"/>
          <w:sz w:val="18"/>
          <w:szCs w:val="18"/>
          <w:color w:val="auto"/>
        </w:rPr>
        <w:t xml:space="preserve">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240" w:hanging="409"/>
        <w:spacing w:after="0" w:line="218" w:lineRule="exact"/>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 clinical and regulatory risk, limit development costs, and accelerate time to market. </w:t>
      </w:r>
      <w:r>
        <w:rPr>
          <w:rFonts w:ascii="Arial" w:cs="Arial" w:eastAsia="Arial" w:hAnsi="Arial"/>
          <w:sz w:val="17"/>
          <w:szCs w:val="17"/>
          <w:color w:val="auto"/>
        </w:rPr>
        <w:t>Some of our product candidates incorporate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chemical entities with long histories of clinical use and well</w:t>
      </w:r>
      <w:r>
        <w:rPr>
          <w:rFonts w:ascii="MS PGothic" w:cs="MS PGothic" w:eastAsia="MS PGothic" w:hAnsi="MS PGothic"/>
          <w:sz w:val="17"/>
          <w:szCs w:val="17"/>
          <w:color w:val="auto"/>
        </w:rPr>
        <w:t>‑</w:t>
      </w:r>
      <w:r>
        <w:rPr>
          <w:rFonts w:ascii="Arial" w:cs="Arial" w:eastAsia="Arial" w:hAnsi="Arial"/>
          <w:sz w:val="17"/>
          <w:szCs w:val="17"/>
          <w:color w:val="auto"/>
        </w:rPr>
        <w:t>characterized safety profiles. Use of well</w:t>
      </w:r>
      <w:r>
        <w:rPr>
          <w:rFonts w:ascii="MS PGothic" w:cs="MS PGothic" w:eastAsia="MS PGothic" w:hAnsi="MS PGothic"/>
          <w:sz w:val="17"/>
          <w:szCs w:val="17"/>
          <w:color w:val="auto"/>
        </w:rPr>
        <w:t>‑</w:t>
      </w:r>
      <w:r>
        <w:rPr>
          <w:rFonts w:ascii="Arial" w:cs="Arial" w:eastAsia="Arial" w:hAnsi="Arial"/>
          <w:sz w:val="17"/>
          <w:szCs w:val="17"/>
          <w:color w:val="auto"/>
        </w:rPr>
        <w:t>characterized molecules has allowed us to rapidly complete early clinical development of our product candidates, and may reduce the risk of late</w:t>
      </w:r>
      <w:r>
        <w:rPr>
          <w:rFonts w:ascii="MS PGothic" w:cs="MS PGothic" w:eastAsia="MS PGothic" w:hAnsi="MS PGothic"/>
          <w:sz w:val="17"/>
          <w:szCs w:val="17"/>
          <w:color w:val="auto"/>
        </w:rPr>
        <w:t>‑</w:t>
      </w:r>
      <w:r>
        <w:rPr>
          <w:rFonts w:ascii="Arial" w:cs="Arial" w:eastAsia="Arial" w:hAnsi="Arial"/>
          <w:sz w:val="17"/>
          <w:szCs w:val="17"/>
          <w:color w:val="auto"/>
        </w:rPr>
        <w:t>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202" w:lineRule="exact"/>
        <w:rPr>
          <w:rFonts w:ascii="Arial" w:cs="Arial" w:eastAsia="Arial" w:hAnsi="Arial"/>
          <w:sz w:val="17"/>
          <w:szCs w:val="17"/>
          <w:color w:val="auto"/>
        </w:rPr>
      </w:pPr>
    </w:p>
    <w:p>
      <w:pPr>
        <w:ind w:left="1240" w:right="120" w:hanging="409"/>
        <w:spacing w:after="0" w:line="219" w:lineRule="exact"/>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7"/>
          <w:szCs w:val="17"/>
          <w:color w:val="auto"/>
        </w:rPr>
        <w:t>We intend to commercialize our product candidates, if approved, in the United States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establishment of our own focused, cost</w:t>
      </w:r>
      <w:r>
        <w:rPr>
          <w:rFonts w:ascii="MS PGothic" w:cs="MS PGothic" w:eastAsia="MS PGothic" w:hAnsi="MS PGothic"/>
          <w:sz w:val="17"/>
          <w:szCs w:val="17"/>
          <w:color w:val="auto"/>
        </w:rPr>
        <w:t>‑</w:t>
      </w:r>
      <w:r>
        <w:rPr>
          <w:rFonts w:ascii="Arial" w:cs="Arial" w:eastAsia="Arial" w:hAnsi="Arial"/>
          <w:sz w:val="17"/>
          <w:szCs w:val="17"/>
          <w:color w:val="auto"/>
        </w:rPr>
        <w:t>effective sales and marketing organization targeting high</w:t>
      </w:r>
      <w:r>
        <w:rPr>
          <w:rFonts w:ascii="MS PGothic" w:cs="MS PGothic" w:eastAsia="MS PGothic" w:hAnsi="MS PGothic"/>
          <w:sz w:val="17"/>
          <w:szCs w:val="17"/>
          <w:color w:val="auto"/>
        </w:rPr>
        <w:t>‑</w:t>
      </w:r>
      <w:r>
        <w:rPr>
          <w:rFonts w:ascii="Arial" w:cs="Arial" w:eastAsia="Arial" w:hAnsi="Arial"/>
          <w:sz w:val="17"/>
          <w:szCs w:val="17"/>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306070</wp:posOffset>
            </wp:positionV>
            <wp:extent cx="5083175" cy="258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317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Product Candidates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832"/>
        <w:spacing w:after="0" w:line="273"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a proprietary formulation and dose of dextromethorphan and bupropion and utilizes Axsome’s metabolic inhibition technology. The dextromethrophan component of AXS-05 is a uncompetitive N-methyl-D-aspartate, or NMDA, receptor antagonist, also known as a glutamate receptor modulator, a sigma-1 receptor agonist. Dextromethrophan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norepinephrine and dopamine reuptake inhibitor.</w:t>
      </w:r>
    </w:p>
    <w:p>
      <w:pPr>
        <w:spacing w:after="0" w:line="178" w:lineRule="exact"/>
        <w:rPr>
          <w:sz w:val="20"/>
          <w:szCs w:val="20"/>
          <w:color w:val="auto"/>
        </w:rPr>
      </w:pPr>
    </w:p>
    <w:p>
      <w:pPr>
        <w:ind w:right="80" w:firstLine="832"/>
        <w:spacing w:after="0" w:line="342" w:lineRule="auto"/>
        <w:rPr>
          <w:sz w:val="20"/>
          <w:szCs w:val="20"/>
          <w:color w:val="auto"/>
        </w:rPr>
      </w:pPr>
      <w:r>
        <w:rPr>
          <w:rFonts w:ascii="Arial" w:cs="Arial" w:eastAsia="Arial" w:hAnsi="Arial"/>
          <w:sz w:val="16"/>
          <w:szCs w:val="16"/>
          <w:color w:val="auto"/>
        </w:rPr>
        <w:t>AXS-05 is potentially applicable to the treatment of a variety of CNS disorders, based on its mechanisms of action. We are developing AXS-05 initially as a therapeutic for major depressive disorder, or MDD, Alzheimer’s disease agitation, or AD agitation, and as an aid to smoking cessation.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Depression</w:t>
      </w:r>
    </w:p>
    <w:p>
      <w:pPr>
        <w:spacing w:after="0" w:line="225" w:lineRule="exact"/>
        <w:rPr>
          <w:sz w:val="20"/>
          <w:szCs w:val="20"/>
          <w:color w:val="auto"/>
        </w:rPr>
      </w:pPr>
    </w:p>
    <w:p>
      <w:pPr>
        <w:ind w:right="240" w:firstLine="832"/>
        <w:spacing w:after="0" w:line="277" w:lineRule="auto"/>
        <w:rPr>
          <w:sz w:val="20"/>
          <w:szCs w:val="20"/>
          <w:color w:val="auto"/>
        </w:rPr>
      </w:pPr>
      <w:r>
        <w:rPr>
          <w:rFonts w:ascii="Arial" w:cs="Arial" w:eastAsia="Arial" w:hAnsi="Arial"/>
          <w:sz w:val="18"/>
          <w:szCs w:val="18"/>
          <w:color w:val="auto"/>
        </w:rPr>
        <w:t>We are developing AXS-05 for the treatment of MDD. We believe there is a substantial need for new, more effective treatments for this large underserved patient population.</w:t>
      </w:r>
    </w:p>
    <w:p>
      <w:pPr>
        <w:spacing w:after="0" w:line="170" w:lineRule="exact"/>
        <w:rPr>
          <w:sz w:val="20"/>
          <w:szCs w:val="20"/>
          <w:color w:val="auto"/>
        </w:rPr>
      </w:pPr>
    </w:p>
    <w:p>
      <w:pPr>
        <w:ind w:right="60" w:firstLine="832"/>
        <w:spacing w:after="0" w:line="254" w:lineRule="auto"/>
        <w:rPr>
          <w:sz w:val="20"/>
          <w:szCs w:val="20"/>
          <w:color w:val="auto"/>
        </w:rPr>
      </w:pPr>
      <w:r>
        <w:rPr>
          <w:rFonts w:ascii="Arial" w:cs="Arial" w:eastAsia="Arial" w:hAnsi="Arial"/>
          <w:sz w:val="18"/>
          <w:szCs w:val="18"/>
          <w:color w:val="auto"/>
        </w:rPr>
        <w:t>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MDD is highly prevalent and difficult to treat. According to the National Institutes of Health, or NIH, an estimated 7.8% of U.S. adults experience MDD each year, and of them approximately two-thirds had severe impairment associated with their depression. Results of the Sequenced Treatment Alternatives to Relieve Depression, or STAR*D trial, funded by the National Institute of Mental Health, indicate that nearly two-thirds of diagnosed and treated patients do not experience adequate treatment response with first-line therapy, and that the majority of these initial failures also fail second-line treatment.</w:t>
      </w:r>
    </w:p>
    <w:p>
      <w:pPr>
        <w:spacing w:after="0" w:line="195" w:lineRule="exact"/>
        <w:rPr>
          <w:sz w:val="20"/>
          <w:szCs w:val="20"/>
          <w:color w:val="auto"/>
        </w:rPr>
      </w:pPr>
    </w:p>
    <w:p>
      <w:pPr>
        <w:ind w:right="120" w:firstLine="832"/>
        <w:spacing w:after="0" w:line="296" w:lineRule="auto"/>
        <w:rPr>
          <w:sz w:val="20"/>
          <w:szCs w:val="20"/>
          <w:color w:val="auto"/>
        </w:rPr>
      </w:pPr>
      <w:r>
        <w:rPr>
          <w:rFonts w:ascii="Arial" w:cs="Arial" w:eastAsia="Arial" w:hAnsi="Arial"/>
          <w:sz w:val="16"/>
          <w:szCs w:val="16"/>
          <w:color w:val="auto"/>
        </w:rPr>
        <w:t>We have completed one Phase 2 trial and one Phase 3 trial in MDD, one Phase 3 open-label, long-term study in MDD and treatment resistant depression, or TRD, one Phase 3 trial in TRD, and several Phase 1 pharmacokinetic clinical trials of AXS-05. In March 2019, we received FDA Breakthrough Therapy designation for AXS-05 for the treatment of MDD. In May 2019, we announced the pivotal status of the Phase 2 ASCEND trial of AXS-05 in MDD, allowing for expedited development of AXS-05 for this indication, based on the outcome of an FDA Breakthrough Therapy meeting. In July 2020, we announced a positive pre-NDA meeting with the FDA regarding the planned NDA submission of AXS-05 for the treatment of MDD.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GEMINI Study</w:t>
      </w:r>
    </w:p>
    <w:p>
      <w:pPr>
        <w:spacing w:after="0" w:line="225" w:lineRule="exact"/>
        <w:rPr>
          <w:sz w:val="20"/>
          <w:szCs w:val="20"/>
          <w:color w:val="auto"/>
        </w:rPr>
      </w:pPr>
    </w:p>
    <w:p>
      <w:pPr>
        <w:ind w:right="60" w:firstLine="832"/>
        <w:spacing w:after="0" w:line="257" w:lineRule="auto"/>
        <w:rPr>
          <w:sz w:val="20"/>
          <w:szCs w:val="20"/>
          <w:color w:val="auto"/>
        </w:rPr>
      </w:pPr>
      <w:r>
        <w:rPr>
          <w:rFonts w:ascii="Arial" w:cs="Arial" w:eastAsia="Arial" w:hAnsi="Arial"/>
          <w:sz w:val="18"/>
          <w:szCs w:val="18"/>
          <w:color w:val="auto"/>
        </w:rPr>
        <w:t>In June 2019, we initiated the GEMINI study, a Phase 3, randomized, double-blind, multicenter, placebo-controlled, U.S. trial of AXS-05 in the treatment of MDD. In December 2019, we announced that AXS-05 achieved the primary endpoint and rapidly and significantly improved symptoms of depression as compared to placebo in the GEMINI study. In this trial, 327 adult patients with confirmed moderate to severe MDD were randomized to treatment with either AXS-05 (45 mg dextromethorphan-105 mg bupropion modulated delivery tablet) or placebo once daily for the first 3 days and twice daily thereafter for a total of 6 weeks.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73" w:lineRule="auto"/>
        <w:rPr>
          <w:sz w:val="20"/>
          <w:szCs w:val="20"/>
          <w:color w:val="auto"/>
        </w:rPr>
      </w:pPr>
      <w:r>
        <w:rPr>
          <w:rFonts w:ascii="Arial" w:cs="Arial" w:eastAsia="Arial" w:hAnsi="Arial"/>
          <w:sz w:val="17"/>
          <w:szCs w:val="17"/>
          <w:color w:val="auto"/>
        </w:rPr>
        <w:t>AXS-05 met the primary endpoint by demonstrating a statistically significant reduction in the Montgomery-Åsberg Depression Rating Scale, or MADRS, total score compared to placebo at Week 6, with mean reductions from baseline of 16.6 points for AXS-05 and 11.9 points for placebo (p=0.002). AXS-05 rapidly and durably improved depressive symptoms as compared to placebo with statistical significance on the MADRS total score demonstrated at Week 1, the earliest time point assessed, and at all time points thereafter. Rates of remission from depression (defined as MADRS ≤10) were statistically significantly greater for AXS-05 compared to placebo at Week 2 (p=0.013) and at every time point thereafter, being achieved by 39.5% of AXS-05 patients compared to 17.3% of placebo patients at Week 6 (p&lt;0.001).</w:t>
      </w:r>
    </w:p>
    <w:p>
      <w:pPr>
        <w:spacing w:after="0" w:line="178" w:lineRule="exact"/>
        <w:rPr>
          <w:sz w:val="20"/>
          <w:szCs w:val="20"/>
          <w:color w:val="auto"/>
        </w:rPr>
      </w:pPr>
    </w:p>
    <w:p>
      <w:pPr>
        <w:ind w:right="140" w:firstLine="832"/>
        <w:spacing w:after="0" w:line="275" w:lineRule="auto"/>
        <w:rPr>
          <w:sz w:val="20"/>
          <w:szCs w:val="20"/>
          <w:color w:val="auto"/>
        </w:rPr>
      </w:pPr>
      <w:r>
        <w:rPr>
          <w:rFonts w:ascii="Arial" w:cs="Arial" w:eastAsia="Arial" w:hAnsi="Arial"/>
          <w:sz w:val="17"/>
          <w:szCs w:val="17"/>
          <w:color w:val="auto"/>
        </w:rPr>
        <w:t>AXS-05 demonstrated rapid onset of action with statistically significant improvement as compared to placebo on numerous endpoints at Week 1, or only 4 days after receiving the target dose of AXS-05. Statistically significant improvements at Week 1 were observed for MADRS total score (key secondary endpoint, p=0.007); Patient Global Impression-Improvement, or PGI-I, (p=0.008); Clinical Global Impression-Severity, or CGI-S, (p=0.013); Clinical Global Impression-Improvement, or CGI-I, (p=0.035); Quick Inventory of Depressive Symptomatology-Self-Rated, or QIDS-SR-16, (p=0.016); Quality of Life Enjoyment and Satisfaction Questionnaire-Short Form, or Q-LES-Q-SF, (p=0.031); and other endpoints.</w:t>
      </w:r>
    </w:p>
    <w:p>
      <w:pPr>
        <w:spacing w:after="0" w:line="176" w:lineRule="exact"/>
        <w:rPr>
          <w:sz w:val="20"/>
          <w:szCs w:val="20"/>
          <w:color w:val="auto"/>
        </w:rPr>
      </w:pPr>
    </w:p>
    <w:p>
      <w:pPr>
        <w:ind w:firstLine="832"/>
        <w:spacing w:after="0" w:line="286" w:lineRule="auto"/>
        <w:rPr>
          <w:sz w:val="20"/>
          <w:szCs w:val="20"/>
          <w:color w:val="auto"/>
        </w:rPr>
      </w:pPr>
      <w:r>
        <w:rPr>
          <w:rFonts w:ascii="Arial" w:cs="Arial" w:eastAsia="Arial" w:hAnsi="Arial"/>
          <w:sz w:val="17"/>
          <w:szCs w:val="17"/>
          <w:color w:val="auto"/>
        </w:rPr>
        <w:t>On all secondary endpoints including the following, AXS-05 demonstrated statistically significant improvement at Week 6 compared to placebo, reflecting increasing treatment effects over time: clinical response on the MADRS total score (defined as ≥50%) (p&lt;0.001); PGI-I (p=0.007); CGI-S (p=0.002); CGI-I (p=0.016); QIDS-SR-16 (p=0.001); Sheehan Disability Scale (SDS) (p=0.002); and Q-LES-Q-SF (p=0.011).</w:t>
      </w:r>
    </w:p>
    <w:p>
      <w:pPr>
        <w:spacing w:after="0" w:line="165" w:lineRule="exact"/>
        <w:rPr>
          <w:sz w:val="20"/>
          <w:szCs w:val="20"/>
          <w:color w:val="auto"/>
        </w:rPr>
      </w:pPr>
    </w:p>
    <w:p>
      <w:pPr>
        <w:ind w:right="440" w:firstLine="832"/>
        <w:spacing w:after="0" w:line="277" w:lineRule="auto"/>
        <w:rPr>
          <w:sz w:val="20"/>
          <w:szCs w:val="20"/>
          <w:color w:val="auto"/>
        </w:rPr>
      </w:pPr>
      <w:r>
        <w:rPr>
          <w:rFonts w:ascii="Arial" w:cs="Arial" w:eastAsia="Arial" w:hAnsi="Arial"/>
          <w:sz w:val="18"/>
          <w:szCs w:val="18"/>
          <w:color w:val="auto"/>
        </w:rPr>
        <w:t>AXS-05 was well tolerated in the trial. The most commonly reported adverse events in the AXS-05 arm were dizziness, nausea, headache, diarrhea, somnolence, and dry mouth.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ASCEND Study</w:t>
      </w:r>
    </w:p>
    <w:p>
      <w:pPr>
        <w:spacing w:after="0" w:line="225" w:lineRule="exact"/>
        <w:rPr>
          <w:sz w:val="20"/>
          <w:szCs w:val="20"/>
          <w:color w:val="auto"/>
        </w:rPr>
      </w:pPr>
    </w:p>
    <w:p>
      <w:pPr>
        <w:ind w:right="20" w:firstLine="832"/>
        <w:spacing w:after="0" w:line="257" w:lineRule="auto"/>
        <w:rPr>
          <w:sz w:val="20"/>
          <w:szCs w:val="20"/>
          <w:color w:val="auto"/>
        </w:rPr>
      </w:pPr>
      <w:r>
        <w:rPr>
          <w:rFonts w:ascii="Arial" w:cs="Arial" w:eastAsia="Arial" w:hAnsi="Arial"/>
          <w:sz w:val="18"/>
          <w:szCs w:val="18"/>
          <w:color w:val="auto"/>
        </w:rPr>
        <w:t>In June 2018, we initiated the ASCEND study, a Phase 2 randomized, double-blind, active-controlled, multi-center, U.S. trial to evaluate the efficacy and safety of AXS-05 in patients with MDD. In January 2019, we announced that AXS-05 met the prespecified primary endpoint and significantly improved symptoms of depression as compared to bupropion in the ASCEND study. In this trial, 80 adult patients with confirmed moderate to severe MDD were treated either with AXS-05 (45 mg dextromethorphan-105 mg bupropion tablet), or the active comparator bupropion (105 mg), twice daily for 6 weeks.</w:t>
      </w:r>
    </w:p>
    <w:p>
      <w:pPr>
        <w:spacing w:after="0" w:line="188" w:lineRule="exact"/>
        <w:rPr>
          <w:sz w:val="20"/>
          <w:szCs w:val="20"/>
          <w:color w:val="auto"/>
        </w:rPr>
      </w:pPr>
    </w:p>
    <w:p>
      <w:pPr>
        <w:ind w:right="20" w:firstLine="832"/>
        <w:spacing w:after="0" w:line="272" w:lineRule="auto"/>
        <w:rPr>
          <w:sz w:val="20"/>
          <w:szCs w:val="20"/>
          <w:color w:val="auto"/>
        </w:rPr>
      </w:pPr>
      <w:r>
        <w:rPr>
          <w:rFonts w:ascii="Arial" w:cs="Arial" w:eastAsia="Arial" w:hAnsi="Arial"/>
          <w:sz w:val="17"/>
          <w:szCs w:val="17"/>
          <w:color w:val="auto"/>
        </w:rPr>
        <w:t>AXS-05 met the prespecified primary endpoint by demonstrating a highly statistically significant reduction in the MADRS total score, averaged over the 6-week treatment period, the overall treatment effect, as compared to bupropion (p&lt;0.001). At Week 6, AXS-05 demonstrated a 17.2 point reduction in the MADRS total score compared to a 12.1 point reduction for bupropion (p=0.013). AXS-05 rapidly reduced depressive symptoms, demonstrating a statistically significant improvement over bupropion on the CGI-I at Week 1 (p=0.045). Starting at Week 1, or only four days after receiving the target dose, AXS-05 achieved numerical superiority over bupropion on the MADRS total score, with statistical significance achieved at Week 2 and maintained at all time points thereafter. At Week 6, 47% of patients who received AXS-05 achieved remission, prospectively defined as a score of 10 or less on the MADRS, compared with 16% of patients who received bupropion (p=0.004).</w:t>
      </w:r>
    </w:p>
    <w:p>
      <w:pPr>
        <w:spacing w:after="0" w:line="177" w:lineRule="exact"/>
        <w:rPr>
          <w:sz w:val="20"/>
          <w:szCs w:val="20"/>
          <w:color w:val="auto"/>
        </w:rPr>
      </w:pPr>
    </w:p>
    <w:p>
      <w:pPr>
        <w:ind w:right="120" w:firstLine="832"/>
        <w:spacing w:after="0" w:line="257" w:lineRule="auto"/>
        <w:rPr>
          <w:sz w:val="20"/>
          <w:szCs w:val="20"/>
          <w:color w:val="auto"/>
        </w:rPr>
      </w:pPr>
      <w:r>
        <w:rPr>
          <w:rFonts w:ascii="Arial" w:cs="Arial" w:eastAsia="Arial" w:hAnsi="Arial"/>
          <w:sz w:val="18"/>
          <w:szCs w:val="18"/>
          <w:color w:val="auto"/>
        </w:rPr>
        <w:t>AXS-05 was superior to bupropion on multiple prespecified secondary endpoints, with statistically significant effects demonstrated on most, including the following: MADRS-6 (p=0.007 at Week 6); percentage of responders on MADRS-6, response defined as ≥ 50% reduction from baseline, (p=0.014 at Week 6); CGI-I (p=0.045 at Week 1, and 0.051 at Week 6); CGI-S (p=0.038 at Week 6); percentage of patients achieving remission on MADRS, remission defined as MADRS ≤ 10, (p=0.004 at Week 6). Additionally, the treatment effect observed with bupropion in the study was consistent with that observed in prior published trials.</w:t>
      </w:r>
    </w:p>
    <w:p>
      <w:pPr>
        <w:spacing w:after="0" w:line="188" w:lineRule="exact"/>
        <w:rPr>
          <w:sz w:val="20"/>
          <w:szCs w:val="20"/>
          <w:color w:val="auto"/>
        </w:rPr>
      </w:pPr>
    </w:p>
    <w:p>
      <w:pPr>
        <w:ind w:right="360" w:firstLine="832"/>
        <w:spacing w:after="0" w:line="277" w:lineRule="auto"/>
        <w:rPr>
          <w:sz w:val="20"/>
          <w:szCs w:val="20"/>
          <w:color w:val="auto"/>
        </w:rPr>
      </w:pPr>
      <w:r>
        <w:rPr>
          <w:rFonts w:ascii="Arial" w:cs="Arial" w:eastAsia="Arial" w:hAnsi="Arial"/>
          <w:sz w:val="18"/>
          <w:szCs w:val="18"/>
          <w:color w:val="auto"/>
        </w:rPr>
        <w:t>AXS-05 was well tolerated in the trial. The most commonly reported adverse events in the AXS-05 arm were nausea, dizziness, dry mouth, decreased appetite, and anxiety.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COMET Study</w:t>
      </w:r>
    </w:p>
    <w:p>
      <w:pPr>
        <w:spacing w:after="0" w:line="225" w:lineRule="exact"/>
        <w:rPr>
          <w:sz w:val="20"/>
          <w:szCs w:val="20"/>
          <w:color w:val="auto"/>
        </w:rPr>
      </w:pPr>
    </w:p>
    <w:p>
      <w:pPr>
        <w:ind w:right="20" w:firstLine="832"/>
        <w:spacing w:after="0" w:line="259" w:lineRule="auto"/>
        <w:rPr>
          <w:sz w:val="20"/>
          <w:szCs w:val="20"/>
          <w:color w:val="auto"/>
        </w:rPr>
      </w:pPr>
      <w:r>
        <w:rPr>
          <w:rFonts w:ascii="Arial" w:cs="Arial" w:eastAsia="Arial" w:hAnsi="Arial"/>
          <w:sz w:val="18"/>
          <w:szCs w:val="18"/>
          <w:color w:val="auto"/>
        </w:rPr>
        <w:t>In July 2019, we announced that we initiated the COMET Phase 3, open-label study in order to build a patient safety database to support the filing of an NDA for AXS-05 for the treatment of MDD. The COMET trial included three Phase 2 open-label efficacy sub-studies, which were the COMET-AU, the COMET-TRD, and the COMET-SI trials. In December 2020, we announced positive results from the overall COMET study and the three open-label efficacy sub-studies.</w:t>
      </w:r>
    </w:p>
    <w:p>
      <w:pPr>
        <w:spacing w:after="0" w:line="187" w:lineRule="exact"/>
        <w:rPr>
          <w:sz w:val="20"/>
          <w:szCs w:val="20"/>
          <w:color w:val="auto"/>
        </w:rPr>
      </w:pPr>
    </w:p>
    <w:p>
      <w:pPr>
        <w:ind w:right="40" w:firstLine="832"/>
        <w:spacing w:after="0" w:line="254" w:lineRule="auto"/>
        <w:rPr>
          <w:sz w:val="20"/>
          <w:szCs w:val="20"/>
          <w:color w:val="auto"/>
        </w:rPr>
      </w:pPr>
      <w:r>
        <w:rPr>
          <w:rFonts w:ascii="Arial" w:cs="Arial" w:eastAsia="Arial" w:hAnsi="Arial"/>
          <w:sz w:val="18"/>
          <w:szCs w:val="18"/>
          <w:color w:val="auto"/>
        </w:rPr>
        <w:t>A total of 876 patients were enrolled, consisting of 265 patients who rolled over from prior controlled trials with AXS-05 (roll-over patients), and 611 new (de novo) patients who had not previously participated in an AXS-05 trial. At the time of study conclusion, 597 patients had reached at least 6 months, and 110 patients had reached at least 12 months of treatment. The COMET-AU trial evaluated 115 patients with antidepressant unresponsive (AU) MDD, defined as patients with ongoing symptoms of depression despite previously receiving one standard antidepressant pharmacotherapy. The COMET-TRD trial enrolled 70 patients with TRD, defined as patients with ongoing symptoms of depression despite previously receiving two standard antidepressant pharmacotherapy. The COMET-SI trial evaluated 37 patients with suicidal ideation, defined as a score of ≥3 on the Suicidality Item of the MADRS (MADRS-SI score) at baseline.</w:t>
      </w:r>
    </w:p>
    <w:p>
      <w:pPr>
        <w:spacing w:after="0" w:line="195"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In the overall COMET trial, AXS-05 treatment resulted in rapid, substantial, and durable improvement in depressive symptoms, measured using the MADRS, which was sustained or increased with long-term treatment. New patients, who had not previously participated in an AXS-05 trial, experienced mean reductions from baseline in the MADRS total score of 14.0 points at Week 2 and 21.1 points at Week 6 (primary time point). Reductions from baseline at 6 and 12 months were 23.9 points and 23.0 points, respectively. Similar findings of rapid and durable improvements in depressive symptoms were demonstrated in the COMET-AU and COMET-TRD substudies. In the COMET-SI trial, a rapid reduction in suicidal ideation was observed with AXS-05 treatment, as demonstrated by reductions in the MADRS-SI score of 67.6% by Week 1, the earliest time point measured, 73.5% by Week 2, and 82.4% by Week 4. Resolution of suicidal ideation with AXS-05 treatment was achieved by 60.0% of patients by Week 1, 68.8% by Week 2, and 77.8% of patients by Week 4. Resolution was defined as a MADRS-SI score of 0 or 1 on a 0 to 6 scale.</w:t>
      </w:r>
    </w:p>
    <w:p>
      <w:pPr>
        <w:spacing w:after="0" w:line="178" w:lineRule="exact"/>
        <w:rPr>
          <w:sz w:val="20"/>
          <w:szCs w:val="20"/>
          <w:color w:val="auto"/>
        </w:rPr>
      </w:pPr>
    </w:p>
    <w:p>
      <w:pPr>
        <w:ind w:right="120" w:firstLine="832"/>
        <w:spacing w:after="0" w:line="263" w:lineRule="auto"/>
        <w:rPr>
          <w:sz w:val="20"/>
          <w:szCs w:val="20"/>
          <w:color w:val="auto"/>
        </w:rPr>
      </w:pPr>
      <w:r>
        <w:rPr>
          <w:rFonts w:ascii="Arial" w:cs="Arial" w:eastAsia="Arial" w:hAnsi="Arial"/>
          <w:sz w:val="18"/>
          <w:szCs w:val="18"/>
          <w:color w:val="auto"/>
        </w:rPr>
        <w:t>AXS-05 was well tolerated with long-term dosing. The safety profile of AXS-05 over the 12-month treatment period was consistent with what was previously reported in short-term controlled trials, with no new safety signals detected. The most commonly reported adverse events in the COMET trial were dizziness, nausea, headache, dry mouth, and decreased appetite.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STRIDE-1 Study</w:t>
      </w:r>
    </w:p>
    <w:p>
      <w:pPr>
        <w:spacing w:after="0" w:line="225" w:lineRule="exact"/>
        <w:rPr>
          <w:sz w:val="20"/>
          <w:szCs w:val="20"/>
          <w:color w:val="auto"/>
        </w:rPr>
      </w:pPr>
    </w:p>
    <w:p>
      <w:pPr>
        <w:ind w:right="60" w:firstLine="832"/>
        <w:spacing w:after="0" w:line="219" w:lineRule="exact"/>
        <w:rPr>
          <w:sz w:val="20"/>
          <w:szCs w:val="20"/>
          <w:color w:val="auto"/>
        </w:rPr>
      </w:pPr>
      <w:r>
        <w:rPr>
          <w:rFonts w:ascii="Arial" w:cs="Arial" w:eastAsia="Arial" w:hAnsi="Arial"/>
          <w:sz w:val="18"/>
          <w:szCs w:val="18"/>
          <w:color w:val="auto"/>
        </w:rPr>
        <w:t>In March 2016, we initiated the STRIDE-1 study, a Phase 3, randomized, double</w:t>
      </w:r>
      <w:r>
        <w:rPr>
          <w:rFonts w:ascii="MS PGothic" w:cs="MS PGothic" w:eastAsia="MS PGothic" w:hAnsi="MS PGothic"/>
          <w:sz w:val="18"/>
          <w:szCs w:val="18"/>
          <w:color w:val="auto"/>
        </w:rPr>
        <w:t>‑</w:t>
      </w:r>
      <w:r>
        <w:rPr>
          <w:rFonts w:ascii="Arial" w:cs="Arial" w:eastAsia="Arial" w:hAnsi="Arial"/>
          <w:sz w:val="18"/>
          <w:szCs w:val="18"/>
          <w:color w:val="auto"/>
        </w:rPr>
        <w:t>blind, active</w:t>
      </w:r>
      <w:r>
        <w:rPr>
          <w:rFonts w:ascii="MS PGothic" w:cs="MS PGothic" w:eastAsia="MS PGothic" w:hAnsi="MS PGothic"/>
          <w:sz w:val="18"/>
          <w:szCs w:val="18"/>
          <w:color w:val="auto"/>
        </w:rPr>
        <w:t>‑</w:t>
      </w:r>
      <w:r>
        <w:rPr>
          <w:rFonts w:ascii="Arial" w:cs="Arial" w:eastAsia="Arial" w:hAnsi="Arial"/>
          <w:sz w:val="18"/>
          <w:szCs w:val="18"/>
          <w:color w:val="auto"/>
        </w:rPr>
        <w:t>controlled, U.S. trial to assess the efficacy and safety of AXS</w:t>
      </w:r>
      <w:r>
        <w:rPr>
          <w:rFonts w:ascii="MS PGothic" w:cs="MS PGothic" w:eastAsia="MS PGothic" w:hAnsi="MS PGothic"/>
          <w:sz w:val="18"/>
          <w:szCs w:val="18"/>
          <w:color w:val="auto"/>
        </w:rPr>
        <w:t>‑</w:t>
      </w:r>
      <w:r>
        <w:rPr>
          <w:rFonts w:ascii="Arial" w:cs="Arial" w:eastAsia="Arial" w:hAnsi="Arial"/>
          <w:sz w:val="18"/>
          <w:szCs w:val="18"/>
          <w:color w:val="auto"/>
        </w:rPr>
        <w:t>05 in the treatment of TRD. In March 2020, we announced that the STRIDE-1 study met its key secondary endpoints, achieving rapid reduction in depressive symptoms but did not achieve statistical significance on the primary endpoint. In this trial, 312 adult patients with confirmed TRD, who had failed two or three prior treatments, were randomized to treatment with either AXS-05 (45 mg dextromethorphan-105 mg bupropion tablet) or the active comparator bupropion (150 mg), twice daily for 6 weeks.</w:t>
      </w:r>
    </w:p>
    <w:p>
      <w:pPr>
        <w:spacing w:after="0" w:line="205" w:lineRule="exact"/>
        <w:rPr>
          <w:sz w:val="20"/>
          <w:szCs w:val="20"/>
          <w:color w:val="auto"/>
        </w:rPr>
      </w:pPr>
    </w:p>
    <w:p>
      <w:pPr>
        <w:ind w:right="40" w:firstLine="832"/>
        <w:spacing w:after="0" w:line="275" w:lineRule="auto"/>
        <w:rPr>
          <w:sz w:val="20"/>
          <w:szCs w:val="20"/>
          <w:color w:val="auto"/>
        </w:rPr>
      </w:pPr>
      <w:r>
        <w:rPr>
          <w:rFonts w:ascii="Arial" w:cs="Arial" w:eastAsia="Arial" w:hAnsi="Arial"/>
          <w:sz w:val="17"/>
          <w:szCs w:val="17"/>
          <w:color w:val="auto"/>
        </w:rPr>
        <w:t>AXS-05 rapidly and significantly improved depressive symptoms in patients with TRD as measured by the Quick Inventory of Depressive Symptomatology-Self-Rated (QIDS-SR-16) averaged over the entire 6-week treatment period, with mean reductions of 3.3 for AXS-05 versus 2.3 for bupropion (p=0.013). Rates of remission from depression (defined as QIDS-SR-16 ≤5) were statistically significantly greater for AXS-05 compared to bupropion at Week 1 (p=0.001) and at every time point thereafter, being achieved by 18.2% of AXS-05 patients compared to 8.2% of bupropion patients at Week 6 (p=0.012). The STRIDE-1 trial did not reach statistical significance on the Week 6 primary endpoint on MADRS.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color w:val="auto"/>
        </w:rPr>
        <w:t>AXS-05 significantly improved cognitive function in patients with TRD as compared to bupropion, assessed using the Cognitive subscale of the Massachusetts General Hospital Cognitive and Physical Functioning Questionnaire (CPFQ) (p=0.011). The improvement in cognitive function with AXS-05 was rapid as compared to bupropion, reaching statistical significance as early as Week 2 (p=0.01) and at every time point thereafter. The Cognitive subscale of the CPFQ assesses sharpness/mental acuity, and the ability to focus/maintain attention, to remember/recall information, and to find words. Statistical significance for the superiority of AXS-05 versus bupropion was also achieved for the entire CPFQ (p=0.014), which assesses physical in addition to cognitive functioning.</w:t>
      </w:r>
    </w:p>
    <w:p>
      <w:pPr>
        <w:spacing w:after="0" w:line="192" w:lineRule="exact"/>
        <w:rPr>
          <w:sz w:val="20"/>
          <w:szCs w:val="20"/>
          <w:color w:val="auto"/>
        </w:rPr>
      </w:pPr>
    </w:p>
    <w:p>
      <w:pPr>
        <w:ind w:right="80" w:firstLine="832"/>
        <w:spacing w:after="0" w:line="263" w:lineRule="auto"/>
        <w:rPr>
          <w:sz w:val="20"/>
          <w:szCs w:val="20"/>
          <w:color w:val="auto"/>
        </w:rPr>
      </w:pPr>
      <w:r>
        <w:rPr>
          <w:rFonts w:ascii="Arial" w:cs="Arial" w:eastAsia="Arial" w:hAnsi="Arial"/>
          <w:sz w:val="18"/>
          <w:szCs w:val="18"/>
          <w:color w:val="auto"/>
        </w:rPr>
        <w:t>AXS-05 rapidly and significantly reduced anxiety symptoms in patients with TRD as compared to bupropion, assessed using the Hamilton Anxiety Scale (HAM-A) (p=0.009). AXS-05 demonstrated numerical improvement versus the active comparator bupropion for all other efficacy variables assessed.</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AXS-05 was well tolerated in the trial. The most commonly reported adverse events in the AXS-05 arm were dizziness and nausea.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Alzheimer’s Disease (AD) Agitation</w:t>
      </w:r>
    </w:p>
    <w:p>
      <w:pPr>
        <w:spacing w:after="0" w:line="225" w:lineRule="exact"/>
        <w:rPr>
          <w:sz w:val="20"/>
          <w:szCs w:val="20"/>
          <w:color w:val="auto"/>
        </w:rPr>
      </w:pPr>
    </w:p>
    <w:p>
      <w:pPr>
        <w:ind w:right="840" w:firstLine="832"/>
        <w:spacing w:after="0" w:line="277" w:lineRule="auto"/>
        <w:rPr>
          <w:sz w:val="20"/>
          <w:szCs w:val="20"/>
          <w:color w:val="auto"/>
        </w:rPr>
      </w:pPr>
      <w:r>
        <w:rPr>
          <w:rFonts w:ascii="Arial" w:cs="Arial" w:eastAsia="Arial" w:hAnsi="Arial"/>
          <w:sz w:val="18"/>
          <w:szCs w:val="18"/>
          <w:color w:val="auto"/>
        </w:rPr>
        <w:t>We are developing AXS-05 for the treatment of Alzheimer’s disease agitation, or AD agitation. There is currently no FDA-approved pharmacological treatment for the indication of AD agitation.</w:t>
      </w:r>
    </w:p>
    <w:p>
      <w:pPr>
        <w:spacing w:after="0" w:line="170" w:lineRule="exact"/>
        <w:rPr>
          <w:sz w:val="20"/>
          <w:szCs w:val="20"/>
          <w:color w:val="auto"/>
        </w:rPr>
      </w:pPr>
    </w:p>
    <w:p>
      <w:pPr>
        <w:ind w:right="20" w:firstLine="832"/>
        <w:spacing w:after="0" w:line="293" w:lineRule="auto"/>
        <w:rPr>
          <w:sz w:val="20"/>
          <w:szCs w:val="20"/>
          <w:color w:val="auto"/>
        </w:rPr>
      </w:pPr>
      <w:r>
        <w:rPr>
          <w:rFonts w:ascii="Arial" w:cs="Arial" w:eastAsia="Arial" w:hAnsi="Arial"/>
          <w:sz w:val="16"/>
          <w:szCs w:val="16"/>
          <w:color w:val="auto"/>
        </w:rPr>
        <w:t>AD is a progressive neurodegenerative disorder that manifests initially as forgetfulness advancing to severe cognitive impairment and memory loss. It is a common form of dementia and afflicts more than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64" w:lineRule="exact"/>
        <w:rPr>
          <w:sz w:val="20"/>
          <w:szCs w:val="20"/>
          <w:color w:val="auto"/>
        </w:rPr>
      </w:pPr>
    </w:p>
    <w:p>
      <w:pPr>
        <w:ind w:right="20" w:firstLine="832"/>
        <w:spacing w:after="0" w:line="301" w:lineRule="auto"/>
        <w:rPr>
          <w:sz w:val="20"/>
          <w:szCs w:val="20"/>
          <w:color w:val="auto"/>
        </w:rPr>
      </w:pPr>
      <w:r>
        <w:rPr>
          <w:rFonts w:ascii="Arial" w:cs="Arial" w:eastAsia="Arial" w:hAnsi="Arial"/>
          <w:sz w:val="16"/>
          <w:szCs w:val="16"/>
          <w:color w:val="auto"/>
        </w:rPr>
        <w:t>Because there are no FDA-approved pharmacological treatments for the indication of agitation associated with AD, patients are currently treated off-label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and death in patients with dementia.</w:t>
      </w:r>
    </w:p>
    <w:p>
      <w:pPr>
        <w:spacing w:after="0" w:line="157" w:lineRule="exact"/>
        <w:rPr>
          <w:sz w:val="20"/>
          <w:szCs w:val="20"/>
          <w:color w:val="auto"/>
        </w:rPr>
      </w:pPr>
    </w:p>
    <w:p>
      <w:pPr>
        <w:jc w:val="both"/>
        <w:ind w:right="380" w:firstLine="832"/>
        <w:spacing w:after="0" w:line="263" w:lineRule="auto"/>
        <w:rPr>
          <w:sz w:val="20"/>
          <w:szCs w:val="20"/>
          <w:color w:val="auto"/>
        </w:rPr>
      </w:pPr>
      <w:r>
        <w:rPr>
          <w:rFonts w:ascii="Arial" w:cs="Arial" w:eastAsia="Arial" w:hAnsi="Arial"/>
          <w:sz w:val="18"/>
          <w:szCs w:val="18"/>
          <w:color w:val="auto"/>
        </w:rPr>
        <w:t>In June 2020, we announced that AXS-05 had received FDA Breakthrough Therapy designation for the AD agitation indication. In August 2020, we announced confirmation of the pivotal development status and plan for AXS-05 in the treatment of AD agitation following an Breakthrough Therapy meeting with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ADVANCE-1 Study</w:t>
      </w:r>
    </w:p>
    <w:p>
      <w:pPr>
        <w:spacing w:after="0" w:line="225" w:lineRule="exact"/>
        <w:rPr>
          <w:sz w:val="20"/>
          <w:szCs w:val="20"/>
          <w:color w:val="auto"/>
        </w:rPr>
      </w:pPr>
    </w:p>
    <w:p>
      <w:pPr>
        <w:ind w:right="40" w:firstLine="832"/>
        <w:spacing w:after="0" w:line="257" w:lineRule="auto"/>
        <w:rPr>
          <w:sz w:val="20"/>
          <w:szCs w:val="20"/>
          <w:color w:val="auto"/>
        </w:rPr>
      </w:pPr>
      <w:r>
        <w:rPr>
          <w:rFonts w:ascii="Arial" w:cs="Arial" w:eastAsia="Arial" w:hAnsi="Arial"/>
          <w:sz w:val="18"/>
          <w:szCs w:val="18"/>
          <w:color w:val="auto"/>
        </w:rPr>
        <w:t>In July 2017, we initiated the ADVANCE-1 study, a Phase 2/3, randomized, double-blind, controlled, U.S. trial to evaluate the efficacy and safety of AXS-05 in patients with AD agitation. In April 2020, we announced that AXS-05 had achieved its primary endpoint and rapidly and substantially improved agitation in patients with AD in the ADVANCE study. In this trial, 366 Alzheimer’s disease patients were randomized to treatment with AXS-05 (dextromethorphan-bupropion modulated tablet, dose escalated to 45 mg-105 mg twice daily), bupropion (dose escalated to 105 mg twice daily), or matching placebo, for 5 weeks.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color w:val="auto"/>
        </w:rPr>
        <w:t>AXS-05 met the primary endpoint by demonstrating a statistically significant mean reduction in the Cohen Mansfield Agitation Inventory (CMAI) total score compared to placebo at Week 5, with mean reductions from baseline of 15.4 points for AXS-05 and 11.5 points for placebo (p=0.010). These results represent a mean percentage reduction from baseline of 48% for AXS-05 versus 38% for placebo. AXS-05 was also superior to bupropion on the CMAI total score (p&lt;0.001), establishing component contribution.</w:t>
      </w:r>
    </w:p>
    <w:p>
      <w:pPr>
        <w:spacing w:after="0" w:line="187" w:lineRule="exact"/>
        <w:rPr>
          <w:sz w:val="20"/>
          <w:szCs w:val="20"/>
          <w:color w:val="auto"/>
        </w:rPr>
      </w:pPr>
    </w:p>
    <w:p>
      <w:pPr>
        <w:ind w:right="540" w:firstLine="832"/>
        <w:spacing w:after="0" w:line="277" w:lineRule="auto"/>
        <w:rPr>
          <w:sz w:val="20"/>
          <w:szCs w:val="20"/>
          <w:color w:val="auto"/>
        </w:rPr>
      </w:pPr>
      <w:r>
        <w:rPr>
          <w:rFonts w:ascii="Arial" w:cs="Arial" w:eastAsia="Arial" w:hAnsi="Arial"/>
          <w:sz w:val="18"/>
          <w:szCs w:val="18"/>
          <w:color w:val="auto"/>
        </w:rPr>
        <w:t>AXS-05 rapidly improved agitation symptoms. Improvement on the CMAI total score with AXS-05 was numerically superior to placebo starting at Week 2, achieving statistical significance at Week 3 (p=0.007) only one week after full dosing with AXS-05.</w:t>
      </w:r>
    </w:p>
    <w:p>
      <w:pPr>
        <w:spacing w:after="0" w:line="170" w:lineRule="exact"/>
        <w:rPr>
          <w:sz w:val="20"/>
          <w:szCs w:val="20"/>
          <w:color w:val="auto"/>
        </w:rPr>
      </w:pPr>
    </w:p>
    <w:p>
      <w:pPr>
        <w:ind w:right="100" w:firstLine="832"/>
        <w:spacing w:after="0" w:line="286" w:lineRule="auto"/>
        <w:rPr>
          <w:sz w:val="20"/>
          <w:szCs w:val="20"/>
          <w:color w:val="auto"/>
        </w:rPr>
      </w:pPr>
      <w:r>
        <w:rPr>
          <w:rFonts w:ascii="Arial" w:cs="Arial" w:eastAsia="Arial" w:hAnsi="Arial"/>
          <w:sz w:val="16"/>
          <w:szCs w:val="16"/>
          <w:color w:val="auto"/>
        </w:rPr>
        <w:t>A statistically significantly greater proportion of patients achieved a clinical response on the CMAI, defined as a 30% or greater improvement from baseline, with AXS-05 as compared to placebo (73% versus 57%, p=0.005). These results were consistent with clinicians’ global assessments of change measured using the modified Alzheimer’s Disease Cooperative Study-Clinical Global Impression of Change for Agitation (mADCS-CGIC). AXS-05 demonstrated statistically significantly greater improvement in agitation as compared to placebo on this measure (p=0.036).</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AXS-05 was well tolerated in the trial. The most commonly reported adverse events in the AXS-05 arm were somnolence (8.2% for AXS-05 versus 4.1% for bupropion and 3.2% for placebo), dizziness (6.3%, 10.2%, 3.2%, respectively), and diarrhea (4.4%, 6.1%, 4.4%,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ACCORD Study</w:t>
      </w:r>
    </w:p>
    <w:p>
      <w:pPr>
        <w:spacing w:after="0" w:line="225" w:lineRule="exact"/>
        <w:rPr>
          <w:sz w:val="20"/>
          <w:szCs w:val="20"/>
          <w:color w:val="auto"/>
        </w:rPr>
      </w:pPr>
    </w:p>
    <w:p>
      <w:pPr>
        <w:ind w:right="120" w:firstLine="832"/>
        <w:spacing w:after="0" w:line="254" w:lineRule="auto"/>
        <w:rPr>
          <w:sz w:val="20"/>
          <w:szCs w:val="20"/>
          <w:color w:val="auto"/>
        </w:rPr>
      </w:pPr>
      <w:r>
        <w:rPr>
          <w:rFonts w:ascii="Arial" w:cs="Arial" w:eastAsia="Arial" w:hAnsi="Arial"/>
          <w:sz w:val="18"/>
          <w:szCs w:val="18"/>
          <w:color w:val="auto"/>
        </w:rPr>
        <w:t>In December 2020, we announced initiation of the Phase 3 ACCORD (Assessing Clinical Outcomes in Alzheimer’s Disease Agitation) trial. ACCORD is a andomized, double-blind, multicenter, placebo-controlled, trial to evaluate the efficacy and safety of AXS-05 in patients with AD agitation. Enrolled patients will first enter a 9-week, open-label stabilization period, during which they will be treated with AXS-05 and monitored for a treatment response based on the CMAI. Patients who experience a treatment response during the stabilization period will then be randomized into the double-blind treatment period, in a 1:1 ratio, to continue treatment with AXS-05 or to switch to placebo, for up to 26 weeks or until a relapse of agitation occurs. The primary endpoint will be the time from randomization to relapse. Assessments will include the CMAI, clinician- and caregiver-rated scales, and safety parameters.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Cessation</w:t>
      </w:r>
    </w:p>
    <w:p>
      <w:pPr>
        <w:spacing w:after="0" w:line="225"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color w:val="auto"/>
        </w:rPr>
        <w:t>We are developing AXS-05 as an aid to smoking cessation treatment. 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92" w:lineRule="exact"/>
        <w:rPr>
          <w:sz w:val="20"/>
          <w:szCs w:val="20"/>
          <w:color w:val="auto"/>
        </w:rPr>
      </w:pPr>
    </w:p>
    <w:p>
      <w:pPr>
        <w:ind w:firstLine="832"/>
        <w:spacing w:after="0" w:line="220" w:lineRule="exact"/>
        <w:rPr>
          <w:sz w:val="20"/>
          <w:szCs w:val="20"/>
          <w:color w:val="auto"/>
        </w:rPr>
      </w:pPr>
      <w:r>
        <w:rPr>
          <w:rFonts w:ascii="Arial" w:cs="Arial" w:eastAsia="Arial" w:hAnsi="Arial"/>
          <w:sz w:val="17"/>
          <w:szCs w:val="17"/>
          <w:color w:val="auto"/>
        </w:rPr>
        <w:t>In December 2017, we entered into a research collaboration agreement with Duke University to evaluate AXS</w:t>
      </w:r>
      <w:r>
        <w:rPr>
          <w:rFonts w:ascii="MS PGothic" w:cs="MS PGothic" w:eastAsia="MS PGothic" w:hAnsi="MS PGothic"/>
          <w:sz w:val="17"/>
          <w:szCs w:val="17"/>
          <w:color w:val="auto"/>
        </w:rPr>
        <w:t>‑</w:t>
      </w:r>
      <w:r>
        <w:rPr>
          <w:rFonts w:ascii="Arial" w:cs="Arial" w:eastAsia="Arial" w:hAnsi="Arial"/>
          <w:sz w:val="17"/>
          <w:szCs w:val="17"/>
          <w:color w:val="auto"/>
        </w:rPr>
        <w:t>05 in a Phase 2 clinical trial in smoking cessation under an Investigator Sponsored IND. In April 2018, we announced the enrollment of the first patient into a Phase 2 clinical trial of AXS-05 for smoking cessation treatment, which was being conducted under the research collaboration agreement between us and Duke University. In April 2019, we announced that AXS-05 met the prespecified primary endpoint in Phase 2 trial in smoking cessation.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832"/>
        <w:spacing w:after="0" w:line="21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07 is novel, oral, rapidly absorbed, multi-mechanistic, investigational medicine. AXS-07 consists of MoSEIC™ meloxicam and rizatriptan. We are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w:t>
      </w:r>
    </w:p>
    <w:p>
      <w:pPr>
        <w:spacing w:after="0" w:line="225" w:lineRule="exact"/>
        <w:rPr>
          <w:sz w:val="20"/>
          <w:szCs w:val="20"/>
          <w:color w:val="auto"/>
        </w:rPr>
      </w:pPr>
    </w:p>
    <w:p>
      <w:pPr>
        <w:ind w:right="40" w:firstLine="832"/>
        <w:spacing w:after="0" w:line="220"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07 for the acute treatment of migraine. Migraine is a disorder characterized by recurrent attacks of pulsating, unilateral or bilateral head pain, often associated with nausea, photophobia,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204" w:lineRule="exact"/>
        <w:rPr>
          <w:sz w:val="20"/>
          <w:szCs w:val="20"/>
          <w:color w:val="auto"/>
        </w:rPr>
      </w:pPr>
    </w:p>
    <w:p>
      <w:pPr>
        <w:ind w:right="20" w:firstLine="832"/>
        <w:spacing w:after="0" w:line="275" w:lineRule="auto"/>
        <w:rPr>
          <w:sz w:val="20"/>
          <w:szCs w:val="20"/>
          <w:color w:val="auto"/>
        </w:rPr>
      </w:pPr>
      <w:r>
        <w:rPr>
          <w:rFonts w:ascii="Arial" w:cs="Arial" w:eastAsia="Arial" w:hAnsi="Arial"/>
          <w:sz w:val="17"/>
          <w:szCs w:val="17"/>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76" w:lineRule="exact"/>
        <w:rPr>
          <w:sz w:val="20"/>
          <w:szCs w:val="20"/>
          <w:color w:val="auto"/>
        </w:rPr>
      </w:pPr>
    </w:p>
    <w:p>
      <w:pPr>
        <w:ind w:right="80" w:firstLine="832"/>
        <w:spacing w:after="0" w:line="273" w:lineRule="auto"/>
        <w:rPr>
          <w:sz w:val="20"/>
          <w:szCs w:val="20"/>
          <w:color w:val="auto"/>
        </w:rPr>
      </w:pPr>
      <w:r>
        <w:rPr>
          <w:rFonts w:ascii="Arial" w:cs="Arial" w:eastAsia="Arial" w:hAnsi="Arial"/>
          <w:sz w:val="17"/>
          <w:szCs w:val="17"/>
          <w:color w:val="auto"/>
        </w:rPr>
        <w:t>In February 2019, we reached agreement with the FDA under a Special Protocol Assessment (SPA) for the design, endpoints, and statistical approach of the planned MOMENTUM (Maximizing Outcomes in Treating Acute Migraine) Phase 3 trial of AXS-07 in the acute treatment of migraine. The SPA provides agreement that the overall MOMENTUM trial design (e.g., entry criteria, dose selection, endpoints) and planned analysis adequately address objectives that, if met, will support filing of an NDA of AXS-07 for the indication of acute treatment of migraine in adults with or without aura. In October 2019, we announced the results of the MINDSET physician survey, which affirmed the unmet need in the acute treatment of migraine. In August 2020, we announced a successful Pre-NDA meeting with the FDA for AXS-07 in the acute treatment of migraine.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MOMENTUM Study</w:t>
      </w:r>
    </w:p>
    <w:p>
      <w:pPr>
        <w:spacing w:after="0" w:line="225" w:lineRule="exact"/>
        <w:rPr>
          <w:sz w:val="20"/>
          <w:szCs w:val="20"/>
          <w:color w:val="auto"/>
        </w:rPr>
      </w:pPr>
    </w:p>
    <w:p>
      <w:pPr>
        <w:ind w:right="120" w:firstLine="832"/>
        <w:spacing w:after="0" w:line="342" w:lineRule="auto"/>
        <w:rPr>
          <w:sz w:val="20"/>
          <w:szCs w:val="20"/>
          <w:color w:val="auto"/>
        </w:rPr>
      </w:pPr>
      <w:r>
        <w:rPr>
          <w:rFonts w:ascii="Arial" w:cs="Arial" w:eastAsia="Arial" w:hAnsi="Arial"/>
          <w:sz w:val="16"/>
          <w:szCs w:val="16"/>
          <w:color w:val="auto"/>
        </w:rPr>
        <w:t>In March 2019, we initiated the MOMENTUM study. In December 2019, we announced that AXS-07 achieved co-primary and key secondary endpoints and significantly improved migraine pain, freedom from most bother symptom, and sustained pain freedom, in the MOMENTUM study.</w:t>
      </w:r>
    </w:p>
    <w:p>
      <w:pPr>
        <w:spacing w:after="0" w:line="124" w:lineRule="exact"/>
        <w:rPr>
          <w:sz w:val="20"/>
          <w:szCs w:val="20"/>
          <w:color w:val="auto"/>
        </w:rPr>
      </w:pPr>
    </w:p>
    <w:p>
      <w:pPr>
        <w:ind w:firstLine="832"/>
        <w:spacing w:after="0" w:line="285" w:lineRule="auto"/>
        <w:rPr>
          <w:sz w:val="20"/>
          <w:szCs w:val="20"/>
          <w:color w:val="auto"/>
        </w:rPr>
      </w:pPr>
      <w:r>
        <w:rPr>
          <w:rFonts w:ascii="Arial" w:cs="Arial" w:eastAsia="Arial" w:hAnsi="Arial"/>
          <w:sz w:val="16"/>
          <w:szCs w:val="16"/>
          <w:color w:val="auto"/>
        </w:rPr>
        <w:t>MOMENTUM was a randomized, double-blind, placebo- and active-controlled trial which enrolled only patients with a history of inadequate response to prior acute migraine treatments, assessed using the Migraine Treatment Optimization Questionnaire, or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(41.2%), obesity (43.7%), and morning migraine (36.6%). Rizatriptan, an active comparator in the trial, is considered to be the fastest acting oral triptan and one of the most effective medications currently available for the acute treatment of migraine.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832"/>
        <w:spacing w:after="0" w:line="296" w:lineRule="auto"/>
        <w:rPr>
          <w:sz w:val="20"/>
          <w:szCs w:val="20"/>
          <w:color w:val="auto"/>
        </w:rPr>
      </w:pPr>
      <w:r>
        <w:rPr>
          <w:rFonts w:ascii="Arial" w:cs="Arial" w:eastAsia="Arial" w:hAnsi="Arial"/>
          <w:sz w:val="16"/>
          <w:szCs w:val="16"/>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w:t>
      </w:r>
    </w:p>
    <w:p>
      <w:pPr>
        <w:spacing w:after="0" w:line="161" w:lineRule="exact"/>
        <w:rPr>
          <w:sz w:val="20"/>
          <w:szCs w:val="20"/>
          <w:color w:val="auto"/>
        </w:rPr>
      </w:pPr>
    </w:p>
    <w:p>
      <w:pPr>
        <w:ind w:right="280" w:firstLine="832"/>
        <w:spacing w:after="0" w:line="286" w:lineRule="auto"/>
        <w:rPr>
          <w:sz w:val="20"/>
          <w:szCs w:val="20"/>
          <w:color w:val="auto"/>
        </w:rPr>
      </w:pPr>
      <w:r>
        <w:rPr>
          <w:rFonts w:ascii="Arial" w:cs="Arial" w:eastAsia="Arial" w:hAnsi="Arial"/>
          <w:sz w:val="16"/>
          <w:szCs w:val="16"/>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(46.5%), compared to placebo (31.1%) and rizatriptan (36.5%) patients (p&lt;0.001, p=0.003, respectively versus AXS-07). Rescue medication was used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23.0% of AXS-07 patients, compared to 43.5% of placebo and 34.7% of rizatriptan patients (p&lt;0.001 for each group versus AXS-07).</w:t>
      </w:r>
    </w:p>
    <w:p>
      <w:pPr>
        <w:spacing w:after="0" w:line="211"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PGI-C (p=0.022), and return to normal functioning at 24 hours (p=0.027).</w:t>
      </w:r>
    </w:p>
    <w:p>
      <w:pPr>
        <w:spacing w:after="0" w:line="188" w:lineRule="exact"/>
        <w:rPr>
          <w:sz w:val="20"/>
          <w:szCs w:val="20"/>
          <w:color w:val="auto"/>
        </w:rPr>
      </w:pPr>
    </w:p>
    <w:p>
      <w:pPr>
        <w:ind w:firstLine="832"/>
        <w:spacing w:after="0" w:line="277" w:lineRule="auto"/>
        <w:rPr>
          <w:sz w:val="20"/>
          <w:szCs w:val="20"/>
          <w:color w:val="auto"/>
        </w:rPr>
      </w:pPr>
      <w:r>
        <w:rPr>
          <w:rFonts w:ascii="Arial" w:cs="Arial" w:eastAsia="Arial" w:hAnsi="Arial"/>
          <w:sz w:val="18"/>
          <w:szCs w:val="18"/>
          <w:color w:val="auto"/>
        </w:rPr>
        <w:t>AXS-07 was well tolerated in the trial. The most commonly reported adverse events with AXS-07 were nausea, dizziness and somnolence, none of which occurred at a rate greater than placebo or greater than 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INTERCEPT Study</w:t>
      </w:r>
    </w:p>
    <w:p>
      <w:pPr>
        <w:spacing w:after="0" w:line="225" w:lineRule="exact"/>
        <w:rPr>
          <w:sz w:val="20"/>
          <w:szCs w:val="20"/>
          <w:color w:val="auto"/>
        </w:rPr>
      </w:pPr>
    </w:p>
    <w:p>
      <w:pPr>
        <w:ind w:right="20" w:firstLine="832"/>
        <w:spacing w:after="0" w:line="279" w:lineRule="auto"/>
        <w:rPr>
          <w:sz w:val="20"/>
          <w:szCs w:val="20"/>
          <w:color w:val="auto"/>
        </w:rPr>
      </w:pPr>
      <w:r>
        <w:rPr>
          <w:rFonts w:ascii="Arial" w:cs="Arial" w:eastAsia="Arial" w:hAnsi="Arial"/>
          <w:sz w:val="17"/>
          <w:szCs w:val="17"/>
          <w:color w:val="auto"/>
        </w:rPr>
        <w:t>In October 2019, we initiated the INTERCEPT study, a Phase 3, randomized, double-blind, multicenter, placebo-controlled trial evaluating the early treatment of migraine with AXS-07. In April 2020, we announced that AXS-07 achieved the co-primary endpoints and prevented migraine pain progression in the INTERCEPT study. In the INTERCEPT study a total of 302 patients were randomized in a 1:1 ratio to treat a single migraine attack with a single dose of AXS-07, or placebo, at the earliest sign of migraine pain, while the pain intensity was mild.</w:t>
      </w:r>
    </w:p>
    <w:p>
      <w:pPr>
        <w:spacing w:after="0" w:line="171" w:lineRule="exact"/>
        <w:rPr>
          <w:sz w:val="20"/>
          <w:szCs w:val="20"/>
          <w:color w:val="auto"/>
        </w:rPr>
      </w:pPr>
    </w:p>
    <w:p>
      <w:pPr>
        <w:ind w:right="40" w:firstLine="832"/>
        <w:spacing w:after="0" w:line="293" w:lineRule="auto"/>
        <w:rPr>
          <w:sz w:val="20"/>
          <w:szCs w:val="20"/>
          <w:color w:val="auto"/>
        </w:rPr>
      </w:pPr>
      <w:r>
        <w:rPr>
          <w:rFonts w:ascii="Arial" w:cs="Arial" w:eastAsia="Arial" w:hAnsi="Arial"/>
          <w:sz w:val="16"/>
          <w:szCs w:val="16"/>
          <w:color w:val="auto"/>
        </w:rPr>
        <w:t>AXS-07 met both of the two co-primary endpoints by demonstrating a statistically significantly greater percentage of patients as compared to placebo achieving pain freedom (32.6% versus 16.3%, p=0.002) and freedom from most bothersome symptom (43.9% versus 26.7%, p=0.003), 2 hours after dosing. AXS-07 durably relieved migraine pain with a statistically significantly greater percentage of patients as compared to placebo achieving sustained pain freedom from 2 to 24 hours after dosing (22.7% versus 12.6%, p=0.030), and from 2 to 48 hours after dosing (20.5% versus 9.6%, p=0.013). AXS-07 rapidly eliminated migraine symptoms, with numerical separation from placebo as early as 30 minutes for migraine pain freedom and most bothersome symptom freedom, achieving statistical significance for migraine pain at 90 minutes (p=0.003) and at every timepoint thereafter.</w:t>
      </w:r>
    </w:p>
    <w:p>
      <w:pPr>
        <w:spacing w:after="0" w:line="164" w:lineRule="exact"/>
        <w:rPr>
          <w:sz w:val="20"/>
          <w:szCs w:val="20"/>
          <w:color w:val="auto"/>
        </w:rPr>
      </w:pPr>
    </w:p>
    <w:p>
      <w:pPr>
        <w:ind w:right="40" w:firstLine="832"/>
        <w:spacing w:after="0" w:line="259" w:lineRule="auto"/>
        <w:rPr>
          <w:sz w:val="20"/>
          <w:szCs w:val="20"/>
          <w:color w:val="auto"/>
        </w:rPr>
      </w:pPr>
      <w:r>
        <w:rPr>
          <w:rFonts w:ascii="Arial" w:cs="Arial" w:eastAsia="Arial" w:hAnsi="Arial"/>
          <w:sz w:val="18"/>
          <w:szCs w:val="18"/>
          <w:color w:val="auto"/>
        </w:rPr>
        <w:t>A single dose of AXS-07 significantly prevented progression of migraine pain beyond mild intensity while significantly reducing the use of rescue medication. Freedom from pain progression from 2 to 24 hours after dosing was achieved by 73.5% of AXS-07 patients versus 47.4% of placebo patients (p&lt;0.001). The effect on pain progression translated to a significant reduction in the use of rescue medication, with only 15.3% of AXS-07 patients requiring rescue medication through 24 hours after dosing, versus 42.2% of placebo patients (p&lt;0.001).</w:t>
      </w:r>
    </w:p>
    <w:p>
      <w:pPr>
        <w:spacing w:after="0" w:line="187" w:lineRule="exact"/>
        <w:rPr>
          <w:sz w:val="20"/>
          <w:szCs w:val="20"/>
          <w:color w:val="auto"/>
        </w:rPr>
      </w:pPr>
    </w:p>
    <w:p>
      <w:pPr>
        <w:ind w:right="360" w:firstLine="832"/>
        <w:spacing w:after="0" w:line="311" w:lineRule="auto"/>
        <w:rPr>
          <w:sz w:val="20"/>
          <w:szCs w:val="20"/>
          <w:color w:val="auto"/>
        </w:rPr>
      </w:pPr>
      <w:r>
        <w:rPr>
          <w:rFonts w:ascii="Arial" w:cs="Arial" w:eastAsia="Arial" w:hAnsi="Arial"/>
          <w:sz w:val="16"/>
          <w:szCs w:val="16"/>
          <w:color w:val="auto"/>
        </w:rPr>
        <w:t>AXS-07 substantially and significantly reduced functional disability, and demonstrated overall disease improvement. AXS-07 treatment resulted in 73.5% of patients able to perform normal activities at 24 hours compared to 47.4% of placebo patients (p&lt;0.001). On the Patient Global Impression of Change (PGI-C) scale, 52.4% of AXS-07 patients were very much or much improved compared to 27.7% of placebo patients (p&lt;0.001).</w:t>
      </w:r>
    </w:p>
    <w:p>
      <w:pPr>
        <w:spacing w:after="0" w:line="149" w:lineRule="exact"/>
        <w:rPr>
          <w:sz w:val="20"/>
          <w:szCs w:val="20"/>
          <w:color w:val="auto"/>
        </w:rPr>
      </w:pPr>
    </w:p>
    <w:p>
      <w:pPr>
        <w:ind w:right="40" w:firstLine="832"/>
        <w:spacing w:after="0" w:line="277" w:lineRule="auto"/>
        <w:rPr>
          <w:sz w:val="20"/>
          <w:szCs w:val="20"/>
          <w:color w:val="auto"/>
        </w:rPr>
      </w:pPr>
      <w:r>
        <w:rPr>
          <w:rFonts w:ascii="Arial" w:cs="Arial" w:eastAsia="Arial" w:hAnsi="Arial"/>
          <w:sz w:val="18"/>
          <w:szCs w:val="18"/>
          <w:color w:val="auto"/>
        </w:rPr>
        <w:t>AXS-07 was well tolerated in the trial. The most commonly reported adverse events with AXS-07 were somnolence, dizziness, and paresthesia, all of which occurred at a rate of less than five percent.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MOVEMENT Study</w:t>
      </w:r>
    </w:p>
    <w:p>
      <w:pPr>
        <w:spacing w:after="0" w:line="225" w:lineRule="exact"/>
        <w:rPr>
          <w:sz w:val="20"/>
          <w:szCs w:val="20"/>
          <w:color w:val="auto"/>
        </w:rPr>
      </w:pPr>
    </w:p>
    <w:p>
      <w:pPr>
        <w:ind w:right="140" w:firstLine="832"/>
        <w:spacing w:after="0" w:line="311" w:lineRule="auto"/>
        <w:rPr>
          <w:sz w:val="20"/>
          <w:szCs w:val="20"/>
          <w:color w:val="auto"/>
        </w:rPr>
      </w:pPr>
      <w:r>
        <w:rPr>
          <w:rFonts w:ascii="Arial" w:cs="Arial" w:eastAsia="Arial" w:hAnsi="Arial"/>
          <w:sz w:val="16"/>
          <w:szCs w:val="16"/>
          <w:color w:val="auto"/>
        </w:rPr>
        <w:t>In July 2019, we announced that we were enrolling the Phase 3 open-label MOVEMENT (Multimechanistic Treatment over Time of Migraine Symptoms) study in order to build a patient safety database to support the filing of an NDA for AXS-07 in the acute treatment of migraine. In December 2020, we announced positive efficacy and long-term safety results from the MOVEMENT trial of AXS-07 in the acute treatment of migraine.</w:t>
      </w:r>
    </w:p>
    <w:p>
      <w:pPr>
        <w:spacing w:after="0" w:line="149" w:lineRule="exact"/>
        <w:rPr>
          <w:sz w:val="20"/>
          <w:szCs w:val="20"/>
          <w:color w:val="auto"/>
        </w:rPr>
      </w:pPr>
    </w:p>
    <w:p>
      <w:pPr>
        <w:ind w:firstLine="832"/>
        <w:spacing w:after="0" w:line="272" w:lineRule="auto"/>
        <w:rPr>
          <w:sz w:val="20"/>
          <w:szCs w:val="20"/>
          <w:color w:val="auto"/>
        </w:rPr>
      </w:pPr>
      <w:r>
        <w:rPr>
          <w:rFonts w:ascii="Arial" w:cs="Arial" w:eastAsia="Arial" w:hAnsi="Arial"/>
          <w:sz w:val="17"/>
          <w:szCs w:val="17"/>
          <w:color w:val="auto"/>
        </w:rPr>
        <w:t>The MOVEMENT trial evaluated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A total of 706 patients were enrolled. The trial was concluded once at least 300 patients had treated at least 2 migraines a month for 6 months, and approximately 100 patients had treated at least 2 migraines a month for 12 months, as pre-specified. At the time of study conclusion, 515 patients had reached at least 6 months, and 155 patients had reached at least 12 months of treatment. Over 21,000 migraine attacks were treated with AXS-07 during the trial.</w:t>
      </w:r>
    </w:p>
    <w:p>
      <w:pPr>
        <w:spacing w:after="0" w:line="177" w:lineRule="exact"/>
        <w:rPr>
          <w:sz w:val="20"/>
          <w:szCs w:val="20"/>
          <w:color w:val="auto"/>
        </w:rPr>
      </w:pPr>
    </w:p>
    <w:p>
      <w:pPr>
        <w:ind w:right="40" w:firstLine="832"/>
        <w:spacing w:after="0" w:line="257" w:lineRule="auto"/>
        <w:rPr>
          <w:sz w:val="20"/>
          <w:szCs w:val="20"/>
          <w:color w:val="auto"/>
        </w:rPr>
      </w:pPr>
      <w:r>
        <w:rPr>
          <w:rFonts w:ascii="Arial" w:cs="Arial" w:eastAsia="Arial" w:hAnsi="Arial"/>
          <w:sz w:val="18"/>
          <w:szCs w:val="18"/>
          <w:color w:val="auto"/>
        </w:rPr>
        <w:t>In the MOVEMENT trial, administration of AXS-07 resulted in rapid, and substantial relief of migraine pain and associated symptoms. Within 1 hour after dosing, 39% (range: 37-41%) of patients achieved relief of migraine pain, demonstrating the rapid onset of AXS-07. Two hours after administration of AXS-07, relief of migraine pain was achieved by 68% (range: 65-71%) of patients and pain freedom by 38% (range: 37-40%) of patients. Freedom from most bothersome symptom (photophobia, phonophobia, nausea) was achieved by 47% (range: 46-49%) of patients within 2 hours after dosing.</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AXS-07 durably relieved migraine pain with 85% (range: 84-86%) of patients free from rescue medication use through 24 hours, and 83%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(range: 82-85%) of patients free from rescue medication use through 48 hours after a single administration of AXS-07. Rates of sustained pain relief from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24 hours and from 2 to 48 hours were 60% (range: 59-62%) and 59% (58-60%), respectively. Rates of sustained pain freedom from 2 to 24 hours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2 to 48 hours were 33% (range: 33-35%) and 32% (range: 32-34%), respectively.</w:t>
      </w:r>
    </w:p>
    <w:p>
      <w:pPr>
        <w:spacing w:after="0" w:line="211" w:lineRule="exact"/>
        <w:rPr>
          <w:sz w:val="20"/>
          <w:szCs w:val="20"/>
          <w:color w:val="auto"/>
        </w:rPr>
      </w:pPr>
    </w:p>
    <w:p>
      <w:pPr>
        <w:ind w:right="220" w:firstLine="832"/>
        <w:spacing w:after="0" w:line="308" w:lineRule="auto"/>
        <w:rPr>
          <w:sz w:val="20"/>
          <w:szCs w:val="20"/>
          <w:color w:val="auto"/>
        </w:rPr>
      </w:pPr>
      <w:r>
        <w:rPr>
          <w:rFonts w:ascii="Arial" w:cs="Arial" w:eastAsia="Arial" w:hAnsi="Arial"/>
          <w:sz w:val="17"/>
          <w:szCs w:val="17"/>
          <w:color w:val="auto"/>
        </w:rPr>
        <w:t>AXS-07 was well tolerated with long-term dosing. The safety profile of AXS-07 over the 12-month treatment period was consistent with that previously reported in short-term controlled trials. The most commonly reported adverse events (≥3%) were nausea, dizziness, and vomiting.</w:t>
      </w:r>
    </w:p>
    <w:p>
      <w:pPr>
        <w:spacing w:after="0" w:line="18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09</w:t>
      </w:r>
    </w:p>
    <w:p>
      <w:pPr>
        <w:spacing w:after="0" w:line="229" w:lineRule="exact"/>
        <w:rPr>
          <w:sz w:val="20"/>
          <w:szCs w:val="20"/>
          <w:color w:val="auto"/>
        </w:rPr>
      </w:pPr>
    </w:p>
    <w:p>
      <w:pPr>
        <w:ind w:right="40" w:firstLine="832"/>
        <w:spacing w:after="0" w:line="21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 xml:space="preserve">09 is a novel, oral, investigational medicine consisting of chirally pure esbupropion and dextromethrophan. Esbupropion is the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 dopamine and norepinephrine reuptake inhibitor and nicotinic acetylcholine receptor antagonist which also serves to increase the bioavailability of dextromethrophan. Enantiomers are molecules which are identical in chemical structure but which differ in the three-dimensional arrangement of the atoms, i.e. the molecules are mirror images. AXS-09 may potentially be applicable to the treatment of a variety of CNS disorders, based on the mechanisms of action of its two components.</w:t>
      </w:r>
    </w:p>
    <w:p>
      <w:pPr>
        <w:spacing w:after="0" w:line="205" w:lineRule="exact"/>
        <w:rPr>
          <w:sz w:val="20"/>
          <w:szCs w:val="20"/>
          <w:color w:val="auto"/>
        </w:rPr>
      </w:pPr>
    </w:p>
    <w:p>
      <w:pPr>
        <w:ind w:right="140" w:firstLine="832"/>
        <w:spacing w:after="0" w:line="257" w:lineRule="auto"/>
        <w:rPr>
          <w:sz w:val="20"/>
          <w:szCs w:val="20"/>
          <w:color w:val="auto"/>
        </w:rPr>
      </w:pPr>
      <w:r>
        <w:rPr>
          <w:rFonts w:ascii="Arial" w:cs="Arial" w:eastAsia="Arial" w:hAnsi="Arial"/>
          <w:sz w:val="18"/>
          <w:szCs w:val="18"/>
          <w:color w:val="auto"/>
        </w:rPr>
        <w:t xml:space="preserve">In February 2018, we announced the results of a Phase 1 pharmacokinetic trial of AXS-09. The Phase 1 trial was a randomized, multiple-dose, parallel group pharmacokinetic trial. A total of 32 healthy adult subjects were randomly assigned to treatment with AXS-09, </w:t>
      </w:r>
      <w:r>
        <w:rPr>
          <w:rFonts w:ascii="Arial" w:cs="Arial" w:eastAsia="Arial" w:hAnsi="Arial"/>
          <w:sz w:val="18"/>
          <w:szCs w:val="18"/>
          <w:i w:val="1"/>
          <w:iCs w:val="1"/>
          <w:color w:val="auto"/>
        </w:rPr>
        <w:t>R</w:t>
      </w:r>
      <w:r>
        <w:rPr>
          <w:rFonts w:ascii="Arial" w:cs="Arial" w:eastAsia="Arial" w:hAnsi="Arial"/>
          <w:sz w:val="18"/>
          <w:szCs w:val="18"/>
          <w:color w:val="auto"/>
        </w:rPr>
        <w:t xml:space="preserve">-bupropion and dextromethrophan, single-entity </w:t>
      </w:r>
      <w:r>
        <w:rPr>
          <w:rFonts w:ascii="Arial" w:cs="Arial" w:eastAsia="Arial" w:hAnsi="Arial"/>
          <w:sz w:val="18"/>
          <w:szCs w:val="18"/>
          <w:i w:val="1"/>
          <w:iCs w:val="1"/>
          <w:color w:val="auto"/>
        </w:rPr>
        <w:t>S</w:t>
      </w:r>
      <w:r>
        <w:rPr>
          <w:rFonts w:ascii="Arial" w:cs="Arial" w:eastAsia="Arial" w:hAnsi="Arial"/>
          <w:sz w:val="18"/>
          <w:szCs w:val="18"/>
          <w:color w:val="auto"/>
        </w:rPr>
        <w:t xml:space="preserve">-bupropion, or single-entity </w:t>
      </w:r>
      <w:r>
        <w:rPr>
          <w:rFonts w:ascii="Arial" w:cs="Arial" w:eastAsia="Arial" w:hAnsi="Arial"/>
          <w:sz w:val="18"/>
          <w:szCs w:val="18"/>
          <w:i w:val="1"/>
          <w:iCs w:val="1"/>
          <w:color w:val="auto"/>
        </w:rPr>
        <w:t>R</w:t>
      </w:r>
      <w:r>
        <w:rPr>
          <w:rFonts w:ascii="Arial" w:cs="Arial" w:eastAsia="Arial" w:hAnsi="Arial"/>
          <w:sz w:val="18"/>
          <w:szCs w:val="18"/>
          <w:color w:val="auto"/>
        </w:rPr>
        <w:t>-bupropion tablets, for 8 days under fasting conditions. Plasma concentrations of dextromethrophan, bupropion, and their metabolites were measured. The primary endpoint was the change in dextromethorphan plasma concentrations from day 1 to day 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73" w:lineRule="auto"/>
        <w:rPr>
          <w:sz w:val="20"/>
          <w:szCs w:val="20"/>
          <w:color w:val="auto"/>
        </w:rPr>
      </w:pPr>
      <w:r>
        <w:rPr>
          <w:rFonts w:ascii="Arial" w:cs="Arial" w:eastAsia="Arial" w:hAnsi="Arial"/>
          <w:sz w:val="17"/>
          <w:szCs w:val="17"/>
          <w:color w:val="auto"/>
        </w:rPr>
        <w:t xml:space="preserve">Results of the Phase 1 trial demonstrated that AXS-09 resulted in substantial increases in dextromethorphan plasma concentrations into a potentially therapeutic range with repeated dosing, p&lt;0.0001 day 1 versus day 8. AXS-09 was well tolerated with no serious adverse events reported in the trial. The increased plasma concentrations of dextromethorphan after dosing with AXS-09, which contains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are comparable to those achieved with dosing of our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AXS-12, reboxetine, is a novel, oral, investigational medicine that we are initially developing for the treatment of the symptoms of narcolepsy.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AXS-12 is a highly selective and potent norepinephrine reuptake inhibitor.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Narcolepsy</w:t>
      </w:r>
    </w:p>
    <w:p>
      <w:pPr>
        <w:spacing w:after="0" w:line="225" w:lineRule="exact"/>
        <w:rPr>
          <w:sz w:val="20"/>
          <w:szCs w:val="20"/>
          <w:color w:val="auto"/>
        </w:rPr>
      </w:pPr>
    </w:p>
    <w:p>
      <w:pPr>
        <w:ind w:right="120" w:firstLine="832"/>
        <w:spacing w:after="0" w:line="296" w:lineRule="auto"/>
        <w:rPr>
          <w:sz w:val="20"/>
          <w:szCs w:val="20"/>
          <w:color w:val="auto"/>
        </w:rPr>
      </w:pPr>
      <w:r>
        <w:rPr>
          <w:rFonts w:ascii="Arial" w:cs="Arial" w:eastAsia="Arial" w:hAnsi="Arial"/>
          <w:sz w:val="16"/>
          <w:szCs w:val="16"/>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w:t>
      </w:r>
    </w:p>
    <w:p>
      <w:pPr>
        <w:spacing w:after="0" w:line="161" w:lineRule="exact"/>
        <w:rPr>
          <w:sz w:val="20"/>
          <w:szCs w:val="20"/>
          <w:color w:val="auto"/>
        </w:rPr>
      </w:pPr>
    </w:p>
    <w:p>
      <w:pPr>
        <w:ind w:right="100" w:firstLine="832"/>
        <w:spacing w:after="0" w:line="219"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August 2018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12 in narcolepsy. In October 2018, we received Orphan Drug Designation from the FDA for AXS-12 for the treatment of narcolepsy. In January 2020, we entered into an exclusive license agreement with Pfizer Inc. for Pfizer’s clinical and nonclinical data, and intellectual property for reboxetine, the active pharmaceutical ingredient in AXS-12. In August 2020, we announced that the FDA had granted AXS-12 Breakthrough Therapy designation for the treatment of cataplexy in patients with narcolepsy. In September 2020, we announced that the development plan for AXS-12 for the treatment of narcolepsy was expedited following a Breakthrough Therapy meeting with the FDA.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CONCERT Study</w:t>
      </w:r>
    </w:p>
    <w:p>
      <w:pPr>
        <w:spacing w:after="0" w:line="225" w:lineRule="exact"/>
        <w:rPr>
          <w:sz w:val="20"/>
          <w:szCs w:val="20"/>
          <w:color w:val="auto"/>
        </w:rPr>
      </w:pPr>
    </w:p>
    <w:p>
      <w:pPr>
        <w:ind w:right="440" w:firstLine="832"/>
        <w:spacing w:after="0" w:line="342" w:lineRule="auto"/>
        <w:rPr>
          <w:sz w:val="20"/>
          <w:szCs w:val="20"/>
          <w:color w:val="auto"/>
        </w:rPr>
      </w:pPr>
      <w:r>
        <w:rPr>
          <w:rFonts w:ascii="Arial" w:cs="Arial" w:eastAsia="Arial" w:hAnsi="Arial"/>
          <w:sz w:val="16"/>
          <w:szCs w:val="16"/>
          <w:color w:val="auto"/>
        </w:rPr>
        <w:t>In January 2019, we initiated the CONCERT study to evaluate the efficacy and safety of AXS-12 in narcolepsy. In December 2019, we announced that AXS-12 met the prespecified primary endpoint and significantly reduced the total number of cataplexy attacks in the CONCERT trial.</w:t>
      </w:r>
    </w:p>
    <w:p>
      <w:pPr>
        <w:spacing w:after="0" w:line="124" w:lineRule="exact"/>
        <w:rPr>
          <w:sz w:val="20"/>
          <w:szCs w:val="20"/>
          <w:color w:val="auto"/>
        </w:rPr>
      </w:pPr>
    </w:p>
    <w:p>
      <w:pPr>
        <w:ind w:firstLine="832"/>
        <w:spacing w:after="0" w:line="263" w:lineRule="auto"/>
        <w:rPr>
          <w:sz w:val="20"/>
          <w:szCs w:val="20"/>
          <w:color w:val="auto"/>
        </w:rPr>
      </w:pPr>
      <w:r>
        <w:rPr>
          <w:rFonts w:ascii="Arial" w:cs="Arial" w:eastAsia="Arial" w:hAnsi="Arial"/>
          <w:sz w:val="18"/>
          <w:szCs w:val="18"/>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84" w:lineRule="exact"/>
        <w:rPr>
          <w:sz w:val="20"/>
          <w:szCs w:val="20"/>
          <w:color w:val="auto"/>
        </w:rPr>
      </w:pPr>
    </w:p>
    <w:p>
      <w:pPr>
        <w:ind w:right="20" w:firstLine="832"/>
        <w:spacing w:after="0" w:line="273" w:lineRule="auto"/>
        <w:rPr>
          <w:sz w:val="20"/>
          <w:szCs w:val="20"/>
          <w:color w:val="auto"/>
        </w:rPr>
      </w:pPr>
      <w:r>
        <w:rPr>
          <w:rFonts w:ascii="Arial" w:cs="Arial" w:eastAsia="Arial" w:hAnsi="Arial"/>
          <w:sz w:val="17"/>
          <w:szCs w:val="17"/>
          <w:color w:val="auto"/>
        </w:rPr>
        <w:t>AXS-12 met the prespecified primary endpoint by demonstrating a highly statistically significant reduction from baseline in the mean weekly number of cataplexy attacks, averaged for the 2-week treatment period, the overall treatment effect, as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832"/>
        <w:spacing w:after="0" w:line="275" w:lineRule="auto"/>
        <w:rPr>
          <w:sz w:val="20"/>
          <w:szCs w:val="20"/>
          <w:color w:val="auto"/>
        </w:rPr>
      </w:pPr>
      <w:r>
        <w:rPr>
          <w:rFonts w:ascii="Arial" w:cs="Arial" w:eastAsia="Arial" w:hAnsi="Arial"/>
          <w:sz w:val="17"/>
          <w:szCs w:val="17"/>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176" w:lineRule="exact"/>
        <w:rPr>
          <w:sz w:val="20"/>
          <w:szCs w:val="20"/>
          <w:color w:val="auto"/>
        </w:rPr>
      </w:pPr>
    </w:p>
    <w:p>
      <w:pPr>
        <w:ind w:right="100" w:firstLine="832"/>
        <w:spacing w:after="0" w:line="275" w:lineRule="auto"/>
        <w:rPr>
          <w:sz w:val="20"/>
          <w:szCs w:val="20"/>
          <w:color w:val="auto"/>
        </w:rPr>
      </w:pPr>
      <w:r>
        <w:rPr>
          <w:rFonts w:ascii="Arial" w:cs="Arial" w:eastAsia="Arial" w:hAnsi="Arial"/>
          <w:sz w:val="17"/>
          <w:szCs w:val="17"/>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76" w:lineRule="exact"/>
        <w:rPr>
          <w:sz w:val="20"/>
          <w:szCs w:val="20"/>
          <w:color w:val="auto"/>
        </w:rPr>
      </w:pPr>
    </w:p>
    <w:p>
      <w:pPr>
        <w:ind w:right="20" w:firstLine="832"/>
        <w:spacing w:after="0" w:line="257" w:lineRule="auto"/>
        <w:rPr>
          <w:sz w:val="20"/>
          <w:szCs w:val="20"/>
          <w:color w:val="auto"/>
        </w:rPr>
      </w:pPr>
      <w:r>
        <w:rPr>
          <w:rFonts w:ascii="Arial" w:cs="Arial" w:eastAsia="Arial" w:hAnsi="Arial"/>
          <w:sz w:val="18"/>
          <w:szCs w:val="18"/>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AXS-12 was well tolerated in the trial. The most commonly reported adverse events with AXS-12 treatment were anxiety, constipation,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insomnia.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AXS-14, esreboxetine, is a highly selective and potent norepinephrine reuptake inhibitor for the treatment of fibromyalgia and other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Esreboxetine, the </w:t>
      </w:r>
      <w:r>
        <w:rPr>
          <w:rFonts w:ascii="Arial" w:cs="Arial" w:eastAsia="Arial" w:hAnsi="Arial"/>
          <w:sz w:val="18"/>
          <w:szCs w:val="18"/>
          <w:i w:val="1"/>
          <w:iCs w:val="1"/>
          <w:color w:val="auto"/>
        </w:rPr>
        <w:t>SS</w:t>
      </w:r>
      <w:r>
        <w:rPr>
          <w:rFonts w:ascii="Arial" w:cs="Arial" w:eastAsia="Arial" w:hAnsi="Arial"/>
          <w:sz w:val="18"/>
          <w:szCs w:val="18"/>
          <w:color w:val="auto"/>
        </w:rPr>
        <w:t>-enantiomer of reboxetine, is more potent and selective than racemic reboxetine.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Fibromyalgia</w:t>
      </w:r>
    </w:p>
    <w:p>
      <w:pPr>
        <w:spacing w:after="0" w:line="225"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87"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18"/>
          <w:szCs w:val="18"/>
          <w:color w:val="auto"/>
        </w:rPr>
        <w:t>In January 2020, Axsome received from Pfizer an exclusive license to develop and commercialize esreboxetine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spacing w:after="0" w:line="184" w:lineRule="exact"/>
        <w:rPr>
          <w:sz w:val="20"/>
          <w:szCs w:val="20"/>
          <w:color w:val="auto"/>
        </w:rPr>
      </w:pPr>
    </w:p>
    <w:p>
      <w:pPr>
        <w:ind w:right="60" w:firstLine="832"/>
        <w:spacing w:after="0" w:line="273" w:lineRule="auto"/>
        <w:rPr>
          <w:sz w:val="20"/>
          <w:szCs w:val="20"/>
          <w:color w:val="auto"/>
        </w:rPr>
      </w:pPr>
      <w:r>
        <w:rPr>
          <w:rFonts w:ascii="Arial" w:cs="Arial" w:eastAsia="Arial" w:hAnsi="Arial"/>
          <w:sz w:val="17"/>
          <w:szCs w:val="17"/>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or FIQ, total score (p&lt;0.001, p&lt;0.001, and p=0.023, for 4 mg, 8 mg and 10 mg doses, respectively). Esreboxetine also resulted in statistically significant improvements as compared to placebo on the PGI-C scale (p=0.002, p=0.001, and p=0.007, for 4 mg, 8 mg and 10 mg doses, respectively), and in fatigue as measured using the Global Fatigue Index (p=0.001 and p=0.001, for 4 mg and 8 mg daily doses, respectively).</w:t>
      </w:r>
    </w:p>
    <w:p>
      <w:pPr>
        <w:spacing w:after="0" w:line="178" w:lineRule="exact"/>
        <w:rPr>
          <w:sz w:val="20"/>
          <w:szCs w:val="20"/>
          <w:color w:val="auto"/>
        </w:rPr>
      </w:pPr>
    </w:p>
    <w:p>
      <w:pPr>
        <w:ind w:right="120" w:firstLine="832"/>
        <w:spacing w:after="0" w:line="279" w:lineRule="auto"/>
        <w:rPr>
          <w:sz w:val="20"/>
          <w:szCs w:val="20"/>
          <w:color w:val="auto"/>
        </w:rPr>
      </w:pPr>
      <w:r>
        <w:rPr>
          <w:rFonts w:ascii="Arial" w:cs="Arial" w:eastAsia="Arial" w:hAnsi="Arial"/>
          <w:sz w:val="17"/>
          <w:szCs w:val="17"/>
          <w:color w:val="auto"/>
        </w:rPr>
        <w:t>In a Phase 2 trial conducted by Pfizer in 267 patients with fibromyalgia treated with esreboxetine (dose escalated to 8 mg/day) or placebo for 8 weeks, esreboxetine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Pain and Primary Care</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continue to own and maintain the intellectual property covering our pain and primary care assets that we are not currently developing.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Agreements</w:t>
      </w:r>
    </w:p>
    <w:p>
      <w:pPr>
        <w:spacing w:after="0" w:line="229" w:lineRule="exact"/>
        <w:rPr>
          <w:sz w:val="20"/>
          <w:szCs w:val="20"/>
          <w:color w:val="auto"/>
        </w:rPr>
      </w:pPr>
    </w:p>
    <w:p>
      <w:pPr>
        <w:ind w:right="20" w:firstLine="832"/>
        <w:spacing w:after="0" w:line="220" w:lineRule="exact"/>
        <w:rPr>
          <w:sz w:val="20"/>
          <w:szCs w:val="20"/>
          <w:color w:val="auto"/>
        </w:rPr>
      </w:pPr>
      <w:r>
        <w:rPr>
          <w:rFonts w:ascii="Arial" w:cs="Arial" w:eastAsia="Arial" w:hAnsi="Arial"/>
          <w:sz w:val="18"/>
          <w:szCs w:val="18"/>
          <w:color w:val="auto"/>
        </w:rPr>
        <w:t>We have customary clinical supply agreements and customary agreements with clinical research organizations to help manage our clinical trials. Each of our commercial agreements are non</w:t>
      </w:r>
      <w:r>
        <w:rPr>
          <w:rFonts w:ascii="MS PGothic" w:cs="MS PGothic" w:eastAsia="MS PGothic" w:hAnsi="MS PGothic"/>
          <w:sz w:val="18"/>
          <w:szCs w:val="18"/>
          <w:color w:val="auto"/>
        </w:rPr>
        <w:t>‑</w:t>
      </w:r>
      <w:r>
        <w:rPr>
          <w:rFonts w:ascii="Arial" w:cs="Arial" w:eastAsia="Arial" w:hAnsi="Arial"/>
          <w:sz w:val="18"/>
          <w:szCs w:val="18"/>
          <w:color w:val="auto"/>
        </w:rPr>
        <w:t>exclusive, and we have no material contractual obligations under such agreements, except to the extent we order supply or request services to be performed.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Pfizer</w:t>
      </w:r>
    </w:p>
    <w:p>
      <w:pPr>
        <w:spacing w:after="0" w:line="225" w:lineRule="exact"/>
        <w:rPr>
          <w:sz w:val="20"/>
          <w:szCs w:val="20"/>
          <w:color w:val="auto"/>
        </w:rPr>
      </w:pPr>
    </w:p>
    <w:p>
      <w:pPr>
        <w:ind w:firstLine="832"/>
        <w:spacing w:after="0" w:line="267" w:lineRule="auto"/>
        <w:rPr>
          <w:sz w:val="20"/>
          <w:szCs w:val="20"/>
          <w:color w:val="auto"/>
        </w:rPr>
      </w:pPr>
      <w:r>
        <w:rPr>
          <w:rFonts w:ascii="Arial" w:cs="Arial" w:eastAsia="Arial" w:hAnsi="Arial"/>
          <w:sz w:val="17"/>
          <w:szCs w:val="17"/>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Antecip</w:t>
      </w:r>
    </w:p>
    <w:p>
      <w:pPr>
        <w:spacing w:after="0" w:line="225" w:lineRule="exact"/>
        <w:rPr>
          <w:sz w:val="20"/>
          <w:szCs w:val="20"/>
          <w:color w:val="auto"/>
        </w:rPr>
      </w:pPr>
    </w:p>
    <w:p>
      <w:pPr>
        <w:ind w:firstLine="832"/>
        <w:spacing w:after="0" w:line="217" w:lineRule="exact"/>
        <w:rPr>
          <w:sz w:val="20"/>
          <w:szCs w:val="20"/>
          <w:color w:val="auto"/>
        </w:rPr>
      </w:pPr>
      <w:r>
        <w:rPr>
          <w:rFonts w:ascii="Arial" w:cs="Arial" w:eastAsia="Arial" w:hAnsi="Arial"/>
          <w:sz w:val="17"/>
          <w:szCs w:val="17"/>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7"/>
          <w:szCs w:val="17"/>
          <w:color w:val="auto"/>
        </w:rPr>
        <w:t>‑</w:t>
      </w:r>
      <w:r>
        <w:rPr>
          <w:rFonts w:ascii="Arial" w:cs="Arial" w:eastAsia="Arial" w:hAnsi="Arial"/>
          <w:sz w:val="17"/>
          <w:szCs w:val="17"/>
          <w:color w:val="auto"/>
        </w:rPr>
        <w:t>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05. Under the terms of the agreements, we are required to pay to Antecip a royalty equal to 3.0% for AXS</w:t>
      </w:r>
      <w:r>
        <w:rPr>
          <w:rFonts w:ascii="MS PGothic" w:cs="MS PGothic" w:eastAsia="MS PGothic" w:hAnsi="MS PGothic"/>
          <w:sz w:val="17"/>
          <w:szCs w:val="17"/>
          <w:color w:val="auto"/>
        </w:rPr>
        <w:t>‑</w:t>
      </w:r>
      <w:r>
        <w:rPr>
          <w:rFonts w:ascii="Arial" w:cs="Arial" w:eastAsia="Arial" w:hAnsi="Arial"/>
          <w:sz w:val="17"/>
          <w:szCs w:val="17"/>
          <w:color w:val="auto"/>
        </w:rPr>
        <w:t>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7"/>
          <w:szCs w:val="17"/>
          <w:color w:val="auto"/>
        </w:rPr>
        <w:t>‑</w:t>
      </w:r>
      <w:r>
        <w:rPr>
          <w:rFonts w:ascii="Arial" w:cs="Arial" w:eastAsia="Arial" w:hAnsi="Arial"/>
          <w:sz w:val="17"/>
          <w:szCs w:val="17"/>
          <w:color w:val="auto"/>
        </w:rPr>
        <w:t>up, royalty</w:t>
      </w:r>
      <w:r>
        <w:rPr>
          <w:rFonts w:ascii="MS PGothic" w:cs="MS PGothic" w:eastAsia="MS PGothic" w:hAnsi="MS PGothic"/>
          <w:sz w:val="17"/>
          <w:szCs w:val="17"/>
          <w:color w:val="auto"/>
        </w:rPr>
        <w:t>‑</w:t>
      </w:r>
      <w:r>
        <w:rPr>
          <w:rFonts w:ascii="Arial" w:cs="Arial" w:eastAsia="Arial" w:hAnsi="Arial"/>
          <w:sz w:val="17"/>
          <w:szCs w:val="17"/>
          <w:color w:val="auto"/>
        </w:rPr>
        <w:t>free, perpetual non</w:t>
      </w:r>
      <w:r>
        <w:rPr>
          <w:rFonts w:ascii="MS PGothic" w:cs="MS PGothic" w:eastAsia="MS PGothic" w:hAnsi="MS PGothic"/>
          <w:sz w:val="17"/>
          <w:szCs w:val="17"/>
          <w:color w:val="auto"/>
        </w:rPr>
        <w:t>‑</w:t>
      </w:r>
      <w:r>
        <w:rPr>
          <w:rFonts w:ascii="Arial" w:cs="Arial" w:eastAsia="Arial" w:hAnsi="Arial"/>
          <w:sz w:val="17"/>
          <w:szCs w:val="17"/>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832"/>
        <w:spacing w:after="0" w:line="257" w:lineRule="auto"/>
        <w:rPr>
          <w:sz w:val="20"/>
          <w:szCs w:val="20"/>
          <w:color w:val="auto"/>
        </w:rPr>
      </w:pPr>
      <w:r>
        <w:rPr>
          <w:rFonts w:ascii="Arial" w:cs="Arial" w:eastAsia="Arial" w:hAnsi="Arial"/>
          <w:sz w:val="18"/>
          <w:szCs w:val="18"/>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88" w:lineRule="exact"/>
        <w:rPr>
          <w:sz w:val="20"/>
          <w:szCs w:val="20"/>
          <w:color w:val="auto"/>
        </w:rPr>
      </w:pPr>
    </w:p>
    <w:p>
      <w:pPr>
        <w:ind w:right="40" w:firstLine="832"/>
        <w:spacing w:after="0" w:line="217" w:lineRule="exact"/>
        <w:rPr>
          <w:sz w:val="20"/>
          <w:szCs w:val="20"/>
          <w:color w:val="auto"/>
        </w:rPr>
      </w:pPr>
      <w:r>
        <w:rPr>
          <w:rFonts w:ascii="Arial" w:cs="Arial" w:eastAsia="Arial" w:hAnsi="Arial"/>
          <w:sz w:val="16"/>
          <w:szCs w:val="16"/>
          <w:color w:val="auto"/>
        </w:rPr>
        <w:t>As of February 22, 2021, our intellectual property portfolio contains 192 issued patents and more than 165 pending applications in the United States and worldwide. More than fifty issued United States patents and more than 40 issued foreign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05 product candidate have claims covering method of treatment, pharmaceutical composition, drug delivery, and pharmacokinetics with protection extending through 2034, and 2040. More than forty issued United States patents and more than 40 issued foreign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07 product candidate, and related compounds, have claims covering various aspects, including pharmacokinetics, pharmaceutical composition, method of delivery, and methods of use with protection extending through 2036. We have pending PCT applications, as well as pending applications in Australia, Canada, China, Europe, Hong Kong, Israel, Japan, Malaysia, Mexico, Singapore, South Korea, and New Zealand. We have other patent applications with claims covering the other programs in our pipeline, including those that are not relevant to our current programs in development. We have licensed the patents and pending applications which cover AXS</w:t>
      </w:r>
      <w:r>
        <w:rPr>
          <w:rFonts w:ascii="MS PGothic" w:cs="MS PGothic" w:eastAsia="MS PGothic" w:hAnsi="MS PGothic"/>
          <w:sz w:val="16"/>
          <w:szCs w:val="16"/>
          <w:color w:val="auto"/>
        </w:rPr>
        <w:t>‑</w:t>
      </w:r>
      <w:r>
        <w:rPr>
          <w:rFonts w:ascii="Arial" w:cs="Arial" w:eastAsia="Arial" w:hAnsi="Arial"/>
          <w:sz w:val="16"/>
          <w:szCs w:val="16"/>
          <w:color w:val="auto"/>
        </w:rPr>
        <w:t>05 from Antecip. All of the other components of our intellectual property portfolio are owned by us.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84"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in the field of pain and CNS disorders and filing patent applications potentially relevant to our business. In order to contend with the inevitable possibility of third party intellectual property conflicts, from time to time we review and assess the third party intellectual property landscape for competitive and other developments that may inform or impact our intellectual property development and commercialization strategies. With respect to third party intellectual property, it is impossible to establish with certainty that our product candidates or discovery platform will be free of claims by third party intellectual property holders or whether we will require licenses from such third parties. Even with modern databases and on line search engines, literature searches are imperfect and may fail to identify relevant patents and published applications. Even when a third party patent is identified, we may conclude, upon a thorough analysis, that we do not infringe the patent or that the patent is invalid. If the third party patent owner disagrees with our conclusion and we continue with the business activity in question, we might have patent litigation forced upon us. Alternatively, we might decide to initiate litigation in an attempt to have a court declare the third 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 Solicitation, and Non 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832"/>
        <w:spacing w:after="0" w:line="269" w:lineRule="auto"/>
        <w:rPr>
          <w:sz w:val="20"/>
          <w:szCs w:val="20"/>
          <w:color w:val="auto"/>
        </w:rPr>
      </w:pPr>
      <w:r>
        <w:rPr>
          <w:rFonts w:ascii="Arial" w:cs="Arial" w:eastAsia="Arial" w:hAnsi="Arial"/>
          <w:sz w:val="17"/>
          <w:szCs w:val="17"/>
          <w:color w:val="auto"/>
        </w:rPr>
        <w:t>We intend to build a commercial infrastructure in the United States in advance of anticipated drug approval of our product candidates. We believe that we can cost effectively implement a targeted sales force required to commercialize our products, if approved, in the United States. Support for this team will include sales management, internal sales support, distribution support, and an internal marketing group. Additional requisite capabilities will include Value and Access inclusive of focused management of key accounts such as managed care organizations, group purchasing organizations, and government accounts.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832"/>
        <w:spacing w:after="0" w:line="217" w:lineRule="exact"/>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CNS markets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 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Product Candidates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Competition</w:t>
      </w:r>
    </w:p>
    <w:p>
      <w:pPr>
        <w:spacing w:after="0" w:line="225" w:lineRule="exact"/>
        <w:rPr>
          <w:sz w:val="20"/>
          <w:szCs w:val="20"/>
          <w:color w:val="auto"/>
        </w:rPr>
      </w:pPr>
    </w:p>
    <w:p>
      <w:pPr>
        <w:ind w:right="20" w:firstLine="832"/>
        <w:spacing w:after="0" w:line="271" w:lineRule="auto"/>
        <w:rPr>
          <w:sz w:val="20"/>
          <w:szCs w:val="20"/>
          <w:color w:val="auto"/>
        </w:rPr>
      </w:pPr>
      <w:r>
        <w:rPr>
          <w:rFonts w:ascii="Arial" w:cs="Arial" w:eastAsia="Arial" w:hAnsi="Arial"/>
          <w:sz w:val="17"/>
          <w:szCs w:val="17"/>
          <w:color w:val="auto"/>
        </w:rPr>
        <w:t>Patients with MDD are typically treated with a variety of anti-depressant medications. Some of these treatments include: Prozac, which is marketed by Eli Lilly and Company; Zoloft, which is marketed by Pfizer, Inc.; Trintellix, with is marketed by Takeda Pharmaceuticals America, Inc and H. Lundbeck A/S; Viibryd, which is marketed by Abbvie; Effexor, which is marketed by Pfizer, Inc.; and Wellbutrin, which is marketed by GlaxoSmithKline. We are aware of several companies developing compounds for the treatment of depression including Relmada Therapeutics, Inc., Sage Therapeutics, Inc. and Minerva Neurosciences. We are aware of other companies working to develop therapeutics for the treatment of agitation associated with AD, including Otsuka Pharmaceutical Co. Ltd., which is working to develop a combination of deuterated dextromethorphan and quinidine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 Competition</w:t>
      </w:r>
    </w:p>
    <w:p>
      <w:pPr>
        <w:spacing w:after="0" w:line="225" w:lineRule="exact"/>
        <w:rPr>
          <w:sz w:val="20"/>
          <w:szCs w:val="20"/>
          <w:color w:val="auto"/>
        </w:rPr>
      </w:pPr>
    </w:p>
    <w:p>
      <w:pPr>
        <w:ind w:right="140" w:firstLine="832"/>
        <w:spacing w:after="0" w:line="263" w:lineRule="auto"/>
        <w:rPr>
          <w:sz w:val="20"/>
          <w:szCs w:val="20"/>
          <w:color w:val="auto"/>
        </w:rPr>
      </w:pPr>
      <w:r>
        <w:rPr>
          <w:rFonts w:ascii="Arial" w:cs="Arial" w:eastAsia="Arial" w:hAnsi="Arial"/>
          <w:sz w:val="18"/>
          <w:szCs w:val="18"/>
          <w:color w:val="auto"/>
        </w:rPr>
        <w:t>There are a number of products approved for the acute treatment of migraine including Maxalt, which is marketed by Merck &amp; Co., Inc., Treximet, which is marketed by Pernix Therapeutics Holdings, Inc., Reyvow, which is marketed by Eli Lilly and Company; Nurtec, which is marketed by Biohaven Pharmaceuticals, and Ubrelvy, which is marketed by AbbVie.</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 Competition</w:t>
      </w:r>
    </w:p>
    <w:p>
      <w:pPr>
        <w:spacing w:after="0" w:line="225"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Products approved to treat the symptoms of narcolepsy include Ritalin, which is marketed by Novartis Pharmaceuticals; Provigil and Nuvigil, which are both marketed by Teva Pharmaceutical Industries Ltd; Xyrem, Xywav and Sunosi, which are all marketed by Jazz Pharmaceuticals plc; and Wakix which is marketed by Harmony Biosciences LLC. We are aware of several companies developing compounds for the treatment of the symptoms of narcolepsy including Avadel Pharmaceuticals plc; and Jazz Pharmaceuticals plc.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 Competition</w:t>
      </w:r>
    </w:p>
    <w:p>
      <w:pPr>
        <w:spacing w:after="0" w:line="225" w:lineRule="exact"/>
        <w:rPr>
          <w:sz w:val="20"/>
          <w:szCs w:val="20"/>
          <w:color w:val="auto"/>
        </w:rPr>
      </w:pPr>
    </w:p>
    <w:p>
      <w:pPr>
        <w:ind w:right="160" w:firstLine="832"/>
        <w:spacing w:after="0" w:line="277" w:lineRule="auto"/>
        <w:rPr>
          <w:sz w:val="20"/>
          <w:szCs w:val="20"/>
          <w:color w:val="auto"/>
        </w:rPr>
      </w:pPr>
      <w:r>
        <w:rPr>
          <w:rFonts w:ascii="Arial" w:cs="Arial" w:eastAsia="Arial" w:hAnsi="Arial"/>
          <w:sz w:val="18"/>
          <w:szCs w:val="18"/>
          <w:color w:val="auto"/>
        </w:rPr>
        <w:t>Products approved to treat fibromyalgia include Cymbalta, which is marketed by Eli Lilly and Company; Lyrica, which is marketed by Pfizer, Inc.; and Savella, which is marketed by AbbVie. We are aware of other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working to develop therapeutics for the treatment of fibromyalgia including Astellas Pharma, Inc.; Aptinyx Inc.; Innovative Med Concepts, Inc.; Teva Pharmaceutical Industries Ltd; and Tonix Pharmaceutical Holding Corp.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832"/>
        <w:spacing w:after="0" w:line="254" w:lineRule="auto"/>
        <w:rPr>
          <w:sz w:val="20"/>
          <w:szCs w:val="20"/>
          <w:color w:val="auto"/>
        </w:rPr>
      </w:pPr>
      <w:r>
        <w:rPr>
          <w:rFonts w:ascii="Arial" w:cs="Arial" w:eastAsia="Arial" w:hAnsi="Arial"/>
          <w:sz w:val="18"/>
          <w:szCs w:val="18"/>
          <w:color w:val="auto"/>
        </w:rPr>
        <w:t>Manufacturing of the drug substance and drug product for our drugs and product candidates are done by third-parties and must comply with FDA current good manufacturing practice, or cGMP, regulations. Our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candidate active 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40" w:firstLine="832"/>
        <w:spacing w:after="0" w:line="28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11" w:lineRule="exact"/>
        <w:rPr>
          <w:sz w:val="20"/>
          <w:szCs w:val="20"/>
          <w:color w:val="auto"/>
        </w:rPr>
      </w:pPr>
    </w:p>
    <w:p>
      <w:pPr>
        <w:ind w:left="1240" w:right="620" w:hanging="409"/>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1240" w:hanging="40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1240" w:hanging="4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236" w:lineRule="exact"/>
        <w:rPr>
          <w:rFonts w:ascii="Arial" w:cs="Arial" w:eastAsia="Arial" w:hAnsi="Arial"/>
          <w:sz w:val="17"/>
          <w:szCs w:val="17"/>
          <w:color w:val="auto"/>
        </w:rPr>
      </w:pPr>
    </w:p>
    <w:p>
      <w:pPr>
        <w:ind w:left="1240" w:right="40" w:hanging="409"/>
        <w:spacing w:after="0" w:line="223" w:lineRule="exact"/>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and efficacy of the proposed drug candidates for its intended use, performed in accordance with current Good Clinical Practices, or GCP;</w:t>
      </w:r>
    </w:p>
    <w:p>
      <w:pPr>
        <w:spacing w:after="0" w:line="202" w:lineRule="exact"/>
        <w:rPr>
          <w:rFonts w:ascii="Arial" w:cs="Arial" w:eastAsia="Arial" w:hAnsi="Arial"/>
          <w:sz w:val="18"/>
          <w:szCs w:val="18"/>
          <w:color w:val="auto"/>
        </w:rPr>
      </w:pPr>
    </w:p>
    <w:p>
      <w:pPr>
        <w:ind w:left="1240" w:hanging="409"/>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manufacturing processes in compliance with current Good Manufacturing Practices (cGMPs) to ensure the drug’s identity, strength, quality, and purity;</w:t>
      </w:r>
    </w:p>
    <w:p>
      <w:pPr>
        <w:spacing w:after="0" w:line="170" w:lineRule="exact"/>
        <w:rPr>
          <w:rFonts w:ascii="Arial" w:cs="Arial" w:eastAsia="Arial" w:hAnsi="Arial"/>
          <w:sz w:val="18"/>
          <w:szCs w:val="18"/>
          <w:color w:val="auto"/>
        </w:rPr>
      </w:pPr>
    </w:p>
    <w:p>
      <w:pPr>
        <w:ind w:left="1240" w:hanging="40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compilation of required information and submission to the FDA of an NDA;</w:t>
      </w:r>
    </w:p>
    <w:p>
      <w:pPr>
        <w:spacing w:after="0" w:line="225" w:lineRule="exact"/>
        <w:rPr>
          <w:rFonts w:ascii="Arial" w:cs="Arial" w:eastAsia="Arial" w:hAnsi="Arial"/>
          <w:sz w:val="18"/>
          <w:szCs w:val="18"/>
          <w:color w:val="auto"/>
        </w:rPr>
      </w:pPr>
    </w:p>
    <w:p>
      <w:pPr>
        <w:ind w:left="1240" w:hanging="40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240" w:right="180" w:hanging="409"/>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86" w:lineRule="exact"/>
        <w:rPr>
          <w:rFonts w:ascii="Arial" w:cs="Arial" w:eastAsia="Arial" w:hAnsi="Arial"/>
          <w:sz w:val="18"/>
          <w:szCs w:val="18"/>
          <w:color w:val="auto"/>
        </w:rPr>
      </w:pPr>
    </w:p>
    <w:p>
      <w:pPr>
        <w:ind w:left="1240" w:hanging="40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for particular indications for 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ind w:firstLine="832"/>
        <w:spacing w:after="0" w:line="272" w:lineRule="auto"/>
        <w:rPr>
          <w:sz w:val="20"/>
          <w:szCs w:val="20"/>
          <w:color w:val="auto"/>
        </w:rPr>
      </w:pPr>
      <w:r>
        <w:rPr>
          <w:rFonts w:ascii="Arial" w:cs="Arial" w:eastAsia="Arial" w:hAnsi="Arial"/>
          <w:sz w:val="17"/>
          <w:szCs w:val="17"/>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77" w:lineRule="exact"/>
        <w:rPr>
          <w:sz w:val="20"/>
          <w:szCs w:val="20"/>
          <w:color w:val="auto"/>
        </w:rPr>
      </w:pPr>
    </w:p>
    <w:p>
      <w:pPr>
        <w:jc w:val="both"/>
        <w:ind w:firstLine="832"/>
        <w:spacing w:after="0" w:line="220" w:lineRule="exact"/>
        <w:rPr>
          <w:sz w:val="20"/>
          <w:szCs w:val="20"/>
          <w:color w:val="auto"/>
        </w:rPr>
      </w:pPr>
      <w:r>
        <w:rPr>
          <w:rFonts w:ascii="Arial" w:cs="Arial" w:eastAsia="Arial" w:hAnsi="Arial"/>
          <w:sz w:val="16"/>
          <w:szCs w:val="16"/>
          <w:color w:val="auto"/>
        </w:rPr>
        <w:t>An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86" w:lineRule="exact"/>
        <w:rPr>
          <w:sz w:val="20"/>
          <w:szCs w:val="20"/>
          <w:color w:val="auto"/>
        </w:rPr>
      </w:pPr>
    </w:p>
    <w:p>
      <w:pPr>
        <w:ind w:right="140" w:firstLine="832"/>
        <w:spacing w:after="0" w:line="277"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70" w:lineRule="exact"/>
        <w:rPr>
          <w:sz w:val="20"/>
          <w:szCs w:val="20"/>
          <w:color w:val="auto"/>
        </w:rPr>
      </w:pPr>
    </w:p>
    <w:p>
      <w:pPr>
        <w:ind w:firstLine="832"/>
        <w:spacing w:after="0" w:line="275"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general, for purposes of NDA approval, human clinical trials are typically conducted in three sequential phases, which may overlap or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combined.</w:t>
      </w:r>
    </w:p>
    <w:p>
      <w:pPr>
        <w:spacing w:after="0" w:line="211" w:lineRule="exact"/>
        <w:rPr>
          <w:sz w:val="20"/>
          <w:szCs w:val="20"/>
          <w:color w:val="auto"/>
        </w:rPr>
      </w:pPr>
    </w:p>
    <w:p>
      <w:pPr>
        <w:ind w:left="1240" w:right="100" w:hanging="409"/>
        <w:spacing w:after="0" w:line="221" w:lineRule="exact"/>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—Studies are initially conducted in healthy human volunteers or subjects with the target disease or condition and test the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for safety, dosage tolerance, structure</w:t>
      </w:r>
      <w:r>
        <w:rPr>
          <w:rFonts w:ascii="MS PGothic" w:cs="MS PGothic" w:eastAsia="MS PGothic" w:hAnsi="MS PGothic"/>
          <w:sz w:val="17"/>
          <w:szCs w:val="17"/>
          <w:color w:val="auto"/>
        </w:rPr>
        <w:t>‑</w:t>
      </w:r>
      <w:r>
        <w:rPr>
          <w:rFonts w:ascii="Arial" w:cs="Arial" w:eastAsia="Arial" w:hAnsi="Arial"/>
          <w:sz w:val="17"/>
          <w:szCs w:val="17"/>
          <w:color w:val="auto"/>
        </w:rPr>
        <w:t>activity relationships, mechanism of action, absorption, metabolism, distribution, and excretion. If possible, Phase 1 trials may also be used to gain an initial indication of product effectiveness.</w:t>
      </w:r>
    </w:p>
    <w:p>
      <w:pPr>
        <w:spacing w:after="0" w:line="201" w:lineRule="exact"/>
        <w:rPr>
          <w:rFonts w:ascii="Arial" w:cs="Arial" w:eastAsia="Arial" w:hAnsi="Arial"/>
          <w:sz w:val="17"/>
          <w:szCs w:val="17"/>
          <w:color w:val="auto"/>
        </w:rPr>
      </w:pPr>
    </w:p>
    <w:p>
      <w:pPr>
        <w:jc w:val="both"/>
        <w:ind w:left="1240" w:right="280" w:hanging="409"/>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in limited subject populations with a specified disease or condition to evaluate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identify optimal dosages, dosage tolerance and schedule, possible adverse effects and safety risks, and expanded evidence of safety.</w:t>
      </w:r>
    </w:p>
    <w:p>
      <w:pPr>
        <w:spacing w:after="0" w:line="183" w:lineRule="exact"/>
        <w:rPr>
          <w:rFonts w:ascii="Arial" w:cs="Arial" w:eastAsia="Arial" w:hAnsi="Arial"/>
          <w:sz w:val="18"/>
          <w:szCs w:val="18"/>
          <w:color w:val="auto"/>
        </w:rPr>
      </w:pPr>
    </w:p>
    <w:p>
      <w:pPr>
        <w:ind w:left="1240" w:hanging="409"/>
        <w:spacing w:after="0" w:line="220" w:lineRule="exact"/>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These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are undertaken in expanded subject populations, generally at geographically</w:t>
      </w:r>
      <w:r>
        <w:rPr>
          <w:rFonts w:ascii="Arial" w:cs="Arial" w:eastAsia="Arial" w:hAnsi="Arial"/>
          <w:sz w:val="17"/>
          <w:szCs w:val="17"/>
          <w:i w:val="1"/>
          <w:iCs w:val="1"/>
          <w:color w:val="auto"/>
        </w:rPr>
        <w:t xml:space="preserve"> </w:t>
      </w:r>
      <w:r>
        <w:rPr>
          <w:rFonts w:ascii="Arial" w:cs="Arial" w:eastAsia="Arial" w:hAnsi="Arial"/>
          <w:sz w:val="17"/>
          <w:szCs w:val="17"/>
          <w:color w:val="auto"/>
        </w:rPr>
        <w:t>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7"/>
          <w:szCs w:val="17"/>
          <w:color w:val="auto"/>
        </w:rPr>
        <w:t>‑</w:t>
      </w:r>
      <w:r>
        <w:rPr>
          <w:rFonts w:ascii="Arial" w:cs="Arial" w:eastAsia="Arial" w:hAnsi="Arial"/>
          <w:sz w:val="17"/>
          <w:szCs w:val="17"/>
          <w:color w:val="auto"/>
        </w:rPr>
        <w:t>benefit profile of the product, and to provide adequate information for the labeling of the product. Typically, two Phase 3 trials are required by the FDA for product approval.</w:t>
      </w:r>
    </w:p>
    <w:p>
      <w:pPr>
        <w:spacing w:after="0" w:line="204" w:lineRule="exact"/>
        <w:rPr>
          <w:sz w:val="20"/>
          <w:szCs w:val="20"/>
          <w:color w:val="auto"/>
        </w:rPr>
      </w:pPr>
    </w:p>
    <w:p>
      <w:pPr>
        <w:ind w:right="20" w:firstLine="832"/>
        <w:spacing w:after="0" w:line="269" w:lineRule="auto"/>
        <w:rPr>
          <w:sz w:val="20"/>
          <w:szCs w:val="20"/>
          <w:color w:val="auto"/>
        </w:rPr>
      </w:pPr>
      <w:r>
        <w:rPr>
          <w:rFonts w:ascii="Arial" w:cs="Arial" w:eastAsia="Arial" w:hAnsi="Arial"/>
          <w:sz w:val="17"/>
          <w:szCs w:val="17"/>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2" w:lineRule="exact"/>
        <w:rPr>
          <w:sz w:val="20"/>
          <w:szCs w:val="20"/>
          <w:color w:val="auto"/>
        </w:rPr>
      </w:pPr>
    </w:p>
    <w:p>
      <w:pPr>
        <w:ind w:right="180" w:firstLine="832"/>
        <w:spacing w:after="0" w:line="279" w:lineRule="auto"/>
        <w:rPr>
          <w:sz w:val="20"/>
          <w:szCs w:val="20"/>
          <w:color w:val="auto"/>
        </w:rPr>
      </w:pPr>
      <w:r>
        <w:rPr>
          <w:rFonts w:ascii="Arial" w:cs="Arial" w:eastAsia="Arial" w:hAnsi="Arial"/>
          <w:sz w:val="17"/>
          <w:szCs w:val="17"/>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71" w:lineRule="exact"/>
        <w:rPr>
          <w:sz w:val="20"/>
          <w:szCs w:val="20"/>
          <w:color w:val="auto"/>
        </w:rPr>
      </w:pPr>
    </w:p>
    <w:p>
      <w:pPr>
        <w:ind w:right="20" w:firstLine="832"/>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right="60" w:firstLine="832"/>
        <w:spacing w:after="0" w:line="218" w:lineRule="exact"/>
        <w:rPr>
          <w:sz w:val="20"/>
          <w:szCs w:val="20"/>
          <w:color w:val="auto"/>
        </w:rPr>
      </w:pPr>
      <w:r>
        <w:rPr>
          <w:rFonts w:ascii="Arial" w:cs="Arial" w:eastAsia="Arial" w:hAnsi="Arial"/>
          <w:sz w:val="16"/>
          <w:szCs w:val="16"/>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6"/>
          <w:szCs w:val="16"/>
          <w:color w:val="auto"/>
        </w:rPr>
        <w:t>‑</w:t>
      </w:r>
      <w:r>
        <w:rPr>
          <w:rFonts w:ascii="Arial" w:cs="Arial" w:eastAsia="Arial" w:hAnsi="Arial"/>
          <w:sz w:val="16"/>
          <w:szCs w:val="16"/>
          <w:color w:val="auto"/>
        </w:rPr>
        <w:t>upon clinical trial protocol is followed, the clinical trial endpoints are achieved, and there is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the data may serve as the primary basis for an efficacy claim in support of an NDA. However, SPA agreements are not a guarantee of an approval of a product candidate or any permissible claims about the product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225" w:lineRule="exact"/>
        <w:rPr>
          <w:sz w:val="20"/>
          <w:szCs w:val="20"/>
          <w:color w:val="auto"/>
        </w:rPr>
      </w:pPr>
    </w:p>
    <w:p>
      <w:pPr>
        <w:ind w:right="100" w:firstLine="832"/>
        <w:spacing w:after="0" w:line="291" w:lineRule="auto"/>
        <w:rPr>
          <w:sz w:val="20"/>
          <w:szCs w:val="20"/>
          <w:color w:val="auto"/>
        </w:rPr>
      </w:pPr>
      <w:r>
        <w:rPr>
          <w:rFonts w:ascii="Arial" w:cs="Arial" w:eastAsia="Arial" w:hAnsi="Arial"/>
          <w:sz w:val="16"/>
          <w:szCs w:val="16"/>
          <w:color w:val="auto"/>
        </w:rPr>
        <w:t>Assuming successful completion of the required clinical and preclinical testing, the results of product development, including chemistry, manufacturing, and control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66" w:lineRule="exact"/>
        <w:rPr>
          <w:sz w:val="20"/>
          <w:szCs w:val="20"/>
          <w:color w:val="auto"/>
        </w:rPr>
      </w:pPr>
    </w:p>
    <w:p>
      <w:pPr>
        <w:ind w:right="40" w:firstLine="832"/>
        <w:spacing w:after="0" w:line="285" w:lineRule="auto"/>
        <w:rPr>
          <w:sz w:val="20"/>
          <w:szCs w:val="20"/>
          <w:color w:val="auto"/>
        </w:rPr>
      </w:pPr>
      <w:r>
        <w:rPr>
          <w:rFonts w:ascii="Arial" w:cs="Arial" w:eastAsia="Arial" w:hAnsi="Arial"/>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74" w:lineRule="exact"/>
        <w:rPr>
          <w:sz w:val="20"/>
          <w:szCs w:val="20"/>
          <w:color w:val="auto"/>
        </w:rPr>
      </w:pPr>
    </w:p>
    <w:p>
      <w:pPr>
        <w:ind w:right="160" w:firstLine="832"/>
        <w:spacing w:after="0" w:line="220" w:lineRule="exact"/>
        <w:rPr>
          <w:sz w:val="20"/>
          <w:szCs w:val="20"/>
          <w:color w:val="auto"/>
        </w:rPr>
      </w:pPr>
      <w:r>
        <w:rPr>
          <w:rFonts w:ascii="Arial" w:cs="Arial" w:eastAsia="Arial" w:hAnsi="Arial"/>
          <w:sz w:val="16"/>
          <w:szCs w:val="16"/>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of the NDA.</w:t>
      </w:r>
    </w:p>
    <w:p>
      <w:pPr>
        <w:spacing w:after="0" w:line="203" w:lineRule="exact"/>
        <w:rPr>
          <w:sz w:val="20"/>
          <w:szCs w:val="20"/>
          <w:color w:val="auto"/>
        </w:rPr>
      </w:pPr>
    </w:p>
    <w:p>
      <w:pPr>
        <w:ind w:firstLine="832"/>
        <w:spacing w:after="0" w:line="296" w:lineRule="auto"/>
        <w:rPr>
          <w:sz w:val="20"/>
          <w:szCs w:val="20"/>
          <w:color w:val="auto"/>
        </w:rPr>
      </w:pPr>
      <w:r>
        <w:rPr>
          <w:rFonts w:ascii="Arial" w:cs="Arial" w:eastAsia="Arial" w:hAnsi="Arial"/>
          <w:sz w:val="16"/>
          <w:szCs w:val="16"/>
          <w:color w:val="auto"/>
        </w:rPr>
        <w:t>The FDA has agreed to a set of performance goals and procedures under PDUFA to review 90% of all applications within ten months from the 60 day filing date for its initial review of a standard NDA for a New Molecular Entity, or NME. For non 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61" w:lineRule="exact"/>
        <w:rPr>
          <w:sz w:val="20"/>
          <w:szCs w:val="20"/>
          <w:color w:val="auto"/>
        </w:rPr>
      </w:pPr>
    </w:p>
    <w:p>
      <w:pPr>
        <w:ind w:right="20" w:firstLine="832"/>
        <w:spacing w:after="0" w:line="277" w:lineRule="auto"/>
        <w:rPr>
          <w:sz w:val="20"/>
          <w:szCs w:val="20"/>
          <w:color w:val="auto"/>
        </w:rPr>
      </w:pPr>
      <w:r>
        <w:rPr>
          <w:rFonts w:ascii="Arial" w:cs="Arial" w:eastAsia="Arial" w:hAnsi="Arial"/>
          <w:sz w:val="18"/>
          <w:szCs w:val="18"/>
          <w:color w:val="auto"/>
        </w:rPr>
        <w:t>The FDA may refer an application to an advisory committee for review, evaluation and recommendation as to whether the application should be approved, and applications for new molecular entities are generally discussed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advisory committee meetings unless the FDA determines that this type of consultation is not needed under the circumstances.</w:t>
      </w:r>
    </w:p>
    <w:p>
      <w:pPr>
        <w:spacing w:after="0" w:line="225" w:lineRule="exact"/>
        <w:rPr>
          <w:sz w:val="20"/>
          <w:szCs w:val="20"/>
          <w:color w:val="auto"/>
        </w:rPr>
      </w:pPr>
    </w:p>
    <w:p>
      <w:pPr>
        <w:ind w:right="40" w:firstLine="832"/>
        <w:spacing w:after="0" w:line="286" w:lineRule="auto"/>
        <w:rPr>
          <w:sz w:val="20"/>
          <w:szCs w:val="20"/>
          <w:color w:val="auto"/>
        </w:rPr>
      </w:pPr>
      <w:r>
        <w:rPr>
          <w:rFonts w:ascii="Arial" w:cs="Arial" w:eastAsia="Arial" w:hAnsi="Arial"/>
          <w:sz w:val="17"/>
          <w:szCs w:val="17"/>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65" w:lineRule="exact"/>
        <w:rPr>
          <w:sz w:val="20"/>
          <w:szCs w:val="20"/>
          <w:color w:val="auto"/>
        </w:rPr>
      </w:pPr>
    </w:p>
    <w:p>
      <w:pPr>
        <w:ind w:firstLine="832"/>
        <w:spacing w:after="0" w:line="217" w:lineRule="exact"/>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 Moreover, due to the ongoing COVID-19 pandemic, the FDA may delay Pre-Approval Inspections. For example, after generally suspending in-person inspections due to COVID-19, the FDA announced it would resume domestic facility inspections, although the agency continues its general suspension of foreign facility inspections (although “mission-critical” inspections may be considered on a case-by-case basis). Because of the global pandemic, decision-making around facility inspections by the FDA (including Pre-Approval Inspections) continues to evolve.</w:t>
      </w:r>
    </w:p>
    <w:p>
      <w:pPr>
        <w:spacing w:after="0" w:line="210" w:lineRule="exact"/>
        <w:rPr>
          <w:sz w:val="20"/>
          <w:szCs w:val="20"/>
          <w:color w:val="auto"/>
        </w:rPr>
      </w:pPr>
    </w:p>
    <w:p>
      <w:pPr>
        <w:ind w:right="40" w:firstLine="832"/>
        <w:spacing w:after="0" w:line="255" w:lineRule="auto"/>
        <w:rPr>
          <w:sz w:val="20"/>
          <w:szCs w:val="20"/>
          <w:color w:val="auto"/>
        </w:rPr>
      </w:pPr>
      <w:r>
        <w:rPr>
          <w:rFonts w:ascii="Arial" w:cs="Arial" w:eastAsia="Arial" w:hAnsi="Arial"/>
          <w:sz w:val="18"/>
          <w:szCs w:val="18"/>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chemistry, manufacturing, and control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92"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82"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87" w:lineRule="exact"/>
        <w:rPr>
          <w:sz w:val="20"/>
          <w:szCs w:val="20"/>
          <w:color w:val="auto"/>
        </w:rPr>
      </w:pPr>
    </w:p>
    <w:p>
      <w:pPr>
        <w:ind w:right="260" w:firstLine="832"/>
        <w:spacing w:after="0" w:line="219" w:lineRule="exact"/>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Arial" w:cs="Arial" w:eastAsia="Arial" w:hAnsi="Arial"/>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832"/>
        <w:spacing w:after="0" w:line="220" w:lineRule="exact"/>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7"/>
          <w:szCs w:val="17"/>
          <w:color w:val="auto"/>
        </w:rPr>
        <w:t>‑</w:t>
      </w:r>
      <w:r>
        <w:rPr>
          <w:rFonts w:ascii="Arial" w:cs="Arial" w:eastAsia="Arial" w:hAnsi="Arial"/>
          <w:sz w:val="17"/>
          <w:szCs w:val="17"/>
          <w:color w:val="auto"/>
        </w:rPr>
        <w:t xml:space="preserve"> and post</w:t>
      </w:r>
      <w:r>
        <w:rPr>
          <w:rFonts w:ascii="MS PGothic" w:cs="MS PGothic" w:eastAsia="MS PGothic" w:hAnsi="MS PGothic"/>
          <w:sz w:val="17"/>
          <w:szCs w:val="17"/>
          <w:color w:val="auto"/>
        </w:rPr>
        <w:t>‑</w:t>
      </w:r>
      <w:r>
        <w:rPr>
          <w:rFonts w:ascii="Arial" w:cs="Arial" w:eastAsia="Arial" w:hAnsi="Arial"/>
          <w:sz w:val="17"/>
          <w:szCs w:val="17"/>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Approval Process</w:t>
      </w:r>
    </w:p>
    <w:p>
      <w:pPr>
        <w:spacing w:after="0" w:line="225" w:lineRule="exact"/>
        <w:rPr>
          <w:sz w:val="20"/>
          <w:szCs w:val="20"/>
          <w:color w:val="auto"/>
        </w:rPr>
      </w:pPr>
    </w:p>
    <w:p>
      <w:pPr>
        <w:ind w:right="140" w:firstLine="832"/>
        <w:spacing w:after="0" w:line="218" w:lineRule="exact"/>
        <w:rPr>
          <w:sz w:val="20"/>
          <w:szCs w:val="20"/>
          <w:color w:val="auto"/>
        </w:rPr>
      </w:pPr>
      <w:r>
        <w:rPr>
          <w:rFonts w:ascii="Arial" w:cs="Arial" w:eastAsia="Arial" w:hAnsi="Arial"/>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w:t>
      </w:r>
    </w:p>
    <w:p>
      <w:pPr>
        <w:spacing w:after="0" w:line="4" w:lineRule="exact"/>
        <w:rPr>
          <w:sz w:val="20"/>
          <w:szCs w:val="20"/>
          <w:color w:val="auto"/>
        </w:rPr>
      </w:pPr>
    </w:p>
    <w:p>
      <w:pPr>
        <w:ind w:right="6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ind w:firstLine="832"/>
        <w:spacing w:after="0" w:line="217" w:lineRule="exact"/>
        <w:rPr>
          <w:sz w:val="20"/>
          <w:szCs w:val="20"/>
          <w:color w:val="auto"/>
        </w:rPr>
      </w:pPr>
      <w:r>
        <w:rPr>
          <w:rFonts w:ascii="Arial" w:cs="Arial" w:eastAsia="Arial" w:hAnsi="Arial"/>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8"/>
          <w:szCs w:val="18"/>
          <w:color w:val="auto"/>
        </w:rPr>
        <w:t>‑</w:t>
      </w:r>
      <w:r>
        <w:rPr>
          <w:rFonts w:ascii="Arial" w:cs="Arial" w:eastAsia="Arial" w:hAnsi="Arial"/>
          <w:sz w:val="18"/>
          <w:szCs w:val="18"/>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10" w:lineRule="exact"/>
        <w:rPr>
          <w:sz w:val="20"/>
          <w:szCs w:val="20"/>
          <w:color w:val="auto"/>
        </w:rPr>
      </w:pPr>
    </w:p>
    <w:p>
      <w:pPr>
        <w:ind w:right="100" w:firstLine="832"/>
        <w:spacing w:after="0" w:line="263"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also known as the Orange Book.</w:t>
      </w:r>
    </w:p>
    <w:p>
      <w:pPr>
        <w:spacing w:after="0" w:line="184" w:lineRule="exact"/>
        <w:rPr>
          <w:sz w:val="20"/>
          <w:szCs w:val="20"/>
          <w:color w:val="auto"/>
        </w:rPr>
      </w:pPr>
    </w:p>
    <w:p>
      <w:pPr>
        <w:ind w:right="20" w:firstLine="832"/>
        <w:spacing w:after="0" w:line="289" w:lineRule="auto"/>
        <w:rPr>
          <w:sz w:val="20"/>
          <w:szCs w:val="20"/>
          <w:color w:val="auto"/>
        </w:rPr>
      </w:pPr>
      <w:r>
        <w:rPr>
          <w:rFonts w:ascii="Arial" w:cs="Arial" w:eastAsia="Arial" w:hAnsi="Arial"/>
          <w:sz w:val="16"/>
          <w:szCs w:val="16"/>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18" w:lineRule="exact"/>
        <w:rPr>
          <w:sz w:val="20"/>
          <w:szCs w:val="20"/>
          <w:color w:val="auto"/>
        </w:rPr>
      </w:pPr>
      <w:r>
        <w:rPr>
          <w:rFonts w:ascii="Arial" w:cs="Arial" w:eastAsia="Arial" w:hAnsi="Arial"/>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w:t>
      </w:r>
    </w:p>
    <w:p>
      <w:pPr>
        <w:spacing w:after="0" w:line="207" w:lineRule="exact"/>
        <w:rPr>
          <w:sz w:val="20"/>
          <w:szCs w:val="20"/>
          <w:color w:val="auto"/>
        </w:rPr>
      </w:pPr>
    </w:p>
    <w:p>
      <w:pPr>
        <w:jc w:val="both"/>
        <w:ind w:right="120" w:firstLine="832"/>
        <w:spacing w:after="0" w:line="224" w:lineRule="exact"/>
        <w:rPr>
          <w:sz w:val="20"/>
          <w:szCs w:val="20"/>
          <w:color w:val="auto"/>
        </w:rPr>
      </w:pPr>
      <w:r>
        <w:rPr>
          <w:rFonts w:ascii="Arial" w:cs="Arial" w:eastAsia="Arial" w:hAnsi="Arial"/>
          <w:sz w:val="16"/>
          <w:szCs w:val="16"/>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6"/>
          <w:szCs w:val="16"/>
          <w:color w:val="auto"/>
        </w:rPr>
        <w:t>‑</w:t>
      </w:r>
      <w:r>
        <w:rPr>
          <w:rFonts w:ascii="Arial" w:cs="Arial" w:eastAsia="Arial" w:hAnsi="Arial"/>
          <w:sz w:val="16"/>
          <w:szCs w:val="16"/>
          <w:color w:val="auto"/>
        </w:rPr>
        <w:t>month stay, resulting in patent litigation that may take many months or years to resolve. Thus, approval of an ANDA or 505(b)</w:t>
      </w:r>
    </w:p>
    <w:p>
      <w:pPr>
        <w:ind w:right="120" w:firstLine="8"/>
        <w:spacing w:after="0" w:line="26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 could be delayed for a significant period of time depending on the patent certification the applicant makes and the reference drug sponsor’s decision to initiate patent litigation.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Exclusivity</w:t>
      </w:r>
    </w:p>
    <w:p>
      <w:pPr>
        <w:spacing w:after="0" w:line="225"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78" w:lineRule="exact"/>
        <w:rPr>
          <w:sz w:val="20"/>
          <w:szCs w:val="20"/>
          <w:color w:val="auto"/>
        </w:rPr>
      </w:pPr>
    </w:p>
    <w:p>
      <w:pPr>
        <w:ind w:right="20" w:firstLine="832"/>
        <w:spacing w:after="0" w:line="218" w:lineRule="exact"/>
        <w:rPr>
          <w:sz w:val="20"/>
          <w:szCs w:val="20"/>
          <w:color w:val="auto"/>
        </w:rPr>
      </w:pPr>
      <w:r>
        <w:rPr>
          <w:rFonts w:ascii="Arial" w:cs="Arial" w:eastAsia="Arial" w:hAnsi="Arial"/>
          <w:sz w:val="16"/>
          <w:szCs w:val="16"/>
          <w:color w:val="auto"/>
        </w:rPr>
        <w:t xml:space="preserve">Three years of exclusivity are available to the holder of an NDA, including a 505(b)(2) NDA, for a particular condition of approval, or change to a marketed product, such as a new formulation or indication for a drug </w:t>
      </w:r>
      <w:r>
        <w:rPr>
          <w:rFonts w:ascii="Arial" w:cs="Arial" w:eastAsia="Arial" w:hAnsi="Arial"/>
          <w:sz w:val="16"/>
          <w:szCs w:val="16"/>
          <w:color w:val="333333"/>
        </w:rPr>
        <w:t>product that contains an active moiety that has been previously approved, when</w:t>
      </w:r>
      <w:r>
        <w:rPr>
          <w:rFonts w:ascii="Arial" w:cs="Arial" w:eastAsia="Arial" w:hAnsi="Arial"/>
          <w:sz w:val="16"/>
          <w:szCs w:val="16"/>
          <w:color w:val="auto"/>
        </w:rPr>
        <w:t xml:space="preserve"> </w:t>
      </w:r>
      <w:r>
        <w:rPr>
          <w:rFonts w:ascii="Arial" w:cs="Arial" w:eastAsia="Arial" w:hAnsi="Arial"/>
          <w:sz w:val="16"/>
          <w:szCs w:val="16"/>
          <w:color w:val="333333"/>
        </w:rPr>
        <w:t xml:space="preserve">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(NCI) was essential to approval of the application containing those changes. </w:t>
      </w:r>
      <w:r>
        <w:rPr>
          <w:rFonts w:ascii="Arial" w:cs="Arial" w:eastAsia="Arial" w:hAnsi="Arial"/>
          <w:sz w:val="16"/>
          <w:szCs w:val="16"/>
          <w:color w:val="000000"/>
        </w:rPr>
        <w:t>During the NCI</w:t>
      </w:r>
      <w:r>
        <w:rPr>
          <w:rFonts w:ascii="Arial" w:cs="Arial" w:eastAsia="Arial" w:hAnsi="Arial"/>
          <w:sz w:val="16"/>
          <w:szCs w:val="16"/>
          <w:color w:val="333333"/>
        </w:rPr>
        <w:t xml:space="preserve"> </w:t>
      </w:r>
      <w:r>
        <w:rPr>
          <w:rFonts w:ascii="Arial" w:cs="Arial" w:eastAsia="Arial" w:hAnsi="Arial"/>
          <w:sz w:val="16"/>
          <w:szCs w:val="16"/>
          <w:color w:val="000000"/>
        </w:rPr>
        <w:t>exclusivity period,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000000"/>
        </w:rPr>
        <w:t>‑</w:t>
      </w:r>
      <w:r>
        <w:rPr>
          <w:rFonts w:ascii="Arial" w:cs="Arial" w:eastAsia="Arial" w:hAnsi="Arial"/>
          <w:sz w:val="16"/>
          <w:szCs w:val="16"/>
          <w:color w:val="000000"/>
        </w:rPr>
        <w:t>controlled clinical trials necessary to demonstrate safety and efficacy.</w:t>
      </w:r>
    </w:p>
    <w:p>
      <w:pPr>
        <w:spacing w:after="0" w:line="202" w:lineRule="exact"/>
        <w:rPr>
          <w:sz w:val="20"/>
          <w:szCs w:val="20"/>
          <w:color w:val="auto"/>
        </w:rPr>
      </w:pPr>
    </w:p>
    <w:p>
      <w:pPr>
        <w:ind w:right="20" w:firstLine="832"/>
        <w:spacing w:after="0" w:line="218" w:lineRule="exact"/>
        <w:rPr>
          <w:sz w:val="20"/>
          <w:szCs w:val="20"/>
          <w:color w:val="auto"/>
        </w:rPr>
      </w:pPr>
      <w:r>
        <w:rPr>
          <w:rFonts w:ascii="Arial" w:cs="Arial" w:eastAsia="Arial" w:hAnsi="Arial"/>
          <w:sz w:val="16"/>
          <w:szCs w:val="16"/>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6"/>
          <w:szCs w:val="16"/>
          <w:color w:val="auto"/>
        </w:rPr>
        <w:t>‑</w:t>
      </w:r>
      <w:r>
        <w:rPr>
          <w:rFonts w:ascii="Arial" w:cs="Arial" w:eastAsia="Arial" w:hAnsi="Arial"/>
          <w:sz w:val="16"/>
          <w:szCs w:val="16"/>
          <w:color w:val="auto"/>
        </w:rPr>
        <w:t>patent exclusivity periods described above as well as applicable patent terms.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w:t>
      </w:r>
    </w:p>
    <w:p>
      <w:pPr>
        <w:spacing w:after="0" w:line="2" w:lineRule="exact"/>
        <w:rPr>
          <w:sz w:val="20"/>
          <w:szCs w:val="20"/>
          <w:color w:val="auto"/>
        </w:rPr>
      </w:pPr>
    </w:p>
    <w:p>
      <w:pPr>
        <w:ind w:right="140" w:firstLine="8"/>
        <w:spacing w:after="0" w:line="323"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38" w:lineRule="exact"/>
        <w:rPr>
          <w:sz w:val="20"/>
          <w:szCs w:val="20"/>
          <w:color w:val="auto"/>
        </w:rPr>
      </w:pPr>
    </w:p>
    <w:p>
      <w:pPr>
        <w:ind w:right="360" w:firstLine="832"/>
        <w:spacing w:after="0" w:line="259" w:lineRule="auto"/>
        <w:rPr>
          <w:sz w:val="20"/>
          <w:szCs w:val="20"/>
          <w:color w:val="auto"/>
        </w:rPr>
      </w:pPr>
      <w:r>
        <w:rPr>
          <w:rFonts w:ascii="Arial" w:cs="Arial" w:eastAsia="Arial" w:hAnsi="Arial"/>
          <w:sz w:val="18"/>
          <w:szCs w:val="18"/>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225" w:lineRule="exact"/>
        <w:rPr>
          <w:sz w:val="20"/>
          <w:szCs w:val="20"/>
          <w:color w:val="auto"/>
        </w:rPr>
      </w:pPr>
    </w:p>
    <w:p>
      <w:pPr>
        <w:ind w:right="40" w:firstLine="832"/>
        <w:spacing w:after="0" w:line="279" w:lineRule="auto"/>
        <w:rPr>
          <w:sz w:val="20"/>
          <w:szCs w:val="20"/>
          <w:color w:val="auto"/>
        </w:rPr>
      </w:pPr>
      <w:r>
        <w:rPr>
          <w:rFonts w:ascii="Arial" w:cs="Arial" w:eastAsia="Arial" w:hAnsi="Arial"/>
          <w:sz w:val="17"/>
          <w:szCs w:val="17"/>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71" w:lineRule="exact"/>
        <w:rPr>
          <w:sz w:val="20"/>
          <w:szCs w:val="20"/>
          <w:color w:val="auto"/>
        </w:rPr>
      </w:pPr>
    </w:p>
    <w:p>
      <w:pPr>
        <w:ind w:right="220" w:firstLine="832"/>
        <w:spacing w:after="0" w:line="257"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88" w:lineRule="exact"/>
        <w:rPr>
          <w:sz w:val="20"/>
          <w:szCs w:val="20"/>
          <w:color w:val="auto"/>
        </w:rPr>
      </w:pPr>
    </w:p>
    <w:p>
      <w:pPr>
        <w:ind w:right="20" w:firstLine="832"/>
        <w:spacing w:after="0" w:line="279" w:lineRule="auto"/>
        <w:rPr>
          <w:sz w:val="20"/>
          <w:szCs w:val="20"/>
          <w:color w:val="auto"/>
        </w:rPr>
      </w:pPr>
      <w:r>
        <w:rPr>
          <w:rFonts w:ascii="Arial" w:cs="Arial" w:eastAsia="Arial" w:hAnsi="Arial"/>
          <w:sz w:val="17"/>
          <w:szCs w:val="17"/>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some cases, a Fast Track product may be eligible for Accelerated Approval or Priority Review.</w:t>
      </w:r>
    </w:p>
    <w:p>
      <w:pPr>
        <w:spacing w:after="0" w:line="225" w:lineRule="exact"/>
        <w:rPr>
          <w:sz w:val="20"/>
          <w:szCs w:val="20"/>
          <w:color w:val="auto"/>
        </w:rPr>
      </w:pPr>
    </w:p>
    <w:p>
      <w:pPr>
        <w:ind w:right="140" w:firstLine="832"/>
        <w:spacing w:after="0" w:line="219" w:lineRule="exact"/>
        <w:rPr>
          <w:sz w:val="20"/>
          <w:szCs w:val="20"/>
          <w:color w:val="auto"/>
        </w:rPr>
      </w:pPr>
      <w:r>
        <w:rPr>
          <w:rFonts w:ascii="Arial" w:cs="Arial" w:eastAsia="Arial" w:hAnsi="Arial"/>
          <w:sz w:val="18"/>
          <w:szCs w:val="18"/>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Arial" w:cs="Arial" w:eastAsia="Arial" w:hAnsi="Arial"/>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Arial" w:cs="Arial" w:eastAsia="Arial" w:hAnsi="Arial"/>
          <w:sz w:val="18"/>
          <w:szCs w:val="18"/>
          <w:color w:val="auto"/>
        </w:rPr>
        <w:t>NMEs. Products that are eligible for Fast Track designation may also be considered appropriate to receive a Priority Review.</w:t>
      </w:r>
    </w:p>
    <w:p>
      <w:pPr>
        <w:spacing w:after="0" w:line="205" w:lineRule="exact"/>
        <w:rPr>
          <w:sz w:val="20"/>
          <w:szCs w:val="20"/>
          <w:color w:val="auto"/>
        </w:rPr>
      </w:pPr>
    </w:p>
    <w:p>
      <w:pPr>
        <w:ind w:firstLine="832"/>
        <w:spacing w:after="0" w:line="218" w:lineRule="exact"/>
        <w:rPr>
          <w:sz w:val="20"/>
          <w:szCs w:val="20"/>
          <w:color w:val="auto"/>
        </w:rPr>
      </w:pPr>
      <w:r>
        <w:rPr>
          <w:rFonts w:ascii="Arial" w:cs="Arial" w:eastAsia="Arial" w:hAnsi="Arial"/>
          <w:sz w:val="17"/>
          <w:szCs w:val="17"/>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7"/>
          <w:szCs w:val="17"/>
          <w:color w:val="auto"/>
        </w:rPr>
        <w:t>‑</w:t>
      </w:r>
      <w:r>
        <w:rPr>
          <w:rFonts w:ascii="Arial" w:cs="Arial" w:eastAsia="Arial" w:hAnsi="Arial"/>
          <w:sz w:val="17"/>
          <w:szCs w:val="17"/>
          <w:color w:val="auto"/>
        </w:rPr>
        <w:t>disciplinary review.</w:t>
      </w:r>
    </w:p>
    <w:p>
      <w:pPr>
        <w:spacing w:after="0" w:line="206" w:lineRule="exact"/>
        <w:rPr>
          <w:sz w:val="20"/>
          <w:szCs w:val="20"/>
          <w:color w:val="auto"/>
        </w:rPr>
      </w:pPr>
    </w:p>
    <w:p>
      <w:pPr>
        <w:ind w:right="300" w:firstLine="832"/>
        <w:spacing w:after="0" w:line="27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225"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92" w:lineRule="exact"/>
        <w:rPr>
          <w:sz w:val="20"/>
          <w:szCs w:val="20"/>
          <w:color w:val="auto"/>
        </w:rPr>
      </w:pPr>
    </w:p>
    <w:p>
      <w:pPr>
        <w:ind w:right="20" w:firstLine="832"/>
        <w:spacing w:after="0" w:line="219" w:lineRule="exact"/>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sz w:val="20"/>
          <w:szCs w:val="20"/>
          <w:color w:val="auto"/>
        </w:rPr>
      </w:pPr>
    </w:p>
    <w:p>
      <w:pPr>
        <w:ind w:right="100" w:firstLine="832"/>
        <w:spacing w:after="0" w:line="220" w:lineRule="exact"/>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204" w:lineRule="exact"/>
        <w:rPr>
          <w:sz w:val="20"/>
          <w:szCs w:val="20"/>
          <w:color w:val="auto"/>
        </w:rPr>
      </w:pPr>
    </w:p>
    <w:p>
      <w:pPr>
        <w:ind w:right="20" w:firstLine="832"/>
        <w:spacing w:after="0" w:line="217" w:lineRule="exact"/>
        <w:rPr>
          <w:sz w:val="20"/>
          <w:szCs w:val="20"/>
          <w:color w:val="auto"/>
        </w:rPr>
      </w:pPr>
      <w:r>
        <w:rPr>
          <w:rFonts w:ascii="Arial" w:cs="Arial" w:eastAsia="Arial" w:hAnsi="Arial"/>
          <w:sz w:val="17"/>
          <w:szCs w:val="17"/>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Arial" w:cs="Arial" w:eastAsia="Arial" w:hAnsi="Arial"/>
          <w:sz w:val="17"/>
          <w:szCs w:val="17"/>
          <w:color w:val="auto"/>
        </w:rPr>
        <w:t>label uses, and a company that is found to have improperly promoted off</w:t>
      </w:r>
      <w:r>
        <w:rPr>
          <w:rFonts w:ascii="MS PGothic" w:cs="MS PGothic" w:eastAsia="MS PGothic" w:hAnsi="MS PGothic"/>
          <w:sz w:val="17"/>
          <w:szCs w:val="17"/>
          <w:color w:val="auto"/>
        </w:rPr>
        <w:t>‑</w:t>
      </w:r>
      <w:r>
        <w:rPr>
          <w:rFonts w:ascii="Arial" w:cs="Arial" w:eastAsia="Arial" w:hAnsi="Arial"/>
          <w:sz w:val="17"/>
          <w:szCs w:val="17"/>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08" w:lineRule="exact"/>
        <w:rPr>
          <w:sz w:val="20"/>
          <w:szCs w:val="20"/>
          <w:color w:val="auto"/>
        </w:rPr>
      </w:pPr>
    </w:p>
    <w:p>
      <w:pPr>
        <w:ind w:right="60" w:firstLine="832"/>
        <w:spacing w:after="0" w:line="269" w:lineRule="auto"/>
        <w:rPr>
          <w:sz w:val="20"/>
          <w:szCs w:val="20"/>
          <w:color w:val="auto"/>
        </w:rPr>
      </w:pPr>
      <w:r>
        <w:rPr>
          <w:rFonts w:ascii="Arial" w:cs="Arial" w:eastAsia="Arial" w:hAnsi="Arial"/>
          <w:sz w:val="17"/>
          <w:szCs w:val="17"/>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85" w:lineRule="exact"/>
        <w:rPr>
          <w:sz w:val="20"/>
          <w:szCs w:val="20"/>
          <w:color w:val="auto"/>
        </w:rPr>
      </w:pPr>
    </w:p>
    <w:p>
      <w:pPr>
        <w:ind w:right="140" w:firstLine="832"/>
        <w:spacing w:after="0" w:line="26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18" w:lineRule="exact"/>
        <w:rPr>
          <w:sz w:val="20"/>
          <w:szCs w:val="20"/>
          <w:color w:val="auto"/>
        </w:rPr>
      </w:pPr>
      <w:r>
        <w:rPr>
          <w:rFonts w:ascii="Arial" w:cs="Arial" w:eastAsia="Arial" w:hAnsi="Arial"/>
          <w:sz w:val="16"/>
          <w:szCs w:val="16"/>
          <w:color w:val="auto"/>
        </w:rPr>
        <w:t>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6"/>
          <w:szCs w:val="16"/>
          <w:color w:val="auto"/>
        </w:rPr>
        <w:t>‑</w:t>
      </w:r>
      <w:r>
        <w:rPr>
          <w:rFonts w:ascii="Arial" w:cs="Arial" w:eastAsia="Arial" w:hAnsi="Arial"/>
          <w:sz w:val="16"/>
          <w:szCs w:val="16"/>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225" w:lineRule="exact"/>
        <w:rPr>
          <w:sz w:val="20"/>
          <w:szCs w:val="20"/>
          <w:color w:val="auto"/>
        </w:rPr>
      </w:pPr>
    </w:p>
    <w:p>
      <w:pPr>
        <w:ind w:right="120" w:firstLine="832"/>
        <w:spacing w:after="0" w:line="218" w:lineRule="exact"/>
        <w:rPr>
          <w:sz w:val="20"/>
          <w:szCs w:val="20"/>
          <w:color w:val="auto"/>
        </w:rPr>
      </w:pPr>
      <w:r>
        <w:rPr>
          <w:rFonts w:ascii="Arial" w:cs="Arial" w:eastAsia="Arial" w:hAnsi="Arial"/>
          <w:sz w:val="16"/>
          <w:szCs w:val="16"/>
          <w:color w:val="auto"/>
        </w:rPr>
        <w:t>Our business activities, including but not limited to research, sales, promotion, marketing, distribution, medical education, sponsorships, relationships with prescribers and other referral sources,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and regulations as well as data privacy and security laws and regulations, which are described below.</w:t>
      </w:r>
    </w:p>
    <w:p>
      <w:pPr>
        <w:spacing w:after="0" w:line="204" w:lineRule="exact"/>
        <w:rPr>
          <w:sz w:val="20"/>
          <w:szCs w:val="20"/>
          <w:color w:val="auto"/>
        </w:rPr>
      </w:pPr>
    </w:p>
    <w:p>
      <w:pPr>
        <w:ind w:firstLine="832"/>
        <w:spacing w:after="0" w:line="267" w:lineRule="auto"/>
        <w:rPr>
          <w:sz w:val="20"/>
          <w:szCs w:val="20"/>
          <w:color w:val="auto"/>
        </w:rPr>
      </w:pPr>
      <w:r>
        <w:rPr>
          <w:rFonts w:ascii="Arial" w:cs="Arial" w:eastAsia="Arial" w:hAnsi="Arial"/>
          <w:sz w:val="17"/>
          <w:szCs w:val="17"/>
          <w:color w:val="auto"/>
        </w:rPr>
        <w:t>The federal Anti- 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The safe harbors are subject to change through legislative and regulatory action, and we may decide to adjust our business practices or be subject to heightened scrutiny as a result. Instead, the legality of the arrangement will be evaluated on a case by case basis based on a cumulative review of all of its facts and circumstances to determine whether one purpose of an arrangement involving remuneration is to induce referrals of federal healthcare covered business.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32"/>
        <w:spacing w:after="0" w:line="288" w:lineRule="auto"/>
        <w:rPr>
          <w:sz w:val="20"/>
          <w:szCs w:val="20"/>
          <w:color w:val="auto"/>
        </w:rPr>
      </w:pPr>
      <w:r>
        <w:rPr>
          <w:rFonts w:ascii="Arial" w:cs="Arial" w:eastAsia="Arial" w:hAnsi="Arial"/>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(EHR) vendors and pharmaceutical manufacturers for remunerative relationships involving the EHR platform’s recommendation of particular drugs and “prompting” technology to increase prescribing of particular drugs.</w:t>
      </w:r>
    </w:p>
    <w:p>
      <w:pPr>
        <w:spacing w:after="0" w:line="168" w:lineRule="exact"/>
        <w:rPr>
          <w:sz w:val="20"/>
          <w:szCs w:val="20"/>
          <w:color w:val="auto"/>
        </w:rPr>
      </w:pPr>
    </w:p>
    <w:p>
      <w:pPr>
        <w:ind w:right="100" w:firstLine="832"/>
        <w:spacing w:after="0" w:line="257" w:lineRule="auto"/>
        <w:rPr>
          <w:sz w:val="20"/>
          <w:szCs w:val="20"/>
          <w:color w:val="auto"/>
        </w:rPr>
      </w:pPr>
      <w:r>
        <w:rPr>
          <w:rFonts w:ascii="Arial" w:cs="Arial" w:eastAsia="Arial" w:hAnsi="Arial"/>
          <w:sz w:val="18"/>
          <w:szCs w:val="18"/>
          <w:color w:val="auto"/>
        </w:rPr>
        <w:t>The ACA further created new federal requirements for reporting under the Physician Payments Sunshine Act, or the Sunshine Act, by applicable manufacturers of covered drugs, payments and other transfers of value to physicians and teaching hospitals, and ownership and investment interests held by physicians and their immediate family members. The Sunshine Act’s tracking requirement is now extended to payments and transfers of value to physician assistants, nurse practitioners, and other mid-level practitioners, with reporting requirements for these additional mid-level practitioners going into effect in 2022.</w:t>
      </w:r>
    </w:p>
    <w:p>
      <w:pPr>
        <w:spacing w:after="0" w:line="188" w:lineRule="exact"/>
        <w:rPr>
          <w:sz w:val="20"/>
          <w:szCs w:val="20"/>
          <w:color w:val="auto"/>
        </w:rPr>
      </w:pPr>
    </w:p>
    <w:p>
      <w:pPr>
        <w:ind w:firstLine="832"/>
        <w:spacing w:after="0" w:line="284" w:lineRule="auto"/>
        <w:rPr>
          <w:sz w:val="20"/>
          <w:szCs w:val="20"/>
          <w:color w:val="auto"/>
        </w:rPr>
      </w:pPr>
      <w:r>
        <w:rPr>
          <w:rFonts w:ascii="Arial" w:cs="Arial" w:eastAsia="Arial" w:hAnsi="Arial"/>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72" w:lineRule="auto"/>
        <w:rPr>
          <w:sz w:val="20"/>
          <w:szCs w:val="20"/>
          <w:color w:val="auto"/>
        </w:rPr>
      </w:pPr>
      <w:r>
        <w:rPr>
          <w:rFonts w:ascii="Arial" w:cs="Arial" w:eastAsia="Arial" w:hAnsi="Arial"/>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177" w:lineRule="exact"/>
        <w:rPr>
          <w:sz w:val="20"/>
          <w:szCs w:val="20"/>
          <w:color w:val="auto"/>
        </w:rPr>
      </w:pPr>
    </w:p>
    <w:p>
      <w:pPr>
        <w:ind w:right="200" w:firstLine="832"/>
        <w:spacing w:after="0" w:line="259" w:lineRule="auto"/>
        <w:rPr>
          <w:sz w:val="20"/>
          <w:szCs w:val="20"/>
          <w:color w:val="auto"/>
        </w:rPr>
      </w:pPr>
      <w:r>
        <w:rPr>
          <w:rFonts w:ascii="Arial" w:cs="Arial" w:eastAsia="Arial" w:hAnsi="Arial"/>
          <w:sz w:val="18"/>
          <w:szCs w:val="18"/>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87" w:lineRule="exact"/>
        <w:rPr>
          <w:sz w:val="20"/>
          <w:szCs w:val="20"/>
          <w:color w:val="auto"/>
        </w:rPr>
      </w:pPr>
    </w:p>
    <w:p>
      <w:pPr>
        <w:ind w:right="120" w:firstLine="832"/>
        <w:spacing w:after="0" w:line="288" w:lineRule="auto"/>
        <w:rPr>
          <w:sz w:val="20"/>
          <w:szCs w:val="20"/>
          <w:color w:val="auto"/>
        </w:rPr>
      </w:pPr>
      <w:r>
        <w:rPr>
          <w:rFonts w:ascii="Arial" w:cs="Arial" w:eastAsia="Arial" w:hAnsi="Arial"/>
          <w:sz w:val="16"/>
          <w:szCs w:val="16"/>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68" w:lineRule="exact"/>
        <w:rPr>
          <w:sz w:val="20"/>
          <w:szCs w:val="20"/>
          <w:color w:val="auto"/>
        </w:rPr>
      </w:pPr>
    </w:p>
    <w:p>
      <w:pPr>
        <w:ind w:right="720" w:firstLine="832"/>
        <w:spacing w:after="0" w:line="308" w:lineRule="auto"/>
        <w:rPr>
          <w:sz w:val="20"/>
          <w:szCs w:val="20"/>
          <w:color w:val="auto"/>
        </w:rPr>
      </w:pPr>
      <w:r>
        <w:rPr>
          <w:rFonts w:ascii="Arial" w:cs="Arial" w:eastAsia="Arial" w:hAnsi="Arial"/>
          <w:sz w:val="17"/>
          <w:szCs w:val="17"/>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46" w:lineRule="exact"/>
        <w:rPr>
          <w:sz w:val="20"/>
          <w:szCs w:val="20"/>
          <w:color w:val="auto"/>
        </w:rPr>
      </w:pPr>
    </w:p>
    <w:p>
      <w:pPr>
        <w:ind w:right="20" w:firstLine="832"/>
        <w:spacing w:after="0" w:line="217" w:lineRule="exact"/>
        <w:rPr>
          <w:sz w:val="20"/>
          <w:szCs w:val="20"/>
          <w:color w:val="auto"/>
        </w:rPr>
      </w:pPr>
      <w:r>
        <w:rPr>
          <w:rFonts w:ascii="Arial" w:cs="Arial" w:eastAsia="Arial" w:hAnsi="Arial"/>
          <w:sz w:val="17"/>
          <w:szCs w:val="17"/>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7"/>
          <w:szCs w:val="17"/>
          <w:color w:val="auto"/>
        </w:rPr>
        <w:t>‑</w:t>
      </w:r>
      <w:r>
        <w:rPr>
          <w:rFonts w:ascii="Arial" w:cs="Arial" w:eastAsia="Arial" w:hAnsi="Arial"/>
          <w:sz w:val="17"/>
          <w:szCs w:val="17"/>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209" w:lineRule="exact"/>
        <w:rPr>
          <w:sz w:val="20"/>
          <w:szCs w:val="20"/>
          <w:color w:val="auto"/>
        </w:rPr>
      </w:pPr>
    </w:p>
    <w:p>
      <w:pPr>
        <w:ind w:right="40" w:firstLine="832"/>
        <w:spacing w:after="0" w:line="254" w:lineRule="auto"/>
        <w:rPr>
          <w:sz w:val="20"/>
          <w:szCs w:val="20"/>
          <w:color w:val="auto"/>
        </w:rPr>
      </w:pPr>
      <w:r>
        <w:rPr>
          <w:rFonts w:ascii="Arial" w:cs="Arial" w:eastAsia="Arial" w:hAnsi="Arial"/>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Department of Health and Human Services. Manufacturers can be audited by HRSA and be subjected to civil monetary penalties for knowingly and intentionally overcharging covered entities for drugs.</w:t>
      </w:r>
    </w:p>
    <w:p>
      <w:pPr>
        <w:spacing w:after="0" w:line="195" w:lineRule="exact"/>
        <w:rPr>
          <w:sz w:val="20"/>
          <w:szCs w:val="20"/>
          <w:color w:val="auto"/>
        </w:rPr>
      </w:pPr>
    </w:p>
    <w:p>
      <w:pPr>
        <w:ind w:right="720" w:firstLine="832"/>
        <w:spacing w:after="0" w:line="277" w:lineRule="auto"/>
        <w:rPr>
          <w:sz w:val="20"/>
          <w:szCs w:val="20"/>
          <w:color w:val="auto"/>
        </w:rPr>
      </w:pPr>
      <w:r>
        <w:rPr>
          <w:rFonts w:ascii="Arial" w:cs="Arial" w:eastAsia="Arial" w:hAnsi="Arial"/>
          <w:sz w:val="18"/>
          <w:szCs w:val="18"/>
          <w:color w:val="auto"/>
        </w:rPr>
        <w:t>The federal Health Insurance Portability and Accountability Act of 1996, or HIPAA, also created federal criminal statutes that prohibit knowingly and willfully executing, or attempting to execute, a scheme to defraud or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61" w:lineRule="exact"/>
        <w:rPr>
          <w:sz w:val="20"/>
          <w:szCs w:val="20"/>
          <w:color w:val="auto"/>
        </w:rPr>
      </w:pPr>
    </w:p>
    <w:p>
      <w:pPr>
        <w:ind w:right="40" w:firstLine="832"/>
        <w:spacing w:after="0" w:line="287" w:lineRule="auto"/>
        <w:rPr>
          <w:sz w:val="20"/>
          <w:szCs w:val="20"/>
          <w:color w:val="auto"/>
        </w:rPr>
      </w:pPr>
      <w:r>
        <w:rPr>
          <w:rFonts w:ascii="Arial" w:cs="Arial" w:eastAsia="Arial" w:hAnsi="Arial"/>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2" w:lineRule="exact"/>
        <w:rPr>
          <w:sz w:val="20"/>
          <w:szCs w:val="20"/>
          <w:color w:val="auto"/>
        </w:rPr>
      </w:pPr>
    </w:p>
    <w:p>
      <w:pPr>
        <w:ind w:right="40" w:firstLine="832"/>
        <w:spacing w:after="0" w:line="272"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77" w:lineRule="exact"/>
        <w:rPr>
          <w:sz w:val="20"/>
          <w:szCs w:val="20"/>
          <w:color w:val="auto"/>
        </w:rPr>
      </w:pPr>
    </w:p>
    <w:p>
      <w:pPr>
        <w:ind w:right="140" w:firstLine="832"/>
        <w:spacing w:after="0" w:line="263" w:lineRule="auto"/>
        <w:rPr>
          <w:sz w:val="20"/>
          <w:szCs w:val="20"/>
          <w:color w:val="auto"/>
        </w:rPr>
      </w:pPr>
      <w:r>
        <w:rPr>
          <w:rFonts w:ascii="Arial" w:cs="Arial" w:eastAsia="Arial" w:hAnsi="Arial"/>
          <w:sz w:val="18"/>
          <w:szCs w:val="18"/>
          <w:color w:val="auto"/>
        </w:rPr>
        <w:t>In addition to the laws discussed above, we may see more stringent state and federal privacy legislation in 2021 and beyond,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84"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was made effective January 1, 2020 and was recently amended and expanded by the California Privacy Rights Act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832"/>
        <w:spacing w:after="0" w:line="271"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 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78" w:lineRule="exact"/>
        <w:rPr>
          <w:sz w:val="20"/>
          <w:szCs w:val="20"/>
          <w:color w:val="auto"/>
        </w:rPr>
      </w:pPr>
    </w:p>
    <w:p>
      <w:pPr>
        <w:ind w:firstLine="832"/>
        <w:spacing w:after="0" w:line="291"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66" w:lineRule="exact"/>
        <w:rPr>
          <w:sz w:val="20"/>
          <w:szCs w:val="20"/>
          <w:color w:val="auto"/>
        </w:rPr>
      </w:pPr>
    </w:p>
    <w:p>
      <w:pPr>
        <w:ind w:firstLine="832"/>
        <w:spacing w:after="0" w:line="275" w:lineRule="auto"/>
        <w:rPr>
          <w:sz w:val="20"/>
          <w:szCs w:val="20"/>
          <w:color w:val="auto"/>
        </w:rPr>
      </w:pPr>
      <w:r>
        <w:rPr>
          <w:rFonts w:ascii="Arial" w:cs="Arial" w:eastAsia="Arial" w:hAnsi="Arial"/>
          <w:sz w:val="17"/>
          <w:szCs w:val="17"/>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ind w:right="260" w:firstLine="832"/>
        <w:spacing w:after="0" w:line="220" w:lineRule="exact"/>
        <w:rPr>
          <w:sz w:val="20"/>
          <w:szCs w:val="20"/>
          <w:color w:val="auto"/>
        </w:rPr>
      </w:pPr>
      <w:r>
        <w:rPr>
          <w:rFonts w:ascii="Arial" w:cs="Arial" w:eastAsia="Arial" w:hAnsi="Arial"/>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including safety surveillance, anti</w:t>
      </w:r>
      <w:r>
        <w:rPr>
          <w:rFonts w:ascii="MS PGothic" w:cs="MS PGothic" w:eastAsia="MS PGothic" w:hAnsi="MS PGothic"/>
          <w:sz w:val="18"/>
          <w:szCs w:val="18"/>
          <w:color w:val="auto"/>
        </w:rPr>
        <w:t>‑</w:t>
      </w:r>
      <w:r>
        <w:rPr>
          <w:rFonts w:ascii="Arial" w:cs="Arial" w:eastAsia="Arial" w:hAnsi="Arial"/>
          <w:sz w:val="18"/>
          <w:szCs w:val="18"/>
          <w:color w:val="auto"/>
        </w:rPr>
        <w:t>fraud and abuse laws, and implementation of corporate compliance programs and reporting of payments or transfers of value to healthcare professionals.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225" w:lineRule="exact"/>
        <w:rPr>
          <w:sz w:val="20"/>
          <w:szCs w:val="20"/>
          <w:color w:val="auto"/>
        </w:rPr>
      </w:pPr>
    </w:p>
    <w:p>
      <w:pPr>
        <w:ind w:right="40" w:firstLine="832"/>
        <w:spacing w:after="0" w:line="217" w:lineRule="exact"/>
        <w:rPr>
          <w:sz w:val="20"/>
          <w:szCs w:val="20"/>
          <w:color w:val="auto"/>
        </w:rPr>
      </w:pPr>
      <w:r>
        <w:rPr>
          <w:rFonts w:ascii="Arial" w:cs="Arial" w:eastAsia="Arial" w:hAnsi="Arial"/>
          <w:sz w:val="16"/>
          <w:szCs w:val="16"/>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or CMS,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often provide reimbursement for products and services based on the level at which the government provides reimbursement through the Medicare or Medicaid programs for such products and services.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832"/>
        <w:spacing w:after="0" w:line="217" w:lineRule="exact"/>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w:t>
      </w:r>
      <w:r>
        <w:rPr>
          <w:rFonts w:ascii="MS PGothic" w:cs="MS PGothic" w:eastAsia="MS PGothic" w:hAnsi="MS PGothic"/>
          <w:sz w:val="16"/>
          <w:szCs w:val="16"/>
          <w:color w:val="auto"/>
        </w:rPr>
        <w:t>‑</w:t>
      </w:r>
      <w:r>
        <w:rPr>
          <w:rFonts w:ascii="Arial" w:cs="Arial" w:eastAsia="Arial" w:hAnsi="Arial"/>
          <w:sz w:val="16"/>
          <w:szCs w:val="16"/>
          <w:color w:val="auto"/>
        </w:rPr>
        <w:t>party payors are developing increasingly sophisticated methods of controlling healthcare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Arial" w:cs="Arial" w:eastAsia="Arial" w:hAnsi="Arial"/>
          <w:sz w:val="16"/>
          <w:szCs w:val="16"/>
          <w:color w:val="auto"/>
        </w:rPr>
        <w:t>approved drug products for a particular indication. Third</w:t>
      </w:r>
      <w:r>
        <w:rPr>
          <w:rFonts w:ascii="MS PGothic" w:cs="MS PGothic" w:eastAsia="MS PGothic" w:hAnsi="MS PGothic"/>
          <w:sz w:val="16"/>
          <w:szCs w:val="16"/>
          <w:color w:val="auto"/>
        </w:rPr>
        <w:t>‑</w:t>
      </w:r>
      <w:r>
        <w:rPr>
          <w:rFonts w:ascii="Arial" w:cs="Arial" w:eastAsia="Arial" w:hAnsi="Arial"/>
          <w:sz w:val="16"/>
          <w:szCs w:val="16"/>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Absent clinical differentiators, third</w:t>
      </w:r>
      <w:r>
        <w:rPr>
          <w:rFonts w:ascii="MS PGothic" w:cs="MS PGothic" w:eastAsia="MS PGothic" w:hAnsi="MS PGothic"/>
          <w:sz w:val="16"/>
          <w:szCs w:val="16"/>
          <w:color w:val="auto"/>
        </w:rPr>
        <w:t>‑</w:t>
      </w:r>
      <w:r>
        <w:rPr>
          <w:rFonts w:ascii="Arial" w:cs="Arial" w:eastAsia="Arial" w:hAnsi="Arial"/>
          <w:sz w:val="16"/>
          <w:szCs w:val="16"/>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5" w:lineRule="exact"/>
        <w:rPr>
          <w:sz w:val="20"/>
          <w:szCs w:val="20"/>
          <w:color w:val="auto"/>
        </w:rPr>
      </w:pPr>
    </w:p>
    <w:p>
      <w:pPr>
        <w:ind w:right="80" w:firstLine="832"/>
        <w:spacing w:after="0" w:line="296" w:lineRule="auto"/>
        <w:rPr>
          <w:sz w:val="20"/>
          <w:szCs w:val="20"/>
          <w:color w:val="auto"/>
        </w:rPr>
      </w:pPr>
      <w:r>
        <w:rPr>
          <w:rFonts w:ascii="Arial" w:cs="Arial" w:eastAsia="Arial" w:hAnsi="Arial"/>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1" w:lineRule="exact"/>
        <w:rPr>
          <w:sz w:val="20"/>
          <w:szCs w:val="20"/>
          <w:color w:val="auto"/>
        </w:rPr>
      </w:pPr>
    </w:p>
    <w:p>
      <w:pPr>
        <w:ind w:firstLine="832"/>
        <w:spacing w:after="0" w:line="279" w:lineRule="auto"/>
        <w:rPr>
          <w:sz w:val="20"/>
          <w:szCs w:val="20"/>
          <w:color w:val="auto"/>
        </w:rPr>
      </w:pPr>
      <w:r>
        <w:rPr>
          <w:rFonts w:ascii="Arial" w:cs="Arial" w:eastAsia="Arial" w:hAnsi="Arial"/>
          <w:sz w:val="17"/>
          <w:szCs w:val="17"/>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71" w:lineRule="exact"/>
        <w:rPr>
          <w:sz w:val="20"/>
          <w:szCs w:val="20"/>
          <w:color w:val="auto"/>
        </w:rPr>
      </w:pPr>
    </w:p>
    <w:p>
      <w:pPr>
        <w:ind w:right="20" w:firstLine="832"/>
        <w:spacing w:after="0" w:line="217" w:lineRule="exact"/>
        <w:rPr>
          <w:sz w:val="20"/>
          <w:szCs w:val="20"/>
          <w:color w:val="auto"/>
        </w:rPr>
      </w:pPr>
      <w:r>
        <w:rPr>
          <w:rFonts w:ascii="Arial" w:cs="Arial" w:eastAsia="Arial" w:hAnsi="Arial"/>
          <w:sz w:val="16"/>
          <w:szCs w:val="16"/>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7" w:lineRule="exact"/>
        <w:rPr>
          <w:sz w:val="20"/>
          <w:szCs w:val="20"/>
          <w:color w:val="auto"/>
        </w:rPr>
      </w:pPr>
    </w:p>
    <w:p>
      <w:pPr>
        <w:ind w:right="300" w:firstLine="832"/>
        <w:spacing w:after="0" w:line="220" w:lineRule="exact"/>
        <w:rPr>
          <w:sz w:val="20"/>
          <w:szCs w:val="20"/>
          <w:color w:val="auto"/>
        </w:rPr>
      </w:pPr>
      <w:r>
        <w:rPr>
          <w:rFonts w:ascii="Arial" w:cs="Arial" w:eastAsia="Arial" w:hAnsi="Arial"/>
          <w:sz w:val="18"/>
          <w:szCs w:val="18"/>
          <w:color w:val="auto"/>
        </w:rPr>
        <w:t>As a result of the above, we may need to conduct expensive pharmacoeconomic studies in order to demonstrate the medical necessity and cost</w:t>
      </w:r>
      <w:r>
        <w:rPr>
          <w:rFonts w:ascii="MS PGothic" w:cs="MS PGothic" w:eastAsia="MS PGothic" w:hAnsi="MS PGothic"/>
          <w:sz w:val="18"/>
          <w:szCs w:val="18"/>
          <w:color w:val="auto"/>
        </w:rPr>
        <w:t>‑</w:t>
      </w:r>
      <w:r>
        <w:rPr>
          <w:rFonts w:ascii="Arial" w:cs="Arial" w:eastAsia="Arial" w:hAnsi="Arial"/>
          <w:sz w:val="18"/>
          <w:szCs w:val="18"/>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8"/>
          <w:szCs w:val="18"/>
          <w:color w:val="auto"/>
        </w:rPr>
        <w:t>‑</w:t>
      </w:r>
      <w:r>
        <w:rPr>
          <w:rFonts w:ascii="Arial" w:cs="Arial" w:eastAsia="Arial" w:hAnsi="Arial"/>
          <w:sz w:val="18"/>
          <w:szCs w:val="18"/>
          <w:color w:val="auto"/>
        </w:rPr>
        <w:t>effective, or the rebate percentages required to secure coverage may not yield an adequate margin over cost.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86" w:lineRule="auto"/>
        <w:rPr>
          <w:sz w:val="20"/>
          <w:szCs w:val="20"/>
          <w:color w:val="auto"/>
        </w:rPr>
      </w:pPr>
      <w:r>
        <w:rPr>
          <w:rFonts w:ascii="Arial" w:cs="Arial" w:eastAsia="Arial" w:hAnsi="Arial"/>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67" w:lineRule="exact"/>
        <w:rPr>
          <w:sz w:val="20"/>
          <w:szCs w:val="20"/>
          <w:color w:val="auto"/>
        </w:rPr>
      </w:pPr>
    </w:p>
    <w:p>
      <w:pPr>
        <w:ind w:firstLine="832"/>
        <w:spacing w:after="0" w:line="218" w:lineRule="exact"/>
        <w:rPr>
          <w:sz w:val="20"/>
          <w:szCs w:val="20"/>
          <w:color w:val="auto"/>
        </w:rPr>
      </w:pPr>
      <w:r>
        <w:rPr>
          <w:rFonts w:ascii="Arial" w:cs="Arial" w:eastAsia="Arial" w:hAnsi="Arial"/>
          <w:sz w:val="18"/>
          <w:szCs w:val="18"/>
          <w:color w:val="auto"/>
        </w:rPr>
        <w:t>Moreover, a payor’s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Arial" w:cs="Arial" w:eastAsia="Arial" w:hAnsi="Arial"/>
          <w:sz w:val="18"/>
          <w:szCs w:val="18"/>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Arial" w:cs="Arial" w:eastAsia="Arial" w:hAnsi="Arial"/>
          <w:sz w:val="18"/>
          <w:szCs w:val="18"/>
          <w:color w:val="auto"/>
        </w:rPr>
        <w:t>party coverage or adequate reimbursement for our product candidates in whole or in part.</w:t>
      </w:r>
    </w:p>
    <w:p>
      <w:pPr>
        <w:spacing w:after="0" w:line="207" w:lineRule="exact"/>
        <w:rPr>
          <w:sz w:val="20"/>
          <w:szCs w:val="20"/>
          <w:color w:val="auto"/>
        </w:rPr>
      </w:pPr>
    </w:p>
    <w:p>
      <w:pPr>
        <w:ind w:right="140" w:firstLine="832"/>
        <w:spacing w:after="0" w:line="263" w:lineRule="auto"/>
        <w:rPr>
          <w:sz w:val="20"/>
          <w:szCs w:val="20"/>
          <w:color w:val="auto"/>
        </w:rPr>
      </w:pPr>
      <w:r>
        <w:rPr>
          <w:rFonts w:ascii="Arial" w:cs="Arial" w:eastAsia="Arial" w:hAnsi="Arial"/>
          <w:sz w:val="18"/>
          <w:szCs w:val="18"/>
          <w:color w:val="auto"/>
        </w:rPr>
        <w:t>Pharmacy benefit managers, or PBM,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ind w:right="80" w:firstLine="832"/>
        <w:spacing w:after="0" w:line="257"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17" w:lineRule="exact"/>
        <w:rPr>
          <w:sz w:val="20"/>
          <w:szCs w:val="20"/>
          <w:color w:val="auto"/>
        </w:rPr>
      </w:pPr>
      <w:r>
        <w:rPr>
          <w:rFonts w:ascii="Arial" w:cs="Arial" w:eastAsia="Arial" w:hAnsi="Arial"/>
          <w:sz w:val="17"/>
          <w:szCs w:val="17"/>
          <w:color w:val="auto"/>
        </w:rPr>
        <w:t>For example, the Medicare Prescription Drug, Improvement, and Modernization Act of 2003, or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7"/>
          <w:szCs w:val="17"/>
          <w:color w:val="auto"/>
        </w:rPr>
        <w:t>‑</w:t>
      </w:r>
      <w:r>
        <w:rPr>
          <w:rFonts w:ascii="Arial" w:cs="Arial" w:eastAsia="Arial" w:hAnsi="Arial"/>
          <w:sz w:val="17"/>
          <w:szCs w:val="17"/>
          <w:color w:val="auto"/>
        </w:rPr>
        <w:t>governmental payors.</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ACA established the Patient-Centered Outcome Research Institute to organize and coordinate federally funded research to compare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different treatments for the same illness. Although the results of the comparative effectiveness studies are not intended to mandate coverage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policies for public or private payors, it is not clear what effect, if any, the research will have on the sales of any product, if any such product 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condition that it is intended to treat is the subject of a study. It is also possible that comparative effectiveness research demonstrating benefits in a</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competitor’s product could adversely affect the sales of our product candidates. If third</w:t>
      </w:r>
      <w:r>
        <w:rPr>
          <w:rFonts w:ascii="MS PGothic" w:cs="MS PGothic" w:eastAsia="MS PGothic" w:hAnsi="MS PGothic"/>
          <w:sz w:val="17"/>
          <w:szCs w:val="17"/>
          <w:color w:val="auto"/>
        </w:rPr>
        <w:t>‑</w:t>
      </w:r>
      <w:r>
        <w:rPr>
          <w:rFonts w:ascii="Arial" w:cs="Arial" w:eastAsia="Arial" w:hAnsi="Arial"/>
          <w:sz w:val="17"/>
          <w:szCs w:val="17"/>
          <w:color w:val="auto"/>
        </w:rPr>
        <w:t>party payors do not consider our product candidates to be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product candidates, once approved, as a benefit under their plans or, if they 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level of payment may not be sufficient to allow us to sell our products on a profitable basis.</w:t>
      </w:r>
    </w:p>
    <w:p>
      <w:pPr>
        <w:spacing w:after="0" w:line="211"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82"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84" w:lineRule="auto"/>
        <w:rPr>
          <w:sz w:val="20"/>
          <w:szCs w:val="20"/>
          <w:color w:val="auto"/>
        </w:rPr>
      </w:pPr>
      <w:r>
        <w:rPr>
          <w:rFonts w:ascii="Arial" w:cs="Arial" w:eastAsia="Arial" w:hAnsi="Arial"/>
          <w:sz w:val="16"/>
          <w:szCs w:val="16"/>
          <w:color w:val="auto"/>
        </w:rPr>
        <w:t>The cost of pharmaceuticals continues to generate substantial governmental and third 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is and will remain a key bipartisan issue in the coming year. If drug pricing reform is not meaningfully addressed before the 2020 election, policies to be pursued in the future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78" w:lineRule="exact"/>
        <w:rPr>
          <w:sz w:val="20"/>
          <w:szCs w:val="20"/>
          <w:color w:val="auto"/>
        </w:rPr>
      </w:pPr>
    </w:p>
    <w:p>
      <w:pPr>
        <w:ind w:firstLine="832"/>
        <w:spacing w:after="0" w:line="219" w:lineRule="exact"/>
        <w:rPr>
          <w:sz w:val="20"/>
          <w:szCs w:val="20"/>
          <w:color w:val="auto"/>
        </w:rPr>
      </w:pPr>
      <w:r>
        <w:rPr>
          <w:rFonts w:ascii="Arial" w:cs="Arial" w:eastAsia="Arial" w:hAnsi="Arial"/>
          <w:sz w:val="17"/>
          <w:szCs w:val="17"/>
          <w:color w:val="auto"/>
        </w:rPr>
        <w:t>Government and private payors also increasingly require pre</w:t>
      </w:r>
      <w:r>
        <w:rPr>
          <w:rFonts w:ascii="MS PGothic" w:cs="MS PGothic" w:eastAsia="MS PGothic" w:hAnsi="MS PGothic"/>
          <w:sz w:val="17"/>
          <w:szCs w:val="17"/>
          <w:color w:val="auto"/>
        </w:rPr>
        <w:t>‑</w:t>
      </w:r>
      <w:r>
        <w:rPr>
          <w:rFonts w:ascii="Arial" w:cs="Arial" w:eastAsia="Arial" w:hAnsi="Arial"/>
          <w:sz w:val="17"/>
          <w:szCs w:val="17"/>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7"/>
          <w:szCs w:val="17"/>
          <w:color w:val="auto"/>
        </w:rPr>
        <w:t>‑</w:t>
      </w:r>
      <w:r>
        <w:rPr>
          <w:rFonts w:ascii="Arial" w:cs="Arial" w:eastAsia="Arial" w:hAnsi="Arial"/>
          <w:sz w:val="17"/>
          <w:szCs w:val="17"/>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205" w:lineRule="exact"/>
        <w:rPr>
          <w:sz w:val="20"/>
          <w:szCs w:val="20"/>
          <w:color w:val="auto"/>
        </w:rPr>
      </w:pPr>
    </w:p>
    <w:p>
      <w:pPr>
        <w:ind w:right="20" w:firstLine="832"/>
        <w:spacing w:after="0" w:line="287" w:lineRule="auto"/>
        <w:rPr>
          <w:sz w:val="20"/>
          <w:szCs w:val="20"/>
          <w:color w:val="auto"/>
        </w:rPr>
      </w:pPr>
      <w:r>
        <w:rPr>
          <w:rFonts w:ascii="Arial" w:cs="Arial" w:eastAsia="Arial" w:hAnsi="Arial"/>
          <w:sz w:val="16"/>
          <w:szCs w:val="16"/>
          <w:color w:val="auto"/>
        </w:rPr>
        <w:t>Congress and the former Trump Administration, from 2017 - 2020 engaged in various efforts to repeal or materially modify various aspects of ACA. The results and effects of such ongoing efforts were varied after facing judicial and Congressional challenges, but could affect our business operations and prospects in unknown ways, and it is unclear how ACA and other laws ultimately will be implemented. For example, on December 15, 2019, a federal district court in Texas struck down the ACA in its entirety, finding that the Tax Cuts and Jobs Act of 2017, or TCJA, rendered the individual mandate unconstitutional. The judge further concluded in Texas v. Azar that since the individual mandate is “essential” to the ACA, it could not be severed from the rest of the ACA and therefore, the entire ACA was unconstitutional. Despite its decision, however, the court did not issue an injunction and therefore, immediate compliance is not required. Following appeal of the Fifth Circuit’s decision, the Supreme Court heard oral arguments in California v. Texas (formerly Texas v. Azar) on November 2, 2020. The Court has yet to issue its opinion, and we cannot say for certain what the decision will be or what impact, if any, it may have on our business.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w:t>
      </w:r>
    </w:p>
    <w:p>
      <w:pPr>
        <w:spacing w:after="0" w:line="172"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77"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ind w:right="80" w:firstLine="832"/>
        <w:spacing w:after="0" w:line="272"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40" w:firstLine="832"/>
        <w:spacing w:after="0" w:line="217" w:lineRule="exact"/>
        <w:rPr>
          <w:sz w:val="20"/>
          <w:szCs w:val="20"/>
          <w:color w:val="auto"/>
        </w:rPr>
      </w:pPr>
      <w:r>
        <w:rPr>
          <w:rFonts w:ascii="Arial" w:cs="Arial" w:eastAsia="Arial" w:hAnsi="Arial"/>
          <w:sz w:val="16"/>
          <w:szCs w:val="16"/>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 Drug Approval Process</w:t>
      </w:r>
    </w:p>
    <w:p>
      <w:pPr>
        <w:spacing w:after="0" w:line="225" w:lineRule="exact"/>
        <w:rPr>
          <w:sz w:val="20"/>
          <w:szCs w:val="20"/>
          <w:color w:val="auto"/>
        </w:rPr>
      </w:pPr>
    </w:p>
    <w:p>
      <w:pPr>
        <w:ind w:right="280" w:firstLine="832"/>
        <w:spacing w:after="0" w:line="223" w:lineRule="exact"/>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Arial" w:cs="Arial" w:eastAsia="Arial" w:hAnsi="Arial"/>
          <w:sz w:val="18"/>
          <w:szCs w:val="18"/>
          <w:color w:val="auto"/>
        </w:rPr>
        <w:t>called centralized, decentralized, mutual recognition, or national authorization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Centralized Procedure</w:t>
      </w:r>
    </w:p>
    <w:p>
      <w:pPr>
        <w:spacing w:after="0" w:line="225" w:lineRule="exact"/>
        <w:rPr>
          <w:sz w:val="20"/>
          <w:szCs w:val="20"/>
          <w:color w:val="auto"/>
        </w:rPr>
      </w:pPr>
    </w:p>
    <w:p>
      <w:pPr>
        <w:ind w:right="140" w:firstLine="832"/>
        <w:spacing w:after="0" w:line="275"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Authorization Procedures</w:t>
      </w:r>
    </w:p>
    <w:p>
      <w:pPr>
        <w:spacing w:after="0" w:line="225" w:lineRule="exact"/>
        <w:rPr>
          <w:sz w:val="20"/>
          <w:szCs w:val="20"/>
          <w:color w:val="auto"/>
        </w:rPr>
      </w:pPr>
    </w:p>
    <w:p>
      <w:pPr>
        <w:ind w:right="760" w:firstLine="832"/>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70" w:lineRule="exact"/>
        <w:rPr>
          <w:sz w:val="20"/>
          <w:szCs w:val="20"/>
          <w:color w:val="auto"/>
        </w:rPr>
      </w:pPr>
    </w:p>
    <w:p>
      <w:pPr>
        <w:jc w:val="both"/>
        <w:ind w:left="1240" w:right="20" w:hanging="409"/>
        <w:spacing w:after="0" w:line="287"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Decentralized procedure. </w:t>
      </w:r>
      <w:r>
        <w:rPr>
          <w:rFonts w:ascii="Arial" w:cs="Arial" w:eastAsia="Arial" w:hAnsi="Arial"/>
          <w:sz w:val="16"/>
          <w:szCs w:val="16"/>
          <w:color w:val="auto"/>
        </w:rPr>
        <w:t>Using the decentralized procedure, an applicant may apply in more than one European Union country,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applicant must nominate one reference European Union Member State, for simultaneous authorization of medicinal products that have not yet been authorized in any European Union country and that do not fall within the mandatory scope of the centralized procedure.</w:t>
      </w:r>
    </w:p>
    <w:p>
      <w:pPr>
        <w:spacing w:after="0" w:line="2" w:lineRule="exact"/>
        <w:rPr>
          <w:rFonts w:ascii="Arial" w:cs="Arial" w:eastAsia="Arial" w:hAnsi="Arial"/>
          <w:sz w:val="16"/>
          <w:szCs w:val="16"/>
          <w:color w:val="auto"/>
        </w:rPr>
      </w:pPr>
    </w:p>
    <w:p>
      <w:pPr>
        <w:ind w:left="1240" w:right="40"/>
        <w:spacing w:after="0" w:line="260" w:lineRule="auto"/>
        <w:rPr>
          <w:rFonts w:ascii="Arial" w:cs="Arial" w:eastAsia="Arial" w:hAnsi="Arial"/>
          <w:sz w:val="16"/>
          <w:szCs w:val="16"/>
          <w:color w:val="auto"/>
        </w:rPr>
      </w:pPr>
      <w:r>
        <w:rPr>
          <w:rFonts w:ascii="Arial" w:cs="Arial" w:eastAsia="Arial" w:hAnsi="Arial"/>
          <w:sz w:val="18"/>
          <w:szCs w:val="18"/>
          <w:color w:val="auto"/>
        </w:rPr>
        <w:t>Failing agreement, there is a procedure for resolving disagreements between member states and ultimately an arbitration procedure before the CHMP.</w:t>
      </w:r>
    </w:p>
    <w:p>
      <w:pPr>
        <w:spacing w:after="0" w:line="185" w:lineRule="exact"/>
        <w:rPr>
          <w:rFonts w:ascii="Arial" w:cs="Arial" w:eastAsia="Arial" w:hAnsi="Arial"/>
          <w:sz w:val="16"/>
          <w:szCs w:val="16"/>
          <w:color w:val="auto"/>
        </w:rPr>
      </w:pPr>
    </w:p>
    <w:p>
      <w:pPr>
        <w:ind w:left="1240" w:right="80" w:hanging="409"/>
        <w:spacing w:after="0" w:line="25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In the mutual recognition procedure, a medicine is first authorized in one European Union Member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87" w:lineRule="exact"/>
        <w:rPr>
          <w:rFonts w:ascii="Arial" w:cs="Arial" w:eastAsia="Arial" w:hAnsi="Arial"/>
          <w:sz w:val="18"/>
          <w:szCs w:val="18"/>
          <w:color w:val="auto"/>
        </w:rPr>
      </w:pPr>
    </w:p>
    <w:p>
      <w:pPr>
        <w:ind w:left="1240" w:hanging="409"/>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National procedures. </w:t>
      </w:r>
      <w:r>
        <w:rPr>
          <w:rFonts w:ascii="Arial" w:cs="Arial" w:eastAsia="Arial" w:hAnsi="Arial"/>
          <w:sz w:val="18"/>
          <w:szCs w:val="18"/>
          <w:color w:val="auto"/>
        </w:rPr>
        <w:t>Purely national procedures continue to be possible but are strictly limited to where the product is to be authorized in</w:t>
      </w:r>
      <w:r>
        <w:rPr>
          <w:rFonts w:ascii="Arial" w:cs="Arial" w:eastAsia="Arial" w:hAnsi="Arial"/>
          <w:sz w:val="18"/>
          <w:szCs w:val="18"/>
          <w:i w:val="1"/>
          <w:iCs w:val="1"/>
          <w:color w:val="auto"/>
        </w:rPr>
        <w:t xml:space="preserve"> </w:t>
      </w:r>
      <w:r>
        <w:rPr>
          <w:rFonts w:ascii="Arial" w:cs="Arial" w:eastAsia="Arial" w:hAnsi="Arial"/>
          <w:sz w:val="18"/>
          <w:szCs w:val="18"/>
          <w:color w:val="auto"/>
        </w:rPr>
        <w:t>one member state only.</w:t>
      </w:r>
    </w:p>
    <w:p>
      <w:pPr>
        <w:spacing w:after="0" w:line="170" w:lineRule="exact"/>
        <w:rPr>
          <w:sz w:val="20"/>
          <w:szCs w:val="20"/>
          <w:color w:val="auto"/>
        </w:rPr>
      </w:pPr>
    </w:p>
    <w:p>
      <w:pPr>
        <w:ind w:right="40" w:firstLine="832"/>
        <w:spacing w:after="0" w:line="218" w:lineRule="exact"/>
        <w:rPr>
          <w:sz w:val="20"/>
          <w:szCs w:val="20"/>
          <w:color w:val="auto"/>
        </w:rPr>
      </w:pPr>
      <w:r>
        <w:rPr>
          <w:rFonts w:ascii="Arial" w:cs="Arial" w:eastAsia="Arial" w:hAnsi="Arial"/>
          <w:sz w:val="16"/>
          <w:szCs w:val="16"/>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6"/>
          <w:szCs w:val="16"/>
          <w:color w:val="auto"/>
        </w:rPr>
        <w:t>‑</w:t>
      </w:r>
      <w:r>
        <w:rPr>
          <w:rFonts w:ascii="Arial" w:cs="Arial" w:eastAsia="Arial" w:hAnsi="Arial"/>
          <w:sz w:val="16"/>
          <w:szCs w:val="16"/>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832"/>
        <w:spacing w:after="0" w:line="279" w:lineRule="auto"/>
        <w:rPr>
          <w:sz w:val="20"/>
          <w:szCs w:val="20"/>
          <w:color w:val="auto"/>
        </w:rPr>
      </w:pPr>
      <w:r>
        <w:rPr>
          <w:rFonts w:ascii="Arial" w:cs="Arial" w:eastAsia="Arial" w:hAnsi="Arial"/>
          <w:sz w:val="17"/>
          <w:szCs w:val="17"/>
          <w:color w:val="auto"/>
        </w:rPr>
        <w:t>Conducting research and development is central to our business model. We have invested and expect to continue to invest significant time and capital in our research and development operations. Our research and development expenses were $70.2 million, $53.6 million, and $23.5 million for the years ended December 31, 2020, 2019, and 2018, respectively. We plan to increase our research and development expenses for the foreseeable future as we seek to complete the development of AXS-05, AXS-07, AXS-09, AXS-12, and AXS-14.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229" w:lineRule="exact"/>
        <w:rPr>
          <w:sz w:val="20"/>
          <w:szCs w:val="20"/>
          <w:color w:val="auto"/>
        </w:rPr>
      </w:pPr>
    </w:p>
    <w:p>
      <w:pPr>
        <w:ind w:firstLine="832"/>
        <w:spacing w:after="0" w:line="217" w:lineRule="exact"/>
        <w:rPr>
          <w:sz w:val="20"/>
          <w:szCs w:val="20"/>
          <w:color w:val="auto"/>
        </w:rPr>
      </w:pPr>
      <w:r>
        <w:rPr>
          <w:rFonts w:ascii="Arial" w:cs="Arial" w:eastAsia="Arial" w:hAnsi="Arial"/>
          <w:sz w:val="17"/>
          <w:szCs w:val="17"/>
          <w:color w:val="auto"/>
        </w:rPr>
        <w:t>As of February 22, 2021, we had 60 full</w:t>
      </w:r>
      <w:r>
        <w:rPr>
          <w:rFonts w:ascii="MS PGothic" w:cs="MS PGothic" w:eastAsia="MS PGothic" w:hAnsi="MS PGothic"/>
          <w:sz w:val="17"/>
          <w:szCs w:val="17"/>
          <w:color w:val="auto"/>
        </w:rPr>
        <w:t>‑</w:t>
      </w:r>
      <w:r>
        <w:rPr>
          <w:rFonts w:ascii="Arial" w:cs="Arial" w:eastAsia="Arial" w:hAnsi="Arial"/>
          <w:sz w:val="17"/>
          <w:szCs w:val="17"/>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have taken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832"/>
        <w:spacing w:after="0" w:line="277" w:lineRule="auto"/>
        <w:rPr>
          <w:sz w:val="20"/>
          <w:szCs w:val="20"/>
          <w:color w:val="auto"/>
        </w:rPr>
      </w:pPr>
      <w:r>
        <w:rPr>
          <w:rFonts w:ascii="Arial" w:cs="Arial" w:eastAsia="Arial" w:hAnsi="Arial"/>
          <w:sz w:val="18"/>
          <w:szCs w:val="18"/>
          <w:color w:val="auto"/>
        </w:rPr>
        <w:t>We were incorporated in Delaware in January 2012. Our offices are located at 22 Cortlandt Street, 16</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10007, and our telephone number is (212) 332-3241.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832"/>
        <w:spacing w:after="0" w:line="272" w:lineRule="auto"/>
        <w:rPr>
          <w:sz w:val="20"/>
          <w:szCs w:val="20"/>
          <w:color w:val="auto"/>
        </w:rPr>
      </w:pPr>
      <w:r>
        <w:rPr>
          <w:rFonts w:ascii="Arial" w:cs="Arial" w:eastAsia="Arial" w:hAnsi="Arial"/>
          <w:sz w:val="17"/>
          <w:szCs w:val="17"/>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firstLine="832"/>
        <w:spacing w:after="0" w:line="259" w:lineRule="auto"/>
        <w:rPr>
          <w:sz w:val="20"/>
          <w:szCs w:val="20"/>
          <w:color w:val="auto"/>
        </w:rPr>
      </w:pPr>
      <w:r>
        <w:rPr>
          <w:rFonts w:ascii="Arial" w:cs="Arial" w:eastAsia="Arial" w:hAnsi="Arial"/>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right="480" w:firstLine="832"/>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70" w:lineRule="exact"/>
        <w:rPr>
          <w:sz w:val="20"/>
          <w:szCs w:val="20"/>
          <w:color w:val="auto"/>
        </w:rPr>
      </w:pPr>
    </w:p>
    <w:p>
      <w:pPr>
        <w:ind w:left="820" w:right="20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0" w:lineRule="exact"/>
        <w:rPr>
          <w:rFonts w:ascii="Arial" w:cs="Arial" w:eastAsia="Arial" w:hAnsi="Arial"/>
          <w:sz w:val="18"/>
          <w:szCs w:val="18"/>
          <w:color w:val="auto"/>
        </w:rPr>
      </w:pPr>
    </w:p>
    <w:p>
      <w:pPr>
        <w:ind w:left="820" w:right="320" w:hanging="407"/>
        <w:spacing w:after="0" w:line="263"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3" w:lineRule="exact"/>
        <w:rPr>
          <w:rFonts w:ascii="Arial" w:cs="Arial" w:eastAsia="Arial" w:hAnsi="Arial"/>
          <w:sz w:val="18"/>
          <w:szCs w:val="18"/>
          <w:color w:val="auto"/>
        </w:rPr>
      </w:pPr>
    </w:p>
    <w:p>
      <w:pPr>
        <w:ind w:left="820" w:right="540" w:hanging="407"/>
        <w:spacing w:after="0" w:line="263"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3"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70" w:lineRule="exact"/>
        <w:rPr>
          <w:rFonts w:ascii="Arial" w:cs="Arial" w:eastAsia="Arial" w:hAnsi="Arial"/>
          <w:sz w:val="18"/>
          <w:szCs w:val="18"/>
          <w:color w:val="auto"/>
        </w:rPr>
      </w:pPr>
    </w:p>
    <w:p>
      <w:pPr>
        <w:ind w:left="820" w:right="480" w:hanging="407"/>
        <w:spacing w:after="0" w:line="381" w:lineRule="auto"/>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00" w:lineRule="exact"/>
        <w:rPr>
          <w:rFonts w:ascii="Arial" w:cs="Arial" w:eastAsia="Arial" w:hAnsi="Arial"/>
          <w:sz w:val="15"/>
          <w:szCs w:val="15"/>
          <w:color w:val="auto"/>
        </w:rPr>
      </w:pPr>
    </w:p>
    <w:p>
      <w:pPr>
        <w:ind w:left="820" w:hanging="407"/>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86" w:lineRule="exact"/>
        <w:rPr>
          <w:rFonts w:ascii="Arial" w:cs="Arial" w:eastAsia="Arial" w:hAnsi="Arial"/>
          <w:sz w:val="18"/>
          <w:szCs w:val="18"/>
          <w:color w:val="auto"/>
        </w:rPr>
      </w:pPr>
    </w:p>
    <w:p>
      <w:pPr>
        <w:ind w:left="820" w:right="100" w:hanging="407"/>
        <w:spacing w:after="0" w:line="301"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Although Breakthrough Therapy, Fast Track, and other designations are designed to expedite the development and review of drugs, Breakthrough Therapy designation by the FDA for AXS-05 for the treatment of MDD and for the treatment of AD agitation, and AXS-12 for the treatment of cataplexy in patients with narcolepsy, for example, may not ultimately lead to a faster development or regulatory review or approval process, and it will not increase the likelihood that these product candidates will receive marketing approval.</w:t>
      </w:r>
    </w:p>
    <w:p>
      <w:pPr>
        <w:spacing w:after="0" w:line="157" w:lineRule="exact"/>
        <w:rPr>
          <w:rFonts w:ascii="Arial" w:cs="Arial" w:eastAsia="Arial" w:hAnsi="Arial"/>
          <w:sz w:val="16"/>
          <w:szCs w:val="16"/>
          <w:color w:val="auto"/>
        </w:rPr>
      </w:pPr>
    </w:p>
    <w:p>
      <w:pPr>
        <w:ind w:left="820" w:right="120" w:hanging="407"/>
        <w:spacing w:after="0" w:line="308"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6" w:lineRule="exact"/>
        <w:rPr>
          <w:rFonts w:ascii="Arial" w:cs="Arial" w:eastAsia="Arial" w:hAnsi="Arial"/>
          <w:sz w:val="17"/>
          <w:szCs w:val="17"/>
          <w:color w:val="auto"/>
        </w:rPr>
      </w:pPr>
    </w:p>
    <w:p>
      <w:pPr>
        <w:ind w:left="820" w:right="40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rFonts w:ascii="Arial" w:cs="Arial" w:eastAsia="Arial" w:hAnsi="Arial"/>
          <w:sz w:val="18"/>
          <w:szCs w:val="18"/>
          <w:color w:val="auto"/>
        </w:rPr>
      </w:pPr>
    </w:p>
    <w:p>
      <w:pPr>
        <w:ind w:left="820" w:right="2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right="24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83" w:lineRule="exact"/>
        <w:rPr>
          <w:rFonts w:ascii="Arial" w:cs="Arial" w:eastAsia="Arial" w:hAnsi="Arial"/>
          <w:sz w:val="18"/>
          <w:szCs w:val="18"/>
          <w:color w:val="auto"/>
        </w:rPr>
      </w:pPr>
    </w:p>
    <w:p>
      <w:pPr>
        <w:ind w:left="820" w:right="500" w:hanging="407"/>
        <w:spacing w:after="0" w:line="28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5" w:lineRule="exact"/>
        <w:rPr>
          <w:rFonts w:ascii="Arial" w:cs="Arial" w:eastAsia="Arial" w:hAnsi="Arial"/>
          <w:sz w:val="17"/>
          <w:szCs w:val="17"/>
          <w:color w:val="auto"/>
        </w:rPr>
      </w:pPr>
    </w:p>
    <w:p>
      <w:pPr>
        <w:ind w:left="820" w:right="720" w:hanging="407"/>
        <w:spacing w:after="0" w:line="308"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46" w:lineRule="exact"/>
        <w:rPr>
          <w:rFonts w:ascii="Arial" w:cs="Arial" w:eastAsia="Arial" w:hAnsi="Arial"/>
          <w:sz w:val="17"/>
          <w:szCs w:val="17"/>
          <w:color w:val="auto"/>
        </w:rPr>
      </w:pPr>
    </w:p>
    <w:p>
      <w:pPr>
        <w:ind w:left="820" w:hanging="407"/>
        <w:spacing w:after="0" w:line="25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87"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70"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rFonts w:ascii="Arial" w:cs="Arial" w:eastAsia="Arial" w:hAnsi="Arial"/>
          <w:sz w:val="18"/>
          <w:szCs w:val="18"/>
          <w:color w:val="auto"/>
        </w:rPr>
      </w:pPr>
    </w:p>
    <w:p>
      <w:pPr>
        <w:ind w:left="820" w:right="6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83" w:lineRule="exact"/>
        <w:rPr>
          <w:rFonts w:ascii="Arial" w:cs="Arial" w:eastAsia="Arial" w:hAnsi="Arial"/>
          <w:sz w:val="18"/>
          <w:szCs w:val="18"/>
          <w:color w:val="auto"/>
        </w:rPr>
      </w:pPr>
    </w:p>
    <w:p>
      <w:pPr>
        <w:ind w:left="820" w:right="18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83" w:lineRule="exact"/>
        <w:rPr>
          <w:rFonts w:ascii="Arial" w:cs="Arial" w:eastAsia="Arial" w:hAnsi="Arial"/>
          <w:sz w:val="18"/>
          <w:szCs w:val="18"/>
          <w:color w:val="auto"/>
        </w:rPr>
      </w:pPr>
    </w:p>
    <w:p>
      <w:pPr>
        <w:ind w:left="820" w:right="62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If the government or third-party payors fail to provide adequate coverage and payment rates for any of our current or future product candidates, or if HMOs or long-term care facilities choose to use therapies that are less expensive, our revenue and prospects for profitability will be limited.</w:t>
      </w:r>
    </w:p>
    <w:p>
      <w:pPr>
        <w:spacing w:after="0" w:line="183" w:lineRule="exact"/>
        <w:rPr>
          <w:rFonts w:ascii="Arial" w:cs="Arial" w:eastAsia="Arial" w:hAnsi="Arial"/>
          <w:sz w:val="18"/>
          <w:szCs w:val="18"/>
          <w:color w:val="auto"/>
        </w:rPr>
      </w:pPr>
    </w:p>
    <w:p>
      <w:pPr>
        <w:ind w:left="820" w:right="140" w:hanging="407"/>
        <w:spacing w:after="0" w:line="381" w:lineRule="auto"/>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growth.If we are unable to implement appropriate controls and procedures to manage our growth, we will not be able to implement our business plan successfully.</w:t>
      </w:r>
    </w:p>
    <w:p>
      <w:pPr>
        <w:spacing w:after="0" w:line="100" w:lineRule="exact"/>
        <w:rPr>
          <w:rFonts w:ascii="Arial" w:cs="Arial" w:eastAsia="Arial" w:hAnsi="Arial"/>
          <w:sz w:val="15"/>
          <w:szCs w:val="15"/>
          <w:color w:val="auto"/>
        </w:rPr>
      </w:pPr>
    </w:p>
    <w:p>
      <w:pPr>
        <w:ind w:left="820" w:right="34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0" w:lineRule="exact"/>
        <w:rPr>
          <w:rFonts w:ascii="Arial" w:cs="Arial" w:eastAsia="Arial" w:hAnsi="Arial"/>
          <w:sz w:val="18"/>
          <w:szCs w:val="18"/>
          <w:color w:val="auto"/>
        </w:rPr>
      </w:pPr>
    </w:p>
    <w:p>
      <w:pPr>
        <w:ind w:left="820" w:right="140" w:hanging="407"/>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83" w:lineRule="exact"/>
        <w:rPr>
          <w:rFonts w:ascii="Arial" w:cs="Arial" w:eastAsia="Arial" w:hAnsi="Arial"/>
          <w:sz w:val="18"/>
          <w:szCs w:val="18"/>
          <w:color w:val="auto"/>
        </w:rPr>
      </w:pPr>
    </w:p>
    <w:p>
      <w:pPr>
        <w:ind w:left="820" w:right="4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0"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We are a biopharmaceutical company with a limited operating history. For the last several years, we have focused our efforts primarily on developing CNS product candidates, including AXS-05, AXS-07, AXS-09, AXS-12, and AXS-14, which we refer to herein as our product candidates, with the goal of achieving regulatory approval and commercialization. Since inception, we have incurred significant operating losses. Our net losses were $102.9 million and $68.3 million for the twelve months ended December 31, 2020 and the year ended December 31, 2019, respectively. As of December 31, 2020, we had an accumulated deficit of $278.8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5" w:lineRule="exact"/>
        <w:rPr>
          <w:sz w:val="20"/>
          <w:szCs w:val="20"/>
          <w:color w:val="auto"/>
        </w:rPr>
      </w:pPr>
    </w:p>
    <w:p>
      <w:pPr>
        <w:ind w:left="820" w:hanging="407"/>
        <w:spacing w:after="0" w:line="207"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commercial, clinical, medical, quality control, and scientific personnel;</w:t>
      </w:r>
    </w:p>
    <w:p>
      <w:pPr>
        <w:spacing w:after="0" w:line="225" w:lineRule="exact"/>
        <w:rPr>
          <w:rFonts w:ascii="Arial" w:cs="Arial" w:eastAsia="Arial" w:hAnsi="Arial"/>
          <w:sz w:val="18"/>
          <w:szCs w:val="18"/>
          <w:color w:val="auto"/>
        </w:rPr>
      </w:pPr>
    </w:p>
    <w:p>
      <w:pPr>
        <w:ind w:left="820" w:right="80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70"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expand external manufacturing capabilities and production to commercialize any products for which we may obtain regulatory approval and that we choose not to license to a third party;</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undertake additional manufacturing activities of our product candidates to satisfy FDA requirements for marketing application submissions;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conduct our Phase 2 clinical trial with AXS-05 in TRD;</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conduct our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05 in AD agitation;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AXS-12 in narcolepsy;</w:t>
      </w:r>
    </w:p>
    <w:p>
      <w:pPr>
        <w:spacing w:after="0" w:line="225"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as an aid to smoking cessation treatment and AXS-09 for the treatment of CNS disorders;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evaluate, plan for, and potentially conduct clinical trials for AXS-14 in fibromyalgia;</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larger quantities of product;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18"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204"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4" w:lineRule="exact"/>
        <w:rPr>
          <w:sz w:val="20"/>
          <w:szCs w:val="20"/>
          <w:color w:val="auto"/>
        </w:rPr>
      </w:pPr>
    </w:p>
    <w:p>
      <w:pPr>
        <w:jc w:val="both"/>
        <w:ind w:right="80" w:firstLine="832"/>
        <w:spacing w:after="0" w:line="220"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will need to raise additional capital to:</w:t>
      </w:r>
    </w:p>
    <w:p>
      <w:pPr>
        <w:spacing w:after="0" w:line="204" w:lineRule="exact"/>
        <w:rPr>
          <w:sz w:val="20"/>
          <w:szCs w:val="20"/>
          <w:color w:val="auto"/>
        </w:rPr>
      </w:pPr>
    </w:p>
    <w:p>
      <w:pPr>
        <w:ind w:left="820" w:right="14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70" w:lineRule="exact"/>
        <w:rPr>
          <w:rFonts w:ascii="Arial" w:cs="Arial" w:eastAsia="Arial" w:hAnsi="Arial"/>
          <w:sz w:val="18"/>
          <w:szCs w:val="18"/>
          <w:color w:val="auto"/>
        </w:rPr>
      </w:pPr>
    </w:p>
    <w:p>
      <w:pPr>
        <w:ind w:left="820" w:right="360" w:hanging="407"/>
        <w:spacing w:after="0" w:line="342"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23" w:lineRule="exact"/>
        <w:rPr>
          <w:rFonts w:ascii="Arial" w:cs="Arial" w:eastAsia="Arial" w:hAnsi="Arial"/>
          <w:sz w:val="16"/>
          <w:szCs w:val="16"/>
          <w:color w:val="auto"/>
        </w:rPr>
      </w:pPr>
    </w:p>
    <w:p>
      <w:pPr>
        <w:ind w:left="820" w:hanging="407"/>
        <w:spacing w:after="0" w:line="207"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225" w:lineRule="exact"/>
        <w:rPr>
          <w:sz w:val="20"/>
          <w:szCs w:val="20"/>
          <w:color w:val="auto"/>
        </w:rPr>
      </w:pPr>
    </w:p>
    <w:p>
      <w:pPr>
        <w:ind w:right="180" w:firstLine="832"/>
        <w:spacing w:after="0" w:line="301" w:lineRule="auto"/>
        <w:rPr>
          <w:sz w:val="20"/>
          <w:szCs w:val="20"/>
          <w:color w:val="auto"/>
        </w:rPr>
      </w:pPr>
      <w:r>
        <w:rPr>
          <w:rFonts w:ascii="Arial" w:cs="Arial" w:eastAsia="Arial" w:hAnsi="Arial"/>
          <w:sz w:val="16"/>
          <w:szCs w:val="16"/>
          <w:color w:val="auto"/>
        </w:rPr>
        <w:t>We believe our currently available cash along with the committed capital from the Hercules facility will be sufficient to fund our anticipated operating cash requirements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potential launch activities relating to our product candidates. Our future funding requirements will depend on many factors, including, but not limited to:</w:t>
      </w:r>
    </w:p>
    <w:p>
      <w:pPr>
        <w:spacing w:after="0" w:line="248"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conducting additional clinical and non-clinical studies with any of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for delays in our efforts to seek regulatory approval for our product candidates, and any costs associated with such delays;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225" w:lineRule="exact"/>
        <w:rPr>
          <w:rFonts w:ascii="Arial" w:cs="Arial" w:eastAsia="Arial" w:hAnsi="Arial"/>
          <w:sz w:val="18"/>
          <w:szCs w:val="18"/>
          <w:color w:val="auto"/>
        </w:rPr>
      </w:pPr>
    </w:p>
    <w:p>
      <w:pPr>
        <w:ind w:left="820" w:hanging="407"/>
        <w:spacing w:after="0" w:line="220" w:lineRule="exact"/>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204"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225" w:lineRule="exact"/>
        <w:rPr>
          <w:sz w:val="20"/>
          <w:szCs w:val="20"/>
          <w:color w:val="auto"/>
        </w:rPr>
      </w:pPr>
    </w:p>
    <w:p>
      <w:pPr>
        <w:ind w:right="180" w:firstLine="832"/>
        <w:spacing w:after="0" w:line="296"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4"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32"/>
        <w:spacing w:after="0" w:line="286" w:lineRule="auto"/>
        <w:rPr>
          <w:sz w:val="20"/>
          <w:szCs w:val="20"/>
          <w:color w:val="auto"/>
        </w:rPr>
      </w:pPr>
      <w:r>
        <w:rPr>
          <w:rFonts w:ascii="Arial" w:cs="Arial" w:eastAsia="Arial" w:hAnsi="Arial"/>
          <w:sz w:val="16"/>
          <w:szCs w:val="16"/>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$2.0 billion, and that we maintain cash in an account in which the Lenders have a first priority security interest in an amount not less than 65% of the sum of the outstanding principal amount of the term loan advances plus the Qualified Cash A/P Amount, (B) ensure that at all times that we maintain cash in an account in which the Lenders have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67"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no history of commercializing products, which may make it difficult to evaluate our business and prospects.</w:t>
      </w:r>
    </w:p>
    <w:p>
      <w:pPr>
        <w:spacing w:after="0" w:line="260" w:lineRule="exact"/>
        <w:rPr>
          <w:sz w:val="20"/>
          <w:szCs w:val="20"/>
          <w:color w:val="auto"/>
        </w:rPr>
      </w:pPr>
    </w:p>
    <w:p>
      <w:pPr>
        <w:ind w:right="220" w:firstLine="832"/>
        <w:spacing w:after="0" w:line="272" w:lineRule="auto"/>
        <w:rPr>
          <w:sz w:val="20"/>
          <w:szCs w:val="20"/>
          <w:color w:val="auto"/>
        </w:rPr>
      </w:pPr>
      <w:r>
        <w:rPr>
          <w:rFonts w:ascii="Arial" w:cs="Arial" w:eastAsia="Arial" w:hAnsi="Arial"/>
          <w:sz w:val="17"/>
          <w:szCs w:val="17"/>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24" w:lineRule="exact"/>
        <w:rPr>
          <w:sz w:val="20"/>
          <w:szCs w:val="20"/>
          <w:color w:val="auto"/>
        </w:rPr>
      </w:pPr>
    </w:p>
    <w:p>
      <w:pPr>
        <w:ind w:firstLine="832"/>
        <w:spacing w:after="0" w:line="290"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our other current or future product candidates. Any such change in our business strategy could harm our business, cause uncertainty or confusion in the marketplace or harm the clinical prospects of our product candidates.</w:t>
      </w:r>
    </w:p>
    <w:p>
      <w:pPr>
        <w:spacing w:after="0" w:line="170" w:lineRule="exact"/>
        <w:rPr>
          <w:sz w:val="20"/>
          <w:szCs w:val="20"/>
          <w:color w:val="auto"/>
        </w:rPr>
      </w:pPr>
    </w:p>
    <w:p>
      <w:pPr>
        <w:ind w:right="340" w:firstLine="832"/>
        <w:spacing w:after="0" w:line="279" w:lineRule="auto"/>
        <w:rPr>
          <w:sz w:val="20"/>
          <w:szCs w:val="20"/>
          <w:color w:val="auto"/>
        </w:rPr>
      </w:pPr>
      <w:r>
        <w:rPr>
          <w:rFonts w:ascii="Arial" w:cs="Arial" w:eastAsia="Arial" w:hAnsi="Arial"/>
          <w:sz w:val="17"/>
          <w:szCs w:val="17"/>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is ongoing and a Phase 3 AXS-12 in narcolepsy is planned. As a result of one or more risks discussed in this section, we cannot assure you that we will meet projected timelines related to these trials.</w:t>
      </w:r>
    </w:p>
    <w:p>
      <w:pPr>
        <w:spacing w:after="0" w:line="171" w:lineRule="exact"/>
        <w:rPr>
          <w:sz w:val="20"/>
          <w:szCs w:val="20"/>
          <w:color w:val="auto"/>
        </w:rPr>
      </w:pPr>
    </w:p>
    <w:p>
      <w:pPr>
        <w:ind w:right="20" w:firstLine="832"/>
        <w:spacing w:after="0" w:line="270"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1" w:lineRule="exact"/>
        <w:rPr>
          <w:sz w:val="20"/>
          <w:szCs w:val="20"/>
          <w:color w:val="auto"/>
        </w:rPr>
      </w:pPr>
    </w:p>
    <w:p>
      <w:pPr>
        <w:ind w:right="460" w:firstLine="832"/>
        <w:spacing w:after="0" w:line="342"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24" w:lineRule="exact"/>
        <w:rPr>
          <w:sz w:val="20"/>
          <w:szCs w:val="20"/>
          <w:color w:val="auto"/>
        </w:rPr>
      </w:pPr>
    </w:p>
    <w:p>
      <w:pPr>
        <w:ind w:firstLine="832"/>
        <w:spacing w:after="0" w:line="273"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approved for marketing by applicable regulatory authorities, our ability to generate revenues from our product candidates depend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ability to:</w:t>
      </w:r>
    </w:p>
    <w:p>
      <w:pPr>
        <w:spacing w:after="0" w:line="211" w:lineRule="exact"/>
        <w:rPr>
          <w:sz w:val="20"/>
          <w:szCs w:val="20"/>
          <w:color w:val="auto"/>
        </w:rPr>
      </w:pPr>
    </w:p>
    <w:p>
      <w:pPr>
        <w:ind w:left="820" w:right="16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225" w:lineRule="exact"/>
        <w:rPr>
          <w:rFonts w:ascii="Arial" w:cs="Arial" w:eastAsia="Arial" w:hAnsi="Arial"/>
          <w:sz w:val="18"/>
          <w:szCs w:val="18"/>
          <w:color w:val="auto"/>
        </w:rPr>
      </w:pPr>
    </w:p>
    <w:p>
      <w:pPr>
        <w:ind w:left="820" w:right="36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and maintain agreements with wholesalers, distributors, and group purchasing organizations on commercially reasonable terms;</w:t>
      </w:r>
    </w:p>
    <w:p>
      <w:pPr>
        <w:spacing w:after="0" w:line="236" w:lineRule="exact"/>
        <w:rPr>
          <w:rFonts w:ascii="Arial" w:cs="Arial" w:eastAsia="Arial" w:hAnsi="Arial"/>
          <w:sz w:val="17"/>
          <w:szCs w:val="17"/>
          <w:color w:val="auto"/>
        </w:rPr>
      </w:pPr>
    </w:p>
    <w:p>
      <w:pPr>
        <w:ind w:left="820" w:right="54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line="196" w:lineRule="exact"/>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 market acceptance of our product candidates by patients, the medical community, and government and private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0"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 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0" w:lineRule="exact"/>
        <w:rPr>
          <w:sz w:val="20"/>
          <w:szCs w:val="20"/>
          <w:color w:val="auto"/>
        </w:rPr>
      </w:pPr>
    </w:p>
    <w:p>
      <w:pPr>
        <w:ind w:right="220" w:firstLine="832"/>
        <w:spacing w:after="0" w:line="263" w:lineRule="auto"/>
        <w:rPr>
          <w:sz w:val="20"/>
          <w:szCs w:val="20"/>
          <w:color w:val="auto"/>
        </w:rPr>
      </w:pPr>
      <w:r>
        <w:rPr>
          <w:rFonts w:ascii="Arial" w:cs="Arial" w:eastAsia="Arial" w:hAnsi="Arial"/>
          <w:sz w:val="18"/>
          <w:szCs w:val="18"/>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84" w:lineRule="exact"/>
        <w:rPr>
          <w:sz w:val="20"/>
          <w:szCs w:val="20"/>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225" w:lineRule="exact"/>
        <w:rPr>
          <w:sz w:val="20"/>
          <w:szCs w:val="20"/>
          <w:color w:val="auto"/>
        </w:rPr>
      </w:pPr>
    </w:p>
    <w:p>
      <w:pPr>
        <w:ind w:right="80" w:firstLine="832"/>
        <w:spacing w:after="0" w:line="259"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31" w:lineRule="exact"/>
        <w:rPr>
          <w:sz w:val="20"/>
          <w:szCs w:val="20"/>
          <w:color w:val="auto"/>
        </w:rPr>
      </w:pPr>
    </w:p>
    <w:p>
      <w:pPr>
        <w:ind w:right="580" w:firstLine="832"/>
        <w:spacing w:after="0" w:line="342"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24" w:lineRule="exact"/>
        <w:rPr>
          <w:sz w:val="20"/>
          <w:szCs w:val="20"/>
          <w:color w:val="auto"/>
        </w:rPr>
      </w:pPr>
    </w:p>
    <w:p>
      <w:pPr>
        <w:ind w:right="140" w:firstLine="832"/>
        <w:spacing w:after="0" w:line="275" w:lineRule="auto"/>
        <w:rPr>
          <w:sz w:val="20"/>
          <w:szCs w:val="20"/>
          <w:color w:val="auto"/>
        </w:rPr>
      </w:pPr>
      <w:r>
        <w:rPr>
          <w:rFonts w:ascii="Arial" w:cs="Arial" w:eastAsia="Arial" w:hAnsi="Arial"/>
          <w:sz w:val="17"/>
          <w:szCs w:val="17"/>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76" w:lineRule="exact"/>
        <w:rPr>
          <w:sz w:val="20"/>
          <w:szCs w:val="20"/>
          <w:color w:val="auto"/>
        </w:rPr>
      </w:pPr>
    </w:p>
    <w:p>
      <w:pPr>
        <w:ind w:right="20" w:firstLine="832"/>
        <w:spacing w:after="0" w:line="219"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04" w:lineRule="exact"/>
        <w:rPr>
          <w:sz w:val="20"/>
          <w:szCs w:val="20"/>
          <w:color w:val="auto"/>
        </w:rPr>
      </w:pPr>
    </w:p>
    <w:p>
      <w:pPr>
        <w:ind w:firstLine="832"/>
        <w:spacing w:after="0" w:line="218"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 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Aplenzin, Forfivo, Zyban, Contrave, and Nuedexta.</w:t>
      </w:r>
    </w:p>
    <w:p>
      <w:pPr>
        <w:spacing w:after="0" w:line="202" w:lineRule="exact"/>
        <w:rPr>
          <w:sz w:val="20"/>
          <w:szCs w:val="20"/>
          <w:color w:val="auto"/>
        </w:rPr>
      </w:pPr>
    </w:p>
    <w:p>
      <w:pPr>
        <w:ind w:right="80" w:firstLine="832"/>
        <w:spacing w:after="0" w:line="218"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06" w:lineRule="exact"/>
        <w:rPr>
          <w:sz w:val="20"/>
          <w:szCs w:val="20"/>
          <w:color w:val="auto"/>
        </w:rPr>
      </w:pPr>
    </w:p>
    <w:p>
      <w:pPr>
        <w:ind w:right="20" w:firstLine="832"/>
        <w:spacing w:after="0" w:line="296" w:lineRule="auto"/>
        <w:rPr>
          <w:sz w:val="20"/>
          <w:szCs w:val="20"/>
          <w:color w:val="auto"/>
        </w:rPr>
      </w:pPr>
      <w:r>
        <w:rPr>
          <w:rFonts w:ascii="Arial" w:cs="Arial" w:eastAsia="Arial" w:hAnsi="Arial"/>
          <w:sz w:val="16"/>
          <w:szCs w:val="16"/>
          <w:color w:val="auto"/>
        </w:rPr>
        <w:t>Based on the side effects disclosed in EMA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1" w:lineRule="exact"/>
        <w:rPr>
          <w:sz w:val="20"/>
          <w:szCs w:val="20"/>
          <w:color w:val="auto"/>
        </w:rPr>
      </w:pPr>
    </w:p>
    <w:p>
      <w:pPr>
        <w:ind w:right="120" w:firstLine="832"/>
        <w:spacing w:after="0" w:line="220" w:lineRule="exact"/>
        <w:rPr>
          <w:sz w:val="20"/>
          <w:szCs w:val="20"/>
          <w:color w:val="auto"/>
        </w:rPr>
      </w:pPr>
      <w:r>
        <w:rPr>
          <w:rFonts w:ascii="Arial" w:cs="Arial" w:eastAsia="Arial" w:hAnsi="Arial"/>
          <w:sz w:val="18"/>
          <w:szCs w:val="18"/>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8"/>
          <w:szCs w:val="18"/>
          <w:color w:val="auto"/>
        </w:rPr>
        <w:t>‑</w:t>
      </w:r>
      <w:r>
        <w:rPr>
          <w:rFonts w:ascii="Arial" w:cs="Arial" w:eastAsia="Arial" w:hAnsi="Arial"/>
          <w:sz w:val="18"/>
          <w:szCs w:val="18"/>
          <w:color w:val="auto"/>
        </w:rPr>
        <w:t>initiated Phase 2 clinical trials and other third</w:t>
      </w:r>
      <w:r>
        <w:rPr>
          <w:rFonts w:ascii="MS PGothic" w:cs="MS PGothic" w:eastAsia="MS PGothic" w:hAnsi="MS PGothic"/>
          <w:sz w:val="18"/>
          <w:szCs w:val="18"/>
          <w:color w:val="auto"/>
        </w:rPr>
        <w:t>‑</w:t>
      </w:r>
      <w:r>
        <w:rPr>
          <w:rFonts w:ascii="Arial" w:cs="Arial" w:eastAsia="Arial" w:hAnsi="Arial"/>
          <w:sz w:val="18"/>
          <w:szCs w:val="18"/>
          <w:color w:val="auto"/>
        </w:rPr>
        <w:t>party studies in the published literature as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well as FDA findings of safety and efficacy for approved drug products containing the same active molecules in AXS</w:t>
      </w:r>
      <w:r>
        <w:rPr>
          <w:rFonts w:ascii="MS PGothic" w:cs="MS PGothic" w:eastAsia="MS PGothic" w:hAnsi="MS PGothic"/>
          <w:sz w:val="18"/>
          <w:szCs w:val="18"/>
          <w:color w:val="auto"/>
        </w:rPr>
        <w:t>‑</w:t>
      </w:r>
      <w:r>
        <w:rPr>
          <w:rFonts w:ascii="Arial" w:cs="Arial" w:eastAsia="Arial" w:hAnsi="Arial"/>
          <w:sz w:val="18"/>
          <w:szCs w:val="18"/>
          <w:color w:val="auto"/>
        </w:rPr>
        <w:t>05 and AXS-07.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8"/>
          <w:szCs w:val="18"/>
          <w:color w:val="auto"/>
        </w:rPr>
        <w:t>‑</w:t>
      </w:r>
      <w:r>
        <w:rPr>
          <w:rFonts w:ascii="Arial" w:cs="Arial" w:eastAsia="Arial" w:hAnsi="Arial"/>
          <w:sz w:val="18"/>
          <w:szCs w:val="18"/>
          <w:color w:val="auto"/>
        </w:rPr>
        <w:t>05 and AXS</w:t>
      </w:r>
      <w:r>
        <w:rPr>
          <w:rFonts w:ascii="MS PGothic" w:cs="MS PGothic" w:eastAsia="MS PGothic" w:hAnsi="MS PGothic"/>
          <w:sz w:val="18"/>
          <w:szCs w:val="18"/>
          <w:color w:val="auto"/>
        </w:rPr>
        <w:t>‑</w:t>
      </w:r>
      <w:r>
        <w:rPr>
          <w:rFonts w:ascii="Arial" w:cs="Arial" w:eastAsia="Arial" w:hAnsi="Arial"/>
          <w:sz w:val="18"/>
          <w:szCs w:val="18"/>
          <w:color w:val="auto"/>
        </w:rPr>
        <w:t>07 pursuant to the 505(b)(2) process, we have not conducted certain additional clinical trials for these product candidates and, as such, we will have less experience with actual testing of the product candidate.</w:t>
      </w:r>
    </w:p>
    <w:p>
      <w:pPr>
        <w:spacing w:after="0" w:line="205" w:lineRule="exact"/>
        <w:rPr>
          <w:sz w:val="20"/>
          <w:szCs w:val="20"/>
          <w:color w:val="auto"/>
        </w:rPr>
      </w:pPr>
    </w:p>
    <w:p>
      <w:pPr>
        <w:ind w:right="120" w:firstLine="832"/>
        <w:spacing w:after="0" w:line="257"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88" w:lineRule="exact"/>
        <w:rPr>
          <w:sz w:val="20"/>
          <w:szCs w:val="20"/>
          <w:color w:val="auto"/>
        </w:rPr>
      </w:pPr>
    </w:p>
    <w:p>
      <w:pPr>
        <w:ind w:right="100" w:firstLine="832"/>
        <w:spacing w:after="0" w:line="296"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1" w:lineRule="exact"/>
        <w:rPr>
          <w:sz w:val="20"/>
          <w:szCs w:val="20"/>
          <w:color w:val="auto"/>
        </w:rPr>
      </w:pPr>
    </w:p>
    <w:p>
      <w:pPr>
        <w:ind w:right="120" w:firstLine="832"/>
        <w:spacing w:after="0" w:line="218" w:lineRule="exact"/>
        <w:rPr>
          <w:sz w:val="20"/>
          <w:szCs w:val="20"/>
          <w:color w:val="auto"/>
        </w:rPr>
      </w:pPr>
      <w:r>
        <w:rPr>
          <w:rFonts w:ascii="Arial" w:cs="Arial" w:eastAsia="Arial" w:hAnsi="Arial"/>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2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70"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5" w:lineRule="exact"/>
        <w:rPr>
          <w:sz w:val="20"/>
          <w:szCs w:val="20"/>
          <w:color w:val="auto"/>
        </w:rPr>
      </w:pPr>
    </w:p>
    <w:p>
      <w:pPr>
        <w:ind w:right="20" w:firstLine="832"/>
        <w:spacing w:after="0" w:line="275" w:lineRule="auto"/>
        <w:rPr>
          <w:sz w:val="20"/>
          <w:szCs w:val="20"/>
          <w:color w:val="auto"/>
        </w:rPr>
      </w:pPr>
      <w:r>
        <w:rPr>
          <w:rFonts w:ascii="Arial" w:cs="Arial" w:eastAsia="Arial" w:hAnsi="Arial"/>
          <w:sz w:val="17"/>
          <w:szCs w:val="17"/>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right="100" w:firstLine="832"/>
        <w:spacing w:after="0" w:line="26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recently submitted our first NDA to FDA for review, that NDA has not yet been accepted for filing by FDA, and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85" w:lineRule="exact"/>
        <w:rPr>
          <w:sz w:val="20"/>
          <w:szCs w:val="20"/>
          <w:color w:val="auto"/>
        </w:rPr>
      </w:pPr>
    </w:p>
    <w:p>
      <w:pPr>
        <w:ind w:firstLine="832"/>
        <w:spacing w:after="0" w:line="218" w:lineRule="exact"/>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8"/>
          <w:szCs w:val="18"/>
          <w:color w:val="auto"/>
        </w:rPr>
        <w:t>‑</w:t>
      </w:r>
      <w:r>
        <w:rPr>
          <w:rFonts w:ascii="Arial" w:cs="Arial" w:eastAsia="Arial" w:hAnsi="Arial"/>
          <w:sz w:val="18"/>
          <w:szCs w:val="18"/>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4" w:lineRule="exact"/>
        <w:rPr>
          <w:sz w:val="20"/>
          <w:szCs w:val="20"/>
          <w:color w:val="auto"/>
        </w:rPr>
      </w:pPr>
    </w:p>
    <w:p>
      <w:pPr>
        <w:ind w:right="20" w:firstLine="832"/>
        <w:spacing w:after="0" w:line="218" w:lineRule="exact"/>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832"/>
        <w:spacing w:after="0" w:line="342" w:lineRule="auto"/>
        <w:rPr>
          <w:sz w:val="20"/>
          <w:szCs w:val="20"/>
          <w:color w:val="auto"/>
        </w:rPr>
      </w:pPr>
      <w:r>
        <w:rPr>
          <w:rFonts w:ascii="Arial" w:cs="Arial" w:eastAsia="Arial" w:hAnsi="Arial"/>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24" w:lineRule="exact"/>
        <w:rPr>
          <w:sz w:val="20"/>
          <w:szCs w:val="20"/>
          <w:color w:val="auto"/>
        </w:rPr>
      </w:pPr>
    </w:p>
    <w:p>
      <w:pPr>
        <w:ind w:left="820" w:right="22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jc w:val="both"/>
        <w:ind w:left="820" w:right="380" w:hanging="407"/>
        <w:spacing w:after="0" w:line="263"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83" w:lineRule="exact"/>
        <w:rPr>
          <w:rFonts w:ascii="Arial" w:cs="Arial" w:eastAsia="Arial" w:hAnsi="Arial"/>
          <w:sz w:val="18"/>
          <w:szCs w:val="18"/>
          <w:color w:val="auto"/>
        </w:rPr>
      </w:pPr>
    </w:p>
    <w:p>
      <w:pPr>
        <w:ind w:left="820" w:right="280" w:hanging="407"/>
        <w:spacing w:after="0" w:line="342"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23" w:lineRule="exact"/>
        <w:rPr>
          <w:rFonts w:ascii="Arial" w:cs="Arial" w:eastAsia="Arial" w:hAnsi="Arial"/>
          <w:sz w:val="16"/>
          <w:szCs w:val="16"/>
          <w:color w:val="auto"/>
        </w:rPr>
      </w:pPr>
    </w:p>
    <w:p>
      <w:pPr>
        <w:ind w:left="820" w:right="220" w:hanging="407"/>
        <w:spacing w:after="0" w:line="308"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46" w:lineRule="exact"/>
        <w:rPr>
          <w:rFonts w:ascii="Arial" w:cs="Arial" w:eastAsia="Arial" w:hAnsi="Arial"/>
          <w:sz w:val="17"/>
          <w:szCs w:val="17"/>
          <w:color w:val="auto"/>
        </w:rPr>
      </w:pPr>
    </w:p>
    <w:p>
      <w:pPr>
        <w:ind w:left="820" w:right="80" w:hanging="407"/>
        <w:spacing w:after="0" w:line="223" w:lineRule="exact"/>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2" w:lineRule="exact"/>
        <w:rPr>
          <w:rFonts w:ascii="Arial" w:cs="Arial" w:eastAsia="Arial" w:hAnsi="Arial"/>
          <w:sz w:val="18"/>
          <w:szCs w:val="18"/>
          <w:color w:val="auto"/>
        </w:rPr>
      </w:pPr>
    </w:p>
    <w:p>
      <w:pPr>
        <w:ind w:left="820" w:right="200" w:hanging="407"/>
        <w:spacing w:after="0" w:line="301"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7" w:lineRule="exact"/>
        <w:rPr>
          <w:rFonts w:ascii="Arial" w:cs="Arial" w:eastAsia="Arial" w:hAnsi="Arial"/>
          <w:sz w:val="16"/>
          <w:szCs w:val="16"/>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225"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0" w:lineRule="exact"/>
        <w:rPr>
          <w:rFonts w:ascii="Arial" w:cs="Arial" w:eastAsia="Arial" w:hAnsi="Arial"/>
          <w:sz w:val="18"/>
          <w:szCs w:val="18"/>
          <w:color w:val="auto"/>
        </w:rPr>
      </w:pPr>
    </w:p>
    <w:p>
      <w:pPr>
        <w:ind w:left="820" w:right="780" w:hanging="407"/>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820" w:right="100" w:hanging="407"/>
        <w:spacing w:after="0" w:line="25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analyses, reports, data, or preclinical/nonclinical studies than we currently plan, or we may abandon product development programs. For instance, although we believe that we may be able to rely on the completed Phase 2 ASCEND trial and Phase 3 placebo-controlled GEMINI trial in MDD to support an NDA for AXS-05 for the treatment of MDD the FDA could still require additional studies, and on the MOMENTUM trial, which is being conducted pursuant to a Special Protocol Assessment, or SPA, to support an NDA for AXS-07 for the acute treatment of migraine, the FDA may ultimately require us to conduct additional one or more clinical studies to support the filing of an NDA for either of these product candidates. Finally, for AXS-12, we will need to conduct additional clinical studies in order to file an NDA for this product candidate. The outcome of our studies may further necessitate additional clinical or preclinical work;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our clinical trials due to the ongoing COVID-19 pandemic;</w:t>
      </w:r>
    </w:p>
    <w:p>
      <w:pPr>
        <w:spacing w:after="0" w:line="225" w:lineRule="exact"/>
        <w:rPr>
          <w:rFonts w:ascii="Arial" w:cs="Arial" w:eastAsia="Arial" w:hAnsi="Arial"/>
          <w:sz w:val="18"/>
          <w:szCs w:val="18"/>
          <w:color w:val="auto"/>
        </w:rPr>
      </w:pPr>
    </w:p>
    <w:p>
      <w:pPr>
        <w:jc w:val="both"/>
        <w:ind w:left="820" w:right="120" w:hanging="407"/>
        <w:spacing w:after="0" w:line="263"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83" w:lineRule="exact"/>
        <w:rPr>
          <w:rFonts w:ascii="Arial" w:cs="Arial" w:eastAsia="Arial" w:hAnsi="Arial"/>
          <w:sz w:val="18"/>
          <w:szCs w:val="18"/>
          <w:color w:val="auto"/>
        </w:rPr>
      </w:pPr>
    </w:p>
    <w:p>
      <w:pPr>
        <w:ind w:left="820" w:right="78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70" w:lineRule="exact"/>
        <w:rPr>
          <w:rFonts w:ascii="Arial" w:cs="Arial" w:eastAsia="Arial" w:hAnsi="Arial"/>
          <w:sz w:val="18"/>
          <w:szCs w:val="18"/>
          <w:color w:val="auto"/>
        </w:rPr>
      </w:pPr>
    </w:p>
    <w:p>
      <w:pPr>
        <w:ind w:left="820" w:right="60" w:hanging="407"/>
        <w:spacing w:after="0" w:line="275"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76" w:lineRule="exact"/>
        <w:rPr>
          <w:rFonts w:ascii="Arial" w:cs="Arial" w:eastAsia="Arial" w:hAnsi="Arial"/>
          <w:sz w:val="17"/>
          <w:szCs w:val="17"/>
          <w:color w:val="auto"/>
        </w:rPr>
      </w:pPr>
    </w:p>
    <w:p>
      <w:pPr>
        <w:ind w:left="820" w:hanging="407"/>
        <w:spacing w:after="0" w:line="293"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6"/>
          <w:szCs w:val="16"/>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225"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70" w:lineRule="exact"/>
        <w:rPr>
          <w:rFonts w:ascii="Arial" w:cs="Arial" w:eastAsia="Arial" w:hAnsi="Arial"/>
          <w:sz w:val="18"/>
          <w:szCs w:val="18"/>
          <w:color w:val="auto"/>
        </w:rPr>
      </w:pPr>
    </w:p>
    <w:p>
      <w:pPr>
        <w:ind w:left="820" w:right="40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chemistry, manufacturing, and controls (CMC) data necessary for our NDA filings, we will need to conduct stability studies and provide stability data to establish appropriate retest or expiration dating period;</w:t>
      </w:r>
    </w:p>
    <w:p>
      <w:pPr>
        <w:spacing w:after="0" w:line="170" w:lineRule="exact"/>
        <w:rPr>
          <w:rFonts w:ascii="Arial" w:cs="Arial" w:eastAsia="Arial" w:hAnsi="Arial"/>
          <w:sz w:val="18"/>
          <w:szCs w:val="18"/>
          <w:color w:val="auto"/>
        </w:rPr>
      </w:pPr>
    </w:p>
    <w:p>
      <w:pPr>
        <w:ind w:left="820" w:right="40" w:hanging="407"/>
        <w:spacing w:after="0" w:line="25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6" w:lineRule="exact"/>
        <w:rPr>
          <w:rFonts w:ascii="Arial" w:cs="Arial" w:eastAsia="Arial" w:hAnsi="Arial"/>
          <w:sz w:val="18"/>
          <w:szCs w:val="18"/>
          <w:color w:val="auto"/>
        </w:rPr>
      </w:pPr>
    </w:p>
    <w:p>
      <w:pPr>
        <w:ind w:left="820" w:right="40" w:hanging="407"/>
        <w:spacing w:after="0" w:line="263"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83" w:lineRule="exact"/>
        <w:rPr>
          <w:rFonts w:ascii="Arial" w:cs="Arial" w:eastAsia="Arial" w:hAnsi="Arial"/>
          <w:sz w:val="18"/>
          <w:szCs w:val="18"/>
          <w:color w:val="auto"/>
        </w:rPr>
      </w:pPr>
    </w:p>
    <w:p>
      <w:pPr>
        <w:ind w:left="820" w:right="880" w:hanging="407"/>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832"/>
        <w:spacing w:after="0" w:line="263"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4"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48" w:lineRule="exact"/>
        <w:rPr>
          <w:rFonts w:ascii="Arial" w:cs="Arial" w:eastAsia="Arial" w:hAnsi="Arial"/>
          <w:sz w:val="16"/>
          <w:szCs w:val="16"/>
          <w:color w:val="auto"/>
        </w:rPr>
      </w:pPr>
    </w:p>
    <w:p>
      <w:pPr>
        <w:ind w:left="820" w:hanging="407"/>
        <w:spacing w:after="0" w:line="263"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83"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0" w:firstLine="832"/>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ind w:right="20" w:firstLine="832"/>
        <w:spacing w:after="0" w:line="272"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agitation associated with AD. As a result, we may experience delays in regulatory approval due to uncertainties in the approval process.</w:t>
      </w:r>
    </w:p>
    <w:p>
      <w:pPr>
        <w:spacing w:after="0" w:line="177" w:lineRule="exact"/>
        <w:rPr>
          <w:sz w:val="20"/>
          <w:szCs w:val="20"/>
          <w:color w:val="auto"/>
        </w:rPr>
      </w:pPr>
    </w:p>
    <w:p>
      <w:pPr>
        <w:ind w:right="80" w:firstLine="832"/>
        <w:spacing w:after="0" w:line="219" w:lineRule="exact"/>
        <w:rPr>
          <w:sz w:val="20"/>
          <w:szCs w:val="20"/>
          <w:color w:val="auto"/>
        </w:rPr>
      </w:pPr>
      <w:r>
        <w:rPr>
          <w:rFonts w:ascii="Arial" w:cs="Arial" w:eastAsia="Arial" w:hAnsi="Arial"/>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86" w:lineRule="auto"/>
        <w:rPr>
          <w:sz w:val="20"/>
          <w:szCs w:val="20"/>
          <w:color w:val="auto"/>
        </w:rPr>
      </w:pPr>
      <w:r>
        <w:rPr>
          <w:rFonts w:ascii="Arial" w:cs="Arial" w:eastAsia="Arial" w:hAnsi="Arial"/>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0" w:lineRule="exact"/>
        <w:rPr>
          <w:sz w:val="20"/>
          <w:szCs w:val="20"/>
          <w:color w:val="auto"/>
        </w:rPr>
      </w:pPr>
    </w:p>
    <w:p>
      <w:pPr>
        <w:ind w:right="60" w:firstLine="832"/>
        <w:spacing w:after="0" w:line="293"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64" w:lineRule="exact"/>
        <w:rPr>
          <w:sz w:val="20"/>
          <w:szCs w:val="20"/>
          <w:color w:val="auto"/>
        </w:rPr>
      </w:pPr>
    </w:p>
    <w:p>
      <w:pPr>
        <w:ind w:left="820" w:right="840" w:hanging="407"/>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preclinical or nonclinical testing may produce inconclusive or negative safety results, which may require us to conduct additional nonclinical testing or to abandon product candidates;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have unfavorable pharmacology or toxicity characteristics or suggest possible drug-drug interaction;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determine that additional safety testing is required.</w:t>
      </w:r>
    </w:p>
    <w:p>
      <w:pPr>
        <w:spacing w:after="0" w:line="225" w:lineRule="exact"/>
        <w:rPr>
          <w:sz w:val="20"/>
          <w:szCs w:val="20"/>
          <w:color w:val="auto"/>
        </w:rPr>
      </w:pPr>
    </w:p>
    <w:p>
      <w:pPr>
        <w:ind w:right="700" w:firstLine="832"/>
        <w:spacing w:after="0" w:line="277" w:lineRule="auto"/>
        <w:rPr>
          <w:sz w:val="20"/>
          <w:szCs w:val="20"/>
          <w:color w:val="auto"/>
        </w:rPr>
      </w:pPr>
      <w:r>
        <w:rPr>
          <w:rFonts w:ascii="Arial" w:cs="Arial" w:eastAsia="Arial" w:hAnsi="Arial"/>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0" w:lineRule="exact"/>
        <w:rPr>
          <w:sz w:val="20"/>
          <w:szCs w:val="20"/>
          <w:color w:val="auto"/>
        </w:rPr>
      </w:pPr>
    </w:p>
    <w:p>
      <w:pPr>
        <w:ind w:right="40" w:firstLine="832"/>
        <w:spacing w:after="0" w:line="275"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76" w:lineRule="exact"/>
        <w:rPr>
          <w:sz w:val="20"/>
          <w:szCs w:val="20"/>
          <w:color w:val="auto"/>
        </w:rPr>
      </w:pPr>
    </w:p>
    <w:p>
      <w:pPr>
        <w:ind w:right="20" w:firstLine="832"/>
        <w:spacing w:after="0" w:line="218" w:lineRule="exact"/>
        <w:rPr>
          <w:sz w:val="20"/>
          <w:szCs w:val="20"/>
          <w:color w:val="auto"/>
        </w:rPr>
      </w:pPr>
      <w:r>
        <w:rPr>
          <w:rFonts w:ascii="Arial" w:cs="Arial" w:eastAsia="Arial" w:hAnsi="Arial"/>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5" w:lineRule="exact"/>
        <w:rPr>
          <w:sz w:val="20"/>
          <w:szCs w:val="20"/>
          <w:color w:val="auto"/>
        </w:rPr>
      </w:pPr>
    </w:p>
    <w:p>
      <w:pPr>
        <w:ind w:right="100" w:firstLine="832"/>
        <w:spacing w:after="0" w:line="257" w:lineRule="auto"/>
        <w:rPr>
          <w:sz w:val="20"/>
          <w:szCs w:val="20"/>
          <w:color w:val="auto"/>
        </w:rPr>
      </w:pPr>
      <w:r>
        <w:rPr>
          <w:rFonts w:ascii="Arial" w:cs="Arial" w:eastAsia="Arial" w:hAnsi="Arial"/>
          <w:sz w:val="18"/>
          <w:szCs w:val="18"/>
          <w:color w:val="auto"/>
        </w:rPr>
        <w:t>To date, the most commonly reported adverse events observed in the completed clinical trials of AXS-05 include nausea, dizziness, dry mouth, decreased appetite, somnolence, and anxiety. Some reported adverse events resulted in discontinuations from our trials of AXS-05. The most frequent adverse events resulting in discontinuation included anxiety, dizziness, disturbance in attention, initial insomnia, and nausea. AXS-05 consists of dextromethorphan and bupropion, and this combination may exacerbate any known adverse events for each individual component, or may result in new toxicities as compared to those of the individual components.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832"/>
        <w:spacing w:after="0" w:line="286" w:lineRule="auto"/>
        <w:rPr>
          <w:sz w:val="20"/>
          <w:szCs w:val="20"/>
          <w:color w:val="auto"/>
        </w:rPr>
      </w:pPr>
      <w:r>
        <w:rPr>
          <w:rFonts w:ascii="Arial" w:cs="Arial" w:eastAsia="Arial" w:hAnsi="Arial"/>
          <w:sz w:val="17"/>
          <w:szCs w:val="17"/>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 date, the most commonly reported adverse events observed in the completed clinical trial of AXS-12 include anxiety, constipation,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insomnia.</w:t>
      </w:r>
    </w:p>
    <w:p>
      <w:pPr>
        <w:spacing w:after="0" w:line="211" w:lineRule="exact"/>
        <w:rPr>
          <w:sz w:val="20"/>
          <w:szCs w:val="20"/>
          <w:color w:val="auto"/>
        </w:rPr>
      </w:pPr>
    </w:p>
    <w:p>
      <w:pPr>
        <w:ind w:right="240" w:firstLine="832"/>
        <w:spacing w:after="0" w:line="219" w:lineRule="exact"/>
        <w:rPr>
          <w:sz w:val="20"/>
          <w:szCs w:val="20"/>
          <w:color w:val="auto"/>
        </w:rPr>
      </w:pPr>
      <w:r>
        <w:rPr>
          <w:rFonts w:ascii="Arial" w:cs="Arial" w:eastAsia="Arial" w:hAnsi="Arial"/>
          <w:sz w:val="17"/>
          <w:szCs w:val="17"/>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8"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70" w:lineRule="exact"/>
        <w:rPr>
          <w:rFonts w:ascii="Arial" w:cs="Arial" w:eastAsia="Arial" w:hAnsi="Arial"/>
          <w:sz w:val="18"/>
          <w:szCs w:val="18"/>
          <w:color w:val="auto"/>
        </w:rPr>
      </w:pPr>
    </w:p>
    <w:p>
      <w:pPr>
        <w:ind w:left="820" w:right="540" w:hanging="407"/>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patients’ ability to comply with the specific instructions related to the trial protocol, proper documentation, and use of the drug product;</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225"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identify patients for enrollment and maintain a sufficient level of patient participants in our clinical studies due to the ongoing COVID-19 pandemic;</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832"/>
        <w:spacing w:after="0" w:line="25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95" w:lineRule="exact"/>
        <w:rPr>
          <w:sz w:val="20"/>
          <w:szCs w:val="20"/>
          <w:color w:val="auto"/>
        </w:rPr>
      </w:pPr>
    </w:p>
    <w:p>
      <w:pPr>
        <w:ind w:right="60" w:firstLine="832"/>
        <w:spacing w:after="0" w:line="263" w:lineRule="auto"/>
        <w:rPr>
          <w:sz w:val="20"/>
          <w:szCs w:val="20"/>
          <w:color w:val="auto"/>
        </w:rPr>
      </w:pPr>
      <w:r>
        <w:rPr>
          <w:rFonts w:ascii="Arial" w:cs="Arial" w:eastAsia="Arial" w:hAnsi="Arial"/>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Currently approved products containing bupropion are subject to restrictive marketing and distribution regulations, which if applied to our product candidates could restrict their use and potentially reduce our ability to generate profits.</w:t>
      </w:r>
    </w:p>
    <w:p>
      <w:pPr>
        <w:spacing w:after="0" w:line="170"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48" w:lineRule="exact"/>
        <w:rPr>
          <w:sz w:val="20"/>
          <w:szCs w:val="20"/>
          <w:color w:val="auto"/>
        </w:rPr>
      </w:pPr>
    </w:p>
    <w:p>
      <w:pPr>
        <w:ind w:right="140" w:firstLine="832"/>
        <w:spacing w:after="0" w:line="272" w:lineRule="auto"/>
        <w:rPr>
          <w:sz w:val="20"/>
          <w:szCs w:val="20"/>
          <w:color w:val="auto"/>
        </w:rPr>
      </w:pPr>
      <w:r>
        <w:rPr>
          <w:rFonts w:ascii="Arial" w:cs="Arial" w:eastAsia="Arial" w:hAnsi="Arial"/>
          <w:sz w:val="17"/>
          <w:szCs w:val="17"/>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25" w:lineRule="exact"/>
        <w:rPr>
          <w:sz w:val="20"/>
          <w:szCs w:val="20"/>
          <w:color w:val="auto"/>
        </w:rPr>
      </w:pPr>
    </w:p>
    <w:p>
      <w:pPr>
        <w:ind w:right="140" w:firstLine="832"/>
        <w:spacing w:after="0" w:line="271" w:lineRule="auto"/>
        <w:rPr>
          <w:sz w:val="20"/>
          <w:szCs w:val="20"/>
          <w:color w:val="auto"/>
        </w:rPr>
      </w:pPr>
      <w:r>
        <w:rPr>
          <w:rFonts w:ascii="Arial" w:cs="Arial" w:eastAsia="Arial" w:hAnsi="Arial"/>
          <w:sz w:val="17"/>
          <w:szCs w:val="17"/>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ind w:right="60" w:firstLine="832"/>
        <w:spacing w:after="0" w:line="217"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firstLine="832"/>
        <w:spacing w:after="0" w:line="273" w:lineRule="auto"/>
        <w:rPr>
          <w:sz w:val="20"/>
          <w:szCs w:val="20"/>
          <w:color w:val="auto"/>
        </w:rPr>
      </w:pPr>
      <w:r>
        <w:rPr>
          <w:rFonts w:ascii="Arial" w:cs="Arial" w:eastAsia="Arial" w:hAnsi="Arial"/>
          <w:sz w:val="17"/>
          <w:szCs w:val="17"/>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Although the breakthrough therapy process is designed to expedite the review and development of drugs, Breakthrough Therapy designation by the FDA for AXS-05 for the treatment of MDD and for the treatment of AD agitation, and AXS-12 for the treatment of cataplexy in patients with narcolepsy may not ultimately lead to a faster development or regulatory review or approval process, and it will not increase the likelihood that these product candidates will receive marketing approval.</w:t>
      </w:r>
    </w:p>
    <w:p>
      <w:pPr>
        <w:spacing w:after="0" w:line="187" w:lineRule="exact"/>
        <w:rPr>
          <w:sz w:val="20"/>
          <w:szCs w:val="20"/>
          <w:color w:val="auto"/>
        </w:rPr>
      </w:pPr>
    </w:p>
    <w:p>
      <w:pPr>
        <w:ind w:right="40" w:firstLine="832"/>
        <w:spacing w:after="0" w:line="253" w:lineRule="auto"/>
        <w:rPr>
          <w:sz w:val="20"/>
          <w:szCs w:val="20"/>
          <w:color w:val="auto"/>
        </w:rPr>
      </w:pPr>
      <w:r>
        <w:rPr>
          <w:rFonts w:ascii="Arial" w:cs="Arial" w:eastAsia="Arial" w:hAnsi="Arial"/>
          <w:sz w:val="18"/>
          <w:szCs w:val="18"/>
          <w:color w:val="auto"/>
        </w:rPr>
        <w:t>We received Breakthrough Therapy designation for AXS-05 for both the treatment of MDD and the treatment of AD agitation, and for AXS-12 for the treatment of cataplexy in patients with narcolepsy.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23" w:lineRule="exact"/>
        <w:rPr>
          <w:sz w:val="20"/>
          <w:szCs w:val="20"/>
          <w:color w:val="auto"/>
        </w:rPr>
      </w:pPr>
      <w:r>
        <w:rPr>
          <w:rFonts w:ascii="Arial" w:cs="Arial" w:eastAsia="Arial" w:hAnsi="Arial"/>
          <w:sz w:val="18"/>
          <w:szCs w:val="18"/>
          <w:b w:val="1"/>
          <w:bCs w:val="1"/>
          <w:i w:val="1"/>
          <w:iCs w:val="1"/>
          <w:color w:val="auto"/>
        </w:rPr>
        <w:t>penalties, injunctions, or other enforcement actions if we are determined to be promoting the use of our products for unapproved or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label” uses, resulting in damage to our reputation and business.</w:t>
      </w:r>
    </w:p>
    <w:p>
      <w:pPr>
        <w:spacing w:after="0" w:line="203" w:lineRule="exact"/>
        <w:rPr>
          <w:sz w:val="20"/>
          <w:szCs w:val="20"/>
          <w:color w:val="auto"/>
        </w:rPr>
      </w:pPr>
    </w:p>
    <w:p>
      <w:pPr>
        <w:ind w:firstLine="832"/>
        <w:spacing w:after="0" w:line="218"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204" w:lineRule="exact"/>
        <w:rPr>
          <w:sz w:val="20"/>
          <w:szCs w:val="20"/>
          <w:color w:val="auto"/>
        </w:rPr>
      </w:pPr>
    </w:p>
    <w:p>
      <w:pPr>
        <w:ind w:right="20" w:firstLine="832"/>
        <w:spacing w:after="0" w:line="219" w:lineRule="exact"/>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7"/>
          <w:szCs w:val="17"/>
          <w:color w:val="auto"/>
        </w:rPr>
        <w:t>‑</w:t>
      </w:r>
      <w:r>
        <w:rPr>
          <w:rFonts w:ascii="Arial" w:cs="Arial" w:eastAsia="Arial" w:hAnsi="Arial"/>
          <w:sz w:val="17"/>
          <w:szCs w:val="17"/>
          <w:color w:val="auto"/>
        </w:rPr>
        <w:t>label use.</w:t>
      </w:r>
    </w:p>
    <w:p>
      <w:pPr>
        <w:spacing w:after="0" w:line="202" w:lineRule="exact"/>
        <w:rPr>
          <w:sz w:val="20"/>
          <w:szCs w:val="20"/>
          <w:color w:val="auto"/>
        </w:rPr>
      </w:pPr>
    </w:p>
    <w:p>
      <w:pPr>
        <w:ind w:right="120" w:firstLine="832"/>
        <w:spacing w:after="0" w:line="218" w:lineRule="exact"/>
        <w:rPr>
          <w:sz w:val="20"/>
          <w:szCs w:val="20"/>
          <w:color w:val="auto"/>
        </w:rPr>
      </w:pPr>
      <w:r>
        <w:rPr>
          <w:rFonts w:ascii="Arial" w:cs="Arial" w:eastAsia="Arial" w:hAnsi="Arial"/>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Arial" w:cs="Arial" w:eastAsia="Arial" w:hAnsi="Arial"/>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Arial" w:cs="Arial" w:eastAsia="Arial" w:hAnsi="Arial"/>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7" w:lineRule="exact"/>
        <w:rPr>
          <w:sz w:val="20"/>
          <w:szCs w:val="20"/>
          <w:color w:val="auto"/>
        </w:rPr>
      </w:pPr>
    </w:p>
    <w:p>
      <w:pPr>
        <w:ind w:right="40" w:firstLine="832"/>
        <w:spacing w:after="0" w:line="217"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73"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right="80" w:firstLine="832"/>
        <w:spacing w:after="0" w:line="217" w:lineRule="exact"/>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6"/>
          <w:szCs w:val="16"/>
          <w:color w:val="auto"/>
        </w:rPr>
        <w:t>‑</w:t>
      </w:r>
      <w:r>
        <w:rPr>
          <w:rFonts w:ascii="Arial" w:cs="Arial" w:eastAsia="Arial" w:hAnsi="Arial"/>
          <w:sz w:val="16"/>
          <w:szCs w:val="16"/>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6"/>
          <w:szCs w:val="16"/>
          <w:color w:val="auto"/>
        </w:rPr>
        <w:t>‑</w:t>
      </w:r>
      <w:r>
        <w:rPr>
          <w:rFonts w:ascii="Arial" w:cs="Arial" w:eastAsia="Arial" w:hAnsi="Arial"/>
          <w:sz w:val="16"/>
          <w:szCs w:val="16"/>
          <w:color w:val="auto"/>
        </w:rPr>
        <w:t>market requirements or restrictions. Any such restrictions could limit sales of the product.</w:t>
      </w:r>
    </w:p>
    <w:p>
      <w:pPr>
        <w:spacing w:after="0" w:line="206" w:lineRule="exact"/>
        <w:rPr>
          <w:sz w:val="20"/>
          <w:szCs w:val="20"/>
          <w:color w:val="auto"/>
        </w:rPr>
      </w:pPr>
    </w:p>
    <w:p>
      <w:pPr>
        <w:jc w:val="both"/>
        <w:ind w:right="280" w:firstLine="832"/>
        <w:spacing w:after="0" w:line="220"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204"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84"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225"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 clinical holds or termination of clinical trials;</w:t>
      </w:r>
    </w:p>
    <w:p>
      <w:pPr>
        <w:spacing w:after="0" w:line="225" w:lineRule="exact"/>
        <w:rPr>
          <w:rFonts w:ascii="Arial" w:cs="Arial" w:eastAsia="Arial" w:hAnsi="Arial"/>
          <w:sz w:val="18"/>
          <w:szCs w:val="18"/>
          <w:color w:val="auto"/>
        </w:rPr>
      </w:pPr>
    </w:p>
    <w:p>
      <w:pPr>
        <w:ind w:left="820" w:right="160" w:hanging="407"/>
        <w:spacing w:after="0" w:line="311"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48" w:lineRule="exact"/>
        <w:rPr>
          <w:rFonts w:ascii="Arial" w:cs="Arial" w:eastAsia="Arial" w:hAnsi="Arial"/>
          <w:sz w:val="16"/>
          <w:szCs w:val="16"/>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225"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drug;</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225" w:lineRule="exact"/>
        <w:rPr>
          <w:sz w:val="20"/>
          <w:szCs w:val="20"/>
          <w:color w:val="auto"/>
        </w:rPr>
      </w:pPr>
    </w:p>
    <w:p>
      <w:pPr>
        <w:jc w:val="both"/>
        <w:ind w:firstLine="832"/>
        <w:spacing w:after="0" w:line="27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1" w:lineRule="exact"/>
        <w:rPr>
          <w:sz w:val="20"/>
          <w:szCs w:val="20"/>
          <w:color w:val="auto"/>
        </w:rPr>
      </w:pPr>
    </w:p>
    <w:p>
      <w:pPr>
        <w:ind w:right="20" w:firstLine="832"/>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1" w:lineRule="exact"/>
        <w:rPr>
          <w:sz w:val="20"/>
          <w:szCs w:val="20"/>
          <w:color w:val="auto"/>
        </w:rPr>
      </w:pPr>
    </w:p>
    <w:p>
      <w:pPr>
        <w:ind w:right="640" w:firstLine="832"/>
        <w:spacing w:after="0" w:line="224" w:lineRule="exact"/>
        <w:rPr>
          <w:sz w:val="20"/>
          <w:szCs w:val="20"/>
          <w:color w:val="auto"/>
        </w:rPr>
      </w:pPr>
      <w:r>
        <w:rPr>
          <w:rFonts w:ascii="Arial" w:cs="Arial" w:eastAsia="Arial" w:hAnsi="Arial"/>
          <w:sz w:val="17"/>
          <w:szCs w:val="17"/>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regulations may have a negative effect on our operating results and financial condition.</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0"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84"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25" w:lineRule="exact"/>
        <w:rPr>
          <w:rFonts w:ascii="Arial" w:cs="Arial" w:eastAsia="Arial" w:hAnsi="Arial"/>
          <w:sz w:val="18"/>
          <w:szCs w:val="18"/>
          <w:color w:val="auto"/>
        </w:rPr>
      </w:pPr>
    </w:p>
    <w:p>
      <w:pPr>
        <w:ind w:left="820" w:right="240" w:hanging="407"/>
        <w:spacing w:after="0" w:line="220" w:lineRule="exact"/>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so</w:t>
      </w:r>
      <w:r>
        <w:rPr>
          <w:rFonts w:ascii="MS PGothic" w:cs="MS PGothic" w:eastAsia="MS PGothic" w:hAnsi="MS PGothic"/>
          <w:sz w:val="18"/>
          <w:szCs w:val="18"/>
          <w:color w:val="auto"/>
        </w:rPr>
        <w:t>‑</w:t>
      </w:r>
      <w:r>
        <w:rPr>
          <w:rFonts w:ascii="Arial" w:cs="Arial" w:eastAsia="Arial" w:hAnsi="Arial"/>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right="100" w:hanging="407"/>
        <w:spacing w:after="0" w:line="308"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46" w:lineRule="exact"/>
        <w:rPr>
          <w:rFonts w:ascii="Arial" w:cs="Arial" w:eastAsia="Arial" w:hAnsi="Arial"/>
          <w:sz w:val="17"/>
          <w:szCs w:val="17"/>
          <w:color w:val="auto"/>
        </w:rPr>
      </w:pPr>
    </w:p>
    <w:p>
      <w:pPr>
        <w:ind w:left="820" w:right="540" w:hanging="407"/>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 and worker rights tend to be stronger;</w:t>
      </w:r>
    </w:p>
    <w:p>
      <w:pPr>
        <w:spacing w:after="0" w:line="236" w:lineRule="exact"/>
        <w:rPr>
          <w:rFonts w:ascii="Arial" w:cs="Arial" w:eastAsia="Arial" w:hAnsi="Arial"/>
          <w:sz w:val="17"/>
          <w:szCs w:val="17"/>
          <w:color w:val="auto"/>
        </w:rPr>
      </w:pPr>
    </w:p>
    <w:p>
      <w:pPr>
        <w:ind w:left="820" w:right="140" w:hanging="407"/>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0" w:lineRule="exact"/>
        <w:rPr>
          <w:sz w:val="20"/>
          <w:szCs w:val="20"/>
          <w:color w:val="auto"/>
        </w:rPr>
      </w:pPr>
    </w:p>
    <w:p>
      <w:pPr>
        <w:ind w:right="60" w:firstLine="832"/>
        <w:spacing w:after="0" w:line="290"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0" w:lineRule="exact"/>
        <w:rPr>
          <w:sz w:val="20"/>
          <w:szCs w:val="20"/>
          <w:color w:val="auto"/>
        </w:rPr>
      </w:pPr>
    </w:p>
    <w:p>
      <w:pPr>
        <w:ind w:right="20" w:firstLine="832"/>
        <w:spacing w:after="0" w:line="293"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Biohaven Pharmaceutical Holding Company Ltd.; Eli Lilly and Company; H. Lundbeck A/S; Intra-Cellular Therapies, Inc.; Janssen Research &amp; Development, LLC; Jazz Pharmaceuticals plc; Otsuka Pharmaceutical Co. Ltd.; OPKO Health, Inc., and Sage Therapeutics, Inc.</w:t>
      </w:r>
    </w:p>
    <w:p>
      <w:pPr>
        <w:spacing w:after="0" w:line="188" w:lineRule="exact"/>
        <w:rPr>
          <w:sz w:val="20"/>
          <w:szCs w:val="20"/>
          <w:color w:val="auto"/>
        </w:rPr>
      </w:pPr>
    </w:p>
    <w:p>
      <w:pPr>
        <w:ind w:right="100" w:firstLine="832"/>
        <w:spacing w:after="0" w:line="218" w:lineRule="exact"/>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07" w:lineRule="exact"/>
        <w:rPr>
          <w:sz w:val="20"/>
          <w:szCs w:val="20"/>
          <w:color w:val="auto"/>
        </w:rPr>
      </w:pPr>
    </w:p>
    <w:p>
      <w:pPr>
        <w:ind w:firstLine="832"/>
        <w:spacing w:after="0" w:line="219" w:lineRule="exact"/>
        <w:rPr>
          <w:sz w:val="20"/>
          <w:szCs w:val="20"/>
          <w:color w:val="auto"/>
        </w:rPr>
      </w:pPr>
      <w:r>
        <w:rPr>
          <w:rFonts w:ascii="Arial" w:cs="Arial" w:eastAsia="Arial" w:hAnsi="Arial"/>
          <w:sz w:val="18"/>
          <w:szCs w:val="18"/>
          <w:color w:val="auto"/>
        </w:rPr>
        <w:t>Generic forms of the active ingredients of our product candidates, including zoledronic acid, dextromethorphan, bupropion, meloxicam, rizatripan, reboxetine, and esomeprazole, are available in the United States and abroad and could be used off</w:t>
      </w:r>
      <w:r>
        <w:rPr>
          <w:rFonts w:ascii="MS PGothic" w:cs="MS PGothic" w:eastAsia="MS PGothic" w:hAnsi="MS PGothic"/>
          <w:sz w:val="18"/>
          <w:szCs w:val="18"/>
          <w:color w:val="auto"/>
        </w:rPr>
        <w:t>‑</w:t>
      </w:r>
      <w:r>
        <w:rPr>
          <w:rFonts w:ascii="Arial" w:cs="Arial" w:eastAsia="Arial" w:hAnsi="Arial"/>
          <w:sz w:val="18"/>
          <w:szCs w:val="18"/>
          <w:color w:val="auto"/>
        </w:rPr>
        <w:t>label. Any such off</w:t>
      </w:r>
      <w:r>
        <w:rPr>
          <w:rFonts w:ascii="MS PGothic" w:cs="MS PGothic" w:eastAsia="MS PGothic" w:hAnsi="MS PGothic"/>
          <w:sz w:val="18"/>
          <w:szCs w:val="18"/>
          <w:color w:val="auto"/>
        </w:rPr>
        <w:t>‑</w:t>
      </w:r>
      <w:r>
        <w:rPr>
          <w:rFonts w:ascii="Arial" w:cs="Arial" w:eastAsia="Arial" w:hAnsi="Arial"/>
          <w:sz w:val="18"/>
          <w:szCs w:val="18"/>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203" w:lineRule="exact"/>
        <w:rPr>
          <w:sz w:val="20"/>
          <w:szCs w:val="20"/>
          <w:color w:val="auto"/>
        </w:rPr>
      </w:pPr>
    </w:p>
    <w:p>
      <w:pPr>
        <w:jc w:val="both"/>
        <w:ind w:right="360" w:firstLine="832"/>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84" w:lineRule="exact"/>
        <w:rPr>
          <w:sz w:val="20"/>
          <w:szCs w:val="20"/>
          <w:color w:val="auto"/>
        </w:rPr>
      </w:pPr>
    </w:p>
    <w:p>
      <w:pPr>
        <w:ind w:right="40" w:firstLine="832"/>
        <w:spacing w:after="0" w:line="218" w:lineRule="exact"/>
        <w:rPr>
          <w:sz w:val="20"/>
          <w:szCs w:val="20"/>
          <w:color w:val="auto"/>
        </w:rPr>
      </w:pPr>
      <w:r>
        <w:rPr>
          <w:rFonts w:ascii="Arial" w:cs="Arial" w:eastAsia="Arial" w:hAnsi="Arial"/>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Arial" w:cs="Arial" w:eastAsia="Arial" w:hAnsi="Arial"/>
          <w:sz w:val="18"/>
          <w:szCs w:val="18"/>
          <w:color w:val="auto"/>
        </w:rPr>
        <w:t>party payors. Thus, following the introduction of a generic drug, a significant percentage of the sales of any branded product or reference listed drug is typically lost to the generic product.</w:t>
      </w:r>
    </w:p>
    <w:p>
      <w:pPr>
        <w:spacing w:after="0" w:line="204" w:lineRule="exact"/>
        <w:rPr>
          <w:sz w:val="20"/>
          <w:szCs w:val="20"/>
          <w:color w:val="auto"/>
        </w:rPr>
      </w:pPr>
    </w:p>
    <w:p>
      <w:pPr>
        <w:ind w:right="20" w:firstLine="832"/>
        <w:spacing w:after="0" w:line="259" w:lineRule="auto"/>
        <w:rPr>
          <w:sz w:val="20"/>
          <w:szCs w:val="20"/>
          <w:color w:val="auto"/>
        </w:rPr>
      </w:pPr>
      <w:r>
        <w:rPr>
          <w:rFonts w:ascii="Arial" w:cs="Arial" w:eastAsia="Arial" w:hAnsi="Arial"/>
          <w:sz w:val="18"/>
          <w:szCs w:val="18"/>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87" w:lineRule="exact"/>
        <w:rPr>
          <w:sz w:val="20"/>
          <w:szCs w:val="20"/>
          <w:color w:val="auto"/>
        </w:rPr>
      </w:pPr>
    </w:p>
    <w:p>
      <w:pPr>
        <w:ind w:right="120" w:firstLine="832"/>
        <w:spacing w:after="0" w:line="219"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202" w:lineRule="exact"/>
        <w:rPr>
          <w:sz w:val="20"/>
          <w:szCs w:val="20"/>
          <w:color w:val="auto"/>
        </w:rPr>
      </w:pPr>
    </w:p>
    <w:p>
      <w:pPr>
        <w:ind w:firstLine="832"/>
        <w:spacing w:after="0" w:line="293" w:lineRule="auto"/>
        <w:rPr>
          <w:sz w:val="20"/>
          <w:szCs w:val="20"/>
          <w:color w:val="auto"/>
        </w:rPr>
      </w:pPr>
      <w:r>
        <w:rPr>
          <w:rFonts w:ascii="Arial" w:cs="Arial" w:eastAsia="Arial" w:hAnsi="Arial"/>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64" w:lineRule="exact"/>
        <w:rPr>
          <w:sz w:val="20"/>
          <w:szCs w:val="20"/>
          <w:color w:val="auto"/>
        </w:rPr>
      </w:pPr>
    </w:p>
    <w:p>
      <w:pPr>
        <w:ind w:right="320" w:firstLine="832"/>
        <w:spacing w:after="0" w:line="342"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2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320" w:firstLine="832"/>
        <w:spacing w:after="0" w:line="277" w:lineRule="auto"/>
        <w:rPr>
          <w:sz w:val="20"/>
          <w:szCs w:val="20"/>
          <w:color w:val="auto"/>
        </w:rPr>
      </w:pPr>
      <w:r>
        <w:rPr>
          <w:rFonts w:ascii="Arial" w:cs="Arial" w:eastAsia="Arial" w:hAnsi="Arial"/>
          <w:sz w:val="18"/>
          <w:szCs w:val="18"/>
          <w:color w:val="auto"/>
        </w:rPr>
        <w:t>AXS-12 received Orphan Drug Designation from FDA for the treatment of narcolepsy. We may also seek Orphan Drug Designation for our other product candidates, as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832"/>
        <w:spacing w:after="0" w:line="291"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6" w:lineRule="exact"/>
        <w:rPr>
          <w:sz w:val="20"/>
          <w:szCs w:val="20"/>
          <w:color w:val="auto"/>
        </w:rPr>
      </w:pPr>
    </w:p>
    <w:p>
      <w:pPr>
        <w:ind w:firstLine="832"/>
        <w:spacing w:after="0" w:line="219" w:lineRule="exact"/>
        <w:rPr>
          <w:sz w:val="20"/>
          <w:szCs w:val="20"/>
          <w:color w:val="auto"/>
        </w:rPr>
      </w:pPr>
      <w:r>
        <w:rPr>
          <w:rFonts w:ascii="Arial" w:cs="Arial" w:eastAsia="Arial" w:hAnsi="Arial"/>
          <w:sz w:val="18"/>
          <w:szCs w:val="18"/>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8"/>
          <w:szCs w:val="18"/>
          <w:color w:val="auto"/>
        </w:rPr>
        <w:t>‑</w:t>
      </w:r>
      <w:r>
        <w:rPr>
          <w:rFonts w:ascii="Arial" w:cs="Arial" w:eastAsia="Arial" w:hAnsi="Arial"/>
          <w:sz w:val="18"/>
          <w:szCs w:val="18"/>
          <w:color w:val="auto"/>
        </w:rPr>
        <w:t>containing product for the treatment of narcolepsy before we had obtained FDA approval for AXS</w:t>
      </w:r>
      <w:r>
        <w:rPr>
          <w:rFonts w:ascii="MS PGothic" w:cs="MS PGothic" w:eastAsia="MS PGothic" w:hAnsi="MS PGothic"/>
          <w:sz w:val="18"/>
          <w:szCs w:val="18"/>
          <w:color w:val="auto"/>
        </w:rPr>
        <w:t>‑</w:t>
      </w:r>
      <w:r>
        <w:rPr>
          <w:rFonts w:ascii="Arial" w:cs="Arial" w:eastAsia="Arial" w:hAnsi="Arial"/>
          <w:sz w:val="18"/>
          <w:szCs w:val="18"/>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8"/>
          <w:szCs w:val="18"/>
          <w:color w:val="auto"/>
        </w:rPr>
        <w:t>‑</w:t>
      </w:r>
      <w:r>
        <w:rPr>
          <w:rFonts w:ascii="Arial" w:cs="Arial" w:eastAsia="Arial" w:hAnsi="Arial"/>
          <w:sz w:val="18"/>
          <w:szCs w:val="18"/>
          <w:color w:val="auto"/>
        </w:rPr>
        <w:t>containing product for the treatment of narcolepsy before we had obtained EMA approval for AXS</w:t>
      </w:r>
      <w:r>
        <w:rPr>
          <w:rFonts w:ascii="MS PGothic" w:cs="MS PGothic" w:eastAsia="MS PGothic" w:hAnsi="MS PGothic"/>
          <w:sz w:val="18"/>
          <w:szCs w:val="18"/>
          <w:color w:val="auto"/>
        </w:rPr>
        <w:t>‑</w:t>
      </w:r>
      <w:r>
        <w:rPr>
          <w:rFonts w:ascii="Arial" w:cs="Arial" w:eastAsia="Arial" w:hAnsi="Arial"/>
          <w:sz w:val="18"/>
          <w:szCs w:val="18"/>
          <w:color w:val="auto"/>
        </w:rPr>
        <w:t>12 for the treatment of narcolepsy, we would have been prevented from launching our product in the EU for this indication for a period of at least 10 to 12 years.</w:t>
      </w:r>
    </w:p>
    <w:p>
      <w:pPr>
        <w:spacing w:after="0" w:line="203" w:lineRule="exact"/>
        <w:rPr>
          <w:sz w:val="20"/>
          <w:szCs w:val="20"/>
          <w:color w:val="auto"/>
        </w:rPr>
      </w:pPr>
    </w:p>
    <w:p>
      <w:pPr>
        <w:ind w:right="20" w:firstLine="832"/>
        <w:spacing w:after="0" w:line="301"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sz w:val="20"/>
          <w:szCs w:val="20"/>
          <w:color w:val="auto"/>
        </w:rPr>
      </w:pPr>
    </w:p>
    <w:p>
      <w:pPr>
        <w:ind w:right="60" w:firstLine="832"/>
        <w:spacing w:after="0" w:line="218" w:lineRule="exact"/>
        <w:rPr>
          <w:sz w:val="20"/>
          <w:szCs w:val="20"/>
          <w:color w:val="auto"/>
        </w:rPr>
      </w:pPr>
      <w:r>
        <w:rPr>
          <w:rFonts w:ascii="Arial" w:cs="Arial" w:eastAsia="Arial" w:hAnsi="Arial"/>
          <w:sz w:val="16"/>
          <w:szCs w:val="16"/>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204" w:lineRule="exact"/>
        <w:rPr>
          <w:sz w:val="20"/>
          <w:szCs w:val="20"/>
          <w:color w:val="auto"/>
        </w:rPr>
      </w:pPr>
    </w:p>
    <w:p>
      <w:pPr>
        <w:ind w:firstLine="832"/>
        <w:spacing w:after="0" w:line="272"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77"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manage, and retain adequate numbers of effective sales and marketing personnel;</w:t>
      </w:r>
    </w:p>
    <w:p>
      <w:pPr>
        <w:spacing w:after="0" w:line="225" w:lineRule="exact"/>
        <w:rPr>
          <w:rFonts w:ascii="Arial" w:cs="Arial" w:eastAsia="Arial" w:hAnsi="Arial"/>
          <w:sz w:val="18"/>
          <w:szCs w:val="18"/>
          <w:color w:val="auto"/>
        </w:rPr>
      </w:pPr>
    </w:p>
    <w:p>
      <w:pPr>
        <w:ind w:left="820" w:right="380" w:hanging="407"/>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of sales personnel to travel and/or arrange in-person meetings with physicians due to the ongoing COVID-19 pandemic;</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36" w:lineRule="exact"/>
        <w:rPr>
          <w:rFonts w:ascii="Arial" w:cs="Arial" w:eastAsia="Arial" w:hAnsi="Arial"/>
          <w:sz w:val="17"/>
          <w:szCs w:val="17"/>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25"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820" w:right="840" w:hanging="407"/>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70" w:lineRule="exact"/>
        <w:rPr>
          <w:sz w:val="20"/>
          <w:szCs w:val="20"/>
          <w:color w:val="auto"/>
        </w:rPr>
      </w:pPr>
    </w:p>
    <w:p>
      <w:pPr>
        <w:ind w:right="120" w:firstLine="832"/>
        <w:spacing w:after="0" w:line="275" w:lineRule="auto"/>
        <w:rPr>
          <w:sz w:val="20"/>
          <w:szCs w:val="20"/>
          <w:color w:val="auto"/>
        </w:rPr>
      </w:pPr>
      <w:r>
        <w:rPr>
          <w:rFonts w:ascii="Arial" w:cs="Arial" w:eastAsia="Arial" w:hAnsi="Arial"/>
          <w:sz w:val="17"/>
          <w:szCs w:val="17"/>
          <w:color w:val="auto"/>
        </w:rPr>
        <w:t>Although our current plan is to hire most of our sales and marketing personnel only if a product candidate is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76" w:lineRule="exact"/>
        <w:rPr>
          <w:sz w:val="20"/>
          <w:szCs w:val="20"/>
          <w:color w:val="auto"/>
        </w:rPr>
      </w:pPr>
    </w:p>
    <w:p>
      <w:pPr>
        <w:ind w:right="40" w:firstLine="832"/>
        <w:spacing w:after="0" w:line="219" w:lineRule="exact"/>
        <w:rPr>
          <w:sz w:val="20"/>
          <w:szCs w:val="20"/>
          <w:color w:val="auto"/>
        </w:rPr>
      </w:pPr>
      <w:r>
        <w:rPr>
          <w:rFonts w:ascii="Arial" w:cs="Arial" w:eastAsia="Arial" w:hAnsi="Arial"/>
          <w:sz w:val="16"/>
          <w:szCs w:val="16"/>
          <w:color w:val="auto"/>
        </w:rPr>
        <w:t>In the event we are unable to collaborate with a third</w:t>
      </w:r>
      <w:r>
        <w:rPr>
          <w:rFonts w:ascii="MS PGothic" w:cs="MS PGothic" w:eastAsia="MS PGothic" w:hAnsi="MS PGothic"/>
          <w:sz w:val="16"/>
          <w:szCs w:val="16"/>
          <w:color w:val="auto"/>
        </w:rPr>
        <w:t>‑</w:t>
      </w:r>
      <w:r>
        <w:rPr>
          <w:rFonts w:ascii="Arial" w:cs="Arial" w:eastAsia="Arial" w:hAnsi="Arial"/>
          <w:sz w:val="16"/>
          <w:szCs w:val="16"/>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and may be subject to additional regulatory restrictions associated with the operation of a contracted sales force. In addition, we would have less control over the sales efforts of any other third parties involved in our commercialization efforts, and could be held liable if they failed to comply with applicable legal or regulatory requirements.</w:t>
      </w:r>
    </w:p>
    <w:p>
      <w:pPr>
        <w:spacing w:after="0" w:line="2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70" w:lineRule="exact"/>
        <w:rPr>
          <w:sz w:val="20"/>
          <w:szCs w:val="20"/>
          <w:color w:val="auto"/>
        </w:rPr>
      </w:pPr>
    </w:p>
    <w:p>
      <w:pPr>
        <w:ind w:right="20" w:firstLine="832"/>
        <w:spacing w:after="0" w:line="288"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168" w:lineRule="exact"/>
        <w:rPr>
          <w:sz w:val="20"/>
          <w:szCs w:val="20"/>
          <w:color w:val="auto"/>
        </w:rPr>
      </w:pPr>
    </w:p>
    <w:p>
      <w:pPr>
        <w:ind w:firstLine="832"/>
        <w:spacing w:after="0" w:line="263"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profitable. The degree of market acceptance of any of our product candidates will depend on a number of factors, including:</w:t>
      </w:r>
    </w:p>
    <w:p>
      <w:pPr>
        <w:spacing w:after="0" w:line="225" w:lineRule="exact"/>
        <w:rPr>
          <w:sz w:val="20"/>
          <w:szCs w:val="20"/>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225" w:lineRule="exact"/>
        <w:rPr>
          <w:rFonts w:ascii="Arial" w:cs="Arial" w:eastAsia="Arial" w:hAnsi="Arial"/>
          <w:sz w:val="18"/>
          <w:szCs w:val="18"/>
          <w:color w:val="auto"/>
        </w:rPr>
      </w:pPr>
    </w:p>
    <w:p>
      <w:pPr>
        <w:ind w:left="820" w:right="680" w:hanging="407"/>
        <w:spacing w:after="0" w:line="223" w:lineRule="exact"/>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w:t>
      </w:r>
      <w:r>
        <w:rPr>
          <w:rFonts w:ascii="MS PGothic" w:cs="MS PGothic" w:eastAsia="MS PGothic" w:hAnsi="MS PGothic"/>
          <w:sz w:val="18"/>
          <w:szCs w:val="18"/>
          <w:color w:val="auto"/>
        </w:rPr>
        <w:t>‑</w:t>
      </w:r>
      <w:r>
        <w:rPr>
          <w:rFonts w:ascii="Arial" w:cs="Arial" w:eastAsia="Arial" w:hAnsi="Arial"/>
          <w:sz w:val="18"/>
          <w:szCs w:val="18"/>
          <w:color w:val="auto"/>
        </w:rPr>
        <w:t>approved labeling, including potential limitations or warnings for such product candidate, that may be more restrictive than other competitive products;</w:t>
      </w:r>
    </w:p>
    <w:p>
      <w:pPr>
        <w:spacing w:after="0" w:line="202" w:lineRule="exact"/>
        <w:rPr>
          <w:rFonts w:ascii="Arial" w:cs="Arial" w:eastAsia="Arial" w:hAnsi="Arial"/>
          <w:sz w:val="18"/>
          <w:szCs w:val="18"/>
          <w:color w:val="auto"/>
        </w:rPr>
      </w:pPr>
    </w:p>
    <w:p>
      <w:pPr>
        <w:ind w:left="820" w:right="16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225" w:lineRule="exact"/>
        <w:rPr>
          <w:rFonts w:ascii="Arial" w:cs="Arial" w:eastAsia="Arial" w:hAnsi="Arial"/>
          <w:sz w:val="18"/>
          <w:szCs w:val="18"/>
          <w:color w:val="auto"/>
        </w:rPr>
      </w:pPr>
    </w:p>
    <w:p>
      <w:pPr>
        <w:ind w:left="820" w:right="54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225"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70"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 or to which we agree as part of a mandatory risk evaluation and mitigation strategy or voluntary risk management plan;</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225" w:lineRule="exact"/>
        <w:rPr>
          <w:rFonts w:ascii="Arial" w:cs="Arial" w:eastAsia="Arial" w:hAnsi="Arial"/>
          <w:sz w:val="18"/>
          <w:szCs w:val="18"/>
          <w:color w:val="auto"/>
        </w:rPr>
      </w:pPr>
    </w:p>
    <w:p>
      <w:pPr>
        <w:ind w:left="820" w:hanging="407"/>
        <w:spacing w:after="0" w:line="207" w:lineRule="exact"/>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firstLine="832"/>
        <w:spacing w:after="0" w:line="220" w:lineRule="exact"/>
        <w:rPr>
          <w:sz w:val="20"/>
          <w:szCs w:val="20"/>
          <w:color w:val="auto"/>
        </w:rPr>
      </w:pPr>
      <w:r>
        <w:rPr>
          <w:rFonts w:ascii="Arial" w:cs="Arial" w:eastAsia="Arial" w:hAnsi="Arial"/>
          <w:sz w:val="18"/>
          <w:szCs w:val="18"/>
          <w:color w:val="auto"/>
        </w:rPr>
        <w:t>Our 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we may not generate meaningful revenues from our product candidates, and we may not become profitable.</w:t>
      </w:r>
    </w:p>
    <w:p>
      <w:pPr>
        <w:spacing w:after="0" w:line="202" w:lineRule="exact"/>
        <w:rPr>
          <w:sz w:val="20"/>
          <w:szCs w:val="20"/>
          <w:color w:val="auto"/>
        </w:rPr>
      </w:pPr>
    </w:p>
    <w:p>
      <w:pPr>
        <w:ind w:right="100" w:firstLine="832"/>
        <w:spacing w:after="0" w:line="220" w:lineRule="exact"/>
        <w:rPr>
          <w:sz w:val="20"/>
          <w:szCs w:val="20"/>
          <w:color w:val="auto"/>
        </w:rPr>
      </w:pPr>
      <w:r>
        <w:rPr>
          <w:rFonts w:ascii="Arial" w:cs="Arial" w:eastAsia="Arial" w:hAnsi="Arial"/>
          <w:sz w:val="17"/>
          <w:szCs w:val="17"/>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7"/>
          <w:szCs w:val="17"/>
          <w:color w:val="auto"/>
        </w:rPr>
        <w:t>‑</w:t>
      </w:r>
      <w:r>
        <w:rPr>
          <w:rFonts w:ascii="Arial" w:cs="Arial" w:eastAsia="Arial" w:hAnsi="Arial"/>
          <w:sz w:val="17"/>
          <w:szCs w:val="17"/>
          <w:color w:val="auto"/>
        </w:rPr>
        <w:t>label. Any use of these generic forms of the active molecules of our product candidates could adversely affect our business and our results of operations.</w:t>
      </w:r>
    </w:p>
    <w:p>
      <w:pPr>
        <w:spacing w:after="0" w:line="204" w:lineRule="exact"/>
        <w:rPr>
          <w:sz w:val="20"/>
          <w:szCs w:val="20"/>
          <w:color w:val="auto"/>
        </w:rPr>
      </w:pPr>
    </w:p>
    <w:p>
      <w:pPr>
        <w:ind w:firstLine="832"/>
        <w:spacing w:after="0" w:line="219" w:lineRule="exact"/>
        <w:rPr>
          <w:sz w:val="20"/>
          <w:szCs w:val="20"/>
          <w:color w:val="auto"/>
        </w:rPr>
      </w:pPr>
      <w:r>
        <w:rPr>
          <w:rFonts w:ascii="Arial" w:cs="Arial" w:eastAsia="Arial" w:hAnsi="Arial"/>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70" w:lineRule="exact"/>
        <w:rPr>
          <w:sz w:val="20"/>
          <w:szCs w:val="20"/>
          <w:color w:val="auto"/>
        </w:rPr>
      </w:pPr>
    </w:p>
    <w:p>
      <w:pPr>
        <w:ind w:right="60" w:firstLine="832"/>
        <w:spacing w:after="0" w:line="269"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 loss of revenue from decreased demand for our products and/or product candidates;</w:t>
      </w:r>
    </w:p>
    <w:p>
      <w:pPr>
        <w:spacing w:after="0" w:line="185" w:lineRule="exact"/>
        <w:rPr>
          <w:sz w:val="20"/>
          <w:szCs w:val="20"/>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 and potential termination of clinical trial sites or entire clinical programs;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ind w:firstLine="832"/>
        <w:spacing w:after="0" w:line="270" w:lineRule="auto"/>
        <w:rPr>
          <w:sz w:val="20"/>
          <w:szCs w:val="20"/>
          <w:color w:val="auto"/>
        </w:rPr>
      </w:pPr>
      <w:r>
        <w:rPr>
          <w:rFonts w:ascii="Arial" w:cs="Arial" w:eastAsia="Arial" w:hAnsi="Arial"/>
          <w:sz w:val="17"/>
          <w:szCs w:val="17"/>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84" w:lineRule="exact"/>
        <w:rPr>
          <w:sz w:val="20"/>
          <w:szCs w:val="20"/>
          <w:color w:val="auto"/>
        </w:rPr>
      </w:pPr>
    </w:p>
    <w:p>
      <w:pPr>
        <w:ind w:right="40" w:firstLine="832"/>
        <w:spacing w:after="0" w:line="218" w:lineRule="exact"/>
        <w:rPr>
          <w:sz w:val="20"/>
          <w:szCs w:val="20"/>
          <w:color w:val="auto"/>
        </w:rPr>
      </w:pPr>
      <w:r>
        <w:rPr>
          <w:rFonts w:ascii="Arial" w:cs="Arial" w:eastAsia="Arial" w:hAnsi="Arial"/>
          <w:sz w:val="16"/>
          <w:szCs w:val="16"/>
          <w:color w:val="auto"/>
        </w:rPr>
        <w:t>We rely on third</w:t>
      </w:r>
      <w:r>
        <w:rPr>
          <w:rFonts w:ascii="MS PGothic" w:cs="MS PGothic" w:eastAsia="MS PGothic" w:hAnsi="MS PGothic"/>
          <w:sz w:val="16"/>
          <w:szCs w:val="16"/>
          <w:color w:val="auto"/>
        </w:rPr>
        <w:t>‑</w:t>
      </w:r>
      <w:r>
        <w:rPr>
          <w:rFonts w:ascii="Arial" w:cs="Arial" w:eastAsia="Arial" w:hAnsi="Arial"/>
          <w:sz w:val="16"/>
          <w:szCs w:val="16"/>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202" w:lineRule="exact"/>
        <w:rPr>
          <w:sz w:val="20"/>
          <w:szCs w:val="20"/>
          <w:color w:val="auto"/>
        </w:rPr>
      </w:pPr>
    </w:p>
    <w:p>
      <w:pPr>
        <w:ind w:right="20" w:firstLine="832"/>
        <w:spacing w:after="0" w:line="269"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82" w:lineRule="exact"/>
        <w:rPr>
          <w:sz w:val="20"/>
          <w:szCs w:val="20"/>
          <w:color w:val="auto"/>
        </w:rPr>
      </w:pPr>
    </w:p>
    <w:p>
      <w:pPr>
        <w:ind w:right="140" w:firstLine="832"/>
        <w:spacing w:after="0" w:line="219" w:lineRule="exact"/>
        <w:rPr>
          <w:sz w:val="20"/>
          <w:szCs w:val="20"/>
          <w:color w:val="auto"/>
        </w:rPr>
      </w:pPr>
      <w:r>
        <w:rPr>
          <w:rFonts w:ascii="Arial" w:cs="Arial" w:eastAsia="Arial" w:hAnsi="Arial"/>
          <w:sz w:val="16"/>
          <w:szCs w:val="16"/>
          <w:color w:val="auto"/>
        </w:rPr>
        <w:t>In addition, once we have an approved product, we will be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04" w:lineRule="exact"/>
        <w:rPr>
          <w:sz w:val="20"/>
          <w:szCs w:val="20"/>
          <w:color w:val="auto"/>
        </w:rPr>
      </w:pPr>
    </w:p>
    <w:p>
      <w:pPr>
        <w:ind w:right="360" w:firstLine="832"/>
        <w:spacing w:after="0" w:line="277"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complies with GCP regulations. In addition, our clinical trials must be conducted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20" w:lineRule="exact"/>
        <w:rPr>
          <w:sz w:val="20"/>
          <w:szCs w:val="20"/>
          <w:color w:val="auto"/>
        </w:rPr>
      </w:pPr>
      <w:r>
        <w:rPr>
          <w:rFonts w:ascii="Arial" w:cs="Arial" w:eastAsia="Arial" w:hAnsi="Arial"/>
          <w:sz w:val="18"/>
          <w:szCs w:val="18"/>
          <w:color w:val="auto"/>
        </w:rPr>
        <w:t>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8"/>
          <w:szCs w:val="18"/>
          <w:color w:val="auto"/>
        </w:rPr>
        <w:t>‑</w:t>
      </w:r>
      <w:r>
        <w:rPr>
          <w:rFonts w:ascii="Arial" w:cs="Arial" w:eastAsia="Arial" w:hAnsi="Arial"/>
          <w:sz w:val="18"/>
          <w:szCs w:val="18"/>
          <w:color w:val="auto"/>
        </w:rPr>
        <w:t>sponsored database, ClinicalTrials.gov, within specified timeframes. Failure to do so can result in enforcement actions and adverse publicity.</w:t>
      </w:r>
    </w:p>
    <w:p>
      <w:pPr>
        <w:spacing w:after="0" w:line="204" w:lineRule="exact"/>
        <w:rPr>
          <w:sz w:val="20"/>
          <w:szCs w:val="20"/>
          <w:color w:val="auto"/>
        </w:rPr>
      </w:pPr>
    </w:p>
    <w:p>
      <w:pPr>
        <w:ind w:right="80" w:firstLine="832"/>
        <w:spacing w:after="0" w:line="217"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206" w:lineRule="exact"/>
        <w:rPr>
          <w:sz w:val="20"/>
          <w:szCs w:val="20"/>
          <w:color w:val="auto"/>
        </w:rPr>
      </w:pPr>
    </w:p>
    <w:p>
      <w:pPr>
        <w:ind w:right="40" w:firstLine="832"/>
        <w:spacing w:after="0" w:line="219" w:lineRule="exact"/>
        <w:rPr>
          <w:sz w:val="20"/>
          <w:szCs w:val="20"/>
          <w:color w:val="auto"/>
        </w:rPr>
      </w:pPr>
      <w:r>
        <w:rPr>
          <w:rFonts w:ascii="Arial" w:cs="Arial" w:eastAsia="Arial" w:hAnsi="Arial"/>
          <w:sz w:val="18"/>
          <w:szCs w:val="18"/>
          <w:color w:val="auto"/>
        </w:rPr>
        <w:t>If any of our relationships with these third</w:t>
      </w:r>
      <w:r>
        <w:rPr>
          <w:rFonts w:ascii="MS PGothic" w:cs="MS PGothic" w:eastAsia="MS PGothic" w:hAnsi="MS PGothic"/>
          <w:sz w:val="18"/>
          <w:szCs w:val="18"/>
          <w:color w:val="auto"/>
        </w:rPr>
        <w:t>‑</w:t>
      </w:r>
      <w:r>
        <w:rPr>
          <w:rFonts w:ascii="Arial" w:cs="Arial" w:eastAsia="Arial" w:hAnsi="Arial"/>
          <w:sz w:val="18"/>
          <w:szCs w:val="18"/>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20" w:firstLine="832"/>
        <w:spacing w:after="0" w:line="273" w:lineRule="auto"/>
        <w:rPr>
          <w:sz w:val="20"/>
          <w:szCs w:val="20"/>
          <w:color w:val="auto"/>
        </w:rPr>
      </w:pPr>
      <w:r>
        <w:rPr>
          <w:rFonts w:ascii="Arial" w:cs="Arial" w:eastAsia="Arial" w:hAnsi="Arial"/>
          <w:sz w:val="17"/>
          <w:szCs w:val="17"/>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78" w:lineRule="exact"/>
        <w:rPr>
          <w:sz w:val="20"/>
          <w:szCs w:val="20"/>
          <w:color w:val="auto"/>
        </w:rPr>
      </w:pPr>
    </w:p>
    <w:p>
      <w:pPr>
        <w:ind w:firstLine="832"/>
        <w:spacing w:after="0" w:line="218"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18"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3" w:lineRule="exact"/>
        <w:rPr>
          <w:sz w:val="20"/>
          <w:szCs w:val="20"/>
          <w:color w:val="auto"/>
        </w:rPr>
      </w:pPr>
    </w:p>
    <w:p>
      <w:pPr>
        <w:ind w:right="120" w:firstLine="832"/>
        <w:spacing w:after="0" w:line="218"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4" w:lineRule="exact"/>
        <w:rPr>
          <w:sz w:val="20"/>
          <w:szCs w:val="20"/>
          <w:color w:val="auto"/>
        </w:rPr>
      </w:pPr>
    </w:p>
    <w:p>
      <w:pPr>
        <w:ind w:firstLine="832"/>
        <w:spacing w:after="0" w:line="285" w:lineRule="auto"/>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387"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0" w:lineRule="exact"/>
        <w:rPr>
          <w:sz w:val="20"/>
          <w:szCs w:val="20"/>
          <w:color w:val="auto"/>
        </w:rPr>
      </w:pPr>
    </w:p>
    <w:p>
      <w:pPr>
        <w:ind w:right="240" w:firstLine="832"/>
        <w:spacing w:after="0" w:line="308"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46" w:lineRule="exact"/>
        <w:rPr>
          <w:sz w:val="20"/>
          <w:szCs w:val="20"/>
          <w:color w:val="auto"/>
        </w:rPr>
      </w:pPr>
    </w:p>
    <w:p>
      <w:pPr>
        <w:ind w:right="20" w:firstLine="832"/>
        <w:spacing w:after="0" w:line="269" w:lineRule="auto"/>
        <w:rPr>
          <w:sz w:val="20"/>
          <w:szCs w:val="20"/>
          <w:color w:val="auto"/>
        </w:rPr>
      </w:pPr>
      <w:r>
        <w:rPr>
          <w:rFonts w:ascii="Arial" w:cs="Arial" w:eastAsia="Arial" w:hAnsi="Arial"/>
          <w:sz w:val="17"/>
          <w:szCs w:val="17"/>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82" w:lineRule="exact"/>
        <w:rPr>
          <w:sz w:val="20"/>
          <w:szCs w:val="20"/>
          <w:color w:val="auto"/>
        </w:rPr>
      </w:pPr>
    </w:p>
    <w:p>
      <w:pPr>
        <w:ind w:right="40" w:firstLine="832"/>
        <w:spacing w:after="0" w:line="290" w:lineRule="auto"/>
        <w:rPr>
          <w:sz w:val="20"/>
          <w:szCs w:val="20"/>
          <w:color w:val="auto"/>
        </w:rPr>
      </w:pPr>
      <w:r>
        <w:rPr>
          <w:rFonts w:ascii="Arial" w:cs="Arial" w:eastAsia="Arial" w:hAnsi="Arial"/>
          <w:sz w:val="16"/>
          <w:szCs w:val="16"/>
          <w:color w:val="auto"/>
        </w:rPr>
        <w:t>We may utilize contract manufacturers to manufacture our investigational products and plan to utilize contract manufacturers if and when we obtain FDA approval. The FDA announced it would resume domestic facility inspections, after a previous temporary delay. Although the agency continues its general suspension of foreign facility inspections (although “mission-critical” inspections may be considered on a case-by-case basis). Because of the global pandemic, decision-making around facility inspections by the FDA (including Pre-Approval and for cause inspections) continues to evolve.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65" w:lineRule="exact"/>
        <w:rPr>
          <w:sz w:val="20"/>
          <w:szCs w:val="20"/>
          <w:color w:val="auto"/>
        </w:rPr>
      </w:pPr>
    </w:p>
    <w:p>
      <w:pPr>
        <w:ind w:firstLine="832"/>
        <w:spacing w:after="0" w:line="290" w:lineRule="auto"/>
        <w:rPr>
          <w:sz w:val="20"/>
          <w:szCs w:val="20"/>
          <w:color w:val="auto"/>
        </w:rPr>
      </w:pPr>
      <w:r>
        <w:rPr>
          <w:rFonts w:ascii="Arial" w:cs="Arial" w:eastAsia="Arial" w:hAnsi="Arial"/>
          <w:sz w:val="16"/>
          <w:szCs w:val="16"/>
          <w:color w:val="auto"/>
        </w:rPr>
        <w:t>The FDA continues to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65" w:lineRule="exact"/>
        <w:rPr>
          <w:sz w:val="20"/>
          <w:szCs w:val="20"/>
          <w:color w:val="auto"/>
        </w:rPr>
      </w:pPr>
    </w:p>
    <w:p>
      <w:pPr>
        <w:ind w:right="220" w:firstLine="832"/>
        <w:spacing w:after="0" w:line="257" w:lineRule="auto"/>
        <w:rPr>
          <w:sz w:val="20"/>
          <w:szCs w:val="20"/>
          <w:color w:val="auto"/>
        </w:rPr>
      </w:pPr>
      <w:r>
        <w:rPr>
          <w:rFonts w:ascii="Arial" w:cs="Arial" w:eastAsia="Arial" w:hAnsi="Arial"/>
          <w:sz w:val="18"/>
          <w:szCs w:val="18"/>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7" w:lineRule="exact"/>
        <w:rPr>
          <w:sz w:val="20"/>
          <w:szCs w:val="20"/>
          <w:color w:val="auto"/>
        </w:rPr>
      </w:pPr>
    </w:p>
    <w:p>
      <w:pPr>
        <w:ind w:right="120" w:firstLine="832"/>
        <w:spacing w:after="0" w:line="218"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4" w:lineRule="exact"/>
        <w:rPr>
          <w:sz w:val="20"/>
          <w:szCs w:val="20"/>
          <w:color w:val="auto"/>
        </w:rPr>
      </w:pPr>
    </w:p>
    <w:p>
      <w:pPr>
        <w:ind w:right="200" w:firstLine="832"/>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ind w:right="60" w:firstLine="832"/>
        <w:spacing w:after="0" w:line="263"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0" w:lineRule="exact"/>
        <w:rPr>
          <w:sz w:val="20"/>
          <w:szCs w:val="20"/>
          <w:color w:val="auto"/>
        </w:rPr>
      </w:pPr>
    </w:p>
    <w:p>
      <w:pPr>
        <w:ind w:right="80" w:firstLine="832"/>
        <w:spacing w:after="0" w:line="217" w:lineRule="exact"/>
        <w:rPr>
          <w:sz w:val="20"/>
          <w:szCs w:val="20"/>
          <w:color w:val="auto"/>
        </w:rPr>
      </w:pPr>
      <w:r>
        <w:rPr>
          <w:rFonts w:ascii="Arial" w:cs="Arial" w:eastAsia="Arial" w:hAnsi="Arial"/>
          <w:sz w:val="17"/>
          <w:szCs w:val="17"/>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7"/>
          <w:szCs w:val="17"/>
          <w:color w:val="auto"/>
        </w:rPr>
        <w:t>‑</w:t>
      </w:r>
      <w:r>
        <w:rPr>
          <w:rFonts w:ascii="Arial" w:cs="Arial" w:eastAsia="Arial" w:hAnsi="Arial"/>
          <w:sz w:val="17"/>
          <w:szCs w:val="17"/>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208" w:lineRule="exact"/>
        <w:rPr>
          <w:sz w:val="20"/>
          <w:szCs w:val="20"/>
          <w:color w:val="auto"/>
        </w:rPr>
      </w:pPr>
    </w:p>
    <w:p>
      <w:pPr>
        <w:ind w:firstLine="832"/>
        <w:spacing w:after="0" w:line="263"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832"/>
        <w:spacing w:after="0" w:line="263" w:lineRule="auto"/>
        <w:rPr>
          <w:sz w:val="20"/>
          <w:szCs w:val="20"/>
          <w:color w:val="auto"/>
        </w:rPr>
      </w:pPr>
      <w:r>
        <w:rPr>
          <w:rFonts w:ascii="Arial" w:cs="Arial" w:eastAsia="Arial" w:hAnsi="Arial"/>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84" w:lineRule="exact"/>
        <w:rPr>
          <w:sz w:val="20"/>
          <w:szCs w:val="20"/>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820" w:hanging="407"/>
        <w:spacing w:after="0" w:line="286"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820" w:right="680" w:hanging="407"/>
        <w:spacing w:after="0" w:line="30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225" w:lineRule="exact"/>
        <w:rPr>
          <w:rFonts w:ascii="Arial" w:cs="Arial" w:eastAsia="Arial" w:hAnsi="Arial"/>
          <w:sz w:val="18"/>
          <w:szCs w:val="18"/>
          <w:color w:val="auto"/>
        </w:rPr>
      </w:pPr>
    </w:p>
    <w:p>
      <w:pPr>
        <w:ind w:left="820" w:right="400" w:hanging="407"/>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70" w:lineRule="exact"/>
        <w:rPr>
          <w:rFonts w:ascii="Arial" w:cs="Arial" w:eastAsia="Arial" w:hAnsi="Arial"/>
          <w:sz w:val="18"/>
          <w:szCs w:val="18"/>
          <w:color w:val="auto"/>
        </w:rPr>
      </w:pPr>
    </w:p>
    <w:p>
      <w:pPr>
        <w:ind w:left="820" w:right="80" w:hanging="407"/>
        <w:spacing w:after="0" w:line="263"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820" w:right="80" w:hanging="407"/>
        <w:spacing w:after="0" w:line="30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46" w:lineRule="exact"/>
        <w:rPr>
          <w:rFonts w:ascii="Arial" w:cs="Arial" w:eastAsia="Arial" w:hAnsi="Arial"/>
          <w:sz w:val="17"/>
          <w:szCs w:val="17"/>
          <w:color w:val="auto"/>
        </w:rPr>
      </w:pPr>
    </w:p>
    <w:p>
      <w:pPr>
        <w:ind w:left="820" w:right="80" w:hanging="407"/>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0" w:lineRule="exact"/>
        <w:rPr>
          <w:rFonts w:ascii="Arial" w:cs="Arial" w:eastAsia="Arial" w:hAnsi="Arial"/>
          <w:sz w:val="18"/>
          <w:szCs w:val="18"/>
          <w:color w:val="auto"/>
        </w:rPr>
      </w:pPr>
    </w:p>
    <w:p>
      <w:pPr>
        <w:ind w:left="820" w:right="480" w:hanging="407"/>
        <w:spacing w:after="0" w:line="25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86" w:lineRule="exact"/>
        <w:rPr>
          <w:rFonts w:ascii="Arial" w:cs="Arial" w:eastAsia="Arial" w:hAnsi="Arial"/>
          <w:sz w:val="18"/>
          <w:szCs w:val="18"/>
          <w:color w:val="auto"/>
        </w:rPr>
      </w:pPr>
    </w:p>
    <w:p>
      <w:pPr>
        <w:jc w:val="both"/>
        <w:ind w:left="820" w:right="240" w:hanging="407"/>
        <w:spacing w:after="0" w:line="342"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23" w:lineRule="exact"/>
        <w:rPr>
          <w:rFonts w:ascii="Arial" w:cs="Arial" w:eastAsia="Arial" w:hAnsi="Arial"/>
          <w:sz w:val="16"/>
          <w:szCs w:val="16"/>
          <w:color w:val="auto"/>
        </w:rPr>
      </w:pPr>
    </w:p>
    <w:p>
      <w:pPr>
        <w:ind w:left="820" w:hanging="407"/>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right="60" w:firstLine="832"/>
        <w:spacing w:after="0" w:line="27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71" w:lineRule="exact"/>
        <w:rPr>
          <w:sz w:val="20"/>
          <w:szCs w:val="20"/>
          <w:color w:val="auto"/>
        </w:rPr>
      </w:pPr>
    </w:p>
    <w:p>
      <w:pPr>
        <w:ind w:right="20" w:firstLine="832"/>
        <w:spacing w:after="0" w:line="286" w:lineRule="auto"/>
        <w:rPr>
          <w:sz w:val="20"/>
          <w:szCs w:val="20"/>
          <w:color w:val="auto"/>
        </w:rPr>
      </w:pPr>
      <w:r>
        <w:rPr>
          <w:rFonts w:ascii="Arial" w:cs="Arial" w:eastAsia="Arial" w:hAnsi="Arial"/>
          <w:sz w:val="17"/>
          <w:szCs w:val="17"/>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32"/>
        <w:spacing w:after="0" w:line="287"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70"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0" w:lineRule="exact"/>
        <w:rPr>
          <w:sz w:val="20"/>
          <w:szCs w:val="20"/>
          <w:color w:val="auto"/>
        </w:rPr>
      </w:pPr>
    </w:p>
    <w:p>
      <w:pPr>
        <w:ind w:right="40" w:firstLine="832"/>
        <w:spacing w:after="0" w:line="220" w:lineRule="exact"/>
        <w:rPr>
          <w:sz w:val="20"/>
          <w:szCs w:val="20"/>
          <w:color w:val="auto"/>
        </w:rPr>
      </w:pPr>
      <w:r>
        <w:rPr>
          <w:rFonts w:ascii="Arial" w:cs="Arial" w:eastAsia="Arial" w:hAnsi="Arial"/>
          <w:sz w:val="17"/>
          <w:szCs w:val="17"/>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7"/>
          <w:szCs w:val="17"/>
          <w:color w:val="auto"/>
        </w:rPr>
        <w:t>‑</w:t>
      </w:r>
      <w:r>
        <w:rPr>
          <w:rFonts w:ascii="Arial" w:cs="Arial" w:eastAsia="Arial" w:hAnsi="Arial"/>
          <w:sz w:val="17"/>
          <w:szCs w:val="17"/>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204" w:lineRule="exact"/>
        <w:rPr>
          <w:sz w:val="20"/>
          <w:szCs w:val="20"/>
          <w:color w:val="auto"/>
        </w:rPr>
      </w:pPr>
    </w:p>
    <w:p>
      <w:pPr>
        <w:ind w:right="40" w:firstLine="832"/>
        <w:spacing w:after="0" w:line="254" w:lineRule="auto"/>
        <w:rPr>
          <w:sz w:val="20"/>
          <w:szCs w:val="20"/>
          <w:color w:val="auto"/>
        </w:rPr>
      </w:pPr>
      <w:r>
        <w:rPr>
          <w:rFonts w:ascii="Arial" w:cs="Arial" w:eastAsia="Arial" w:hAnsi="Arial"/>
          <w:sz w:val="18"/>
          <w:szCs w:val="18"/>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8"/>
          <w:szCs w:val="18"/>
          <w:color w:val="auto"/>
        </w:rPr>
        <w:t>‑</w:t>
      </w:r>
      <w:r>
        <w:rPr>
          <w:rFonts w:ascii="Arial" w:cs="Arial" w:eastAsia="Arial" w:hAnsi="Arial"/>
          <w:sz w:val="18"/>
          <w:szCs w:val="18"/>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5" w:lineRule="exact"/>
        <w:rPr>
          <w:sz w:val="20"/>
          <w:szCs w:val="20"/>
          <w:color w:val="auto"/>
        </w:rPr>
      </w:pPr>
    </w:p>
    <w:p>
      <w:pPr>
        <w:ind w:left="820" w:right="440" w:hanging="407"/>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have been the first to conceive of and reduce to practice the inventions covered by each of our pending patent applications and issued patents;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225" w:lineRule="exact"/>
        <w:rPr>
          <w:rFonts w:ascii="Arial" w:cs="Arial" w:eastAsia="Arial" w:hAnsi="Arial"/>
          <w:sz w:val="18"/>
          <w:szCs w:val="18"/>
          <w:color w:val="auto"/>
        </w:rPr>
      </w:pPr>
    </w:p>
    <w:p>
      <w:pPr>
        <w:ind w:left="820" w:right="720" w:hanging="407"/>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225" w:lineRule="exact"/>
        <w:rPr>
          <w:rFonts w:ascii="Arial" w:cs="Arial" w:eastAsia="Arial" w:hAnsi="Arial"/>
          <w:sz w:val="18"/>
          <w:szCs w:val="18"/>
          <w:color w:val="auto"/>
        </w:rPr>
      </w:pPr>
    </w:p>
    <w:p>
      <w:pPr>
        <w:ind w:left="820" w:hanging="407"/>
        <w:spacing w:after="0" w:line="26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83" w:lineRule="exact"/>
        <w:rPr>
          <w:rFonts w:ascii="Arial" w:cs="Arial" w:eastAsia="Arial" w:hAnsi="Arial"/>
          <w:sz w:val="18"/>
          <w:szCs w:val="18"/>
          <w:color w:val="auto"/>
        </w:rPr>
      </w:pPr>
    </w:p>
    <w:p>
      <w:pPr>
        <w:ind w:left="820" w:right="80" w:hanging="407"/>
        <w:spacing w:after="0" w:line="26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3" w:lineRule="exact"/>
        <w:rPr>
          <w:rFonts w:ascii="Arial" w:cs="Arial" w:eastAsia="Arial" w:hAnsi="Arial"/>
          <w:sz w:val="18"/>
          <w:szCs w:val="18"/>
          <w:color w:val="auto"/>
        </w:rPr>
      </w:pPr>
    </w:p>
    <w:p>
      <w:pPr>
        <w:ind w:left="820" w:right="40" w:hanging="407"/>
        <w:spacing w:after="0" w:line="26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84" w:lineRule="exact"/>
        <w:rPr>
          <w:sz w:val="20"/>
          <w:szCs w:val="20"/>
          <w:color w:val="auto"/>
        </w:rPr>
      </w:pPr>
    </w:p>
    <w:p>
      <w:pPr>
        <w:ind w:right="20" w:firstLine="832"/>
        <w:spacing w:after="0" w:line="217"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right="20" w:firstLine="832"/>
        <w:spacing w:after="0" w:line="272"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7"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80" w:lineRule="exact"/>
        <w:rPr>
          <w:sz w:val="20"/>
          <w:szCs w:val="20"/>
          <w:color w:val="auto"/>
        </w:rPr>
      </w:pPr>
    </w:p>
    <w:p>
      <w:pPr>
        <w:ind w:firstLine="832"/>
        <w:spacing w:after="0" w:line="279" w:lineRule="auto"/>
        <w:rPr>
          <w:sz w:val="20"/>
          <w:szCs w:val="20"/>
          <w:color w:val="auto"/>
        </w:rPr>
      </w:pPr>
      <w:r>
        <w:rPr>
          <w:rFonts w:ascii="Arial" w:cs="Arial" w:eastAsia="Arial" w:hAnsi="Arial"/>
          <w:sz w:val="17"/>
          <w:szCs w:val="17"/>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71" w:lineRule="exact"/>
        <w:rPr>
          <w:sz w:val="20"/>
          <w:szCs w:val="20"/>
          <w:color w:val="auto"/>
        </w:rPr>
      </w:pPr>
    </w:p>
    <w:p>
      <w:pPr>
        <w:ind w:right="120" w:firstLine="832"/>
        <w:spacing w:after="0" w:line="275"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76" w:lineRule="exact"/>
        <w:rPr>
          <w:sz w:val="20"/>
          <w:szCs w:val="20"/>
          <w:color w:val="auto"/>
        </w:rPr>
      </w:pPr>
    </w:p>
    <w:p>
      <w:pPr>
        <w:ind w:right="80" w:firstLine="832"/>
        <w:spacing w:after="0" w:line="255" w:lineRule="auto"/>
        <w:rPr>
          <w:sz w:val="20"/>
          <w:szCs w:val="20"/>
          <w:color w:val="auto"/>
        </w:rPr>
      </w:pPr>
      <w:r>
        <w:rPr>
          <w:rFonts w:ascii="Arial" w:cs="Arial" w:eastAsia="Arial" w:hAnsi="Arial"/>
          <w:sz w:val="18"/>
          <w:szCs w:val="18"/>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00" w:lineRule="exact"/>
        <w:rPr>
          <w:sz w:val="20"/>
          <w:szCs w:val="20"/>
          <w:color w:val="auto"/>
        </w:rPr>
      </w:pPr>
    </w:p>
    <w:p>
      <w:pPr>
        <w:ind w:right="20" w:firstLine="832"/>
        <w:spacing w:after="0" w:line="217" w:lineRule="exact"/>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Arial" w:cs="Arial" w:eastAsia="Arial" w:hAnsi="Arial"/>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0" w:lineRule="exact"/>
        <w:rPr>
          <w:sz w:val="20"/>
          <w:szCs w:val="20"/>
          <w:color w:val="auto"/>
        </w:rPr>
      </w:pPr>
    </w:p>
    <w:p>
      <w:pPr>
        <w:ind w:firstLine="832"/>
        <w:spacing w:after="0" w:line="287"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820" w:right="100" w:hanging="407"/>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substantial damages for past infringement which we may have to pay if a court decides that our product infringes on a competitor’s patent;</w:t>
      </w:r>
    </w:p>
    <w:p>
      <w:pPr>
        <w:spacing w:after="0" w:line="236" w:lineRule="exact"/>
        <w:rPr>
          <w:rFonts w:ascii="Arial" w:cs="Arial" w:eastAsia="Arial" w:hAnsi="Arial"/>
          <w:sz w:val="17"/>
          <w:szCs w:val="17"/>
          <w:color w:val="auto"/>
        </w:rPr>
      </w:pPr>
    </w:p>
    <w:p>
      <w:pPr>
        <w:ind w:left="820" w:right="200" w:hanging="407"/>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248" w:lineRule="exact"/>
        <w:rPr>
          <w:sz w:val="20"/>
          <w:szCs w:val="20"/>
          <w:color w:val="auto"/>
        </w:rPr>
      </w:pPr>
    </w:p>
    <w:p>
      <w:pPr>
        <w:ind w:right="120" w:firstLine="832"/>
        <w:spacing w:after="0" w:line="277" w:lineRule="auto"/>
        <w:rPr>
          <w:sz w:val="20"/>
          <w:szCs w:val="20"/>
          <w:color w:val="auto"/>
        </w:rPr>
      </w:pPr>
      <w:r>
        <w:rPr>
          <w:rFonts w:ascii="Arial" w:cs="Arial" w:eastAsia="Arial" w:hAnsi="Arial"/>
          <w:sz w:val="18"/>
          <w:szCs w:val="18"/>
          <w:color w:val="auto"/>
        </w:rPr>
        <w:t>If we are found to infringe a third party’s intellectual property rights, we could be required to obtain a license from such third party to continue developing and marketing our products and technology. However, we may not be 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0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firstLine="832"/>
        <w:spacing w:after="0" w:line="289" w:lineRule="auto"/>
        <w:rPr>
          <w:sz w:val="20"/>
          <w:szCs w:val="20"/>
          <w:color w:val="auto"/>
        </w:rPr>
      </w:pPr>
      <w:r>
        <w:rPr>
          <w:rFonts w:ascii="Arial" w:cs="Arial" w:eastAsia="Arial" w:hAnsi="Arial"/>
          <w:sz w:val="16"/>
          <w:szCs w:val="16"/>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right="260" w:firstLine="832"/>
        <w:spacing w:after="0" w:line="279" w:lineRule="auto"/>
        <w:rPr>
          <w:sz w:val="20"/>
          <w:szCs w:val="20"/>
          <w:color w:val="auto"/>
        </w:rPr>
      </w:pPr>
      <w:r>
        <w:rPr>
          <w:rFonts w:ascii="Arial" w:cs="Arial" w:eastAsia="Arial" w:hAnsi="Arial"/>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24" w:lineRule="exact"/>
        <w:rPr>
          <w:sz w:val="20"/>
          <w:szCs w:val="20"/>
          <w:color w:val="auto"/>
        </w:rPr>
      </w:pPr>
    </w:p>
    <w:p>
      <w:pPr>
        <w:ind w:firstLine="832"/>
        <w:spacing w:after="0" w:line="254" w:lineRule="auto"/>
        <w:rPr>
          <w:sz w:val="20"/>
          <w:szCs w:val="20"/>
          <w:color w:val="auto"/>
        </w:rPr>
      </w:pPr>
      <w:r>
        <w:rPr>
          <w:rFonts w:ascii="Arial" w:cs="Arial" w:eastAsia="Arial" w:hAnsi="Arial"/>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67" w:lineRule="auto"/>
        <w:rPr>
          <w:sz w:val="20"/>
          <w:szCs w:val="20"/>
          <w:color w:val="auto"/>
        </w:rPr>
      </w:pPr>
      <w:r>
        <w:rPr>
          <w:rFonts w:ascii="Arial" w:cs="Arial" w:eastAsia="Arial" w:hAnsi="Arial"/>
          <w:sz w:val="17"/>
          <w:szCs w:val="17"/>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88" w:lineRule="exact"/>
        <w:rPr>
          <w:sz w:val="20"/>
          <w:szCs w:val="20"/>
          <w:color w:val="auto"/>
        </w:rPr>
      </w:pPr>
    </w:p>
    <w:p>
      <w:pPr>
        <w:ind w:right="40" w:firstLine="832"/>
        <w:spacing w:after="0" w:line="217" w:lineRule="exact"/>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0"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left="840"/>
        <w:spacing w:after="0" w:line="184"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 appropriate or obtainable. However, trade secrets are difficult to protect. We rely in part on confidentiality agreements with our employees, consultants,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contractors, outside scientific collaborators, sponsored researchers, and other advisors, including the third parties we rely on to manufacture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to protect our trade secrets and other proprietary information. However, any party with whom we have executed such an agreement may breach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agreement and disclose our proprietary information, including our trade secrets. Accordingly, these agreements may not effectively prevent disclosure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confidential information and may not provide an adequate remedy in the event of unauthorized disclosure of confidential information. Costly and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trade secrets and proprietary information. Further, the FDA, as part of its Transparency Initiative, a proposal to increase disclosure and make data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accessible to the public, is currently considering whether to make additional information publicly available on a routine basis, including information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may consider to be trade secrets or other proprietary information, and it is not clear at the present time how the FDA’s disclosure policies may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future, if at all. Failure to obtain or maintain trade secret protection could enable competitors to use our proprietary information to develop products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compete with our products or cause additional, material adverse effects upon our competitive business position and financial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225" w:lineRule="exact"/>
        <w:rPr>
          <w:sz w:val="20"/>
          <w:szCs w:val="20"/>
          <w:color w:val="auto"/>
        </w:rPr>
      </w:pPr>
    </w:p>
    <w:p>
      <w:pPr>
        <w:ind w:firstLine="832"/>
        <w:spacing w:after="0" w:line="290" w:lineRule="auto"/>
        <w:rPr>
          <w:sz w:val="20"/>
          <w:szCs w:val="20"/>
          <w:color w:val="auto"/>
        </w:rPr>
      </w:pPr>
      <w:r>
        <w:rPr>
          <w:rFonts w:ascii="Arial" w:cs="Arial" w:eastAsia="Arial" w:hAnsi="Arial"/>
          <w:sz w:val="16"/>
          <w:szCs w:val="16"/>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5" w:lineRule="exact"/>
        <w:rPr>
          <w:sz w:val="20"/>
          <w:szCs w:val="20"/>
          <w:color w:val="auto"/>
        </w:rPr>
      </w:pPr>
    </w:p>
    <w:p>
      <w:pPr>
        <w:ind w:right="80" w:firstLine="832"/>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84" w:lineRule="exact"/>
        <w:rPr>
          <w:sz w:val="20"/>
          <w:szCs w:val="20"/>
          <w:color w:val="auto"/>
        </w:rPr>
      </w:pPr>
    </w:p>
    <w:p>
      <w:pPr>
        <w:ind w:firstLine="832"/>
        <w:spacing w:after="0" w:line="218" w:lineRule="exact"/>
        <w:rPr>
          <w:sz w:val="20"/>
          <w:szCs w:val="20"/>
          <w:color w:val="auto"/>
        </w:rPr>
      </w:pPr>
      <w:r>
        <w:rPr>
          <w:rFonts w:ascii="Arial" w:cs="Arial" w:eastAsia="Arial" w:hAnsi="Arial"/>
          <w:sz w:val="18"/>
          <w:szCs w:val="18"/>
          <w:color w:val="auto"/>
        </w:rPr>
        <w:t>As a pharmaceutical company, we are subject to many federal and state healthcare laws, including those described in the “Business— Government Regulation and Product Approval” section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 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205" w:lineRule="exact"/>
        <w:rPr>
          <w:sz w:val="20"/>
          <w:szCs w:val="20"/>
          <w:color w:val="auto"/>
        </w:rPr>
      </w:pPr>
    </w:p>
    <w:p>
      <w:pPr>
        <w:ind w:right="20" w:firstLine="832"/>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77"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ind w:right="180"/>
        <w:spacing w:after="0" w:line="224" w:lineRule="exact"/>
        <w:rPr>
          <w:sz w:val="20"/>
          <w:szCs w:val="20"/>
          <w:color w:val="auto"/>
        </w:rPr>
      </w:pPr>
      <w:r>
        <w:rPr>
          <w:rFonts w:ascii="Arial" w:cs="Arial" w:eastAsia="Arial" w:hAnsi="Arial"/>
          <w:sz w:val="16"/>
          <w:szCs w:val="16"/>
          <w:b w:val="1"/>
          <w:bCs w:val="1"/>
          <w:i w:val="1"/>
          <w:iCs w:val="1"/>
          <w:color w:val="auto"/>
        </w:rPr>
        <w:t>If the government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term care facilities choose to use therapies that are less expensive, our revenue and prospects for profitability will be limited.</w:t>
      </w:r>
    </w:p>
    <w:p>
      <w:pPr>
        <w:spacing w:after="0" w:line="202" w:lineRule="exact"/>
        <w:rPr>
          <w:sz w:val="20"/>
          <w:szCs w:val="20"/>
          <w:color w:val="auto"/>
        </w:rPr>
      </w:pPr>
    </w:p>
    <w:p>
      <w:pPr>
        <w:ind w:right="20" w:firstLine="832"/>
        <w:spacing w:after="0" w:line="269" w:lineRule="auto"/>
        <w:rPr>
          <w:sz w:val="20"/>
          <w:szCs w:val="20"/>
          <w:color w:val="auto"/>
        </w:rPr>
      </w:pPr>
      <w:r>
        <w:rPr>
          <w:rFonts w:ascii="Arial" w:cs="Arial" w:eastAsia="Arial" w:hAnsi="Arial"/>
          <w:sz w:val="17"/>
          <w:szCs w:val="17"/>
          <w:color w:val="auto"/>
        </w:rPr>
        <w:t>In both domestic and foreign markets, sales of our future products will depend in part upon the availability of coverage and reimbursement from third party payors. Such third 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32"/>
        <w:spacing w:after="0" w:line="284"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regardless of the results of the 2020 presidential election.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Several third 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82" w:lineRule="exact"/>
        <w:rPr>
          <w:sz w:val="20"/>
          <w:szCs w:val="20"/>
          <w:color w:val="auto"/>
        </w:rPr>
      </w:pPr>
    </w:p>
    <w:p>
      <w:pPr>
        <w:ind w:firstLine="832"/>
        <w:spacing w:after="0" w:line="293" w:lineRule="auto"/>
        <w:rPr>
          <w:sz w:val="20"/>
          <w:szCs w:val="20"/>
          <w:color w:val="auto"/>
        </w:rPr>
      </w:pPr>
      <w:r>
        <w:rPr>
          <w:rFonts w:ascii="Arial" w:cs="Arial" w:eastAsia="Arial" w:hAnsi="Arial"/>
          <w:sz w:val="16"/>
          <w:szCs w:val="16"/>
          <w:color w:val="auto"/>
        </w:rPr>
        <w:t>Third party payors, whether foreign or domestic, or governmental or commercial, are developing increasingly sophisticated methods of controlling healthcare costs. In addition, in the United States, no uniform policy of coverage and reimbursement for drug products exists among third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54" w:lineRule="auto"/>
        <w:rPr>
          <w:sz w:val="20"/>
          <w:szCs w:val="20"/>
          <w:color w:val="auto"/>
        </w:rPr>
      </w:pPr>
      <w:r>
        <w:rPr>
          <w:rFonts w:ascii="Arial" w:cs="Arial" w:eastAsia="Arial" w:hAnsi="Arial"/>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 party payors. Such studies might require us to commit a significant amount of management time and financial and other resources. Our future products might not ultimately be considered cost effective. Adequate third party coverage and reimbursement might not be available to enable us to maintain price levels sufficient to realize an appropriate return on investment in product development.</w:t>
      </w:r>
    </w:p>
    <w:p>
      <w:pPr>
        <w:spacing w:after="0" w:line="192" w:lineRule="exact"/>
        <w:rPr>
          <w:sz w:val="20"/>
          <w:szCs w:val="20"/>
          <w:color w:val="auto"/>
        </w:rPr>
      </w:pPr>
    </w:p>
    <w:p>
      <w:pPr>
        <w:ind w:firstLine="832"/>
        <w:spacing w:after="0" w:line="289" w:lineRule="auto"/>
        <w:rPr>
          <w:sz w:val="20"/>
          <w:szCs w:val="20"/>
          <w:color w:val="auto"/>
        </w:rPr>
      </w:pPr>
      <w:r>
        <w:rPr>
          <w:rFonts w:ascii="Arial" w:cs="Arial" w:eastAsia="Arial" w:hAnsi="Arial"/>
          <w:sz w:val="16"/>
          <w:szCs w:val="16"/>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 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 party payors do not provide adequate coverage or reimbursement, our prospects for revenue and profitability will suffer.</w:t>
      </w:r>
    </w:p>
    <w:p>
      <w:pPr>
        <w:spacing w:after="0" w:line="166" w:lineRule="exact"/>
        <w:rPr>
          <w:sz w:val="20"/>
          <w:szCs w:val="20"/>
          <w:color w:val="auto"/>
        </w:rPr>
      </w:pPr>
    </w:p>
    <w:p>
      <w:pPr>
        <w:jc w:val="both"/>
        <w:ind w:right="440" w:firstLine="832"/>
        <w:spacing w:after="0" w:line="287"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55" w:lineRule="exact"/>
        <w:rPr>
          <w:sz w:val="20"/>
          <w:szCs w:val="20"/>
          <w:color w:val="auto"/>
        </w:rPr>
      </w:pPr>
    </w:p>
    <w:p>
      <w:pPr>
        <w:ind w:right="60" w:firstLine="832"/>
        <w:spacing w:after="0" w:line="254"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5" w:lineRule="exact"/>
        <w:rPr>
          <w:sz w:val="20"/>
          <w:szCs w:val="20"/>
          <w:color w:val="auto"/>
        </w:rPr>
      </w:pPr>
    </w:p>
    <w:p>
      <w:pPr>
        <w:ind w:right="80" w:firstLine="832"/>
        <w:spacing w:after="0" w:line="272" w:lineRule="auto"/>
        <w:rPr>
          <w:sz w:val="20"/>
          <w:szCs w:val="20"/>
          <w:color w:val="auto"/>
        </w:rPr>
      </w:pPr>
      <w:r>
        <w:rPr>
          <w:rFonts w:ascii="Arial" w:cs="Arial" w:eastAsia="Arial" w:hAnsi="Arial"/>
          <w:sz w:val="17"/>
          <w:szCs w:val="17"/>
          <w:color w:val="auto"/>
        </w:rPr>
        <w:t>In addition, increasingly, third 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ind w:right="480" w:firstLine="832"/>
        <w:spacing w:after="0" w:line="27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4" w:lineRule="exact"/>
        <w:rPr>
          <w:sz w:val="20"/>
          <w:szCs w:val="20"/>
          <w:color w:val="auto"/>
        </w:rPr>
      </w:pPr>
    </w:p>
    <w:p>
      <w:pPr>
        <w:ind w:right="20" w:firstLine="832"/>
        <w:spacing w:after="0" w:line="284" w:lineRule="auto"/>
        <w:rPr>
          <w:sz w:val="20"/>
          <w:szCs w:val="20"/>
          <w:color w:val="auto"/>
        </w:rPr>
      </w:pPr>
      <w:r>
        <w:rPr>
          <w:rFonts w:ascii="Arial" w:cs="Arial" w:eastAsia="Arial" w:hAnsi="Arial"/>
          <w:sz w:val="16"/>
          <w:szCs w:val="16"/>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and it is unclear what impact these various efforts have and will have on our business operations and resulting financial condition. For example, on December 15, 2019, a federal district court in Texas struck down the ACA in its entirety, finding that the Tax Cuts and Jobs Act of 2017, or TCJA, rendered the individual mandate unconstitutional. The judge further concluded in Texas v. Azar that since the individual mandate is “essential” to the ACA, it could not be severed from the rest of the ACA and therefore, the entire ACA was unconstitutional. Despite its decision, however, the court did not issue an injunction and therefore, immediate compliance is not required. Following appeal of the Fifth Circuit’s decision, the Supreme Court heard oral arguments in California v. Texas (formerly Texas v. Azar) on November 2, 2020. The Court has yet to issue its opinion, and we cannot say for certain what the decision will be or what impact, if any, it may have on our business. It is unclear how regulations and sub-regulatory policy, which fluctuate continually, may affect interpretation and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 Furthermore, federal and state elections in 2020 have changed which persons and parties occupy the Office of the President of the United States and control both chambers of Congress and many states’ governors and legislatures. These changes will likely result in new agency priorities, rulemakings, and legislation. We anticipate that the new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82" w:lineRule="exact"/>
        <w:rPr>
          <w:sz w:val="20"/>
          <w:szCs w:val="20"/>
          <w:color w:val="auto"/>
        </w:rPr>
      </w:pPr>
    </w:p>
    <w:p>
      <w:pPr>
        <w:ind w:right="100" w:firstLine="832"/>
        <w:spacing w:after="0" w:line="288" w:lineRule="auto"/>
        <w:rPr>
          <w:sz w:val="20"/>
          <w:szCs w:val="20"/>
          <w:color w:val="auto"/>
        </w:rPr>
      </w:pPr>
      <w:r>
        <w:rPr>
          <w:rFonts w:ascii="Arial" w:cs="Arial" w:eastAsia="Arial" w:hAnsi="Arial"/>
          <w:sz w:val="16"/>
          <w:szCs w:val="16"/>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8" w:lineRule="exact"/>
        <w:rPr>
          <w:sz w:val="20"/>
          <w:szCs w:val="20"/>
          <w:color w:val="auto"/>
        </w:rPr>
      </w:pPr>
    </w:p>
    <w:p>
      <w:pPr>
        <w:ind w:right="260" w:firstLine="832"/>
        <w:spacing w:after="0" w:line="257" w:lineRule="auto"/>
        <w:rPr>
          <w:sz w:val="20"/>
          <w:szCs w:val="20"/>
          <w:color w:val="auto"/>
        </w:rPr>
      </w:pPr>
      <w:r>
        <w:rPr>
          <w:rFonts w:ascii="Arial" w:cs="Arial" w:eastAsia="Arial" w:hAnsi="Arial"/>
          <w:sz w:val="18"/>
          <w:szCs w:val="18"/>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 marketing testing and other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832"/>
        <w:spacing w:after="0" w:line="288"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68" w:lineRule="exact"/>
        <w:rPr>
          <w:sz w:val="20"/>
          <w:szCs w:val="20"/>
          <w:color w:val="auto"/>
        </w:rPr>
      </w:pPr>
    </w:p>
    <w:p>
      <w:pPr>
        <w:ind w:right="20" w:firstLine="832"/>
        <w:spacing w:after="0" w:line="286" w:lineRule="auto"/>
        <w:rPr>
          <w:sz w:val="20"/>
          <w:szCs w:val="20"/>
          <w:color w:val="auto"/>
        </w:rPr>
      </w:pPr>
      <w:r>
        <w:rPr>
          <w:rFonts w:ascii="Arial" w:cs="Arial" w:eastAsia="Arial" w:hAnsi="Arial"/>
          <w:sz w:val="17"/>
          <w:szCs w:val="17"/>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180" w:firstLine="832"/>
        <w:spacing w:after="0" w:line="218"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4"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firstLine="832"/>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40"/>
        <w:spacing w:after="0" w:line="224" w:lineRule="exact"/>
        <w:rPr>
          <w:sz w:val="20"/>
          <w:szCs w:val="20"/>
          <w:color w:val="auto"/>
        </w:rPr>
      </w:pPr>
      <w:r>
        <w:rPr>
          <w:rFonts w:ascii="Arial" w:cs="Arial" w:eastAsia="Arial" w:hAnsi="Arial"/>
          <w:sz w:val="17"/>
          <w:szCs w:val="17"/>
          <w:b w:val="1"/>
          <w:bCs w:val="1"/>
          <w:i w:val="1"/>
          <w:iCs w:val="1"/>
          <w:color w:val="auto"/>
        </w:rPr>
        <w:t>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02" w:lineRule="exact"/>
        <w:rPr>
          <w:sz w:val="20"/>
          <w:szCs w:val="20"/>
          <w:color w:val="auto"/>
        </w:rPr>
      </w:pPr>
    </w:p>
    <w:p>
      <w:pPr>
        <w:jc w:val="both"/>
        <w:ind w:right="200" w:firstLine="832"/>
        <w:spacing w:after="0" w:line="221" w:lineRule="exact"/>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we are subject to federal, state, and local laws and regulations governing the use, manufacture, storage, handling, release, and disposal of, and exposure to, these hazardous materials.</w:t>
      </w:r>
    </w:p>
    <w:p>
      <w:pPr>
        <w:spacing w:after="0" w:line="2"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2"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360" w:firstLine="832"/>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25" w:lineRule="exact"/>
        <w:rPr>
          <w:sz w:val="20"/>
          <w:szCs w:val="20"/>
          <w:color w:val="auto"/>
        </w:rPr>
      </w:pPr>
    </w:p>
    <w:p>
      <w:pPr>
        <w:ind w:right="20" w:firstLine="832"/>
        <w:spacing w:after="0" w:line="218" w:lineRule="exact"/>
        <w:rPr>
          <w:sz w:val="20"/>
          <w:szCs w:val="20"/>
          <w:color w:val="auto"/>
        </w:rPr>
      </w:pPr>
      <w:r>
        <w:rPr>
          <w:rFonts w:ascii="Arial" w:cs="Arial" w:eastAsia="Arial" w:hAnsi="Arial"/>
          <w:sz w:val="17"/>
          <w:szCs w:val="17"/>
          <w:color w:val="auto"/>
        </w:rPr>
        <w:t>As of February 22, 2021, we had 60 full</w:t>
      </w:r>
      <w:r>
        <w:rPr>
          <w:rFonts w:ascii="MS PGothic" w:cs="MS PGothic" w:eastAsia="MS PGothic" w:hAnsi="MS PGothic"/>
          <w:sz w:val="17"/>
          <w:szCs w:val="17"/>
          <w:color w:val="auto"/>
        </w:rPr>
        <w:t>‑</w:t>
      </w:r>
      <w:r>
        <w:rPr>
          <w:rFonts w:ascii="Arial" w:cs="Arial" w:eastAsia="Arial" w:hAnsi="Arial"/>
          <w:sz w:val="17"/>
          <w:szCs w:val="17"/>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4" w:lineRule="exact"/>
        <w:rPr>
          <w:sz w:val="20"/>
          <w:szCs w:val="20"/>
          <w:color w:val="auto"/>
        </w:rPr>
      </w:pPr>
    </w:p>
    <w:p>
      <w:pPr>
        <w:ind w:left="820" w:right="280" w:hanging="407"/>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40" w:firstLine="832"/>
        <w:spacing w:after="0" w:line="277"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0" w:lineRule="exact"/>
        <w:rPr>
          <w:sz w:val="20"/>
          <w:szCs w:val="20"/>
          <w:color w:val="auto"/>
        </w:rPr>
      </w:pPr>
    </w:p>
    <w:p>
      <w:pPr>
        <w:ind w:right="60" w:firstLine="832"/>
        <w:spacing w:after="0" w:line="254" w:lineRule="auto"/>
        <w:rPr>
          <w:sz w:val="20"/>
          <w:szCs w:val="20"/>
          <w:color w:val="auto"/>
        </w:rPr>
      </w:pPr>
      <w:r>
        <w:rPr>
          <w:rFonts w:ascii="Arial" w:cs="Arial" w:eastAsia="Arial" w:hAnsi="Arial"/>
          <w:sz w:val="18"/>
          <w:szCs w:val="18"/>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60" w:lineRule="exact"/>
        <w:rPr>
          <w:sz w:val="20"/>
          <w:szCs w:val="20"/>
          <w:color w:val="auto"/>
        </w:rPr>
      </w:pPr>
    </w:p>
    <w:p>
      <w:pPr>
        <w:ind w:right="80" w:firstLine="832"/>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w:t>
      </w:r>
    </w:p>
    <w:p>
      <w:pPr>
        <w:spacing w:after="0" w:line="225" w:lineRule="exact"/>
        <w:rPr>
          <w:sz w:val="20"/>
          <w:szCs w:val="20"/>
          <w:color w:val="auto"/>
        </w:rPr>
      </w:pPr>
    </w:p>
    <w:p>
      <w:pPr>
        <w:ind w:right="160" w:firstLine="832"/>
        <w:spacing w:after="0" w:line="259"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7" w:lineRule="exact"/>
        <w:rPr>
          <w:sz w:val="20"/>
          <w:szCs w:val="20"/>
          <w:color w:val="auto"/>
        </w:rPr>
      </w:pPr>
    </w:p>
    <w:p>
      <w:pPr>
        <w:ind w:firstLine="832"/>
        <w:spacing w:after="0" w:line="290"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securities. Further, we continue to incur significant increased costs as a result of operating as a public company, and our management is required to devote substantial time to compliance initiatives.</w:t>
      </w:r>
    </w:p>
    <w:p>
      <w:pPr>
        <w:spacing w:after="0" w:line="187" w:lineRule="exact"/>
        <w:rPr>
          <w:sz w:val="20"/>
          <w:szCs w:val="20"/>
          <w:color w:val="auto"/>
        </w:rPr>
      </w:pPr>
    </w:p>
    <w:p>
      <w:pPr>
        <w:ind w:right="160" w:firstLine="832"/>
        <w:spacing w:after="0" w:line="255"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2" w:lineRule="exact"/>
        <w:rPr>
          <w:sz w:val="20"/>
          <w:szCs w:val="20"/>
          <w:color w:val="auto"/>
        </w:rPr>
      </w:pPr>
    </w:p>
    <w:p>
      <w:pPr>
        <w:ind w:right="40" w:firstLine="832"/>
        <w:spacing w:after="0" w:line="253" w:lineRule="auto"/>
        <w:rPr>
          <w:sz w:val="20"/>
          <w:szCs w:val="20"/>
          <w:color w:val="auto"/>
        </w:rPr>
      </w:pPr>
      <w:r>
        <w:rPr>
          <w:rFonts w:ascii="Arial" w:cs="Arial" w:eastAsia="Arial" w:hAnsi="Arial"/>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We currently do not have an internal audit group, and we may need to hire additional accounting and financial staff with appropriate public company experience and technical accounting knowledge.</w:t>
      </w:r>
    </w:p>
    <w:p>
      <w:pPr>
        <w:spacing w:after="0" w:line="196" w:lineRule="exact"/>
        <w:rPr>
          <w:sz w:val="20"/>
          <w:szCs w:val="20"/>
          <w:color w:val="auto"/>
        </w:rPr>
      </w:pPr>
    </w:p>
    <w:p>
      <w:pPr>
        <w:ind w:right="60" w:firstLine="832"/>
        <w:spacing w:after="0" w:line="273" w:lineRule="auto"/>
        <w:rPr>
          <w:sz w:val="20"/>
          <w:szCs w:val="20"/>
          <w:color w:val="auto"/>
        </w:rPr>
      </w:pPr>
      <w:r>
        <w:rPr>
          <w:rFonts w:ascii="Arial" w:cs="Arial" w:eastAsia="Arial" w:hAnsi="Arial"/>
          <w:sz w:val="17"/>
          <w:szCs w:val="17"/>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0"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40" w:firstLine="832"/>
        <w:spacing w:after="0" w:line="275" w:lineRule="auto"/>
        <w:rPr>
          <w:sz w:val="20"/>
          <w:szCs w:val="20"/>
          <w:color w:val="auto"/>
        </w:rPr>
      </w:pPr>
      <w:r>
        <w:rPr>
          <w:rFonts w:ascii="Arial" w:cs="Arial" w:eastAsia="Arial" w:hAnsi="Arial"/>
          <w:sz w:val="17"/>
          <w:szCs w:val="17"/>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6" w:lineRule="exact"/>
        <w:rPr>
          <w:sz w:val="20"/>
          <w:szCs w:val="20"/>
          <w:color w:val="auto"/>
        </w:rPr>
      </w:pPr>
    </w:p>
    <w:p>
      <w:pPr>
        <w:ind w:right="140" w:firstLine="832"/>
        <w:spacing w:after="0" w:line="289" w:lineRule="auto"/>
        <w:rPr>
          <w:sz w:val="20"/>
          <w:szCs w:val="20"/>
          <w:color w:val="auto"/>
        </w:rPr>
      </w:pPr>
      <w:r>
        <w:rPr>
          <w:rFonts w:ascii="Arial" w:cs="Arial" w:eastAsia="Arial" w:hAnsi="Arial"/>
          <w:sz w:val="16"/>
          <w:szCs w:val="16"/>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6"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firstLine="832"/>
        <w:spacing w:after="0" w:line="288"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firstLine="832"/>
        <w:spacing w:after="0" w:line="286" w:lineRule="auto"/>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firstLine="832"/>
        <w:spacing w:after="0" w:line="290"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40" w:firstLine="832"/>
        <w:spacing w:after="0" w:line="255" w:lineRule="auto"/>
        <w:rPr>
          <w:sz w:val="20"/>
          <w:szCs w:val="20"/>
          <w:color w:val="auto"/>
        </w:rPr>
      </w:pPr>
      <w:r>
        <w:rPr>
          <w:rFonts w:ascii="Arial" w:cs="Arial" w:eastAsia="Arial" w:hAnsi="Arial"/>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225"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 2020 and already during the first quarter of 2021,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8" w:lineRule="exact"/>
        <w:rPr>
          <w:sz w:val="20"/>
          <w:szCs w:val="20"/>
          <w:color w:val="auto"/>
        </w:rPr>
      </w:pPr>
    </w:p>
    <w:p>
      <w:pPr>
        <w:ind w:left="820" w:right="82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news relating to our industry as a whole and news relating to trends in our markets;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 including securities analysts;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60" w:firstLine="832"/>
        <w:spacing w:after="0" w:line="311"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49"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firstLine="832"/>
        <w:spacing w:after="0" w:line="275" w:lineRule="auto"/>
        <w:rPr>
          <w:sz w:val="20"/>
          <w:szCs w:val="20"/>
          <w:color w:val="auto"/>
        </w:rPr>
      </w:pPr>
      <w:r>
        <w:rPr>
          <w:rFonts w:ascii="Arial" w:cs="Arial" w:eastAsia="Arial" w:hAnsi="Arial"/>
          <w:sz w:val="17"/>
          <w:szCs w:val="17"/>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25"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70" w:lineRule="exact"/>
        <w:rPr>
          <w:sz w:val="20"/>
          <w:szCs w:val="20"/>
          <w:color w:val="auto"/>
        </w:rPr>
      </w:pPr>
    </w:p>
    <w:p>
      <w:pPr>
        <w:ind w:left="820" w:right="260" w:hanging="407"/>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70" w:lineRule="exact"/>
        <w:rPr>
          <w:rFonts w:ascii="Arial" w:cs="Arial" w:eastAsia="Arial" w:hAnsi="Arial"/>
          <w:sz w:val="18"/>
          <w:szCs w:val="18"/>
          <w:color w:val="auto"/>
        </w:rPr>
      </w:pPr>
    </w:p>
    <w:p>
      <w:pPr>
        <w:ind w:left="820" w:hanging="407"/>
        <w:spacing w:after="0" w:line="263"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3" w:lineRule="exact"/>
        <w:rPr>
          <w:rFonts w:ascii="Arial" w:cs="Arial" w:eastAsia="Arial" w:hAnsi="Arial"/>
          <w:sz w:val="18"/>
          <w:szCs w:val="18"/>
          <w:color w:val="auto"/>
        </w:rPr>
      </w:pPr>
    </w:p>
    <w:p>
      <w:pPr>
        <w:ind w:left="820" w:right="380" w:hanging="407"/>
        <w:spacing w:after="0" w:line="223" w:lineRule="exact"/>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202" w:lineRule="exact"/>
        <w:rPr>
          <w:rFonts w:ascii="Arial" w:cs="Arial" w:eastAsia="Arial" w:hAnsi="Arial"/>
          <w:sz w:val="18"/>
          <w:szCs w:val="18"/>
          <w:color w:val="auto"/>
        </w:rPr>
      </w:pPr>
    </w:p>
    <w:p>
      <w:pPr>
        <w:ind w:left="820" w:right="560" w:hanging="407"/>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20" w:hanging="407"/>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225" w:lineRule="exact"/>
        <w:rPr>
          <w:rFonts w:ascii="Arial" w:cs="Arial" w:eastAsia="Arial" w:hAnsi="Arial"/>
          <w:sz w:val="18"/>
          <w:szCs w:val="18"/>
          <w:color w:val="auto"/>
        </w:rPr>
      </w:pPr>
    </w:p>
    <w:p>
      <w:pPr>
        <w:ind w:left="820" w:right="260" w:hanging="407"/>
        <w:spacing w:after="0" w:line="27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70"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0" w:lineRule="exact"/>
        <w:rPr>
          <w:sz w:val="20"/>
          <w:szCs w:val="20"/>
          <w:color w:val="auto"/>
        </w:rPr>
      </w:pPr>
    </w:p>
    <w:p>
      <w:pPr>
        <w:ind w:right="20" w:firstLine="832"/>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right="100" w:firstLine="832"/>
        <w:spacing w:after="0" w:line="272"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80" w:firstLine="832"/>
        <w:spacing w:after="0" w:line="296" w:lineRule="auto"/>
        <w:rPr>
          <w:sz w:val="20"/>
          <w:szCs w:val="20"/>
          <w:color w:val="auto"/>
        </w:rPr>
      </w:pPr>
      <w:r>
        <w:rPr>
          <w:rFonts w:ascii="Arial" w:cs="Arial" w:eastAsia="Arial" w:hAnsi="Arial"/>
          <w:sz w:val="16"/>
          <w:szCs w:val="16"/>
          <w:color w:val="auto"/>
        </w:rPr>
        <w:t>As of February 22, 2021,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60" w:firstLine="832"/>
        <w:spacing w:after="0" w:line="254" w:lineRule="auto"/>
        <w:rPr>
          <w:sz w:val="20"/>
          <w:szCs w:val="20"/>
          <w:color w:val="auto"/>
        </w:rPr>
      </w:pPr>
      <w:r>
        <w:rPr>
          <w:rFonts w:ascii="Arial" w:cs="Arial" w:eastAsia="Arial" w:hAnsi="Arial"/>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48" w:lineRule="exact"/>
        <w:rPr>
          <w:sz w:val="20"/>
          <w:szCs w:val="20"/>
          <w:color w:val="auto"/>
        </w:rPr>
      </w:pPr>
    </w:p>
    <w:p>
      <w:pPr>
        <w:ind w:right="140" w:firstLine="832"/>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through the sale of additional equity securities. We are unable to predict the effect that sales may have on the prevailing market price of our common stock.</w:t>
      </w:r>
    </w:p>
    <w:p>
      <w:pPr>
        <w:spacing w:after="0" w:line="170" w:lineRule="exact"/>
        <w:rPr>
          <w:sz w:val="20"/>
          <w:szCs w:val="20"/>
          <w:color w:val="auto"/>
        </w:rPr>
      </w:pPr>
    </w:p>
    <w:p>
      <w:pPr>
        <w:ind w:right="280" w:firstLine="832"/>
        <w:spacing w:after="0" w:line="275" w:lineRule="auto"/>
        <w:rPr>
          <w:sz w:val="20"/>
          <w:szCs w:val="20"/>
          <w:color w:val="auto"/>
        </w:rPr>
      </w:pPr>
      <w:r>
        <w:rPr>
          <w:rFonts w:ascii="Arial" w:cs="Arial" w:eastAsia="Arial" w:hAnsi="Arial"/>
          <w:sz w:val="17"/>
          <w:szCs w:val="17"/>
          <w:color w:val="auto"/>
        </w:rPr>
        <w:t>As of February 22, 2021, we have outstanding 37,405,268 shares of common stock and 3,934,714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29,432,744 are freely tradable. The remainder of the outstanding shares of common stock are held by our affiliates and may be considered “control securities” for purposes of Rule 144 under the Securities Act.</w:t>
      </w:r>
    </w:p>
    <w:p>
      <w:pPr>
        <w:spacing w:after="0" w:line="176" w:lineRule="exact"/>
        <w:rPr>
          <w:sz w:val="20"/>
          <w:szCs w:val="20"/>
          <w:color w:val="auto"/>
        </w:rPr>
      </w:pPr>
    </w:p>
    <w:p>
      <w:pPr>
        <w:ind w:right="220" w:firstLine="832"/>
        <w:spacing w:after="0" w:line="220"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70" w:lineRule="exact"/>
        <w:rPr>
          <w:sz w:val="20"/>
          <w:szCs w:val="20"/>
          <w:color w:val="auto"/>
        </w:rPr>
      </w:pPr>
    </w:p>
    <w:p>
      <w:pPr>
        <w:ind w:firstLine="832"/>
        <w:spacing w:after="0" w:line="288"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right="20" w:firstLine="832"/>
        <w:spacing w:after="0" w:line="268"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2020, we had U.S. federal net operating loss, NOL, carryforwards of approximately $249 million. Net operating loss carry forwards amounting to $60 million generated before the 2018 tax year will start expiring beginning 2032, if we have not used them prior to that time, and the net operating losses of approximately $189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0" w:lineRule="exact"/>
        <w:rPr>
          <w:sz w:val="20"/>
          <w:szCs w:val="20"/>
          <w:color w:val="auto"/>
        </w:rPr>
      </w:pPr>
    </w:p>
    <w:p>
      <w:pPr>
        <w:jc w:val="both"/>
        <w:ind w:right="40" w:firstLine="832"/>
        <w:spacing w:after="0" w:line="263" w:lineRule="auto"/>
        <w:rPr>
          <w:sz w:val="20"/>
          <w:szCs w:val="20"/>
          <w:color w:val="auto"/>
        </w:rPr>
      </w:pPr>
      <w:r>
        <w:rPr>
          <w:rFonts w:ascii="Arial" w:cs="Arial" w:eastAsia="Arial" w:hAnsi="Arial"/>
          <w:sz w:val="18"/>
          <w:szCs w:val="18"/>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60"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88" w:lineRule="exact"/>
        <w:rPr>
          <w:sz w:val="20"/>
          <w:szCs w:val="20"/>
          <w:color w:val="auto"/>
        </w:rPr>
      </w:pPr>
    </w:p>
    <w:p>
      <w:pPr>
        <w:ind w:right="8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0" w:lineRule="exact"/>
        <w:rPr>
          <w:sz w:val="20"/>
          <w:szCs w:val="20"/>
          <w:color w:val="auto"/>
        </w:rPr>
      </w:pPr>
    </w:p>
    <w:p>
      <w:pPr>
        <w:ind w:right="140" w:firstLine="832"/>
        <w:spacing w:after="0" w:line="254"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5" w:lineRule="exact"/>
        <w:rPr>
          <w:sz w:val="20"/>
          <w:szCs w:val="20"/>
          <w:color w:val="auto"/>
        </w:rPr>
      </w:pPr>
    </w:p>
    <w:p>
      <w:pPr>
        <w:ind w:right="60" w:firstLine="832"/>
        <w:spacing w:after="0" w:line="219" w:lineRule="exact"/>
        <w:rPr>
          <w:sz w:val="20"/>
          <w:szCs w:val="20"/>
          <w:color w:val="auto"/>
        </w:rPr>
      </w:pPr>
      <w:r>
        <w:rPr>
          <w:rFonts w:ascii="Arial" w:cs="Arial" w:eastAsia="Arial" w:hAnsi="Arial"/>
          <w:sz w:val="17"/>
          <w:szCs w:val="17"/>
          <w:color w:val="auto"/>
        </w:rPr>
        <w:t>In addition, we are subject to the anti</w:t>
      </w:r>
      <w:r>
        <w:rPr>
          <w:rFonts w:ascii="MS PGothic" w:cs="MS PGothic" w:eastAsia="MS PGothic" w:hAnsi="MS PGothic"/>
          <w:sz w:val="17"/>
          <w:szCs w:val="17"/>
          <w:color w:val="auto"/>
        </w:rPr>
        <w:t>‑</w:t>
      </w:r>
      <w:r>
        <w:rPr>
          <w:rFonts w:ascii="Arial" w:cs="Arial" w:eastAsia="Arial" w:hAnsi="Arial"/>
          <w:sz w:val="17"/>
          <w:szCs w:val="17"/>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jc w:val="both"/>
        <w:ind w:firstLine="832"/>
        <w:spacing w:after="0" w:line="29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68"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6" w:lineRule="exact"/>
        <w:rPr>
          <w:sz w:val="20"/>
          <w:szCs w:val="20"/>
          <w:color w:val="auto"/>
        </w:rPr>
      </w:pPr>
    </w:p>
    <w:p>
      <w:pPr>
        <w:ind w:right="120" w:firstLine="832"/>
        <w:spacing w:after="0" w:line="279" w:lineRule="auto"/>
        <w:rPr>
          <w:sz w:val="20"/>
          <w:szCs w:val="20"/>
          <w:color w:val="auto"/>
        </w:rPr>
      </w:pPr>
      <w:r>
        <w:rPr>
          <w:rFonts w:ascii="Arial" w:cs="Arial" w:eastAsia="Arial" w:hAnsi="Arial"/>
          <w:sz w:val="17"/>
          <w:szCs w:val="17"/>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20" w:firstLine="832"/>
        <w:spacing w:after="0" w:line="263" w:lineRule="auto"/>
        <w:rPr>
          <w:sz w:val="20"/>
          <w:szCs w:val="20"/>
          <w:color w:val="auto"/>
        </w:rPr>
      </w:pPr>
      <w:r>
        <w:rPr>
          <w:rFonts w:ascii="Arial" w:cs="Arial" w:eastAsia="Arial" w:hAnsi="Arial"/>
          <w:sz w:val="18"/>
          <w:szCs w:val="18"/>
          <w:color w:val="auto"/>
        </w:rPr>
        <w:t>Our corporate and executive office is located at 22 Cortlandt Street in New York, New York. We currently have a lease agreement for office space through July 31, 2022. The landlord may terminate the month-to-month lease agreement at any time for the reasons set forth in the agreement. We believe that our current facilities are suitable and adequate to meet our current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60" w:firstLine="83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220" w:firstLine="832"/>
        <w:spacing w:after="0" w:line="263" w:lineRule="auto"/>
        <w:rPr>
          <w:sz w:val="20"/>
          <w:szCs w:val="20"/>
          <w:color w:val="auto"/>
        </w:rPr>
      </w:pPr>
      <w:r>
        <w:rPr>
          <w:rFonts w:ascii="Arial" w:cs="Arial" w:eastAsia="Arial" w:hAnsi="Arial"/>
          <w:sz w:val="18"/>
          <w:szCs w:val="18"/>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225" w:lineRule="exact"/>
        <w:rPr>
          <w:sz w:val="20"/>
          <w:szCs w:val="20"/>
          <w:color w:val="auto"/>
        </w:rPr>
      </w:pPr>
    </w:p>
    <w:p>
      <w:pPr>
        <w:ind w:firstLine="832"/>
        <w:spacing w:after="0" w:line="279" w:lineRule="auto"/>
        <w:rPr>
          <w:sz w:val="20"/>
          <w:szCs w:val="20"/>
          <w:color w:val="auto"/>
        </w:rPr>
      </w:pPr>
      <w:r>
        <w:rPr>
          <w:rFonts w:ascii="Arial" w:cs="Arial" w:eastAsia="Arial" w:hAnsi="Arial"/>
          <w:sz w:val="17"/>
          <w:szCs w:val="17"/>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12/31/2015 to 12/31/2020.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134620</wp:posOffset>
            </wp:positionV>
            <wp:extent cx="5546090" cy="4612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4609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right="240" w:firstLine="832"/>
        <w:spacing w:after="0" w:line="259" w:lineRule="auto"/>
        <w:rPr>
          <w:sz w:val="20"/>
          <w:szCs w:val="20"/>
          <w:color w:val="auto"/>
        </w:rPr>
      </w:pPr>
      <w:r>
        <w:rPr>
          <w:rFonts w:ascii="Arial" w:cs="Arial" w:eastAsia="Arial" w:hAnsi="Arial"/>
          <w:sz w:val="18"/>
          <w:szCs w:val="18"/>
          <w:color w:val="auto"/>
        </w:rPr>
        <w:t>The number of record holders of our common stock as of February 22, 2021 was seven.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20" w:firstLine="832"/>
        <w:spacing w:after="0" w:line="275" w:lineRule="auto"/>
        <w:rPr>
          <w:sz w:val="20"/>
          <w:szCs w:val="20"/>
          <w:color w:val="auto"/>
        </w:rPr>
      </w:pPr>
      <w:r>
        <w:rPr>
          <w:rFonts w:ascii="Arial" w:cs="Arial" w:eastAsia="Arial" w:hAnsi="Arial"/>
          <w:sz w:val="17"/>
          <w:szCs w:val="17"/>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Capital, Inc., or Hercules, precludes us from paying cash dividends without the consent of Hercules, except under certain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The following Statements of Operations Data for the years ended December 31, 2020, 2019, 2018, 2017, and 2016 and Balance Sheet Data as of December 31, 2020, 2019, 2018, 2017, and 2016, as set forth below are derived from our audited consolidated financial statements included elsewhere in this Annual Report on Form 10-K. This financial data should be read in conjunction with “Item 7. Management’s Discussion and Analysis of Financial Condition and Results of Operations” and “Item 8. Financial Statements and Supplementary Data.” Our historical results are not necessarily indicative of the results that may be expected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70,244,579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53,647,067</w:t>
            </w:r>
          </w:p>
        </w:tc>
        <w:tc>
          <w:tcPr>
            <w:tcW w:w="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32"/>
              <w:spacing w:after="0"/>
              <w:rPr>
                <w:sz w:val="20"/>
                <w:szCs w:val="20"/>
                <w:color w:val="auto"/>
              </w:rPr>
            </w:pPr>
            <w:r>
              <w:rPr>
                <w:rFonts w:ascii="Arial" w:cs="Arial" w:eastAsia="Arial" w:hAnsi="Arial"/>
                <w:sz w:val="18"/>
                <w:szCs w:val="18"/>
                <w:color w:val="auto"/>
              </w:rPr>
              <w:t>$ 23,495,055</w:t>
            </w:r>
          </w:p>
        </w:tc>
        <w:tc>
          <w:tcPr>
            <w:tcW w:w="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19,957,616</w:t>
            </w:r>
          </w:p>
        </w:tc>
        <w:tc>
          <w:tcPr>
            <w:tcW w:w="2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21,199,860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28,896,749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13,598,030</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9,351,522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7,206,691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6,343,648</w:t>
            </w: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99,141,328</w:t>
            </w: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67,245,097</w:t>
            </w: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5"/>
              </w:rPr>
              <w:t>32,846,577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5"/>
              </w:rPr>
              <w:t>27,164,307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5"/>
              </w:rPr>
              <w:t>27,543,508</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(99,141,328)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(67,245,097)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0"/>
              </w:rPr>
              <w:t>(32,846,577)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0"/>
              </w:rPr>
              <w:t>(27,164,307)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(27,543,508)</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Interest and amortization of debt discount expense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(2,565,838)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(1,239,537)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(1,127,305)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(1,340,199)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(132,424)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Tax credit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53,578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217,418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207,114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474,279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2,791,000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(1,247,012)</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9"/>
              </w:rPr>
              <w:t>$ (102,900,600)</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(68,345,186)</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 (30,965,464)</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(28,943,392)</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(27,201,653)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w w:val="91"/>
              </w:rPr>
              <w:t>Weighted average common shares outstanding—basic and diluted</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37,206,928</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34,020,257</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26,883,656</w:t>
            </w: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22,764,606</w:t>
            </w: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19,150,690</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share—basic and diluted</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gridSpan w:val="4"/>
          </w:tcPr>
          <w:p>
            <w:pPr>
              <w:jc w:val="right"/>
              <w:ind w:right="52"/>
              <w:spacing w:after="0"/>
              <w:rPr>
                <w:sz w:val="20"/>
                <w:szCs w:val="20"/>
                <w:color w:val="auto"/>
              </w:rPr>
            </w:pPr>
            <w:r>
              <w:rPr>
                <w:rFonts w:ascii="Arial" w:cs="Arial" w:eastAsia="Arial" w:hAnsi="Arial"/>
                <w:sz w:val="18"/>
                <w:szCs w:val="18"/>
                <w:color w:val="auto"/>
              </w:rPr>
              <w:t>$ 183,876,453</w:t>
            </w:r>
          </w:p>
        </w:tc>
        <w:tc>
          <w:tcPr>
            <w:tcW w:w="100" w:type="dxa"/>
            <w:vAlign w:val="bottom"/>
          </w:tcPr>
          <w:p>
            <w:pPr>
              <w:spacing w:after="0"/>
              <w:rPr>
                <w:sz w:val="19"/>
                <w:szCs w:val="19"/>
                <w:color w:val="auto"/>
              </w:rPr>
            </w:pPr>
          </w:p>
        </w:tc>
        <w:tc>
          <w:tcPr>
            <w:tcW w:w="1200" w:type="dxa"/>
            <w:vAlign w:val="bottom"/>
            <w:gridSpan w:val="5"/>
          </w:tcPr>
          <w:p>
            <w:pPr>
              <w:jc w:val="right"/>
              <w:ind w:right="34"/>
              <w:spacing w:after="0"/>
              <w:rPr>
                <w:sz w:val="20"/>
                <w:szCs w:val="20"/>
                <w:color w:val="auto"/>
              </w:rPr>
            </w:pPr>
            <w:r>
              <w:rPr>
                <w:rFonts w:ascii="Arial" w:cs="Arial" w:eastAsia="Arial" w:hAnsi="Arial"/>
                <w:sz w:val="18"/>
                <w:szCs w:val="18"/>
                <w:color w:val="auto"/>
                <w:w w:val="92"/>
              </w:rPr>
              <w:t>$ 219,966,167</w:t>
            </w:r>
          </w:p>
        </w:tc>
        <w:tc>
          <w:tcPr>
            <w:tcW w:w="80" w:type="dxa"/>
            <w:vAlign w:val="bottom"/>
          </w:tcPr>
          <w:p>
            <w:pPr>
              <w:spacing w:after="0"/>
              <w:rPr>
                <w:sz w:val="19"/>
                <w:szCs w:val="19"/>
                <w:color w:val="auto"/>
              </w:rPr>
            </w:pP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13,968,742</w:t>
            </w:r>
          </w:p>
        </w:tc>
        <w:tc>
          <w:tcPr>
            <w:tcW w:w="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34,021,123</w:t>
            </w:r>
          </w:p>
        </w:tc>
        <w:tc>
          <w:tcPr>
            <w:tcW w:w="2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36,618,497</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4"/>
            <w:shd w:val="clear" w:color="auto" w:fill="CFF0FC"/>
          </w:tcPr>
          <w:p>
            <w:pPr>
              <w:jc w:val="right"/>
              <w:ind w:right="52"/>
              <w:spacing w:after="0"/>
              <w:rPr>
                <w:sz w:val="20"/>
                <w:szCs w:val="20"/>
                <w:color w:val="auto"/>
              </w:rPr>
            </w:pPr>
            <w:r>
              <w:rPr>
                <w:rFonts w:ascii="Arial" w:cs="Arial" w:eastAsia="Arial" w:hAnsi="Arial"/>
                <w:sz w:val="18"/>
                <w:szCs w:val="18"/>
                <w:color w:val="auto"/>
              </w:rPr>
              <w:t>186,134,323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4"/>
              <w:spacing w:after="0"/>
              <w:rPr>
                <w:sz w:val="20"/>
                <w:szCs w:val="20"/>
                <w:color w:val="auto"/>
              </w:rPr>
            </w:pPr>
            <w:r>
              <w:rPr>
                <w:rFonts w:ascii="Arial" w:cs="Arial" w:eastAsia="Arial" w:hAnsi="Arial"/>
                <w:sz w:val="18"/>
                <w:szCs w:val="18"/>
                <w:color w:val="auto"/>
                <w:w w:val="95"/>
              </w:rPr>
              <w:t>220,549,760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15,379,279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35,555,564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38,212,608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23,437,858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88"/>
              </w:rPr>
              <w:t>24,494,745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10,821,938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12,175,336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7,170,712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Loan payable, long-term, net of discounts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86"/>
              </w:rPr>
              <w:t>48,321,848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88"/>
              </w:rPr>
              <w:t>17,332,626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3,619,420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6,663,005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9,470,445</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(278,796,093)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2"/>
              </w:rPr>
              <w:t>(175,895,493)</w:t>
            </w:r>
          </w:p>
        </w:tc>
        <w:tc>
          <w:tcPr>
            <w:tcW w:w="8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(107,550,307)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(76,584,843)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(47,641,451)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340" w:type="dxa"/>
            <w:vAlign w:val="bottom"/>
            <w:gridSpan w:val="4"/>
            <w:shd w:val="clear" w:color="auto" w:fill="CFF0FC"/>
          </w:tcPr>
          <w:p>
            <w:pPr>
              <w:jc w:val="right"/>
              <w:ind w:right="52"/>
              <w:spacing w:after="0"/>
              <w:rPr>
                <w:sz w:val="20"/>
                <w:szCs w:val="20"/>
                <w:color w:val="auto"/>
              </w:rPr>
            </w:pPr>
            <w:r>
              <w:rPr>
                <w:rFonts w:ascii="Arial" w:cs="Arial" w:eastAsia="Arial" w:hAnsi="Arial"/>
                <w:sz w:val="18"/>
                <w:szCs w:val="18"/>
                <w:color w:val="auto"/>
              </w:rPr>
              <w:t>$ 113,792,909</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FF0FC"/>
          </w:tcPr>
          <w:p>
            <w:pPr>
              <w:jc w:val="right"/>
              <w:ind w:right="34"/>
              <w:spacing w:after="0"/>
              <w:rPr>
                <w:sz w:val="20"/>
                <w:szCs w:val="20"/>
                <w:color w:val="auto"/>
              </w:rPr>
            </w:pPr>
            <w:r>
              <w:rPr>
                <w:rFonts w:ascii="Arial" w:cs="Arial" w:eastAsia="Arial" w:hAnsi="Arial"/>
                <w:sz w:val="18"/>
                <w:szCs w:val="18"/>
                <w:color w:val="auto"/>
                <w:w w:val="95"/>
              </w:rPr>
              <w:t>178,722,389</w:t>
            </w:r>
          </w:p>
        </w:tc>
        <w:tc>
          <w:tcPr>
            <w:tcW w:w="8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937,921</w:t>
            </w:r>
          </w:p>
        </w:tc>
        <w:tc>
          <w:tcPr>
            <w:tcW w:w="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16,717,223</w:t>
            </w:r>
          </w:p>
        </w:tc>
        <w:tc>
          <w:tcPr>
            <w:tcW w:w="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21,571,451</w:t>
            </w:r>
          </w:p>
        </w:tc>
        <w:tc>
          <w:tcPr>
            <w:tcW w:w="0" w:type="dxa"/>
            <w:vAlign w:val="bottom"/>
          </w:tcPr>
          <w:p>
            <w:pPr>
              <w:spacing w:after="0"/>
              <w:rPr>
                <w:sz w:val="1"/>
                <w:szCs w:val="1"/>
                <w:color w:val="auto"/>
              </w:rPr>
            </w:pPr>
          </w:p>
        </w:tc>
      </w:tr>
      <w:tr>
        <w:trPr>
          <w:trHeight w:val="446"/>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832"/>
        <w:spacing w:after="0" w:line="293" w:lineRule="auto"/>
        <w:rPr>
          <w:sz w:val="20"/>
          <w:szCs w:val="20"/>
          <w:color w:val="auto"/>
        </w:rPr>
      </w:pPr>
      <w:r>
        <w:rPr>
          <w:rFonts w:ascii="Arial" w:cs="Arial" w:eastAsia="Arial" w:hAnsi="Arial"/>
          <w:sz w:val="16"/>
          <w:szCs w:val="16"/>
          <w:color w:val="auto"/>
        </w:rPr>
        <w:t>The following discussion and analysis contains forward-looking statements about our plans and expectations of what may happen in the future. You should read the following discussion and analysis in conjunction with “Item 6. Selected Financial Data,”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832"/>
        <w:spacing w:after="0" w:line="267" w:lineRule="auto"/>
        <w:rPr>
          <w:sz w:val="20"/>
          <w:szCs w:val="20"/>
          <w:color w:val="auto"/>
        </w:rPr>
      </w:pPr>
      <w:r>
        <w:rPr>
          <w:rFonts w:ascii="Arial" w:cs="Arial" w:eastAsia="Arial" w:hAnsi="Arial"/>
          <w:sz w:val="17"/>
          <w:szCs w:val="17"/>
          <w:color w:val="auto"/>
        </w:rPr>
        <w:t>We are a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for AXS-05 for the treatment of MDD. AXS-05 is also under development for the treatment of Alzheimer's disease agitation, or AD agitation. We have completed one Phase 2/3 controlled trial, which we refer to as the ADVANCE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MOMENTUM and INTERCEPT, and one Phase 3 long-term open-label trial, which we refer to as the MOVEMENT study. We plan to submit an NDA for AXS-07 for the acute treatment of migraine. AXS-09 is being developed for the treatment of CNS disorders. AXS-12 is being developed for the treatment of narcolepsy. We have completed a Phase 2 trial with AXS-12, which we refer to as the CONCERT study. A Phase 3 trial with AXS-12 in narcolepsy is planned.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91" w:lineRule="exact"/>
        <w:rPr>
          <w:sz w:val="20"/>
          <w:szCs w:val="20"/>
          <w:color w:val="auto"/>
        </w:rPr>
      </w:pPr>
    </w:p>
    <w:p>
      <w:pPr>
        <w:ind w:firstLine="832"/>
        <w:spacing w:after="0" w:line="218" w:lineRule="exact"/>
        <w:rPr>
          <w:sz w:val="20"/>
          <w:szCs w:val="20"/>
          <w:color w:val="auto"/>
        </w:rPr>
      </w:pPr>
      <w:r>
        <w:rPr>
          <w:rFonts w:ascii="Arial" w:cs="Arial" w:eastAsia="Arial" w:hAnsi="Arial"/>
          <w:sz w:val="18"/>
          <w:szCs w:val="18"/>
          <w:color w:val="auto"/>
        </w:rPr>
        <w:t>AXS-05 is a novel, oral, investigational NMDA receptor antagonist with multimodal activity under development for the treatment of CNS disorders. AXS-05 utilizes a proprietary formulation and dose of dextromethorphan and bupropion and utilizes our metabolic inhibition technology, to modulate the delivery of the components.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for the following indications: MDD, AD agitation, and as an aid to smoking cessation. The dextromethorphan component of AXS-05 is an uncompetitive antagonist of the N-methyl-D-aspartate, or NMDA, receptor, also known as a glutamate receptor modulator, which is a novel mechanism of action, meaning it works differently than currently approved therapies for MDD. The dextromethrophan component of AXS-05 is also a sigma-1 receptor agonist. The bupropion component of AXS-05 serves to increase the bioavailability of dextromethorphan, and is also a norepinephrine and dopamine reuptake inhibitor. AXS-05 has been granted FDA Breakthrough Therapy designation for the treatment of MDD, and Breakthrough Therapy and Fast Track designations for the treatment of AD agitation. We are developing AXS</w:t>
      </w:r>
      <w:r>
        <w:rPr>
          <w:rFonts w:ascii="MS PGothic" w:cs="MS PGothic" w:eastAsia="MS PGothic" w:hAnsi="MS PGothic"/>
          <w:sz w:val="18"/>
          <w:szCs w:val="18"/>
          <w:color w:val="auto"/>
        </w:rPr>
        <w:t>‑</w:t>
      </w:r>
      <w:r>
        <w:rPr>
          <w:rFonts w:ascii="Arial" w:cs="Arial" w:eastAsia="Arial" w:hAnsi="Arial"/>
          <w:sz w:val="18"/>
          <w:szCs w:val="18"/>
          <w:color w:val="auto"/>
        </w:rPr>
        <w:t>05 via the 505(b)(2) regulatory pathway.</w:t>
      </w:r>
    </w:p>
    <w:p>
      <w:pPr>
        <w:spacing w:after="0" w:line="204" w:lineRule="exact"/>
        <w:rPr>
          <w:sz w:val="20"/>
          <w:szCs w:val="20"/>
          <w:color w:val="auto"/>
        </w:rPr>
      </w:pPr>
    </w:p>
    <w:p>
      <w:pPr>
        <w:ind w:right="80" w:firstLine="832"/>
        <w:spacing w:after="0" w:line="254" w:lineRule="auto"/>
        <w:rPr>
          <w:sz w:val="20"/>
          <w:szCs w:val="20"/>
          <w:color w:val="auto"/>
        </w:rPr>
      </w:pPr>
      <w:r>
        <w:rPr>
          <w:rFonts w:ascii="Arial" w:cs="Arial" w:eastAsia="Arial" w:hAnsi="Arial"/>
          <w:sz w:val="18"/>
          <w:szCs w:val="18"/>
          <w:color w:val="auto"/>
        </w:rPr>
        <w:t>AXS-07 is a novel, oral, rapidly absorbed, multi-mechanistic, investigational medicine under development for the acute treatment of migraine. AXS-07 consists of MoSEIC™ (Molecular Solubility Enhanced Inclusion Complex) meloxicam and rizatriptan. Meloxicam is a long-acting nonsteroidal anti-inflammatory drug, or NSAID, with COX-2, an enzyme involved in inflammation and pain pathways, preferential inhibition and potent pain-relieving effects.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15"/>
          <w:szCs w:val="15"/>
          <w:color w:val="auto"/>
        </w:rPr>
        <w:t>1B/1D</w:t>
      </w:r>
      <w:r>
        <w:rPr>
          <w:rFonts w:ascii="Arial" w:cs="Arial" w:eastAsia="Arial" w:hAnsi="Arial"/>
          <w:sz w:val="18"/>
          <w:szCs w:val="18"/>
          <w:color w:val="auto"/>
        </w:rPr>
        <w:t xml:space="preserve"> agonist that inhibits calcitonin gene-related peptide (CGRP)-mediated vasodilation, has been shown to have central trigeminal antinociceptive activity, and may reduce the release 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inflammatory mediators from trigeminal nerves. Rizatriptan is approved as a single agent for the acute treatment of migraine. We are developing AXS-07 via the 505(b)(2) regulatory development pathway.</w:t>
      </w:r>
    </w:p>
    <w:p>
      <w:pPr>
        <w:spacing w:after="0" w:line="170"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color w:val="auto"/>
        </w:rPr>
        <w:t xml:space="preserve">AXS-09 is an oral, investigational NMDA receptor antagonist with multimodal activity consisting of esbupropion and dextromethorphan, which is being developed for the treatment of CNS disorders. AXS-09 contains esbupropion, the chirally pure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of bupropion, as compared to the company’s first generation product candidate AXS-05 which contains racemic bupropion, equal amounts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 and </w:t>
      </w:r>
      <w:r>
        <w:rPr>
          <w:rFonts w:ascii="Arial" w:cs="Arial" w:eastAsia="Arial" w:hAnsi="Arial"/>
          <w:sz w:val="18"/>
          <w:szCs w:val="18"/>
          <w:i w:val="1"/>
          <w:iCs w:val="1"/>
          <w:color w:val="auto"/>
        </w:rPr>
        <w:t>R</w:t>
      </w:r>
      <w:r>
        <w:rPr>
          <w:rFonts w:ascii="Arial" w:cs="Arial" w:eastAsia="Arial" w:hAnsi="Arial"/>
          <w:sz w:val="18"/>
          <w:szCs w:val="18"/>
          <w:color w:val="auto"/>
        </w:rPr>
        <w:t xml:space="preserve">-enantiomers. We have demonstrated in a Phase 1 trial that dextromethorphan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as compared to the </w:t>
      </w:r>
      <w:r>
        <w:rPr>
          <w:rFonts w:ascii="Arial" w:cs="Arial" w:eastAsia="Arial" w:hAnsi="Arial"/>
          <w:sz w:val="18"/>
          <w:szCs w:val="18"/>
          <w:i w:val="1"/>
          <w:iCs w:val="1"/>
          <w:color w:val="auto"/>
        </w:rPr>
        <w:t>R</w:t>
      </w:r>
      <w:r>
        <w:rPr>
          <w:rFonts w:ascii="Arial" w:cs="Arial" w:eastAsia="Arial" w:hAnsi="Arial"/>
          <w:sz w:val="18"/>
          <w:szCs w:val="18"/>
          <w:color w:val="auto"/>
        </w:rPr>
        <w:t>-enantiomer.</w:t>
      </w:r>
    </w:p>
    <w:p>
      <w:pPr>
        <w:spacing w:after="0" w:line="192" w:lineRule="exact"/>
        <w:rPr>
          <w:sz w:val="20"/>
          <w:szCs w:val="20"/>
          <w:color w:val="auto"/>
        </w:rPr>
      </w:pPr>
    </w:p>
    <w:p>
      <w:pPr>
        <w:ind w:right="80" w:firstLine="832"/>
        <w:spacing w:after="0" w:line="263" w:lineRule="auto"/>
        <w:rPr>
          <w:sz w:val="20"/>
          <w:szCs w:val="20"/>
          <w:color w:val="auto"/>
        </w:rPr>
      </w:pPr>
      <w:r>
        <w:rPr>
          <w:rFonts w:ascii="Arial" w:cs="Arial" w:eastAsia="Arial" w:hAnsi="Arial"/>
          <w:sz w:val="18"/>
          <w:szCs w:val="18"/>
          <w:color w:val="auto"/>
        </w:rPr>
        <w:t>AXS-12, reboxetine, is a novel, oral, investigational medicine in development for the treatment of narcolepsy. AXS-12 is a highly selective and potent norepinephrine reuptake inhibitor. AXS-12 has been granted Breakthrough Therapy designation and Orphan Drug Designation by the FDA for the treatment of cataplexy in narcolepsy.</w:t>
      </w:r>
    </w:p>
    <w:p>
      <w:pPr>
        <w:spacing w:after="0" w:line="184" w:lineRule="exact"/>
        <w:rPr>
          <w:sz w:val="20"/>
          <w:szCs w:val="20"/>
          <w:color w:val="auto"/>
        </w:rPr>
      </w:pPr>
    </w:p>
    <w:p>
      <w:pPr>
        <w:ind w:right="60" w:firstLine="832"/>
        <w:spacing w:after="0" w:line="342" w:lineRule="auto"/>
        <w:rPr>
          <w:sz w:val="20"/>
          <w:szCs w:val="20"/>
          <w:color w:val="auto"/>
        </w:rPr>
      </w:pPr>
      <w:r>
        <w:rPr>
          <w:rFonts w:ascii="Arial" w:cs="Arial" w:eastAsia="Arial" w:hAnsi="Arial"/>
          <w:sz w:val="16"/>
          <w:szCs w:val="16"/>
          <w:color w:val="auto"/>
        </w:rPr>
        <w:t xml:space="preserve">AXS-14, esreboxetine, is a novel, oral, investigational medicine in development for the treatment of fibromyalgia. AXS-14 is a highly selective and potent norepinephrine reuptake inhibitor. Esreboxetine, the </w:t>
      </w:r>
      <w:r>
        <w:rPr>
          <w:rFonts w:ascii="Arial" w:cs="Arial" w:eastAsia="Arial" w:hAnsi="Arial"/>
          <w:sz w:val="16"/>
          <w:szCs w:val="16"/>
          <w:i w:val="1"/>
          <w:iCs w:val="1"/>
          <w:color w:val="auto"/>
        </w:rPr>
        <w:t>SS</w:t>
      </w:r>
      <w:r>
        <w:rPr>
          <w:rFonts w:ascii="Arial" w:cs="Arial" w:eastAsia="Arial" w:hAnsi="Arial"/>
          <w:sz w:val="16"/>
          <w:szCs w:val="16"/>
          <w:color w:val="auto"/>
        </w:rPr>
        <w:t>-enantiomer of reboxetine, is more potent and selective than racemic reboxetine.</w:t>
      </w:r>
    </w:p>
    <w:p>
      <w:pPr>
        <w:spacing w:after="0" w:line="124" w:lineRule="exact"/>
        <w:rPr>
          <w:sz w:val="20"/>
          <w:szCs w:val="20"/>
          <w:color w:val="auto"/>
        </w:rPr>
      </w:pPr>
    </w:p>
    <w:p>
      <w:pPr>
        <w:ind w:right="80" w:firstLine="832"/>
        <w:spacing w:after="0" w:line="257"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88" w:lineRule="exact"/>
        <w:rPr>
          <w:sz w:val="20"/>
          <w:szCs w:val="20"/>
          <w:color w:val="auto"/>
        </w:rPr>
      </w:pPr>
    </w:p>
    <w:p>
      <w:pPr>
        <w:ind w:right="200" w:firstLine="832"/>
        <w:spacing w:after="0" w:line="277"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obtain marketing approval for and successfully commercialize one of our product candidates.</w:t>
      </w:r>
    </w:p>
    <w:p>
      <w:pPr>
        <w:spacing w:after="0" w:line="170"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We have incurred significant operating and net losses since inception. We incurred net losses of $102.9 million, $68.3 million, and $31.0 million for the years ended December 31, 2020, 2019, and 2018, respectively. Our accumulated deficit as of December 31, 2020 was $278.8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832"/>
        <w:spacing w:after="0" w:line="301" w:lineRule="auto"/>
        <w:rPr>
          <w:sz w:val="20"/>
          <w:szCs w:val="20"/>
          <w:color w:val="auto"/>
        </w:rPr>
      </w:pPr>
      <w:r>
        <w:rPr>
          <w:rFonts w:ascii="Arial" w:cs="Arial" w:eastAsia="Arial" w:hAnsi="Arial"/>
          <w:sz w:val="16"/>
          <w:szCs w:val="16"/>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20" w:firstLine="832"/>
        <w:spacing w:after="0" w:line="221" w:lineRule="exact"/>
        <w:rPr>
          <w:sz w:val="20"/>
          <w:szCs w:val="20"/>
          <w:color w:val="auto"/>
        </w:rPr>
      </w:pPr>
      <w:r>
        <w:rPr>
          <w:rFonts w:ascii="Arial" w:cs="Arial" w:eastAsia="Arial" w:hAnsi="Arial"/>
          <w:sz w:val="16"/>
          <w:szCs w:val="16"/>
          <w:color w:val="auto"/>
        </w:rPr>
        <w:t>Research and development expenses primarily include preclinical studies, clinical trials, manufacturing costs, employee salaries and benefits,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4" w:lineRule="exact"/>
        <w:rPr>
          <w:sz w:val="20"/>
          <w:szCs w:val="20"/>
          <w:color w:val="auto"/>
        </w:rPr>
      </w:pPr>
    </w:p>
    <w:p>
      <w:pPr>
        <w:ind w:firstLine="832"/>
        <w:spacing w:after="0" w:line="270"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1" w:lineRule="exact"/>
        <w:rPr>
          <w:sz w:val="20"/>
          <w:szCs w:val="20"/>
          <w:color w:val="auto"/>
        </w:rPr>
      </w:pPr>
    </w:p>
    <w:p>
      <w:pPr>
        <w:ind w:right="100" w:firstLine="832"/>
        <w:spacing w:after="0" w:line="272" w:lineRule="auto"/>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summarizes our research and development expenses by program for the years ended December 31, 2020, 2019, and 2018:</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5"/>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AXS-05</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33,657,608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24,786,783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13,460,809</w:t>
            </w: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AXS-07</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15,292,054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20,925,324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3,222,208</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AXS-12</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7,248,324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1,823,060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193,459</w:t>
            </w: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AXS-14</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5,257,710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AXS-02</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145,495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503,244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740,341</w:t>
            </w: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Other research and development</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4,689,449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4,024,491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5,486,291</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3,953,939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1,584,165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391,946</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70,244,579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53,647,067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23,495,054</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832"/>
        <w:spacing w:after="0" w:line="277" w:lineRule="auto"/>
        <w:rPr>
          <w:sz w:val="20"/>
          <w:szCs w:val="20"/>
          <w:color w:val="auto"/>
        </w:rPr>
      </w:pPr>
      <w:r>
        <w:rPr>
          <w:rFonts w:ascii="Arial" w:cs="Arial" w:eastAsia="Arial" w:hAnsi="Arial"/>
          <w:sz w:val="18"/>
          <w:szCs w:val="18"/>
          <w:color w:val="auto"/>
        </w:rPr>
        <w:t>Other research and development expenses primarily consist of employee salaries and benefits, facilities and overhead costs, and expenses for terminated programs. For the year ended December 31, 2018, all employee salaries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benefits were allocated to Other research and development expenses whereas for the year ended December 31, 2019 and 2020, a majority of employee salaries and benefits were allocated between the respective programs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General and administrative expenses primarily consist of salaries and related costs for personnel in executive, finance, commercial and operational functions, including stock based compensation and travel expenses. Other general and administrative expenses include pre-commercialization costs, facility related costs, insurance expense, professional fees for legal and accounting services and patent filing and prosecution costs. General and administrative expenses are expensed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225" w:lineRule="exact"/>
        <w:rPr>
          <w:sz w:val="20"/>
          <w:szCs w:val="20"/>
          <w:color w:val="auto"/>
        </w:rPr>
      </w:pPr>
    </w:p>
    <w:p>
      <w:pPr>
        <w:ind w:right="40" w:firstLine="832"/>
        <w:spacing w:after="0" w:line="311" w:lineRule="auto"/>
        <w:rPr>
          <w:sz w:val="20"/>
          <w:szCs w:val="20"/>
          <w:color w:val="auto"/>
        </w:rPr>
      </w:pPr>
      <w:r>
        <w:rPr>
          <w:rFonts w:ascii="Arial" w:cs="Arial" w:eastAsia="Arial" w:hAnsi="Arial"/>
          <w:sz w:val="16"/>
          <w:szCs w:val="16"/>
          <w:color w:val="auto"/>
        </w:rPr>
        <w:t>Interest and amortization of debt discount expense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and amortization of debt discount expense also includes interest income earned on cash.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w:t>
      </w:r>
    </w:p>
    <w:p>
      <w:pPr>
        <w:spacing w:after="0" w:line="225" w:lineRule="exact"/>
        <w:rPr>
          <w:sz w:val="20"/>
          <w:szCs w:val="20"/>
          <w:color w:val="auto"/>
        </w:rPr>
      </w:pPr>
    </w:p>
    <w:p>
      <w:pPr>
        <w:ind w:right="300" w:firstLine="832"/>
        <w:spacing w:after="0" w:line="277" w:lineRule="auto"/>
        <w:rPr>
          <w:sz w:val="20"/>
          <w:szCs w:val="20"/>
          <w:color w:val="auto"/>
        </w:rPr>
      </w:pPr>
      <w:r>
        <w:rPr>
          <w:rFonts w:ascii="Arial" w:cs="Arial" w:eastAsia="Arial" w:hAnsi="Arial"/>
          <w:sz w:val="18"/>
          <w:szCs w:val="18"/>
          <w:color w:val="auto"/>
        </w:rPr>
        <w:t>The tax credits represent the receipt by Axsome Therapeutics Australia PTY, LTD, our Australian subsidiary, of the Australia Tax Incentive Credit, related to allowable research and development expenses incurred for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160" w:firstLine="832"/>
        <w:spacing w:after="0" w:line="259" w:lineRule="auto"/>
        <w:rPr>
          <w:sz w:val="20"/>
          <w:szCs w:val="20"/>
          <w:color w:val="auto"/>
        </w:rPr>
      </w:pPr>
      <w:r>
        <w:rPr>
          <w:rFonts w:ascii="Arial" w:cs="Arial" w:eastAsia="Arial" w:hAnsi="Arial"/>
          <w:sz w:val="18"/>
          <w:szCs w:val="18"/>
          <w:color w:val="auto"/>
        </w:rPr>
        <w:t>We recorded a loss on extinguishment of debt in connection with the repayment and retirement of our previous SVB Loan. The new Hercules Term Loan was considered substantially different from the SVB Loan, as such, the repayment qualified for extinguishment accounting. The loss on extinguishment of debt recorded represents the prepayment premium, the unamortized discount of the SVB Loan and the write-off of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5" w:lineRule="exact"/>
        <w:rPr>
          <w:sz w:val="20"/>
          <w:szCs w:val="20"/>
          <w:color w:val="auto"/>
        </w:rPr>
      </w:pPr>
    </w:p>
    <w:p>
      <w:pPr>
        <w:ind w:firstLine="832"/>
        <w:spacing w:after="0" w:line="221" w:lineRule="exact"/>
        <w:rPr>
          <w:sz w:val="20"/>
          <w:szCs w:val="20"/>
          <w:color w:val="auto"/>
        </w:rPr>
      </w:pPr>
      <w:r>
        <w:rPr>
          <w:rFonts w:ascii="Arial" w:cs="Arial" w:eastAsia="Arial" w:hAnsi="Arial"/>
          <w:sz w:val="17"/>
          <w:szCs w:val="17"/>
          <w:color w:val="auto"/>
        </w:rPr>
        <w:t>The warrants to purchase our common stock issued as part of the registered direct stock offering in December 2017 were classified as a warrant liability and recorded at fair value. The warrant liability was subject to re</w:t>
      </w:r>
      <w:r>
        <w:rPr>
          <w:rFonts w:ascii="MS PGothic" w:cs="MS PGothic" w:eastAsia="MS PGothic" w:hAnsi="MS PGothic"/>
          <w:sz w:val="17"/>
          <w:szCs w:val="17"/>
          <w:color w:val="auto"/>
        </w:rPr>
        <w:t>‑</w:t>
      </w:r>
      <w:r>
        <w:rPr>
          <w:rFonts w:ascii="Arial" w:cs="Arial" w:eastAsia="Arial" w:hAnsi="Arial"/>
          <w:sz w:val="17"/>
          <w:szCs w:val="17"/>
          <w:color w:val="auto"/>
        </w:rPr>
        <w:t>measurement at each balance sheet date and any change in fair value was recognized in our statements of operations as a change in fair value of the warrant liability. The warrants expired on December 11,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40" w:firstLine="832"/>
        <w:spacing w:after="0" w:line="273"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78" w:lineRule="exact"/>
        <w:rPr>
          <w:sz w:val="20"/>
          <w:szCs w:val="20"/>
          <w:color w:val="auto"/>
        </w:rPr>
      </w:pPr>
    </w:p>
    <w:p>
      <w:pPr>
        <w:ind w:right="100" w:firstLine="832"/>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20" w:firstLine="832"/>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primarily of personnel costs for our research and development employees, costs incurred to third-party service providers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832"/>
        <w:spacing w:after="0" w:line="293"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4" w:lineRule="exact"/>
        <w:rPr>
          <w:sz w:val="20"/>
          <w:szCs w:val="20"/>
          <w:color w:val="auto"/>
        </w:rPr>
      </w:pPr>
    </w:p>
    <w:p>
      <w:pPr>
        <w:ind w:right="160" w:firstLine="832"/>
        <w:spacing w:after="0" w:line="259" w:lineRule="auto"/>
        <w:rPr>
          <w:sz w:val="20"/>
          <w:szCs w:val="20"/>
          <w:color w:val="auto"/>
        </w:rPr>
      </w:pPr>
      <w:r>
        <w:rPr>
          <w:rFonts w:ascii="Arial" w:cs="Arial" w:eastAsia="Arial" w:hAnsi="Arial"/>
          <w:sz w:val="18"/>
          <w:szCs w:val="18"/>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2020, we do not believe any material uncertain tax positions are present.</w:t>
      </w:r>
    </w:p>
    <w:p>
      <w:pPr>
        <w:spacing w:after="0" w:line="187" w:lineRule="exact"/>
        <w:rPr>
          <w:sz w:val="20"/>
          <w:szCs w:val="20"/>
          <w:color w:val="auto"/>
        </w:rPr>
      </w:pPr>
    </w:p>
    <w:p>
      <w:pPr>
        <w:ind w:firstLine="832"/>
        <w:spacing w:after="0" w:line="263" w:lineRule="auto"/>
        <w:rPr>
          <w:sz w:val="20"/>
          <w:szCs w:val="20"/>
          <w:color w:val="auto"/>
        </w:rPr>
      </w:pPr>
      <w:r>
        <w:rPr>
          <w:rFonts w:ascii="Arial" w:cs="Arial" w:eastAsia="Arial" w:hAnsi="Arial"/>
          <w:sz w:val="18"/>
          <w:szCs w:val="18"/>
          <w:color w:val="auto"/>
        </w:rPr>
        <w:t>As of December 31, 2020, we had U.S. federal net operating loss, or NOL carryforwards of approximately $249 million. NOLs amounting to $60 million generated before the 2018 tax year will start expiring beginning 2032, and the NOLs of approximately $189 million generated in 2018 and later have an indefinite carryforward period.</w:t>
      </w:r>
    </w:p>
    <w:p>
      <w:pPr>
        <w:spacing w:after="0" w:line="184"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20" w:firstLine="832"/>
        <w:spacing w:after="0" w:line="218" w:lineRule="exact"/>
        <w:rPr>
          <w:sz w:val="20"/>
          <w:szCs w:val="20"/>
          <w:color w:val="auto"/>
        </w:rPr>
      </w:pPr>
      <w:r>
        <w:rPr>
          <w:rFonts w:ascii="Arial" w:cs="Arial" w:eastAsia="Arial" w:hAnsi="Arial"/>
          <w:sz w:val="17"/>
          <w:szCs w:val="17"/>
          <w:color w:val="auto"/>
        </w:rPr>
        <w:t>For issued stock options, we estimate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our common stock, the risk-free interest rate, the estimated life of the option, the closing market price of our common stock, expected dividend yield and the exercise price. The estimates utilized in the Black-Scholes calculation involve inherent uncertainties and the application of management judgment. In addition, we recognize expense for equity award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204"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Our policy upon exercise of stock options is that shares will be issued as new shares drawing on our 2015 Omnibus Incentive Compensation Plan share pool that was adopted by the stockholders in November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Year ended</w:t>
            </w:r>
          </w:p>
        </w:tc>
        <w:tc>
          <w:tcPr>
            <w:tcW w:w="12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70,244,579</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53,647,067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28,896,749</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13,598,030</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99,141,328</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67,245,097</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(99,141,328)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(67,245,097)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(2,565,838)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(1,239,537)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credit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53,578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139,448</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(1,247,012)</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(102,900,600)</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(68,345,186)</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832"/>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for the year ended December 31, 2020 were $70.2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$53.6 million for the year ended December 31, 2019, an increase of $16.6 million. R&amp;D expense during the 2020 fiscal year included a one-time charge of $10.2 million for the Pfizer license agreement, of which $7.2 million was non-cash related. The remaining increase was due primarily to spend for clinical trials active in the beginning of the year which included the ADVANCE-1, INTERCEPT, and STRIDE-1 trials, close-out costs for our previously completed GEMINI, MOMENTUM, and CONCERT trials, costs associated with the COMET and MOVEMENT open-label safety and efficacy studies, and costs of studies to support our anticipated new drug application submissions for AXS-05 and AXS-07.</w:t>
      </w:r>
    </w:p>
    <w:p>
      <w:pPr>
        <w:spacing w:after="0" w:line="178" w:lineRule="exact"/>
        <w:rPr>
          <w:sz w:val="20"/>
          <w:szCs w:val="20"/>
          <w:color w:val="auto"/>
        </w:rPr>
      </w:pPr>
    </w:p>
    <w:p>
      <w:pPr>
        <w:ind w:right="360" w:firstLine="832"/>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 31, 2020 were $28.9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$13.6 million for the year ended December 31, 2019, an increase of $15.3 million. The increase was primarily due to increased stock compensation expense, along with the build-out of the commercial function.</w:t>
      </w:r>
    </w:p>
    <w:p>
      <w:pPr>
        <w:spacing w:after="0" w:line="184" w:lineRule="exact"/>
        <w:rPr>
          <w:sz w:val="20"/>
          <w:szCs w:val="20"/>
          <w:color w:val="auto"/>
        </w:rPr>
      </w:pPr>
    </w:p>
    <w:p>
      <w:pPr>
        <w:ind w:right="60" w:firstLine="832"/>
        <w:spacing w:after="0" w:line="279" w:lineRule="auto"/>
        <w:rPr>
          <w:sz w:val="20"/>
          <w:szCs w:val="20"/>
          <w:color w:val="auto"/>
        </w:rPr>
      </w:pPr>
      <w:r>
        <w:rPr>
          <w:rFonts w:ascii="Arial" w:cs="Arial" w:eastAsia="Arial" w:hAnsi="Arial"/>
          <w:sz w:val="17"/>
          <w:szCs w:val="17"/>
          <w:i w:val="1"/>
          <w:iCs w:val="1"/>
          <w:color w:val="auto"/>
        </w:rPr>
        <w:t xml:space="preserve">Interest and Amortization of Debt Discount Expense. </w:t>
      </w:r>
      <w:r>
        <w:rPr>
          <w:rFonts w:ascii="Arial" w:cs="Arial" w:eastAsia="Arial" w:hAnsi="Arial"/>
          <w:sz w:val="17"/>
          <w:szCs w:val="17"/>
          <w:color w:val="auto"/>
        </w:rPr>
        <w:t>Interest and amortization of debt discount expense for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was $2.6 million, compared to $1.2 million for the year ended December 31, 2019, an increase of $1.4 million. The increase was driven by a higher outstanding principal amount on our debt in 2020 as compared to 2019. The higher principal balance reflects our September 2020 loan and security agreement with Hercules from which we have drawn down $50 million as of December 31, 2020.</w:t>
      </w:r>
    </w:p>
    <w:p>
      <w:pPr>
        <w:spacing w:after="0" w:line="171" w:lineRule="exact"/>
        <w:rPr>
          <w:sz w:val="20"/>
          <w:szCs w:val="20"/>
          <w:color w:val="auto"/>
        </w:rPr>
      </w:pPr>
    </w:p>
    <w:p>
      <w:pPr>
        <w:ind w:right="60" w:firstLine="832"/>
        <w:spacing w:after="0" w:line="263" w:lineRule="auto"/>
        <w:rPr>
          <w:sz w:val="20"/>
          <w:szCs w:val="20"/>
          <w:color w:val="auto"/>
        </w:rPr>
      </w:pPr>
      <w:r>
        <w:rPr>
          <w:rFonts w:ascii="Arial" w:cs="Arial" w:eastAsia="Arial" w:hAnsi="Arial"/>
          <w:sz w:val="18"/>
          <w:szCs w:val="18"/>
          <w:i w:val="1"/>
          <w:iCs w:val="1"/>
          <w:color w:val="auto"/>
        </w:rPr>
        <w:t xml:space="preserve">Tax Credit. </w:t>
      </w:r>
      <w:r>
        <w:rPr>
          <w:rFonts w:ascii="Arial" w:cs="Arial" w:eastAsia="Arial" w:hAnsi="Arial"/>
          <w:sz w:val="18"/>
          <w:szCs w:val="18"/>
          <w:color w:val="auto"/>
        </w:rPr>
        <w:t>Tax credit income for the year ended December 31, 2020 and December 31, 2019 was $0.1 million. This income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by Axsome Therapeutics Australia PTY LTD, our Australian subsidiary, of the Australia Tax Incentive Credit related to the 2019 and 2018 research and development expenses incurred for our product candidates.</w:t>
      </w:r>
    </w:p>
    <w:p>
      <w:pPr>
        <w:spacing w:after="0" w:line="184" w:lineRule="exact"/>
        <w:rPr>
          <w:sz w:val="20"/>
          <w:szCs w:val="20"/>
          <w:color w:val="auto"/>
        </w:rPr>
      </w:pPr>
    </w:p>
    <w:p>
      <w:pPr>
        <w:ind w:right="20" w:firstLine="832"/>
        <w:spacing w:after="0" w:line="25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In September 2020, we entered into the Loan Agreement with Hercules. A portion of the first tranche,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funded upon execution of the 2020 Term Loan, was used to repay our 2019 Term Loan with SVB.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53,647,067</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23,495,055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13,598,030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9,351,522</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67,245,097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32,846,577</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(67,245,097)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(32,846,577)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(1,239,537)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(1,127,305)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credit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139,448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217,418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2,791,000</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(68,345,186)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(30,965,464)</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32"/>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year ended December 31, 2019 were $53.6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$23.5 million for the year ended December 31, 2018, an increase of $30.1 million. This increase was primarily due to trials that were initiated and completed in 2019, which included the GEMINI, MOMENTUM, and CONCERT trials, along with the initiation of the INTERCEPT and AXS-05 and AXS-07 open-label safety studies in 2019. Additionally, the 2019 expense included ongoing spend for our previously initiated clinical trials, which included STRIDE-1 and ADVANCE-1.</w:t>
      </w:r>
    </w:p>
    <w:p>
      <w:pPr>
        <w:spacing w:after="0" w:line="188" w:lineRule="exact"/>
        <w:rPr>
          <w:sz w:val="20"/>
          <w:szCs w:val="20"/>
          <w:color w:val="auto"/>
        </w:rPr>
      </w:pPr>
    </w:p>
    <w:p>
      <w:pPr>
        <w:ind w:right="160" w:firstLine="832"/>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 2019 were $13.6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$9.4 million for the year ended December 31, 2018, an increase of $4.2 million. The change was primarily due to personnel costs, mainly associated with an increase in stock compensation expense, along with the build-out of the commercial function.</w:t>
      </w:r>
    </w:p>
    <w:p>
      <w:pPr>
        <w:spacing w:after="0" w:line="165" w:lineRule="exact"/>
        <w:rPr>
          <w:sz w:val="20"/>
          <w:szCs w:val="20"/>
          <w:color w:val="auto"/>
        </w:rPr>
      </w:pPr>
    </w:p>
    <w:p>
      <w:pPr>
        <w:ind w:right="40" w:firstLine="832"/>
        <w:spacing w:after="0" w:line="259"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$1.2 million, as compared to $1.1 million for the year ended December 31, 2018, an increase of $0.1 million. The increase was primarily related to higher interest expense and amortization of the debt discount associated with our March 2019 loan and security agreement with SVB for $20 million, offset by interest income from our cash sweep account.</w:t>
      </w:r>
    </w:p>
    <w:p>
      <w:pPr>
        <w:spacing w:after="0" w:line="187" w:lineRule="exact"/>
        <w:rPr>
          <w:sz w:val="20"/>
          <w:szCs w:val="20"/>
          <w:color w:val="auto"/>
        </w:rPr>
      </w:pPr>
    </w:p>
    <w:p>
      <w:pPr>
        <w:ind w:right="160" w:firstLine="832"/>
        <w:spacing w:after="0" w:line="311" w:lineRule="auto"/>
        <w:rPr>
          <w:sz w:val="20"/>
          <w:szCs w:val="20"/>
          <w:color w:val="auto"/>
        </w:rPr>
      </w:pPr>
      <w:r>
        <w:rPr>
          <w:rFonts w:ascii="Arial" w:cs="Arial" w:eastAsia="Arial" w:hAnsi="Arial"/>
          <w:sz w:val="16"/>
          <w:szCs w:val="16"/>
          <w:i w:val="1"/>
          <w:iCs w:val="1"/>
          <w:color w:val="auto"/>
        </w:rPr>
        <w:t xml:space="preserve">Tax Credit. </w:t>
      </w:r>
      <w:r>
        <w:rPr>
          <w:rFonts w:ascii="Arial" w:cs="Arial" w:eastAsia="Arial" w:hAnsi="Arial"/>
          <w:sz w:val="16"/>
          <w:szCs w:val="16"/>
          <w:color w:val="auto"/>
        </w:rPr>
        <w:t>Tax credit income for the year ended December 31, 2019 was $0.1 million, as compared to $0.2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a decrease of $0.1 million. This decrease reflects the receipt by Axsome Therapeutics Australia PTY LTD, our Australian subsidiary, of the Australia Tax Incentive Credit related to the 2018 and 2017 research and development expenses incurred for our product candidates.</w:t>
      </w:r>
    </w:p>
    <w:p>
      <w:pPr>
        <w:spacing w:after="0" w:line="149" w:lineRule="exact"/>
        <w:rPr>
          <w:sz w:val="20"/>
          <w:szCs w:val="20"/>
          <w:color w:val="auto"/>
        </w:rPr>
      </w:pPr>
    </w:p>
    <w:p>
      <w:pPr>
        <w:ind w:right="80" w:firstLine="832"/>
        <w:spacing w:after="0" w:line="259"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For the year ended December 31, 2018, we recorded income of $2.8 million from the change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warrant liability in connection with the warrants issued as part of our December 2017 registered direct offering. The change in fair value in 2018 is due to the decrease of our closing stock price over the course of the year, from when the warrants were initially issued in December 2017. These warrants expired in December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832"/>
        <w:spacing w:after="0" w:line="277" w:lineRule="auto"/>
        <w:rPr>
          <w:sz w:val="20"/>
          <w:szCs w:val="20"/>
          <w:color w:val="auto"/>
        </w:rPr>
      </w:pPr>
      <w:r>
        <w:rPr>
          <w:rFonts w:ascii="Arial" w:cs="Arial" w:eastAsia="Arial" w:hAnsi="Arial"/>
          <w:sz w:val="18"/>
          <w:szCs w:val="18"/>
          <w:color w:val="auto"/>
        </w:rPr>
        <w:t>Since our inception through December 31, 2020, we have financed our operations primarily through proceeds from equity offerings and debt borrowings. See discussion below.</w:t>
      </w:r>
    </w:p>
    <w:p>
      <w:pPr>
        <w:spacing w:after="0" w:line="170"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54" w:lineRule="auto"/>
        <w:rPr>
          <w:sz w:val="20"/>
          <w:szCs w:val="20"/>
          <w:color w:val="auto"/>
        </w:rPr>
      </w:pPr>
      <w:r>
        <w:rPr>
          <w:rFonts w:ascii="Arial" w:cs="Arial" w:eastAsia="Arial" w:hAnsi="Arial"/>
          <w:sz w:val="18"/>
          <w:szCs w:val="18"/>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192" w:lineRule="exact"/>
        <w:rPr>
          <w:sz w:val="20"/>
          <w:szCs w:val="20"/>
          <w:color w:val="auto"/>
        </w:rPr>
      </w:pPr>
    </w:p>
    <w:p>
      <w:pPr>
        <w:ind w:right="60" w:firstLine="832"/>
        <w:spacing w:after="0" w:line="291"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completed a registered direct offering priced at the market in December 2017 and September 2018, entered into a sales agreement in May 2019 pursuant to which we sold shares of our common stock from time to time in an at-the-market offering each utilizing the 2016 Shelf Registration Statement. The 2016 Shelf Registration expired in December 2019.</w:t>
      </w:r>
    </w:p>
    <w:p>
      <w:pPr>
        <w:spacing w:after="0" w:line="166" w:lineRule="exact"/>
        <w:rPr>
          <w:sz w:val="20"/>
          <w:szCs w:val="20"/>
          <w:color w:val="auto"/>
        </w:rPr>
      </w:pPr>
    </w:p>
    <w:p>
      <w:pPr>
        <w:ind w:right="100" w:firstLine="832"/>
        <w:spacing w:after="0" w:line="263" w:lineRule="auto"/>
        <w:rPr>
          <w:sz w:val="20"/>
          <w:szCs w:val="20"/>
          <w:color w:val="auto"/>
        </w:rPr>
      </w:pPr>
      <w:r>
        <w:rPr>
          <w:rFonts w:ascii="Arial" w:cs="Arial" w:eastAsia="Arial" w:hAnsi="Arial"/>
          <w:sz w:val="18"/>
          <w:szCs w:val="18"/>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84" w:lineRule="exact"/>
        <w:rPr>
          <w:sz w:val="20"/>
          <w:szCs w:val="20"/>
          <w:color w:val="auto"/>
        </w:rPr>
      </w:pPr>
    </w:p>
    <w:p>
      <w:pPr>
        <w:ind w:right="20" w:firstLine="832"/>
        <w:spacing w:after="0" w:line="257" w:lineRule="auto"/>
        <w:rPr>
          <w:sz w:val="20"/>
          <w:szCs w:val="20"/>
          <w:color w:val="auto"/>
        </w:rPr>
      </w:pPr>
      <w:r>
        <w:rPr>
          <w:rFonts w:ascii="Arial" w:cs="Arial" w:eastAsia="Arial" w:hAnsi="Arial"/>
          <w:sz w:val="18"/>
          <w:szCs w:val="18"/>
          <w:color w:val="auto"/>
        </w:rPr>
        <w:t>In October 2017, we entered into an “at-the-market” sales agreement, or the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88" w:lineRule="exact"/>
        <w:rPr>
          <w:sz w:val="20"/>
          <w:szCs w:val="20"/>
          <w:color w:val="auto"/>
        </w:rPr>
      </w:pPr>
    </w:p>
    <w:p>
      <w:pPr>
        <w:ind w:right="20" w:firstLine="832"/>
        <w:spacing w:after="0" w:line="271"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78" w:lineRule="exact"/>
        <w:rPr>
          <w:sz w:val="20"/>
          <w:szCs w:val="20"/>
          <w:color w:val="auto"/>
        </w:rPr>
      </w:pPr>
    </w:p>
    <w:p>
      <w:pPr>
        <w:ind w:right="20" w:firstLine="832"/>
        <w:spacing w:after="0" w:line="255" w:lineRule="auto"/>
        <w:rPr>
          <w:sz w:val="20"/>
          <w:szCs w:val="20"/>
          <w:color w:val="auto"/>
        </w:rPr>
      </w:pPr>
      <w:r>
        <w:rPr>
          <w:rFonts w:ascii="Arial" w:cs="Arial" w:eastAsia="Arial" w:hAnsi="Arial"/>
          <w:sz w:val="18"/>
          <w:szCs w:val="18"/>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832"/>
        <w:spacing w:after="0" w:line="218" w:lineRule="exact"/>
        <w:rPr>
          <w:sz w:val="20"/>
          <w:szCs w:val="20"/>
          <w:color w:val="auto"/>
        </w:rPr>
      </w:pPr>
      <w:r>
        <w:rPr>
          <w:rFonts w:ascii="Arial" w:cs="Arial" w:eastAsia="Arial" w:hAnsi="Arial"/>
          <w:sz w:val="17"/>
          <w:szCs w:val="17"/>
          <w:color w:val="auto"/>
        </w:rPr>
        <w:t>In March 2019, we entered into a loan and security agreement, the 2019 Term Loan with SVB and WestRiver Innovation Lending Fund VIII, L.P., or WestRiver, for a term loan up to $24.0 million. The initial tranche of $20.0 million was funded shortly after executing the loan agreement. The second tranche of $4.0 million was available to be drawn, at our option, subject to the achievement of positive data, on or prior to August 15, 2019, with respect to our ongoing Phase 2 clinical trial for AXS</w:t>
      </w:r>
      <w:r>
        <w:rPr>
          <w:rFonts w:ascii="MS PGothic" w:cs="MS PGothic" w:eastAsia="MS PGothic" w:hAnsi="MS PGothic"/>
          <w:sz w:val="17"/>
          <w:szCs w:val="17"/>
          <w:color w:val="auto"/>
        </w:rPr>
        <w:t>‑</w:t>
      </w:r>
      <w:r>
        <w:rPr>
          <w:rFonts w:ascii="Arial" w:cs="Arial" w:eastAsia="Arial" w:hAnsi="Arial"/>
          <w:sz w:val="17"/>
          <w:szCs w:val="17"/>
          <w:color w:val="auto"/>
        </w:rPr>
        <w:t>12 in narcolepsy, sufficient to submit a Phase 3 protocol to FDA, provided that we had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 In September 2020, we terminated and repaid all amounts outstanding under 2019 Term Loan in connection with our entry into the Loan Agreement (see below).</w:t>
      </w:r>
    </w:p>
    <w:p>
      <w:pPr>
        <w:spacing w:after="0" w:line="204"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In May 2019, we entered into the May 2019 Sales Agreement with SVB Leerink, pursuant to which we may sell up to $50 million in shares of our common stock from time to time through SVB Leerink, acting as our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the shares that were unsold under the May 2019 Sales Agreement, were rolled over to the December 2019 Sales Agreement (see below).</w:t>
      </w:r>
    </w:p>
    <w:p>
      <w:pPr>
        <w:spacing w:after="0" w:line="188" w:lineRule="exact"/>
        <w:rPr>
          <w:sz w:val="20"/>
          <w:szCs w:val="20"/>
          <w:color w:val="auto"/>
        </w:rPr>
      </w:pPr>
    </w:p>
    <w:p>
      <w:pPr>
        <w:ind w:firstLine="832"/>
        <w:spacing w:after="0" w:line="293" w:lineRule="auto"/>
        <w:rPr>
          <w:sz w:val="20"/>
          <w:szCs w:val="20"/>
          <w:color w:val="auto"/>
        </w:rPr>
      </w:pPr>
      <w:r>
        <w:rPr>
          <w:rFonts w:ascii="Arial" w:cs="Arial" w:eastAsia="Arial" w:hAnsi="Arial"/>
          <w:sz w:val="16"/>
          <w:szCs w:val="16"/>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could have been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64"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78" w:lineRule="exact"/>
        <w:rPr>
          <w:sz w:val="20"/>
          <w:szCs w:val="20"/>
          <w:color w:val="auto"/>
        </w:rPr>
      </w:pPr>
    </w:p>
    <w:p>
      <w:pPr>
        <w:ind w:firstLine="832"/>
        <w:spacing w:after="0" w:line="286" w:lineRule="auto"/>
        <w:rPr>
          <w:sz w:val="20"/>
          <w:szCs w:val="20"/>
          <w:color w:val="auto"/>
        </w:rPr>
      </w:pPr>
      <w:r>
        <w:rPr>
          <w:rFonts w:ascii="Arial" w:cs="Arial" w:eastAsia="Arial" w:hAnsi="Arial"/>
          <w:sz w:val="16"/>
          <w:szCs w:val="16"/>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For the year ended December 31, 2020, the Company received approximately $14.6 million in gross proceeds through the sale of</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167,243 shares, of which net proceeds were approximately $14.1 million. For the year ended December 31, 2019, we received approximately $7.3 million in gross proceeds through the sale of 89,390 shares, of which net proceeds were approximately $7.1 million.</w:t>
      </w:r>
    </w:p>
    <w:p>
      <w:pPr>
        <w:spacing w:after="0" w:line="185" w:lineRule="exact"/>
        <w:rPr>
          <w:sz w:val="20"/>
          <w:szCs w:val="20"/>
          <w:color w:val="auto"/>
        </w:rPr>
      </w:pPr>
    </w:p>
    <w:p>
      <w:pPr>
        <w:ind w:right="80" w:firstLine="832"/>
        <w:spacing w:after="0" w:line="263" w:lineRule="auto"/>
        <w:rPr>
          <w:sz w:val="20"/>
          <w:szCs w:val="20"/>
          <w:color w:val="auto"/>
        </w:rPr>
      </w:pPr>
      <w:r>
        <w:rPr>
          <w:rFonts w:ascii="Arial" w:cs="Arial" w:eastAsia="Arial" w:hAnsi="Arial"/>
          <w:sz w:val="18"/>
          <w:szCs w:val="18"/>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net of underwriting discounts and offering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832"/>
        <w:spacing w:after="0" w:line="290" w:lineRule="auto"/>
        <w:rPr>
          <w:sz w:val="20"/>
          <w:szCs w:val="20"/>
          <w:color w:val="auto"/>
        </w:rPr>
      </w:pPr>
      <w:r>
        <w:rPr>
          <w:rFonts w:ascii="Arial" w:cs="Arial" w:eastAsia="Arial" w:hAnsi="Arial"/>
          <w:sz w:val="16"/>
          <w:szCs w:val="16"/>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is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 September 2020 Loan and Security Agreement – Hercules.” An additional $50 million is available, subject to the approval of Hercules, to support future strategic initiatives, including further pipeline advancement or expansion. The 2020 Term Loan bears interest at a calculated prime-based variable rate currently at 9.15%. It matures in October 2025 and has an initial interest-only payment period of 30 months, which may be extended to up to 48 months upon the drawing of future tranches.</w:t>
      </w:r>
    </w:p>
    <w:p>
      <w:pPr>
        <w:spacing w:after="0" w:line="165" w:lineRule="exact"/>
        <w:rPr>
          <w:sz w:val="20"/>
          <w:szCs w:val="20"/>
          <w:color w:val="auto"/>
        </w:rPr>
      </w:pPr>
    </w:p>
    <w:p>
      <w:pPr>
        <w:ind w:right="20" w:firstLine="832"/>
        <w:spacing w:after="0" w:line="259" w:lineRule="auto"/>
        <w:rPr>
          <w:sz w:val="20"/>
          <w:szCs w:val="20"/>
          <w:color w:val="auto"/>
        </w:rPr>
      </w:pPr>
      <w:r>
        <w:rPr>
          <w:rFonts w:ascii="Arial" w:cs="Arial" w:eastAsia="Arial" w:hAnsi="Arial"/>
          <w:sz w:val="18"/>
          <w:szCs w:val="18"/>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ind w:right="120" w:firstLine="832"/>
        <w:spacing w:after="0" w:line="257" w:lineRule="auto"/>
        <w:rPr>
          <w:sz w:val="20"/>
          <w:szCs w:val="20"/>
          <w:color w:val="auto"/>
        </w:rPr>
      </w:pPr>
      <w:r>
        <w:rPr>
          <w:rFonts w:ascii="Arial" w:cs="Arial" w:eastAsia="Arial" w:hAnsi="Arial"/>
          <w:sz w:val="18"/>
          <w:szCs w:val="18"/>
          <w:color w:val="auto"/>
        </w:rPr>
        <w:t>We believe our current cash, along with the committed capital from the Hercules Loan Agreement, will be sufficient to fund our anticipated operations, based on our current operating plans which includes costs for the commercial launch of AXS-05 in MDD and AXS-07 in migraine into at least 2024.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(78,456,569)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(46,375,059)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(30,053,701)</w:t>
            </w: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w:t>
            </w: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42,412,746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252,388,605</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10,034,016</w:t>
            </w: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(36,089,714)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205,997,425</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(20,052,381)</w:t>
            </w: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for the year ended December 31, 2020 was $78.5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$46.4 million for the year ended December 31, 2019. The increase of $32.1 million in net cash used was primarily related to higher research and development spend related to multiple product candidates in clinical trials as well as costs related to preparations for our anticipated NDA submissions, the build-out of the commercial function and the upfront cash payment of $3.0 million to Pfizer.</w:t>
      </w:r>
    </w:p>
    <w:p>
      <w:pPr>
        <w:spacing w:after="0" w:line="187" w:lineRule="exact"/>
        <w:rPr>
          <w:sz w:val="20"/>
          <w:szCs w:val="20"/>
          <w:color w:val="auto"/>
        </w:rPr>
      </w:pPr>
    </w:p>
    <w:p>
      <w:pPr>
        <w:ind w:right="160" w:firstLine="832"/>
        <w:spacing w:after="0" w:line="263" w:lineRule="auto"/>
        <w:rPr>
          <w:sz w:val="20"/>
          <w:szCs w:val="20"/>
          <w:color w:val="auto"/>
        </w:rPr>
      </w:pPr>
      <w:r>
        <w:rPr>
          <w:rFonts w:ascii="Arial" w:cs="Arial" w:eastAsia="Arial" w:hAnsi="Arial"/>
          <w:sz w:val="18"/>
          <w:szCs w:val="18"/>
          <w:color w:val="auto"/>
        </w:rPr>
        <w:t>Net cash used in operating activities for the year ended December 31, 2019 was $46.4 million as compared to $30.1 million for the year ended December 31, 2018. The increase of $16.3 million in net cash used was primarily related to higher research and development spend related to multiple product candidates in clinical trials.</w:t>
      </w:r>
    </w:p>
    <w:p>
      <w:pPr>
        <w:spacing w:after="0" w:line="184" w:lineRule="exact"/>
        <w:rPr>
          <w:sz w:val="20"/>
          <w:szCs w:val="20"/>
          <w:color w:val="auto"/>
        </w:rPr>
      </w:pPr>
    </w:p>
    <w:p>
      <w:pPr>
        <w:ind w:right="40" w:firstLine="832"/>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equipment was less than $0.1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2019, and 2018.</w:t>
      </w:r>
    </w:p>
    <w:p>
      <w:pPr>
        <w:spacing w:after="0" w:line="170" w:lineRule="exact"/>
        <w:rPr>
          <w:sz w:val="20"/>
          <w:szCs w:val="20"/>
          <w:color w:val="auto"/>
        </w:rPr>
      </w:pPr>
    </w:p>
    <w:p>
      <w:pPr>
        <w:ind w:right="240" w:firstLine="832"/>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for the year ended December 31, 2020 was $42.4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2020 Term Loan of $50.0 million, net proceeds from the sale of common stock through the December 2019 Sales Agreement of $14.1 million and proceeds from the issuance of common stock upon exercise of employee stock options of $1.0 million. These proceeds were offset by the repayment of the March 2019 term loan with SVB of $21.7 million.</w:t>
      </w:r>
    </w:p>
    <w:p>
      <w:pPr>
        <w:spacing w:after="0" w:line="187" w:lineRule="exact"/>
        <w:rPr>
          <w:sz w:val="20"/>
          <w:szCs w:val="20"/>
          <w:color w:val="auto"/>
        </w:rPr>
      </w:pPr>
    </w:p>
    <w:p>
      <w:pPr>
        <w:ind w:right="100" w:firstLine="832"/>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2019 was $252.4 million, which includes net proceeds from the sale of common stock in the December 2019 public offering of $187.1 million, $51.6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million in proceeds from sales made through at-the market offerings, $1.4 million from the exercise of options and warrants, and $20.0 million in proceeds from our March 2019 term loan which was partially offset by principal repayment on our term loan of $7.2 million.</w:t>
      </w:r>
    </w:p>
    <w:p>
      <w:pPr>
        <w:spacing w:after="0" w:line="170" w:lineRule="exact"/>
        <w:rPr>
          <w:sz w:val="20"/>
          <w:szCs w:val="20"/>
          <w:color w:val="auto"/>
        </w:rPr>
      </w:pPr>
    </w:p>
    <w:p>
      <w:pPr>
        <w:jc w:val="both"/>
        <w:ind w:right="140" w:firstLine="832"/>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2018 was $10.0 million, which includes net proceeds from the sale of common stock in the October 2018 registered direct offering of $8.8 million, $4.1 million in proceeds from sales made through at-the-market offerings, as well as $0.5 million from the exercise of options and warrants, partially offset by principal repayment on our term loan of $3.3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87" w:lineRule="exact"/>
        <w:rPr>
          <w:sz w:val="20"/>
          <w:szCs w:val="20"/>
          <w:color w:val="auto"/>
        </w:rPr>
      </w:pPr>
    </w:p>
    <w:p>
      <w:pPr>
        <w:ind w:right="60" w:firstLine="832"/>
        <w:spacing w:after="0" w:line="275" w:lineRule="auto"/>
        <w:rPr>
          <w:sz w:val="20"/>
          <w:szCs w:val="20"/>
          <w:color w:val="auto"/>
        </w:rPr>
      </w:pPr>
      <w:r>
        <w:rPr>
          <w:rFonts w:ascii="Arial" w:cs="Arial" w:eastAsia="Arial" w:hAnsi="Arial"/>
          <w:sz w:val="17"/>
          <w:szCs w:val="17"/>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76" w:lineRule="exact"/>
        <w:rPr>
          <w:sz w:val="20"/>
          <w:szCs w:val="20"/>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225"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225" w:lineRule="exact"/>
        <w:rPr>
          <w:rFonts w:ascii="Arial" w:cs="Arial" w:eastAsia="Arial" w:hAnsi="Arial"/>
          <w:sz w:val="18"/>
          <w:szCs w:val="18"/>
          <w:color w:val="auto"/>
        </w:rPr>
      </w:pPr>
    </w:p>
    <w:p>
      <w:pPr>
        <w:ind w:left="820" w:right="520" w:hanging="407"/>
        <w:spacing w:after="0" w:line="223" w:lineRule="exact"/>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is a summary of our contractual obligations as of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More than</w:t>
            </w:r>
          </w:p>
        </w:tc>
      </w:tr>
      <w:tr>
        <w:trPr>
          <w:trHeight w:val="17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4"/>
                <w:szCs w:val="14"/>
                <w:color w:val="auto"/>
              </w:rPr>
            </w:pPr>
          </w:p>
        </w:tc>
        <w:tc>
          <w:tcPr>
            <w:tcW w:w="116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5 years</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67,056,343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4,638,542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21,143,222</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41,274,579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Lease commitments</w:t>
            </w:r>
          </w:p>
        </w:tc>
        <w:tc>
          <w:tcPr>
            <w:tcW w:w="2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1,880,000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1,250,000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630,000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68,936,343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5,888,542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21,773,222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41,274,579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Pfizer</w:t>
      </w:r>
    </w:p>
    <w:p>
      <w:pPr>
        <w:spacing w:after="0" w:line="225" w:lineRule="exact"/>
        <w:rPr>
          <w:sz w:val="20"/>
          <w:szCs w:val="20"/>
          <w:color w:val="auto"/>
        </w:rPr>
      </w:pPr>
    </w:p>
    <w:p>
      <w:pPr>
        <w:ind w:right="60" w:firstLine="832"/>
        <w:spacing w:after="0" w:line="273" w:lineRule="auto"/>
        <w:rPr>
          <w:sz w:val="20"/>
          <w:szCs w:val="20"/>
          <w:color w:val="auto"/>
        </w:rPr>
      </w:pPr>
      <w:r>
        <w:rPr>
          <w:rFonts w:ascii="Arial" w:cs="Arial" w:eastAsia="Arial" w:hAnsi="Arial"/>
          <w:sz w:val="17"/>
          <w:szCs w:val="17"/>
          <w:color w:val="auto"/>
        </w:rPr>
        <w:t>In January 2020, we entered into a license agreement with Pfizer. Under the terms of our exclusive license agreement with Pfizer, Pfizer received 82,019 shares of our common stock having a value of $8.0 million, based on the average closing price of the Company’s common stock for the 10 prior trading days of $97.538, in consideration for the license and rights. Pfizer also received an upfront cash payment of $3.0 million and will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 For a more detailed description of these agreements, please see “Business—Material License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with Antecip Bioventures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 For a more detailed description of these agreements, please see “Business—Material License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225" w:lineRule="exact"/>
        <w:rPr>
          <w:sz w:val="20"/>
          <w:szCs w:val="20"/>
          <w:color w:val="auto"/>
        </w:rPr>
      </w:pPr>
    </w:p>
    <w:p>
      <w:pPr>
        <w:ind w:right="20" w:firstLine="832"/>
        <w:spacing w:after="0" w:line="255" w:lineRule="auto"/>
        <w:rPr>
          <w:sz w:val="20"/>
          <w:szCs w:val="20"/>
          <w:color w:val="auto"/>
        </w:rPr>
      </w:pPr>
      <w:r>
        <w:rPr>
          <w:rFonts w:ascii="Arial" w:cs="Arial" w:eastAsia="Arial" w:hAnsi="Arial"/>
          <w:sz w:val="18"/>
          <w:szCs w:val="18"/>
          <w:color w:val="auto"/>
        </w:rPr>
        <w:t>In November 2016, we entered into the 2016 Original Term Loan with SVB and Life Sciences Loans, LLC,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92" w:lineRule="exact"/>
        <w:rPr>
          <w:sz w:val="20"/>
          <w:szCs w:val="20"/>
          <w:color w:val="auto"/>
        </w:rPr>
      </w:pPr>
    </w:p>
    <w:p>
      <w:pPr>
        <w:ind w:right="100" w:firstLine="832"/>
        <w:spacing w:after="0" w:line="259" w:lineRule="auto"/>
        <w:rPr>
          <w:sz w:val="20"/>
          <w:szCs w:val="20"/>
          <w:color w:val="auto"/>
        </w:rPr>
      </w:pPr>
      <w:r>
        <w:rPr>
          <w:rFonts w:ascii="Arial" w:cs="Arial" w:eastAsia="Arial" w:hAnsi="Arial"/>
          <w:sz w:val="18"/>
          <w:szCs w:val="18"/>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87" w:lineRule="exact"/>
        <w:rPr>
          <w:sz w:val="20"/>
          <w:szCs w:val="20"/>
          <w:color w:val="auto"/>
        </w:rPr>
      </w:pPr>
    </w:p>
    <w:p>
      <w:pPr>
        <w:ind w:right="180" w:firstLine="832"/>
        <w:spacing w:after="0" w:line="259"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87" w:lineRule="exact"/>
        <w:rPr>
          <w:sz w:val="20"/>
          <w:szCs w:val="20"/>
          <w:color w:val="auto"/>
        </w:rPr>
      </w:pPr>
    </w:p>
    <w:p>
      <w:pPr>
        <w:ind w:right="20" w:firstLine="832"/>
        <w:spacing w:after="0" w:line="277"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were exercisable for seven years from the date of issuance.</w:t>
      </w:r>
    </w:p>
    <w:p>
      <w:pPr>
        <w:spacing w:after="0" w:line="170" w:lineRule="exact"/>
        <w:rPr>
          <w:sz w:val="20"/>
          <w:szCs w:val="20"/>
          <w:color w:val="auto"/>
        </w:rPr>
      </w:pPr>
    </w:p>
    <w:p>
      <w:pPr>
        <w:ind w:right="140" w:firstLine="832"/>
        <w:spacing w:after="0" w:line="277" w:lineRule="auto"/>
        <w:rPr>
          <w:sz w:val="20"/>
          <w:szCs w:val="20"/>
          <w:color w:val="auto"/>
        </w:rPr>
      </w:pPr>
      <w:r>
        <w:rPr>
          <w:rFonts w:ascii="Arial" w:cs="Arial" w:eastAsia="Arial" w:hAnsi="Arial"/>
          <w:sz w:val="18"/>
          <w:szCs w:val="18"/>
          <w:color w:val="auto"/>
        </w:rPr>
        <w:t>We allocated the proceeds of $10.0 million based on the relative fair values of the debt instrument and the warrant instrument. The relative fair value of the warrants of approximately $0.3 million at the time of issuance,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was determined using the Black-Scholes option-pricing model, was recorded as additional paid-in capital and reduced the carrying value of the debt. The discount on the debt was being amortized to interest expense over the term of the debt.</w:t>
      </w:r>
    </w:p>
    <w:p>
      <w:pPr>
        <w:spacing w:after="0" w:line="170" w:lineRule="exact"/>
        <w:rPr>
          <w:sz w:val="20"/>
          <w:szCs w:val="20"/>
          <w:color w:val="auto"/>
        </w:rPr>
      </w:pPr>
    </w:p>
    <w:p>
      <w:pPr>
        <w:ind w:right="80" w:firstLine="832"/>
        <w:spacing w:after="0" w:line="257" w:lineRule="auto"/>
        <w:rPr>
          <w:sz w:val="20"/>
          <w:szCs w:val="20"/>
          <w:color w:val="auto"/>
        </w:rPr>
      </w:pPr>
      <w:r>
        <w:rPr>
          <w:rFonts w:ascii="Arial" w:cs="Arial" w:eastAsia="Arial" w:hAnsi="Arial"/>
          <w:sz w:val="18"/>
          <w:szCs w:val="18"/>
          <w:color w:val="auto"/>
        </w:rPr>
        <w:t>In November 2018, we amended the 2016 Original Term Loan with SVB and WestRiver Innovation Lending Fund VIII, L.P,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were exercisable for seven years from the date of issuance.</w:t>
      </w:r>
    </w:p>
    <w:p>
      <w:pPr>
        <w:spacing w:after="0" w:line="188" w:lineRule="exact"/>
        <w:rPr>
          <w:sz w:val="20"/>
          <w:szCs w:val="20"/>
          <w:color w:val="auto"/>
        </w:rPr>
      </w:pPr>
    </w:p>
    <w:p>
      <w:pPr>
        <w:ind w:right="700" w:firstLine="832"/>
        <w:spacing w:after="0" w:line="308" w:lineRule="auto"/>
        <w:rPr>
          <w:sz w:val="20"/>
          <w:szCs w:val="20"/>
          <w:color w:val="auto"/>
        </w:rPr>
      </w:pPr>
      <w:r>
        <w:rPr>
          <w:rFonts w:ascii="Arial" w:cs="Arial" w:eastAsia="Arial" w:hAnsi="Arial"/>
          <w:sz w:val="17"/>
          <w:szCs w:val="17"/>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225" w:lineRule="exact"/>
        <w:rPr>
          <w:sz w:val="20"/>
          <w:szCs w:val="20"/>
          <w:color w:val="auto"/>
        </w:rPr>
      </w:pPr>
    </w:p>
    <w:p>
      <w:pPr>
        <w:ind w:firstLine="832"/>
        <w:spacing w:after="0" w:line="296" w:lineRule="auto"/>
        <w:rPr>
          <w:sz w:val="20"/>
          <w:szCs w:val="20"/>
          <w:color w:val="auto"/>
        </w:rPr>
      </w:pPr>
      <w:r>
        <w:rPr>
          <w:rFonts w:ascii="Arial" w:cs="Arial" w:eastAsia="Arial" w:hAnsi="Arial"/>
          <w:sz w:val="16"/>
          <w:szCs w:val="16"/>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61" w:lineRule="exact"/>
        <w:rPr>
          <w:sz w:val="20"/>
          <w:szCs w:val="20"/>
          <w:color w:val="auto"/>
        </w:rPr>
      </w:pPr>
    </w:p>
    <w:p>
      <w:pPr>
        <w:ind w:right="60" w:firstLine="832"/>
        <w:spacing w:after="0" w:line="273" w:lineRule="auto"/>
        <w:rPr>
          <w:sz w:val="20"/>
          <w:szCs w:val="20"/>
          <w:color w:val="auto"/>
        </w:rPr>
      </w:pPr>
      <w:r>
        <w:rPr>
          <w:rFonts w:ascii="Arial" w:cs="Arial" w:eastAsia="Arial" w:hAnsi="Arial"/>
          <w:sz w:val="17"/>
          <w:szCs w:val="17"/>
          <w:color w:val="auto"/>
        </w:rPr>
        <w:t>The 2019 Term Loan accrued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would have begun making monthly payments of principal and interest.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78" w:lineRule="exact"/>
        <w:rPr>
          <w:sz w:val="20"/>
          <w:szCs w:val="20"/>
          <w:color w:val="auto"/>
        </w:rPr>
      </w:pPr>
    </w:p>
    <w:p>
      <w:pPr>
        <w:ind w:right="160" w:firstLine="832"/>
        <w:spacing w:after="0" w:line="257" w:lineRule="auto"/>
        <w:rPr>
          <w:sz w:val="20"/>
          <w:szCs w:val="20"/>
          <w:color w:val="auto"/>
        </w:rPr>
      </w:pPr>
      <w:r>
        <w:rPr>
          <w:rFonts w:ascii="Arial" w:cs="Arial" w:eastAsia="Arial" w:hAnsi="Arial"/>
          <w:sz w:val="18"/>
          <w:szCs w:val="18"/>
          <w:color w:val="auto"/>
        </w:rPr>
        <w:t>We were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was collateralized by a security interest in all of our assets except intellectual property. Our intellectual property was subject to a negative pledge.</w:t>
      </w:r>
    </w:p>
    <w:p>
      <w:pPr>
        <w:spacing w:after="0" w:line="188" w:lineRule="exact"/>
        <w:rPr>
          <w:sz w:val="20"/>
          <w:szCs w:val="20"/>
          <w:color w:val="auto"/>
        </w:rPr>
      </w:pPr>
    </w:p>
    <w:p>
      <w:pPr>
        <w:ind w:right="40" w:firstLine="832"/>
        <w:spacing w:after="0" w:line="273" w:lineRule="auto"/>
        <w:rPr>
          <w:sz w:val="20"/>
          <w:szCs w:val="20"/>
          <w:color w:val="auto"/>
        </w:rPr>
      </w:pPr>
      <w:r>
        <w:rPr>
          <w:rFonts w:ascii="Arial" w:cs="Arial" w:eastAsia="Arial" w:hAnsi="Arial"/>
          <w:sz w:val="17"/>
          <w:szCs w:val="17"/>
          <w:color w:val="auto"/>
        </w:rPr>
        <w:t>In connection with the 2019 Term Loan, SVB and WestRiver received warrants, or the March 2019 Warrants, to purchase an aggregate 70,000 shares of our common stock at an exercise price of $8.10 per share, which were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832"/>
        <w:spacing w:after="0" w:line="259" w:lineRule="auto"/>
        <w:rPr>
          <w:sz w:val="20"/>
          <w:szCs w:val="20"/>
          <w:color w:val="auto"/>
        </w:rPr>
      </w:pPr>
      <w:r>
        <w:rPr>
          <w:rFonts w:ascii="Arial" w:cs="Arial" w:eastAsia="Arial" w:hAnsi="Arial"/>
          <w:sz w:val="18"/>
          <w:szCs w:val="18"/>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was amortized to interest expense over the term of the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225" w:lineRule="exact"/>
        <w:rPr>
          <w:sz w:val="20"/>
          <w:szCs w:val="20"/>
          <w:color w:val="auto"/>
        </w:rPr>
      </w:pPr>
    </w:p>
    <w:p>
      <w:pPr>
        <w:ind w:right="180" w:firstLine="832"/>
        <w:spacing w:after="0" w:line="301"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matured on February 1, 2023.</w:t>
      </w:r>
    </w:p>
    <w:p>
      <w:pPr>
        <w:spacing w:after="0" w:line="157" w:lineRule="exact"/>
        <w:rPr>
          <w:sz w:val="20"/>
          <w:szCs w:val="20"/>
          <w:color w:val="auto"/>
        </w:rPr>
      </w:pPr>
    </w:p>
    <w:p>
      <w:pPr>
        <w:jc w:val="both"/>
        <w:ind w:right="80" w:firstLine="832"/>
        <w:spacing w:after="0" w:line="287" w:lineRule="auto"/>
        <w:rPr>
          <w:sz w:val="20"/>
          <w:szCs w:val="20"/>
          <w:color w:val="auto"/>
        </w:rPr>
      </w:pPr>
      <w:r>
        <w:rPr>
          <w:rFonts w:ascii="Arial" w:cs="Arial" w:eastAsia="Arial" w:hAnsi="Arial"/>
          <w:sz w:val="16"/>
          <w:szCs w:val="16"/>
          <w:color w:val="auto"/>
        </w:rPr>
        <w:t>Pursuant to the 2019 Term Loan, as amended by the First Amendment to the 2019 Term Loan, following the interest-only payment period, we would have begun making monthly payments of principal in equal monthly installments for 30 consecutive months (provided, that, upon the occurrence of the Milestone Event, the repayment schedule will be decreased to 24 consecutive months) and monthly payments of interest, until the Maturity</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Date. Interest accrued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73" w:lineRule="exact"/>
        <w:rPr>
          <w:sz w:val="20"/>
          <w:szCs w:val="20"/>
          <w:color w:val="auto"/>
        </w:rPr>
      </w:pPr>
    </w:p>
    <w:p>
      <w:pPr>
        <w:ind w:right="140" w:firstLine="832"/>
        <w:spacing w:after="0" w:line="257" w:lineRule="auto"/>
        <w:rPr>
          <w:sz w:val="20"/>
          <w:szCs w:val="20"/>
          <w:color w:val="auto"/>
        </w:rPr>
      </w:pPr>
      <w:r>
        <w:rPr>
          <w:rFonts w:ascii="Arial" w:cs="Arial" w:eastAsia="Arial" w:hAnsi="Arial"/>
          <w:sz w:val="18"/>
          <w:szCs w:val="18"/>
          <w:color w:val="auto"/>
        </w:rPr>
        <w:t>We could have prepaid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were unchanged from the original 2019 Term Loan.</w:t>
      </w:r>
    </w:p>
    <w:p>
      <w:pPr>
        <w:spacing w:after="0" w:line="188" w:lineRule="exact"/>
        <w:rPr>
          <w:sz w:val="20"/>
          <w:szCs w:val="20"/>
          <w:color w:val="auto"/>
        </w:rPr>
      </w:pPr>
    </w:p>
    <w:p>
      <w:pPr>
        <w:ind w:right="20" w:firstLine="832"/>
        <w:spacing w:after="0" w:line="254" w:lineRule="auto"/>
        <w:rPr>
          <w:sz w:val="20"/>
          <w:szCs w:val="20"/>
          <w:color w:val="auto"/>
        </w:rPr>
      </w:pPr>
      <w:r>
        <w:rPr>
          <w:rFonts w:ascii="Arial" w:cs="Arial" w:eastAsia="Arial" w:hAnsi="Arial"/>
          <w:sz w:val="18"/>
          <w:szCs w:val="18"/>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 the portion of the March 2019 Warrants that could originally be earned by SVB and WestRiver upon funding of the Term B Loan Advance. The July 2019 Warrants, if earned, would have been exercisable until July 24, 2026 and would be exercised automatically on a net issuance basis if not exercised prior to the expiration date and if the then-current fair market value of one share of our common stock is greater than the exercise price then in effect.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2020 Loan and Security Agreement – Hercules</w:t>
      </w:r>
    </w:p>
    <w:p>
      <w:pPr>
        <w:spacing w:after="0" w:line="225" w:lineRule="exact"/>
        <w:rPr>
          <w:sz w:val="20"/>
          <w:szCs w:val="20"/>
          <w:color w:val="auto"/>
        </w:rPr>
      </w:pPr>
    </w:p>
    <w:p>
      <w:pPr>
        <w:ind w:firstLine="832"/>
        <w:spacing w:after="0" w:line="285" w:lineRule="auto"/>
        <w:rPr>
          <w:sz w:val="20"/>
          <w:szCs w:val="20"/>
          <w:color w:val="auto"/>
        </w:rPr>
      </w:pPr>
      <w:r>
        <w:rPr>
          <w:rFonts w:ascii="Arial" w:cs="Arial" w:eastAsia="Arial" w:hAnsi="Arial"/>
          <w:sz w:val="16"/>
          <w:szCs w:val="16"/>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is available at our option at any time through September 15, 2021; (ii) subject to the FDA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 (B) 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We intend to use the proceeds of the Term Loan Advances for working capital and general corporate purposes. In addition, approximately $21.7 million of the proceeds from the First Advance was used to satisfy in full and retire our indebtedness under the 2019 Term Loan, as amended.</w:t>
      </w:r>
    </w:p>
    <w:p>
      <w:pPr>
        <w:spacing w:after="0" w:line="176" w:lineRule="exact"/>
        <w:rPr>
          <w:sz w:val="20"/>
          <w:szCs w:val="20"/>
          <w:color w:val="auto"/>
        </w:rPr>
      </w:pPr>
    </w:p>
    <w:p>
      <w:pPr>
        <w:ind w:right="20" w:firstLine="832"/>
        <w:spacing w:after="0" w:line="287" w:lineRule="auto"/>
        <w:rPr>
          <w:sz w:val="20"/>
          <w:szCs w:val="20"/>
          <w:color w:val="auto"/>
        </w:rPr>
      </w:pPr>
      <w:r>
        <w:rPr>
          <w:rFonts w:ascii="Arial" w:cs="Arial" w:eastAsia="Arial" w:hAnsi="Arial"/>
          <w:sz w:val="16"/>
          <w:szCs w:val="16"/>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 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68" w:lineRule="exact"/>
        <w:rPr>
          <w:sz w:val="20"/>
          <w:szCs w:val="20"/>
          <w:color w:val="auto"/>
        </w:rPr>
      </w:pPr>
    </w:p>
    <w:p>
      <w:pPr>
        <w:jc w:val="both"/>
        <w:ind w:right="160" w:firstLine="832"/>
        <w:spacing w:after="0" w:line="311" w:lineRule="auto"/>
        <w:rPr>
          <w:sz w:val="20"/>
          <w:szCs w:val="20"/>
          <w:color w:val="auto"/>
        </w:rPr>
      </w:pPr>
      <w:r>
        <w:rPr>
          <w:rFonts w:ascii="Arial" w:cs="Arial" w:eastAsia="Arial" w:hAnsi="Arial"/>
          <w:sz w:val="16"/>
          <w:szCs w:val="16"/>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32"/>
        <w:spacing w:after="0" w:line="275" w:lineRule="auto"/>
        <w:rPr>
          <w:sz w:val="20"/>
          <w:szCs w:val="20"/>
          <w:color w:val="auto"/>
        </w:rPr>
      </w:pPr>
      <w:r>
        <w:rPr>
          <w:rFonts w:ascii="Arial" w:cs="Arial" w:eastAsia="Arial" w:hAnsi="Arial"/>
          <w:sz w:val="17"/>
          <w:szCs w:val="17"/>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76" w:lineRule="exact"/>
        <w:rPr>
          <w:sz w:val="20"/>
          <w:szCs w:val="20"/>
          <w:color w:val="auto"/>
        </w:rPr>
      </w:pPr>
    </w:p>
    <w:p>
      <w:pPr>
        <w:ind w:left="820" w:right="20" w:hanging="407"/>
        <w:spacing w:after="0" w:line="301"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57" w:lineRule="exact"/>
        <w:rPr>
          <w:rFonts w:ascii="Arial" w:cs="Arial" w:eastAsia="Arial" w:hAnsi="Arial"/>
          <w:sz w:val="16"/>
          <w:szCs w:val="16"/>
          <w:color w:val="auto"/>
        </w:rPr>
      </w:pPr>
    </w:p>
    <w:p>
      <w:pPr>
        <w:ind w:left="820" w:right="80" w:hanging="407"/>
        <w:spacing w:after="0" w:line="269"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81" w:lineRule="exact"/>
        <w:rPr>
          <w:rFonts w:ascii="Arial" w:cs="Arial" w:eastAsia="Arial" w:hAnsi="Arial"/>
          <w:sz w:val="17"/>
          <w:szCs w:val="17"/>
          <w:color w:val="auto"/>
        </w:rPr>
      </w:pPr>
    </w:p>
    <w:p>
      <w:pPr>
        <w:ind w:left="820" w:right="140" w:hanging="407"/>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70"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70" w:lineRule="exact"/>
        <w:rPr>
          <w:sz w:val="20"/>
          <w:szCs w:val="20"/>
          <w:color w:val="auto"/>
        </w:rPr>
      </w:pPr>
    </w:p>
    <w:p>
      <w:pPr>
        <w:ind w:right="20" w:firstLine="832"/>
        <w:spacing w:after="0" w:line="263" w:lineRule="auto"/>
        <w:rPr>
          <w:sz w:val="20"/>
          <w:szCs w:val="20"/>
          <w:color w:val="auto"/>
        </w:rPr>
      </w:pPr>
      <w:r>
        <w:rPr>
          <w:rFonts w:ascii="Arial" w:cs="Arial" w:eastAsia="Arial" w:hAnsi="Arial"/>
          <w:sz w:val="18"/>
          <w:szCs w:val="18"/>
          <w:color w:val="auto"/>
        </w:rPr>
        <w:t>In addition, we are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229"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On December 5, 2019, we filed a Form S-3ASR (File No. 333-235372) with the SEC, or the 2019 Shelf Registration Statement, for the issuance of common stock, preferred stock, warrants, rights, debt securities and units, which became effective immediately upon filing. At the time any of the securities covered by the 2019 Shelf Registration Statement are offered for sale, a prospectus supplement will be prepared and filed with the SEC containing specific information about the terms of any such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CARES Act</w:t>
      </w:r>
    </w:p>
    <w:p>
      <w:pPr>
        <w:spacing w:after="0" w:line="229" w:lineRule="exact"/>
        <w:rPr>
          <w:sz w:val="20"/>
          <w:szCs w:val="20"/>
          <w:color w:val="auto"/>
        </w:rPr>
      </w:pPr>
    </w:p>
    <w:p>
      <w:pPr>
        <w:ind w:right="100" w:firstLine="832"/>
        <w:spacing w:after="0" w:line="277" w:lineRule="auto"/>
        <w:rPr>
          <w:sz w:val="20"/>
          <w:szCs w:val="20"/>
          <w:color w:val="auto"/>
        </w:rPr>
      </w:pPr>
      <w:r>
        <w:rPr>
          <w:rFonts w:ascii="Arial" w:cs="Arial" w:eastAsia="Arial" w:hAnsi="Arial"/>
          <w:sz w:val="18"/>
          <w:szCs w:val="18"/>
          <w:color w:val="auto"/>
        </w:rPr>
        <w:t>On March 27, 2020, the Coronavirus Aid, Relief, and Economic Security Act (the “CARES Act”) was enacted and signed into law, and GAAP requires recognition of the tax effects of new legislation during the reporting period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right="300" w:firstLine="832"/>
        <w:spacing w:after="0" w:line="257" w:lineRule="auto"/>
        <w:rPr>
          <w:sz w:val="20"/>
          <w:szCs w:val="20"/>
          <w:color w:val="auto"/>
        </w:rPr>
      </w:pPr>
      <w:r>
        <w:rPr>
          <w:rFonts w:ascii="Arial" w:cs="Arial" w:eastAsia="Arial" w:hAnsi="Arial"/>
          <w:sz w:val="18"/>
          <w:szCs w:val="18"/>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80" w:firstLine="832"/>
        <w:spacing w:after="0" w:line="259" w:lineRule="auto"/>
        <w:rPr>
          <w:sz w:val="20"/>
          <w:szCs w:val="20"/>
          <w:color w:val="auto"/>
        </w:rPr>
      </w:pPr>
      <w:r>
        <w:rPr>
          <w:rFonts w:ascii="Arial" w:cs="Arial" w:eastAsia="Arial" w:hAnsi="Arial"/>
          <w:sz w:val="18"/>
          <w:szCs w:val="18"/>
          <w:color w:val="auto"/>
        </w:rPr>
        <w:t>Although there is uncertainty related to the anticipated impact of the COVID-19 pandemic on our future results, we believe our current cash reserves, coupled with our access to additional capital through the December 2019 Sales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7" w:lineRule="exact"/>
        <w:rPr>
          <w:sz w:val="20"/>
          <w:szCs w:val="20"/>
          <w:color w:val="auto"/>
        </w:rPr>
      </w:pPr>
    </w:p>
    <w:p>
      <w:pPr>
        <w:ind w:right="20" w:firstLine="832"/>
        <w:spacing w:after="0" w:line="311" w:lineRule="auto"/>
        <w:rPr>
          <w:sz w:val="20"/>
          <w:szCs w:val="20"/>
          <w:color w:val="auto"/>
        </w:rPr>
      </w:pPr>
      <w:r>
        <w:rPr>
          <w:rFonts w:ascii="Arial" w:cs="Arial" w:eastAsia="Arial" w:hAnsi="Arial"/>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2020.</w:t>
      </w:r>
    </w:p>
    <w:p>
      <w:pPr>
        <w:spacing w:after="0" w:line="149" w:lineRule="exact"/>
        <w:rPr>
          <w:sz w:val="20"/>
          <w:szCs w:val="20"/>
          <w:color w:val="auto"/>
        </w:rPr>
      </w:pPr>
    </w:p>
    <w:p>
      <w:pPr>
        <w:ind w:right="260" w:firstLine="832"/>
        <w:spacing w:after="0" w:line="275" w:lineRule="auto"/>
        <w:rPr>
          <w:sz w:val="20"/>
          <w:szCs w:val="20"/>
          <w:color w:val="auto"/>
        </w:rPr>
      </w:pPr>
      <w:r>
        <w:rPr>
          <w:rFonts w:ascii="Arial" w:cs="Arial" w:eastAsia="Arial" w:hAnsi="Arial"/>
          <w:sz w:val="17"/>
          <w:szCs w:val="17"/>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17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right="120" w:firstLine="832"/>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60" w:firstLine="832"/>
        <w:spacing w:after="0" w:line="308" w:lineRule="auto"/>
        <w:rPr>
          <w:sz w:val="20"/>
          <w:szCs w:val="20"/>
          <w:color w:val="auto"/>
        </w:rPr>
      </w:pPr>
      <w:r>
        <w:rPr>
          <w:rFonts w:ascii="Arial" w:cs="Arial" w:eastAsia="Arial" w:hAnsi="Arial"/>
          <w:sz w:val="17"/>
          <w:szCs w:val="17"/>
          <w:color w:val="auto"/>
        </w:rPr>
        <w:t>Refer to Note 2 –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832"/>
        <w:spacing w:after="0" w:line="219" w:lineRule="exact"/>
        <w:rPr>
          <w:sz w:val="20"/>
          <w:szCs w:val="20"/>
          <w:color w:val="auto"/>
        </w:rPr>
      </w:pPr>
      <w:r>
        <w:rPr>
          <w:rFonts w:ascii="Arial" w:cs="Arial" w:eastAsia="Arial" w:hAnsi="Arial"/>
          <w:sz w:val="18"/>
          <w:szCs w:val="18"/>
          <w:color w:val="auto"/>
        </w:rPr>
        <w:t>We are exposed to market risks in the ordinary course of our business. These market risks are principally limited to interest rate fluctuations. We had cash of $183.9 million as of December 31, 2020.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firstLine="832"/>
        <w:spacing w:after="0" w:line="220"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204" w:lineRule="exact"/>
        <w:rPr>
          <w:sz w:val="20"/>
          <w:szCs w:val="20"/>
          <w:color w:val="auto"/>
        </w:rPr>
      </w:pPr>
    </w:p>
    <w:p>
      <w:pPr>
        <w:ind w:right="360" w:firstLine="832"/>
        <w:spacing w:after="0" w:line="277" w:lineRule="auto"/>
        <w:rPr>
          <w:sz w:val="20"/>
          <w:szCs w:val="20"/>
          <w:color w:val="auto"/>
        </w:rPr>
      </w:pPr>
      <w:r>
        <w:rPr>
          <w:rFonts w:ascii="Arial" w:cs="Arial" w:eastAsia="Arial" w:hAnsi="Arial"/>
          <w:sz w:val="18"/>
          <w:szCs w:val="18"/>
          <w:color w:val="auto"/>
        </w:rPr>
        <w:t>We do not believe a 10% change in these currencies on December 31, 2020 would have had a material effect on our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180" w:firstLine="832"/>
        <w:spacing w:after="0" w:line="277"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DISCLOSURE.</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832"/>
        <w:spacing w:after="0" w:line="270"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principal executive officer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evaluated the effectiveness of our disclosure controls and procedures as of December 31, 2020.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evaluating the cost-benefit relationship of possible controls and procedures. Based on the evaluation of our disclosure controls and procedures as of December 31, 2020, our principal executive officer and principal financial officer concluded that, as of such date, our disclosure controls and procedures were effective.</w:t>
      </w:r>
    </w:p>
    <w:p>
      <w:pPr>
        <w:spacing w:after="0" w:line="184" w:lineRule="exact"/>
        <w:rPr>
          <w:sz w:val="20"/>
          <w:szCs w:val="20"/>
          <w:color w:val="auto"/>
        </w:rPr>
      </w:pPr>
    </w:p>
    <w:p>
      <w:pPr>
        <w:ind w:right="100" w:firstLine="832"/>
        <w:spacing w:after="0" w:line="255"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Our management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or Rule 15d-15(f) under the Exchange Act). Our management assessed the effectiveness of our internal control over financial reporting as of December 31, 2020. In making this assessment, our management used the criteria established in Internal Control – Integrated Framework (2013) issued by the Committee of Sponsoring Organizations of the Treadway Commission, or COSO Framework. Our management has concluded that, as of December 31, 2020, our internal control over financial reporting was effective based on these criteria.</w:t>
      </w:r>
    </w:p>
    <w:p>
      <w:pPr>
        <w:spacing w:after="0" w:line="192" w:lineRule="exact"/>
        <w:rPr>
          <w:sz w:val="20"/>
          <w:szCs w:val="20"/>
          <w:color w:val="auto"/>
        </w:rPr>
      </w:pPr>
    </w:p>
    <w:p>
      <w:pPr>
        <w:ind w:right="180" w:firstLine="832"/>
        <w:spacing w:after="0" w:line="277" w:lineRule="auto"/>
        <w:rPr>
          <w:sz w:val="20"/>
          <w:szCs w:val="20"/>
          <w:color w:val="auto"/>
        </w:rPr>
      </w:pPr>
      <w:r>
        <w:rPr>
          <w:rFonts w:ascii="Arial" w:cs="Arial" w:eastAsia="Arial" w:hAnsi="Arial"/>
          <w:sz w:val="18"/>
          <w:szCs w:val="18"/>
          <w:color w:val="auto"/>
        </w:rPr>
        <w:t>The independent registered public accounting firm, Ernst &amp; Young LLP, has issued an attestation report on our internal control over financial reporting. The report on the audit of internal control over financial reporting is included in this Annual Report on Form 10 K.</w:t>
      </w:r>
    </w:p>
    <w:p>
      <w:pPr>
        <w:spacing w:after="0" w:line="170"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i w:val="1"/>
          <w:iCs w:val="1"/>
          <w:color w:val="auto"/>
        </w:rPr>
        <w:t xml:space="preserve">Inherent Limitations on Effectiveness of Controls. </w:t>
      </w:r>
      <w:r>
        <w:rPr>
          <w:rFonts w:ascii="Arial" w:cs="Arial" w:eastAsia="Arial" w:hAnsi="Arial"/>
          <w:sz w:val="18"/>
          <w:szCs w:val="18"/>
          <w:color w:val="auto"/>
        </w:rPr>
        <w:t>Our management, including our principal executive officer and principal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expect 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92" w:lineRule="exact"/>
        <w:rPr>
          <w:sz w:val="20"/>
          <w:szCs w:val="20"/>
          <w:color w:val="auto"/>
        </w:rPr>
      </w:pPr>
    </w:p>
    <w:p>
      <w:pPr>
        <w:ind w:right="40" w:firstLine="8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 or will be included in an amendment to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 or will be included in an amendment to this Annual Report on Form 10-K.</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 or will be included in an amendment to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 or will be included in an amendment to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80" w:firstLine="8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2021 Annual Meeting of Stockholders or will be included in an amendment to this Annual Report on Form 10-K.</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1140" w:hanging="855"/>
        <w:spacing w:after="0"/>
        <w:tabs>
          <w:tab w:leader="none" w:pos="11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Consolidated Financial Statements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consolidated financial statements of Axsome Therapeutics, Inc. are filed as part of this report.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7900" w:type="dxa"/>
            <w:vAlign w:val="bottom"/>
          </w:tcPr>
          <w:p>
            <w:pPr>
              <w:spacing w:after="0"/>
              <w:rPr>
                <w:sz w:val="17"/>
                <w:szCs w:val="17"/>
                <w:color w:val="auto"/>
              </w:rPr>
            </w:pPr>
          </w:p>
        </w:tc>
        <w:tc>
          <w:tcPr>
            <w:tcW w:w="2040" w:type="dxa"/>
            <w:vAlign w:val="bottom"/>
            <w:gridSpan w:val="3"/>
          </w:tcPr>
          <w:p>
            <w:pPr>
              <w:ind w:left="1500"/>
              <w:spacing w:after="0"/>
              <w:rPr>
                <w:sz w:val="20"/>
                <w:szCs w:val="20"/>
                <w:color w:val="auto"/>
              </w:rPr>
            </w:pPr>
            <w:r>
              <w:rPr>
                <w:rFonts w:ascii="Arial" w:cs="Arial" w:eastAsia="Arial" w:hAnsi="Arial"/>
                <w:sz w:val="18"/>
                <w:szCs w:val="18"/>
                <w:b w:val="1"/>
                <w:bCs w:val="1"/>
                <w:color w:val="auto"/>
              </w:rPr>
              <w:t>Page</w:t>
            </w:r>
          </w:p>
        </w:tc>
      </w:tr>
      <w:tr>
        <w:trPr>
          <w:trHeight w:val="20"/>
        </w:trPr>
        <w:tc>
          <w:tcPr>
            <w:tcW w:w="9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8"/>
        </w:trPr>
        <w:tc>
          <w:tcPr>
            <w:tcW w:w="9200" w:type="dxa"/>
            <w:vAlign w:val="bottom"/>
            <w:gridSpan w:val="2"/>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Reports of Independent Registered Public Accounting Firm</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F-1</w:t>
            </w:r>
          </w:p>
        </w:tc>
      </w:tr>
      <w:tr>
        <w:trPr>
          <w:trHeight w:val="338"/>
        </w:trPr>
        <w:tc>
          <w:tcPr>
            <w:tcW w:w="9200" w:type="dxa"/>
            <w:vAlign w:val="bottom"/>
            <w:gridSpan w:val="2"/>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Consolidated Balance Sheets as of December 31, 2020 and 2019</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F-4</w:t>
            </w:r>
          </w:p>
        </w:tc>
      </w:tr>
      <w:tr>
        <w:trPr>
          <w:trHeight w:val="338"/>
        </w:trPr>
        <w:tc>
          <w:tcPr>
            <w:tcW w:w="9200" w:type="dxa"/>
            <w:vAlign w:val="bottom"/>
            <w:gridSpan w:val="2"/>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Consolidated Statements of Operations for the Years Ended December 31, 2020, 2019, and 2018</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F-5</w:t>
            </w:r>
          </w:p>
        </w:tc>
      </w:tr>
      <w:tr>
        <w:trPr>
          <w:trHeight w:val="338"/>
        </w:trPr>
        <w:tc>
          <w:tcPr>
            <w:tcW w:w="9200" w:type="dxa"/>
            <w:vAlign w:val="bottom"/>
            <w:gridSpan w:val="2"/>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Consolidated Statements of Stockholders’ Equity for the Years Ended December 31, 2020, 2019, and 2018</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F-6</w:t>
            </w:r>
          </w:p>
        </w:tc>
      </w:tr>
      <w:tr>
        <w:trPr>
          <w:trHeight w:val="338"/>
        </w:trPr>
        <w:tc>
          <w:tcPr>
            <w:tcW w:w="9200" w:type="dxa"/>
            <w:vAlign w:val="bottom"/>
            <w:gridSpan w:val="2"/>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Consolidated Statements of Cash Flows for the Years Ended December 31, 2020, 2019, and 2018</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F-7</w:t>
            </w:r>
          </w:p>
        </w:tc>
      </w:tr>
      <w:tr>
        <w:trPr>
          <w:trHeight w:val="338"/>
        </w:trPr>
        <w:tc>
          <w:tcPr>
            <w:tcW w:w="9200" w:type="dxa"/>
            <w:vAlign w:val="bottom"/>
            <w:gridSpan w:val="2"/>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Notes to the Consolidated Financial Statements</w:t>
              </w:r>
            </w:hyperlink>
          </w:p>
        </w:tc>
        <w:tc>
          <w:tcPr>
            <w:tcW w:w="1500" w:type="dxa"/>
            <w:vAlign w:val="bottom"/>
          </w:tcPr>
          <w:p>
            <w:pPr>
              <w:spacing w:after="0"/>
              <w:rPr>
                <w:sz w:val="24"/>
                <w:szCs w:val="24"/>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81"/>
              </w:rPr>
              <w:t>F-8</w:t>
            </w:r>
          </w:p>
        </w:tc>
      </w:tr>
      <w:tr>
        <w:trPr>
          <w:trHeight w:val="473"/>
        </w:trPr>
        <w:tc>
          <w:tcPr>
            <w:tcW w:w="1300" w:type="dxa"/>
            <w:vAlign w:val="bottom"/>
          </w:tcPr>
          <w:p>
            <w:pPr>
              <w:ind w:left="840"/>
              <w:spacing w:after="0"/>
              <w:rPr>
                <w:sz w:val="20"/>
                <w:szCs w:val="20"/>
                <w:color w:val="auto"/>
              </w:rPr>
            </w:pPr>
            <w:r>
              <w:rPr>
                <w:rFonts w:ascii="Arial" w:cs="Arial" w:eastAsia="Arial" w:hAnsi="Arial"/>
                <w:sz w:val="18"/>
                <w:szCs w:val="18"/>
                <w:b w:val="1"/>
                <w:bCs w:val="1"/>
                <w:color w:val="auto"/>
              </w:rPr>
              <w:t>2.</w:t>
            </w:r>
          </w:p>
        </w:tc>
        <w:tc>
          <w:tcPr>
            <w:tcW w:w="7900" w:type="dxa"/>
            <w:vAlign w:val="bottom"/>
          </w:tcPr>
          <w:p>
            <w:pPr>
              <w:ind w:left="320"/>
              <w:spacing w:after="0"/>
              <w:rPr>
                <w:sz w:val="20"/>
                <w:szCs w:val="20"/>
                <w:color w:val="auto"/>
              </w:rPr>
            </w:pPr>
            <w:r>
              <w:rPr>
                <w:rFonts w:ascii="Arial" w:cs="Arial" w:eastAsia="Arial" w:hAnsi="Arial"/>
                <w:sz w:val="18"/>
                <w:szCs w:val="18"/>
                <w:b w:val="1"/>
                <w:bCs w:val="1"/>
                <w:color w:val="auto"/>
              </w:rPr>
              <w:t>Consolidated Financial Statement Schedules</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jc w:val="both"/>
        <w:ind w:right="60" w:firstLine="832"/>
        <w:spacing w:after="0" w:line="263" w:lineRule="auto"/>
        <w:rPr>
          <w:sz w:val="20"/>
          <w:szCs w:val="20"/>
          <w:color w:val="auto"/>
        </w:rPr>
      </w:pPr>
      <w:r>
        <w:rPr>
          <w:rFonts w:ascii="Arial" w:cs="Arial" w:eastAsia="Arial" w:hAnsi="Arial"/>
          <w:sz w:val="18"/>
          <w:szCs w:val="18"/>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80" w:lineRule="exact"/>
        <w:rPr>
          <w:sz w:val="20"/>
          <w:szCs w:val="20"/>
          <w:color w:val="auto"/>
        </w:rPr>
      </w:pPr>
    </w:p>
    <w:p>
      <w:pPr>
        <w:ind w:left="1620" w:hanging="780"/>
        <w:spacing w:after="0"/>
        <w:tabs>
          <w:tab w:leader="none" w:pos="16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list of exhibits filed with this report is set forth in the Exhibit Index following the signature page and is incorporated herein by reference.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Reports of Independent Registered Public Accounting Firm</w:t>
              </w:r>
            </w:hyperlink>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560" w:type="dxa"/>
            <w:vAlign w:val="bottom"/>
            <w:vMerge w:val="continue"/>
          </w:tcPr>
          <w:p>
            <w:pPr>
              <w:spacing w:after="0"/>
              <w:rPr>
                <w:sz w:val="18"/>
                <w:szCs w:val="18"/>
                <w:color w:val="auto"/>
              </w:rPr>
            </w:pPr>
          </w:p>
        </w:tc>
        <w:tc>
          <w:tcPr>
            <w:tcW w:w="6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1"/>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Consolidated Balance Sheets as of December 31, 2020 and 2019</w:t>
              </w:r>
            </w:hyperlink>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Consolidated Statements of Operations for the years ended December 31, 2020, 2019, and 2018</w:t>
              </w:r>
            </w:hyperlink>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Consolidated Statements of Stockholders’ Equity for the years ended December 31, 2020, 2019, and 2018</w:t>
              </w:r>
            </w:hyperlink>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Consolidated Statements of Cash Flows for the years ended December 31, 2020, 2019, and 2018</w:t>
              </w:r>
            </w:hyperlink>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Notes to Consolidated Financial Statements</w:t>
              </w:r>
            </w:hyperlink>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Axsome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audited the accompanying consolidated balance sheets of Axsome Therapeutics, Inc. (the “Company”) as of December 31, 2020 and 2019, the related consolidated statements of operations,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6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960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Accounting for the Hercules Capital, Inc. warrants</w:t>
            </w:r>
          </w:p>
        </w:tc>
      </w:tr>
      <w:tr>
        <w:trPr>
          <w:trHeight w:val="418"/>
        </w:trPr>
        <w:tc>
          <w:tcPr>
            <w:tcW w:w="164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600" w:type="dxa"/>
            <w:vAlign w:val="bottom"/>
          </w:tcPr>
          <w:p>
            <w:pPr>
              <w:ind w:left="360"/>
              <w:spacing w:after="0"/>
              <w:rPr>
                <w:sz w:val="20"/>
                <w:szCs w:val="20"/>
                <w:color w:val="auto"/>
              </w:rPr>
            </w:pPr>
            <w:r>
              <w:rPr>
                <w:rFonts w:ascii="Arial" w:cs="Arial" w:eastAsia="Arial" w:hAnsi="Arial"/>
                <w:sz w:val="18"/>
                <w:szCs w:val="18"/>
                <w:color w:val="auto"/>
                <w:w w:val="96"/>
              </w:rPr>
              <w:t>As described in Note 6 - Loan and Security Agreement to the consolidated financial statements, in September 2020, the</w:t>
            </w:r>
          </w:p>
        </w:tc>
      </w:tr>
      <w:tr>
        <w:trPr>
          <w:trHeight w:val="216"/>
        </w:trPr>
        <w:tc>
          <w:tcPr>
            <w:tcW w:w="164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600" w:type="dxa"/>
            <w:vAlign w:val="bottom"/>
          </w:tcPr>
          <w:p>
            <w:pPr>
              <w:ind w:left="360"/>
              <w:spacing w:after="0"/>
              <w:rPr>
                <w:sz w:val="20"/>
                <w:szCs w:val="20"/>
                <w:color w:val="auto"/>
              </w:rPr>
            </w:pPr>
            <w:r>
              <w:rPr>
                <w:rFonts w:ascii="Arial" w:cs="Arial" w:eastAsia="Arial" w:hAnsi="Arial"/>
                <w:sz w:val="18"/>
                <w:szCs w:val="18"/>
                <w:color w:val="auto"/>
                <w:w w:val="94"/>
              </w:rPr>
              <w:t>Company entered into a Loan and Security Agreement with Hercules Capital, Inc. (the “2020 Term Loan”). The agreement</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w w:val="93"/>
              </w:rPr>
              <w:t>provides for an aggregate principal amount of $225 million available in multiple tranches based on certain milestones and for</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w w:val="89"/>
              </w:rPr>
              <w:t>the issuance of warrants to purchase shares of the Company’s common stock equal to 2.5% of the aggregate amount of the 2020</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w w:val="93"/>
              </w:rPr>
              <w:t>Term Loan advances when each tranche is drawn. The warrants issued as of December 31, 2020 are included in equity and</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rPr>
              <w:t>reduced the carrying value of the debt.</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w w:val="93"/>
              </w:rPr>
              <w:t>We have identified the assessment of the unit of account for the warrants to be a critical audit matter. The interpretation and</w:t>
            </w:r>
          </w:p>
        </w:tc>
      </w:tr>
      <w:tr>
        <w:trPr>
          <w:trHeight w:val="216"/>
        </w:trPr>
        <w:tc>
          <w:tcPr>
            <w:tcW w:w="1640" w:type="dxa"/>
            <w:vAlign w:val="bottom"/>
          </w:tcPr>
          <w:p>
            <w:pPr>
              <w:spacing w:after="0"/>
              <w:rPr>
                <w:sz w:val="18"/>
                <w:szCs w:val="18"/>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w w:val="92"/>
              </w:rPr>
              <w:t>application of the relevant accounting literature required significant auditor judgment and the assessment of the legal terms of</w:t>
            </w:r>
          </w:p>
        </w:tc>
      </w:tr>
      <w:tr>
        <w:trPr>
          <w:trHeight w:val="230"/>
        </w:trPr>
        <w:tc>
          <w:tcPr>
            <w:tcW w:w="1640" w:type="dxa"/>
            <w:vAlign w:val="bottom"/>
          </w:tcPr>
          <w:p>
            <w:pPr>
              <w:spacing w:after="0"/>
              <w:rPr>
                <w:sz w:val="20"/>
                <w:szCs w:val="20"/>
                <w:color w:val="auto"/>
              </w:rPr>
            </w:pPr>
          </w:p>
        </w:tc>
        <w:tc>
          <w:tcPr>
            <w:tcW w:w="9600" w:type="dxa"/>
            <w:vAlign w:val="bottom"/>
          </w:tcPr>
          <w:p>
            <w:pPr>
              <w:ind w:left="360"/>
              <w:spacing w:after="0"/>
              <w:rPr>
                <w:sz w:val="20"/>
                <w:szCs w:val="20"/>
                <w:color w:val="auto"/>
              </w:rPr>
            </w:pPr>
            <w:r>
              <w:rPr>
                <w:rFonts w:ascii="Arial" w:cs="Arial" w:eastAsia="Arial" w:hAnsi="Arial"/>
                <w:sz w:val="18"/>
                <w:szCs w:val="18"/>
                <w:color w:val="auto"/>
              </w:rPr>
              <w:t>the arrangement and features of the warrants to determine whether the warrants are freestanding.</w:t>
            </w:r>
          </w:p>
        </w:tc>
      </w:tr>
      <w:tr>
        <w:trPr>
          <w:trHeight w:val="432"/>
        </w:trPr>
        <w:tc>
          <w:tcPr>
            <w:tcW w:w="1640" w:type="dxa"/>
            <w:vAlign w:val="bottom"/>
          </w:tcPr>
          <w:p>
            <w:pPr>
              <w:spacing w:after="0"/>
              <w:rPr>
                <w:sz w:val="24"/>
                <w:szCs w:val="24"/>
                <w:color w:val="auto"/>
              </w:rPr>
            </w:pPr>
          </w:p>
        </w:tc>
        <w:tc>
          <w:tcPr>
            <w:tcW w:w="9600" w:type="dxa"/>
            <w:vAlign w:val="bottom"/>
          </w:tcPr>
          <w:p>
            <w:pPr>
              <w:ind w:left="3860"/>
              <w:spacing w:after="0"/>
              <w:rPr>
                <w:sz w:val="20"/>
                <w:szCs w:val="20"/>
                <w:color w:val="auto"/>
              </w:rPr>
            </w:pPr>
            <w:r>
              <w:rPr>
                <w:rFonts w:ascii="Arial" w:cs="Arial" w:eastAsia="Arial" w:hAnsi="Arial"/>
                <w:sz w:val="18"/>
                <w:szCs w:val="18"/>
                <w:color w:val="auto"/>
              </w:rPr>
              <w:t>F-1</w:t>
            </w:r>
          </w:p>
        </w:tc>
      </w:tr>
      <w:tr>
        <w:trPr>
          <w:trHeight w:val="115"/>
        </w:trPr>
        <w:tc>
          <w:tcPr>
            <w:tcW w:w="1640" w:type="dxa"/>
            <w:vAlign w:val="bottom"/>
            <w:tcBorders>
              <w:bottom w:val="single" w:sz="8" w:color="9A9A9A"/>
            </w:tcBorders>
          </w:tcPr>
          <w:p>
            <w:pPr>
              <w:spacing w:after="0"/>
              <w:rPr>
                <w:sz w:val="10"/>
                <w:szCs w:val="10"/>
                <w:color w:val="auto"/>
              </w:rPr>
            </w:pPr>
          </w:p>
        </w:tc>
        <w:tc>
          <w:tcPr>
            <w:tcW w:w="9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management’s</w:t>
      </w:r>
    </w:p>
    <w:p>
      <w:pPr>
        <w:spacing w:after="0" w:line="23" w:lineRule="exact"/>
        <w:rPr>
          <w:sz w:val="20"/>
          <w:szCs w:val="20"/>
          <w:color w:val="auto"/>
        </w:rPr>
      </w:pPr>
    </w:p>
    <w:p>
      <w:pPr>
        <w:jc w:val="both"/>
        <w:ind w:left="2000" w:right="560" w:hanging="1983"/>
        <w:spacing w:after="0" w:line="255" w:lineRule="auto"/>
        <w:tabs>
          <w:tab w:leader="none" w:pos="19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processes for assessing the accounting considerations for the 2020 Term Loan, specifically, management’s review of the assessment of the legal terms of the arrangement and the warrants supporting the conclusion that the warrants are legally detachable and separately exercisable.</w:t>
      </w:r>
    </w:p>
    <w:p>
      <w:pPr>
        <w:spacing w:after="0" w:line="190" w:lineRule="exact"/>
        <w:rPr>
          <w:sz w:val="20"/>
          <w:szCs w:val="20"/>
          <w:color w:val="auto"/>
        </w:rPr>
      </w:pPr>
    </w:p>
    <w:p>
      <w:pPr>
        <w:ind w:left="2000"/>
        <w:spacing w:after="0" w:line="327" w:lineRule="auto"/>
        <w:rPr>
          <w:sz w:val="20"/>
          <w:szCs w:val="20"/>
          <w:color w:val="auto"/>
        </w:rPr>
      </w:pPr>
      <w:r>
        <w:rPr>
          <w:rFonts w:ascii="Arial" w:cs="Arial" w:eastAsia="Arial" w:hAnsi="Arial"/>
          <w:sz w:val="15"/>
          <w:szCs w:val="15"/>
          <w:color w:val="auto"/>
        </w:rPr>
        <w:t>To evaluate management’s accounting conclusion, we performed audit procedures that included, among others, assessing the Company’s accounting memorandum and other documentation, including the application of the relevant accounting guidance. We read the relevant documents and agreements and compared the terms to the Company’s accounting documentation and legal assessment. We also evaluated the presentation of the transactions in the financial statements and the related footnote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Axsome Therapeutics,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Axsome Therapeutics, Inc.’s internal control over financial reporting as of December 31, 2020, based on criteria established in Internal Control—Integrated Framework issued by the Committee of Sponsoring Organizations of the Treadway Commission (2013 framework) (the COSO criteria). In our opinion, Axsome Therapeutics, Inc.’s (the Company) maintained, in all material respects, effective internal control over financial reporting as of December 31, 2020, based on the COSO criteria.</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stockholders’ equity and cash flows for each of the three years in the period ended December 31, 2020, and the related notes and our report dated March 1, 2021 expressed an unqualified opinion thereon.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183,876,453</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219,966,167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148,373</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413,095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184,024,826</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220,379,262</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Equipment, net</w:t>
            </w: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52,647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30,623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 operating lease</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1,739,475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317,375</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139,875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186,134,323</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220,549,760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13,504,022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10,943,325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8,713,249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10,949,128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liability, current portion</w:t>
            </w: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1,220,587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payable, current portion</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2,602,292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23,437,858</w:t>
            </w: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24,494,745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Loan payable, long-term</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48,321,848</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17,332,626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long-term</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581,708</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72,341,414</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41,827,371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per share (10,000,000 shares authorized, none</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 at December 31, 2020 and December 31, 2019,</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$0.0001 par value per share (150,000,000 shares authorized,</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37,374,088 and 36,933,217 shares issued and outstanding at</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December 31, 2020 and December 31, 2019, respectively)</w:t>
            </w:r>
          </w:p>
        </w:tc>
        <w:tc>
          <w:tcPr>
            <w:tcW w:w="340" w:type="dxa"/>
            <w:vAlign w:val="bottom"/>
          </w:tcPr>
          <w:p>
            <w:pPr>
              <w:spacing w:after="0"/>
              <w:rPr>
                <w:sz w:val="20"/>
                <w:szCs w:val="20"/>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3,737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392,585,265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354,614,189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(278,796,093)</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(175,895,493)</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113,792,909</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178,722,389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186,134,323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220,549,760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70,244,579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53,647,067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23,495,055</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28,896,749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13,598,030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9,351,522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99,141,328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67,245,097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32,846,577</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(99,141,328)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(67,245,097)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(32,846,577)</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(2,565,838)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(1,239,537)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(1,127,305)</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Tax credit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53,578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139,448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217,418</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2,791,000</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(1,247,012)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(102,900,600)</w:t>
            </w:r>
          </w:p>
        </w:tc>
        <w:tc>
          <w:tcPr>
            <w:tcW w:w="1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(68,345,186)</w:t>
            </w:r>
          </w:p>
        </w:tc>
        <w:tc>
          <w:tcPr>
            <w:tcW w:w="1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(30,965,464)</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10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37,206,928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34,020,257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26,883,656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Total stockholders’</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25,492,992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93,299,517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(76,584,843)</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16,717,223</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1,754,974</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1,754,974</w:t>
            </w: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278,925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380,293</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380,322</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Exercise of warrants</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101,310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131,693</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131,703</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 upon debt financing</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37,842</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Issuance of common stock upon financing</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4,213,986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12,880,900</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12,881,321</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(30,965,464)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(30,965,464)</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30,087,213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108,485,219</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(107,550,307)</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937,921</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6,115,160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6,115,160</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Issuance of common stock upon exercise of</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252,773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1,143,816</w:t>
            </w:r>
          </w:p>
        </w:tc>
        <w:tc>
          <w:tcPr>
            <w:tcW w:w="1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1,143,841</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97,541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249,826</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249,836</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Issuance of warrants upon debt financing</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387,000</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387,000</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financing</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6,495,690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649</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238,233,168</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238,233,817</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(68,345,186)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(68,345,186)</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36,933,217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3,693</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354,614,189</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(175,895,493)</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178,722,389</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14,756,206</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14,756,206</w:t>
            </w: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127,778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1,049,836</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1,049,849</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Exercise of warrants</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63,831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 upon debt financing</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884,216</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884,216</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Issuance of common stock upon financing</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167,243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34"/>
              <w:spacing w:after="0"/>
              <w:rPr>
                <w:sz w:val="20"/>
                <w:szCs w:val="20"/>
                <w:color w:val="auto"/>
              </w:rPr>
            </w:pPr>
            <w:r>
              <w:rPr>
                <w:rFonts w:ascii="Arial" w:cs="Arial" w:eastAsia="Arial" w:hAnsi="Arial"/>
                <w:sz w:val="18"/>
                <w:szCs w:val="18"/>
                <w:color w:val="auto"/>
              </w:rPr>
              <w:t>14,125,489</w:t>
            </w: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14,125,506</w:t>
            </w: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related to license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82,019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7,155,329</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7,155,337</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(102,900,600)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(102,900,600)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37,374,088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0"/>
              </w:rPr>
              <w:t>$ 392,585,265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(278,796,093)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4"/>
              </w:rPr>
              <w:t>$  113,792,909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(102,900,600)</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(68,345,186)</w:t>
            </w:r>
          </w:p>
        </w:tc>
        <w:tc>
          <w:tcPr>
            <w:tcW w:w="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(30,965,464)</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14,756,206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6,115,160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1,754,974</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Non-cash research and development license expense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7,155,337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786,750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649,993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375,635</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1,247,012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Amortization of operating lease right-of-use asset</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53,854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(2,791,000)</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Change in operating lease liability</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8,967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23,864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37,330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48,935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264,722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833,265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32,058</w:t>
            </w: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(177,500)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75,607</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2,560,697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7,256,080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251,789</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(2,235,878)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7,105,829</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1,163,765</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(78,456,569)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(46,375,059)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(30,053,701)</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Purchases of equipment</w:t>
            </w: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(16,121)</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term loan</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(1,102,609)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(25,997)</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Repayment of principal on term loan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(21,660,000)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(7,238,889)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financing, net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14,125,506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238,233,817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12,881,321</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upon exercise of warrants</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249,836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131,703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exercise of options</w:t>
            </w: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1,049,849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1,143,841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380,322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42,412,746</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252,388,605</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10,034,016</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(36,089,714)</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205,997,425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(20,052,381)</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219,966,167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13,968,742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34,021,123</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22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183,876,453</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219,966,167</w:t>
            </w: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13,968,742</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2,097,292</w:t>
            </w:r>
          </w:p>
        </w:tc>
        <w:tc>
          <w:tcPr>
            <w:tcW w:w="4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1,287,506</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771,966</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1,793,328</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financing activity:</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Issuance of warrants in connection with debt financing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884,216</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387,000</w:t>
            </w:r>
          </w:p>
        </w:tc>
        <w:tc>
          <w:tcPr>
            <w:tcW w:w="8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229" w:lineRule="exact"/>
        <w:rPr>
          <w:sz w:val="20"/>
          <w:szCs w:val="20"/>
          <w:color w:val="auto"/>
        </w:rPr>
      </w:pPr>
    </w:p>
    <w:p>
      <w:pPr>
        <w:ind w:right="60" w:firstLine="832"/>
        <w:spacing w:after="0" w:line="218" w:lineRule="exact"/>
        <w:rPr>
          <w:sz w:val="20"/>
          <w:szCs w:val="20"/>
          <w:color w:val="auto"/>
        </w:rPr>
      </w:pPr>
      <w:r>
        <w:rPr>
          <w:rFonts w:ascii="Arial" w:cs="Arial" w:eastAsia="Arial" w:hAnsi="Arial"/>
          <w:sz w:val="18"/>
          <w:szCs w:val="18"/>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w:t>
      </w:r>
      <w:r>
        <w:rPr>
          <w:rFonts w:ascii="MS PGothic" w:cs="MS PGothic" w:eastAsia="MS PGothic" w:hAnsi="MS PGothic"/>
          <w:sz w:val="18"/>
          <w:szCs w:val="18"/>
          <w:color w:val="auto"/>
        </w:rPr>
        <w:t>‑</w:t>
      </w:r>
      <w:r>
        <w:rPr>
          <w:rFonts w:ascii="Arial" w:cs="Arial" w:eastAsia="Arial" w:hAnsi="Arial"/>
          <w:sz w:val="18"/>
          <w:szCs w:val="18"/>
          <w:color w:val="auto"/>
        </w:rPr>
        <w:t>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207" w:lineRule="exact"/>
        <w:rPr>
          <w:sz w:val="20"/>
          <w:szCs w:val="20"/>
          <w:color w:val="auto"/>
        </w:rPr>
      </w:pPr>
    </w:p>
    <w:p>
      <w:pPr>
        <w:ind w:right="300" w:firstLine="832"/>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229" w:lineRule="exact"/>
        <w:rPr>
          <w:sz w:val="20"/>
          <w:szCs w:val="20"/>
          <w:color w:val="auto"/>
        </w:rPr>
      </w:pPr>
    </w:p>
    <w:p>
      <w:pPr>
        <w:ind w:right="160" w:firstLine="832"/>
        <w:spacing w:after="0" w:line="263" w:lineRule="auto"/>
        <w:rPr>
          <w:sz w:val="20"/>
          <w:szCs w:val="20"/>
          <w:color w:val="auto"/>
        </w:rPr>
      </w:pPr>
      <w:r>
        <w:rPr>
          <w:rFonts w:ascii="Arial" w:cs="Arial" w:eastAsia="Arial" w:hAnsi="Arial"/>
          <w:sz w:val="18"/>
          <w:szCs w:val="18"/>
          <w:color w:val="auto"/>
        </w:rPr>
        <w:t>In connection with the completion of the Company’s initial public offering (“IPO”) on November 24, 2015, the Company’s stockholders approved an amended and restated Certificate of Incorporation, in which its authorized capital stock consists of 150,000,000 shares of common stock, par value $0.0001 per share, and 10,000,000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832"/>
        <w:spacing w:after="0" w:line="308" w:lineRule="auto"/>
        <w:rPr>
          <w:sz w:val="20"/>
          <w:szCs w:val="20"/>
          <w:color w:val="auto"/>
        </w:rPr>
      </w:pPr>
      <w:r>
        <w:rPr>
          <w:rFonts w:ascii="Arial" w:cs="Arial" w:eastAsia="Arial" w:hAnsi="Arial"/>
          <w:sz w:val="17"/>
          <w:szCs w:val="17"/>
          <w:color w:val="auto"/>
        </w:rPr>
        <w:t>The Company has incurred operating losses since its inception, and expects to continue to incur operating losses for the foreseeable future and may never become profitable. As of December 31, 2020, the Company had an accumulated deficit of $278.8 million.</w:t>
      </w:r>
    </w:p>
    <w:p>
      <w:pPr>
        <w:spacing w:after="0" w:line="146" w:lineRule="exact"/>
        <w:rPr>
          <w:sz w:val="20"/>
          <w:szCs w:val="20"/>
          <w:color w:val="auto"/>
        </w:rPr>
      </w:pPr>
    </w:p>
    <w:p>
      <w:pPr>
        <w:ind w:right="80" w:firstLine="832"/>
        <w:spacing w:after="0" w:line="275"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76"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Company’s common stock is listed on the Nasdaq Global Market and trades under the symbol “AXSM”.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20" w:firstLine="832"/>
        <w:spacing w:after="0" w:line="289"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a material impact on the Company’s current investment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229" w:lineRule="exact"/>
        <w:rPr>
          <w:sz w:val="20"/>
          <w:szCs w:val="20"/>
          <w:color w:val="auto"/>
        </w:rPr>
      </w:pPr>
    </w:p>
    <w:p>
      <w:pPr>
        <w:ind w:firstLine="832"/>
        <w:spacing w:after="0" w:line="273" w:lineRule="auto"/>
        <w:rPr>
          <w:sz w:val="20"/>
          <w:szCs w:val="20"/>
          <w:color w:val="auto"/>
        </w:rPr>
      </w:pPr>
      <w:r>
        <w:rPr>
          <w:rFonts w:ascii="Arial" w:cs="Arial" w:eastAsia="Arial" w:hAnsi="Arial"/>
          <w:sz w:val="17"/>
          <w:szCs w:val="17"/>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832"/>
        <w:spacing w:after="0" w:line="217" w:lineRule="exact"/>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0" w:firstLine="832"/>
        <w:spacing w:after="0" w:line="286" w:lineRule="auto"/>
        <w:rPr>
          <w:sz w:val="20"/>
          <w:szCs w:val="20"/>
          <w:color w:val="auto"/>
        </w:rPr>
      </w:pPr>
      <w:r>
        <w:rPr>
          <w:rFonts w:ascii="Arial" w:cs="Arial" w:eastAsia="Arial" w:hAnsi="Arial"/>
          <w:sz w:val="17"/>
          <w:szCs w:val="17"/>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20" w:firstLine="832"/>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firstLine="832"/>
        <w:spacing w:after="0" w:line="275" w:lineRule="auto"/>
        <w:rPr>
          <w:sz w:val="20"/>
          <w:szCs w:val="20"/>
          <w:color w:val="auto"/>
        </w:rPr>
      </w:pPr>
      <w:r>
        <w:rPr>
          <w:rFonts w:ascii="Arial" w:cs="Arial" w:eastAsia="Arial" w:hAnsi="Arial"/>
          <w:sz w:val="17"/>
          <w:szCs w:val="17"/>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2020, the balance of cash and cash equivalents was $183.9 million, which approximates fair value and was determined based upon Level 1 inputs. The sweep account is valued using quoted market prices with no valuation adjustments applied. Accordingly, these securities are categorized as Level 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firstLine="832"/>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December 31, 2020,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firstLine="832"/>
        <w:spacing w:after="0" w:line="220"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in active markets for identical assets or liabilities that the Company has the ability to access at the measurement date.</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 or indirectly.</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225" w:lineRule="exact"/>
        <w:rPr>
          <w:sz w:val="20"/>
          <w:szCs w:val="20"/>
          <w:color w:val="auto"/>
        </w:rPr>
      </w:pPr>
    </w:p>
    <w:p>
      <w:pPr>
        <w:ind w:right="20" w:firstLine="832"/>
        <w:spacing w:after="0" w:line="259" w:lineRule="auto"/>
        <w:rPr>
          <w:sz w:val="20"/>
          <w:szCs w:val="20"/>
          <w:color w:val="auto"/>
        </w:rPr>
      </w:pPr>
      <w:r>
        <w:rPr>
          <w:rFonts w:ascii="Arial" w:cs="Arial" w:eastAsia="Arial" w:hAnsi="Arial"/>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140" w:firstLine="832"/>
        <w:spacing w:after="0" w:line="301" w:lineRule="auto"/>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20" w:firstLine="832"/>
        <w:spacing w:after="0" w:line="286" w:lineRule="auto"/>
        <w:rPr>
          <w:sz w:val="20"/>
          <w:szCs w:val="20"/>
          <w:color w:val="auto"/>
        </w:rPr>
      </w:pPr>
      <w:r>
        <w:rPr>
          <w:rFonts w:ascii="Arial" w:cs="Arial" w:eastAsia="Arial" w:hAnsi="Arial"/>
          <w:sz w:val="17"/>
          <w:szCs w:val="17"/>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firstLine="832"/>
        <w:spacing w:after="0" w:line="220"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832"/>
        <w:spacing w:after="0" w:line="269"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832"/>
        <w:spacing w:after="0" w:line="293"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4" w:lineRule="exact"/>
        <w:rPr>
          <w:sz w:val="20"/>
          <w:szCs w:val="20"/>
          <w:color w:val="auto"/>
        </w:rPr>
      </w:pPr>
    </w:p>
    <w:p>
      <w:pPr>
        <w:ind w:right="340" w:firstLine="832"/>
        <w:spacing w:after="0" w:line="263" w:lineRule="auto"/>
        <w:rPr>
          <w:sz w:val="20"/>
          <w:szCs w:val="20"/>
          <w:color w:val="auto"/>
        </w:rPr>
      </w:pPr>
      <w:r>
        <w:rPr>
          <w:rFonts w:ascii="Arial" w:cs="Arial" w:eastAsia="Arial" w:hAnsi="Arial"/>
          <w:sz w:val="18"/>
          <w:szCs w:val="18"/>
          <w:color w:val="auto"/>
        </w:rPr>
        <w:t>The Company’s annual effective tax rate was 0% for the year ending December 31, 2020 and has not recorded an income tax benefit for the twelve months ended December 31, 2020 and 2019 since it determined that a full valuation allowance is required against the Company’s deferred tax assets.</w:t>
      </w:r>
    </w:p>
    <w:p>
      <w:pPr>
        <w:spacing w:after="0" w:line="184" w:lineRule="exact"/>
        <w:rPr>
          <w:sz w:val="20"/>
          <w:szCs w:val="20"/>
          <w:color w:val="auto"/>
        </w:rPr>
      </w:pPr>
    </w:p>
    <w:p>
      <w:pPr>
        <w:ind w:right="40" w:firstLine="832"/>
        <w:spacing w:after="0" w:line="275"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2020,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100" w:firstLine="832"/>
        <w:spacing w:after="0" w:line="219" w:lineRule="exact"/>
        <w:rPr>
          <w:sz w:val="20"/>
          <w:szCs w:val="20"/>
          <w:color w:val="auto"/>
        </w:rPr>
      </w:pPr>
      <w:r>
        <w:rPr>
          <w:rFonts w:ascii="Arial" w:cs="Arial" w:eastAsia="Arial" w:hAnsi="Arial"/>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w:t>
      </w:r>
    </w:p>
    <w:p>
      <w:pPr>
        <w:spacing w:after="0" w:line="202" w:lineRule="exact"/>
        <w:rPr>
          <w:sz w:val="20"/>
          <w:szCs w:val="20"/>
          <w:color w:val="auto"/>
        </w:rPr>
      </w:pPr>
    </w:p>
    <w:p>
      <w:pPr>
        <w:ind w:right="80" w:firstLine="832"/>
        <w:spacing w:after="0" w:line="263" w:lineRule="auto"/>
        <w:rPr>
          <w:sz w:val="20"/>
          <w:szCs w:val="20"/>
          <w:color w:val="auto"/>
        </w:rPr>
      </w:pPr>
      <w:r>
        <w:rPr>
          <w:rFonts w:ascii="Arial" w:cs="Arial" w:eastAsia="Arial" w:hAnsi="Arial"/>
          <w:sz w:val="18"/>
          <w:szCs w:val="18"/>
          <w:color w:val="auto"/>
        </w:rPr>
        <w:t>For restricted stock units (“RSUs”), the Company issues them in the form of Company common stock. The fair market value of these awards is based on the market closing price per share on the grant date. Prior to January 1, 2020, the Company only granted stock options. Beginning in 2020, for grants to employees, the Company granted a mix of stock options and RSUs.</w:t>
      </w:r>
    </w:p>
    <w:p>
      <w:pPr>
        <w:spacing w:after="0" w:line="184" w:lineRule="exact"/>
        <w:rPr>
          <w:sz w:val="20"/>
          <w:szCs w:val="20"/>
          <w:color w:val="auto"/>
        </w:rPr>
      </w:pPr>
    </w:p>
    <w:p>
      <w:pPr>
        <w:ind w:firstLine="832"/>
        <w:spacing w:after="0" w:line="301"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57" w:lineRule="exact"/>
        <w:rPr>
          <w:sz w:val="20"/>
          <w:szCs w:val="20"/>
          <w:color w:val="auto"/>
        </w:rPr>
      </w:pPr>
    </w:p>
    <w:p>
      <w:pPr>
        <w:ind w:right="320" w:firstLine="832"/>
        <w:spacing w:after="0" w:line="277" w:lineRule="auto"/>
        <w:rPr>
          <w:sz w:val="20"/>
          <w:szCs w:val="20"/>
          <w:color w:val="auto"/>
        </w:rPr>
      </w:pPr>
      <w:r>
        <w:rPr>
          <w:rFonts w:ascii="Arial" w:cs="Arial" w:eastAsia="Arial" w:hAnsi="Arial"/>
          <w:sz w:val="18"/>
          <w:szCs w:val="18"/>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w:t>
      </w:r>
    </w:p>
    <w:p>
      <w:pPr>
        <w:spacing w:after="0" w:line="229" w:lineRule="exact"/>
        <w:rPr>
          <w:sz w:val="20"/>
          <w:szCs w:val="20"/>
          <w:color w:val="auto"/>
        </w:rPr>
      </w:pPr>
    </w:p>
    <w:p>
      <w:pPr>
        <w:jc w:val="both"/>
        <w:ind w:right="220" w:firstLine="832"/>
        <w:spacing w:after="0" w:line="263" w:lineRule="auto"/>
        <w:rPr>
          <w:sz w:val="20"/>
          <w:szCs w:val="20"/>
          <w:color w:val="auto"/>
        </w:rPr>
      </w:pPr>
      <w:r>
        <w:rPr>
          <w:rFonts w:ascii="Arial" w:cs="Arial" w:eastAsia="Arial" w:hAnsi="Arial"/>
          <w:sz w:val="18"/>
          <w:szCs w:val="18"/>
          <w:color w:val="auto"/>
        </w:rPr>
        <w:t>The tax credit represents the receipt by Axsome Therapeutics Australia PTY, LTD, the Company’s Australian subsidiary, of the Australia Tax Incentive Credit, related to the Company’s research and development expenses incurred for its product candidates. These expenses were incurred in prior periods and therefore the grant income was recorded when the funds were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ind w:right="40" w:firstLine="832"/>
        <w:spacing w:after="0" w:line="257" w:lineRule="auto"/>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years ended December 31, 2020,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20" w:firstLine="832"/>
        <w:spacing w:after="0" w:line="257" w:lineRule="auto"/>
        <w:rPr>
          <w:sz w:val="20"/>
          <w:szCs w:val="20"/>
          <w:color w:val="auto"/>
        </w:rPr>
      </w:pPr>
      <w:r>
        <w:rPr>
          <w:rFonts w:ascii="Arial" w:cs="Arial" w:eastAsia="Arial" w:hAnsi="Arial"/>
          <w:sz w:val="18"/>
          <w:szCs w:val="18"/>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832"/>
        <w:spacing w:after="0" w:line="301" w:lineRule="auto"/>
        <w:rPr>
          <w:sz w:val="20"/>
          <w:szCs w:val="20"/>
          <w:color w:val="auto"/>
        </w:rPr>
      </w:pPr>
      <w:r>
        <w:rPr>
          <w:rFonts w:ascii="Arial" w:cs="Arial" w:eastAsia="Arial" w:hAnsi="Arial"/>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57" w:lineRule="exact"/>
        <w:rPr>
          <w:sz w:val="20"/>
          <w:szCs w:val="20"/>
          <w:color w:val="auto"/>
        </w:rPr>
      </w:pPr>
    </w:p>
    <w:p>
      <w:pPr>
        <w:ind w:right="40" w:firstLine="832"/>
        <w:spacing w:after="0" w:line="257" w:lineRule="auto"/>
        <w:rPr>
          <w:sz w:val="20"/>
          <w:szCs w:val="20"/>
          <w:color w:val="auto"/>
        </w:rPr>
      </w:pPr>
      <w:r>
        <w:rPr>
          <w:rFonts w:ascii="Arial" w:cs="Arial" w:eastAsia="Arial" w:hAnsi="Arial"/>
          <w:sz w:val="18"/>
          <w:szCs w:val="18"/>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88" w:lineRule="exact"/>
        <w:rPr>
          <w:sz w:val="20"/>
          <w:szCs w:val="20"/>
          <w:color w:val="auto"/>
        </w:rPr>
      </w:pPr>
    </w:p>
    <w:p>
      <w:pPr>
        <w:ind w:firstLine="832"/>
        <w:spacing w:after="0" w:line="257" w:lineRule="auto"/>
        <w:rPr>
          <w:sz w:val="20"/>
          <w:szCs w:val="20"/>
          <w:color w:val="auto"/>
        </w:rPr>
      </w:pPr>
      <w:r>
        <w:rPr>
          <w:rFonts w:ascii="Arial" w:cs="Arial" w:eastAsia="Arial" w:hAnsi="Arial"/>
          <w:sz w:val="18"/>
          <w:szCs w:val="18"/>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that the Company is reasonably certain to exercise, are excluded from this treatment and are recognized on a straight-line basis over the term of the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832"/>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is currently evaluating the expected impact of this standard, but does not expect it to have a material impact on its consolidated financial statements upon adoption.</w:t>
      </w:r>
    </w:p>
    <w:p>
      <w:pPr>
        <w:spacing w:after="0" w:line="192" w:lineRule="exact"/>
        <w:rPr>
          <w:sz w:val="20"/>
          <w:szCs w:val="20"/>
          <w:color w:val="auto"/>
        </w:rPr>
      </w:pPr>
    </w:p>
    <w:p>
      <w:pPr>
        <w:ind w:firstLine="832"/>
        <w:spacing w:after="0" w:line="296" w:lineRule="auto"/>
        <w:rPr>
          <w:sz w:val="20"/>
          <w:szCs w:val="20"/>
          <w:color w:val="auto"/>
        </w:rPr>
      </w:pPr>
      <w:r>
        <w:rPr>
          <w:rFonts w:ascii="Arial" w:cs="Arial" w:eastAsia="Arial" w:hAnsi="Arial"/>
          <w:sz w:val="16"/>
          <w:szCs w:val="16"/>
          <w:color w:val="auto"/>
        </w:rPr>
        <w:t>In October 2020, the FASB issued ASU 2020-10, Codification Improvements, which clarifies various topics in the Accounting Standards Codification, including the addition of existing disclosure requirements to the relevant disclosure sections. The amendments in ASU 2020-10 do not change GAAP and, therefore, are not expected to result in a significant change in practice. ASU 2020-10 should be applied retrospectively to the beginning of the period that includes the adoption date. ASU 2020-10 is effective for fiscal years, and interim periods within those fiscal years, beginning after December 15, 2020. We do not expect the adoption of this new standard to have a material impact on our condensed consolidated financial statements.</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229" w:lineRule="exact"/>
        <w:rPr>
          <w:sz w:val="20"/>
          <w:szCs w:val="20"/>
          <w:color w:val="auto"/>
        </w:rPr>
      </w:pPr>
    </w:p>
    <w:p>
      <w:pPr>
        <w:ind w:right="20" w:firstLine="832"/>
        <w:spacing w:after="0" w:line="290" w:lineRule="auto"/>
        <w:rPr>
          <w:sz w:val="20"/>
          <w:szCs w:val="20"/>
          <w:color w:val="auto"/>
        </w:rPr>
      </w:pPr>
      <w:r>
        <w:rPr>
          <w:rFonts w:ascii="Arial" w:cs="Arial" w:eastAsia="Arial" w:hAnsi="Arial"/>
          <w:sz w:val="16"/>
          <w:szCs w:val="16"/>
          <w:color w:val="auto"/>
        </w:rPr>
        <w:t xml:space="preserve">In connection with the Company’s 2017 Registered Direct Offering, the Company issued common stock warrants (“Common Warrants”) to certain investors to purchase an aggregate of 1,783,587 shares of its common stock. The Common Warrants were exercisable at $5.25 per share and expired on December 11, 2018. Additionally, as part of the 2017 Registered Direct Offering, the Company issued warrants (the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(collectively the “2017 Warrants”) were analyzed and it was determined that they required liability treatment.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registered common stock warrants that require the issuance of registered shares upon exercise and do not expressly preclude an implied right to cash settlement are accounted for as derivative liabilities.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The fair value of the Common Warrants and Placement Agent Warrants at December 31, 2017 were determined to be approximately $2,683,000 and $108,000, respectively, which total to $2,791,000 as calculated using Black-Scholes with the following assumptions: (1) stock price of $5.60; (2) a risk-free rate of 1.76%; and (3) an expected volatility of 62%.</w:t>
      </w:r>
    </w:p>
    <w:p>
      <w:pPr>
        <w:spacing w:after="0" w:line="184" w:lineRule="exact"/>
        <w:rPr>
          <w:sz w:val="20"/>
          <w:szCs w:val="20"/>
          <w:color w:val="auto"/>
        </w:rPr>
      </w:pPr>
    </w:p>
    <w:p>
      <w:pPr>
        <w:ind w:firstLine="832"/>
        <w:spacing w:after="0" w:line="277" w:lineRule="auto"/>
        <w:rPr>
          <w:sz w:val="20"/>
          <w:szCs w:val="20"/>
          <w:color w:val="auto"/>
        </w:rPr>
      </w:pPr>
      <w:r>
        <w:rPr>
          <w:rFonts w:ascii="Arial" w:cs="Arial" w:eastAsia="Arial" w:hAnsi="Arial"/>
          <w:sz w:val="18"/>
          <w:szCs w:val="18"/>
          <w:color w:val="auto"/>
        </w:rPr>
        <w:t>The 2017 Warrants associated with 2017 Registered Direct Offering expired on December 11, 2018, and therefore, the warrant liability was zero as of December 31, 2018.</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were no financial liabilities measured at fair value on a recurring basis as of December 31, 2020 and December 31, 2019.</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(102,900,600)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(68,345,186)</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(30,965,464)</w:t>
            </w: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37,206,928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34,020,257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26,883,656</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loss per common share—basic and diluted</w:t>
            </w:r>
          </w:p>
        </w:tc>
        <w:tc>
          <w:tcPr>
            <w:tcW w:w="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firstLine="832"/>
        <w:spacing w:after="0" w:line="223" w:lineRule="exact"/>
        <w:rPr>
          <w:sz w:val="20"/>
          <w:szCs w:val="20"/>
          <w:color w:val="auto"/>
        </w:rPr>
      </w:pPr>
      <w:r>
        <w:rPr>
          <w:rFonts w:ascii="Arial" w:cs="Arial" w:eastAsia="Arial" w:hAnsi="Arial"/>
          <w:sz w:val="18"/>
          <w:szCs w:val="18"/>
          <w:color w:val="auto"/>
        </w:rPr>
        <w:t>The following potentially dilutive securities outstanding at December 31, 2020, 2019, and 2018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3,733,916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3,458,447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2,291,163</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136,067</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15,541</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69,656</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123,037</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3,885,524</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3,528,103</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2,414,200</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 December 31, 2020 and 2019, accrued expenses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402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7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4,293,522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8,209,594</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Accrued compensation</w:t>
            </w: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2,870,261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2,056,356</w:t>
            </w: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and administrative</w:t>
            </w:r>
          </w:p>
        </w:tc>
        <w:tc>
          <w:tcPr>
            <w:tcW w:w="3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1,155,508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554,011</w:t>
            </w: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Interest</w:t>
            </w:r>
          </w:p>
        </w:tc>
        <w:tc>
          <w:tcPr>
            <w:tcW w:w="3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393,958</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129,167</w:t>
            </w: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8,713,249</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10,949,128</w:t>
            </w:r>
          </w:p>
        </w:tc>
      </w:tr>
      <w:tr>
        <w:trPr>
          <w:trHeight w:val="20"/>
        </w:trPr>
        <w:tc>
          <w:tcPr>
            <w:tcW w:w="4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100" w:type="dxa"/>
            <w:vAlign w:val="bottom"/>
            <w:gridSpan w:val="2"/>
          </w:tcPr>
          <w:p>
            <w:pPr>
              <w:jc w:val="right"/>
              <w:ind w:right="2247"/>
              <w:spacing w:after="0"/>
              <w:rPr>
                <w:sz w:val="20"/>
                <w:szCs w:val="20"/>
                <w:color w:val="auto"/>
              </w:rPr>
            </w:pPr>
            <w:r>
              <w:rPr>
                <w:rFonts w:ascii="Arial" w:cs="Arial" w:eastAsia="Arial" w:hAnsi="Arial"/>
                <w:sz w:val="18"/>
                <w:szCs w:val="18"/>
                <w:color w:val="auto"/>
              </w:rPr>
              <w:t>F-14</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Loan and Security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Term Loan</w:t>
      </w:r>
    </w:p>
    <w:p>
      <w:pPr>
        <w:spacing w:after="0" w:line="225" w:lineRule="exact"/>
        <w:rPr>
          <w:sz w:val="20"/>
          <w:szCs w:val="20"/>
          <w:color w:val="auto"/>
        </w:rPr>
      </w:pPr>
    </w:p>
    <w:p>
      <w:pPr>
        <w:ind w:firstLine="832"/>
        <w:spacing w:after="0" w:line="283" w:lineRule="auto"/>
        <w:rPr>
          <w:sz w:val="20"/>
          <w:szCs w:val="20"/>
          <w:color w:val="auto"/>
        </w:rPr>
      </w:pPr>
      <w:r>
        <w:rPr>
          <w:rFonts w:ascii="Arial" w:cs="Arial" w:eastAsia="Arial" w:hAnsi="Arial"/>
          <w:sz w:val="16"/>
          <w:szCs w:val="16"/>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w:t>
      </w:r>
    </w:p>
    <w:p>
      <w:pPr>
        <w:spacing w:after="0" w:line="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Company intends to use the proceeds of the Term Loan Advances for working capital and general corporate purposes. In addition, approximately $21.7 million of the proceeds from the First Advance was used to satisfy in full and retire the Company’s indebtedness under the 2019 Term Loan, as amended.</w:t>
      </w:r>
    </w:p>
    <w:p>
      <w:pPr>
        <w:spacing w:after="0" w:line="180" w:lineRule="exact"/>
        <w:rPr>
          <w:sz w:val="20"/>
          <w:szCs w:val="20"/>
          <w:color w:val="auto"/>
        </w:rPr>
      </w:pPr>
    </w:p>
    <w:p>
      <w:pPr>
        <w:ind w:right="60" w:firstLine="832"/>
        <w:spacing w:after="0" w:line="293" w:lineRule="auto"/>
        <w:rPr>
          <w:sz w:val="20"/>
          <w:szCs w:val="20"/>
          <w:color w:val="auto"/>
        </w:rPr>
      </w:pPr>
      <w:r>
        <w:rPr>
          <w:rFonts w:ascii="Arial" w:cs="Arial" w:eastAsia="Arial" w:hAnsi="Arial"/>
          <w:sz w:val="16"/>
          <w:szCs w:val="16"/>
          <w:color w:val="auto"/>
        </w:rPr>
        <w:t>The outstanding principal balance of the term loans bears interest at an annual rate equal to the greater of either (i) the prime rate as reported in The Wall Street Journal plus 5.90% or (ii) 9.15%, subject to an ability by the Company, during certain periods (each, a “PIK Deferral Period”), to request a reduction of the then-effective cash-pay interest rate by up to 1.00% per annum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64" w:lineRule="exact"/>
        <w:rPr>
          <w:sz w:val="20"/>
          <w:szCs w:val="20"/>
          <w:color w:val="auto"/>
        </w:rPr>
      </w:pPr>
    </w:p>
    <w:p>
      <w:pPr>
        <w:ind w:firstLine="832"/>
        <w:spacing w:after="0" w:line="293" w:lineRule="auto"/>
        <w:rPr>
          <w:sz w:val="20"/>
          <w:szCs w:val="20"/>
          <w:color w:val="auto"/>
        </w:rPr>
      </w:pPr>
      <w:r>
        <w:rPr>
          <w:rFonts w:ascii="Arial" w:cs="Arial" w:eastAsia="Arial" w:hAnsi="Arial"/>
          <w:sz w:val="16"/>
          <w:szCs w:val="16"/>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64" w:lineRule="exact"/>
        <w:rPr>
          <w:sz w:val="20"/>
          <w:szCs w:val="20"/>
          <w:color w:val="auto"/>
        </w:rPr>
      </w:pPr>
    </w:p>
    <w:p>
      <w:pPr>
        <w:ind w:right="20" w:firstLine="832"/>
        <w:spacing w:after="0" w:line="257"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832"/>
        <w:spacing w:after="0" w:line="296"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61" w:lineRule="exact"/>
        <w:rPr>
          <w:sz w:val="20"/>
          <w:szCs w:val="20"/>
          <w:color w:val="auto"/>
        </w:rPr>
      </w:pPr>
    </w:p>
    <w:p>
      <w:pPr>
        <w:ind w:left="1240" w:right="20" w:hanging="409"/>
        <w:spacing w:after="0" w:line="257"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187" w:lineRule="exact"/>
        <w:rPr>
          <w:rFonts w:ascii="Arial" w:cs="Arial" w:eastAsia="Arial" w:hAnsi="Arial"/>
          <w:sz w:val="18"/>
          <w:szCs w:val="18"/>
          <w:color w:val="auto"/>
        </w:rPr>
      </w:pPr>
    </w:p>
    <w:p>
      <w:pPr>
        <w:ind w:left="1240" w:hanging="409"/>
        <w:spacing w:after="0" w:line="287" w:lineRule="auto"/>
        <w:tabs>
          <w:tab w:leader="none" w:pos="1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71" w:lineRule="exact"/>
        <w:rPr>
          <w:rFonts w:ascii="Arial" w:cs="Arial" w:eastAsia="Arial" w:hAnsi="Arial"/>
          <w:sz w:val="16"/>
          <w:szCs w:val="16"/>
          <w:color w:val="auto"/>
        </w:rPr>
      </w:pPr>
    </w:p>
    <w:p>
      <w:pPr>
        <w:ind w:left="1240" w:right="360" w:hanging="409"/>
        <w:spacing w:after="0" w:line="342" w:lineRule="auto"/>
        <w:tabs>
          <w:tab w:leader="none" w:pos="1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24" w:lineRule="exact"/>
        <w:rPr>
          <w:sz w:val="20"/>
          <w:szCs w:val="20"/>
          <w:color w:val="auto"/>
        </w:rPr>
      </w:pPr>
    </w:p>
    <w:p>
      <w:pPr>
        <w:ind w:right="80" w:firstLine="832"/>
        <w:spacing w:after="0" w:line="308" w:lineRule="auto"/>
        <w:rPr>
          <w:sz w:val="20"/>
          <w:szCs w:val="20"/>
          <w:color w:val="auto"/>
        </w:rPr>
      </w:pPr>
      <w:r>
        <w:rPr>
          <w:rFonts w:ascii="Arial" w:cs="Arial" w:eastAsia="Arial" w:hAnsi="Arial"/>
          <w:sz w:val="17"/>
          <w:szCs w:val="17"/>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46" w:lineRule="exact"/>
        <w:rPr>
          <w:sz w:val="20"/>
          <w:szCs w:val="20"/>
          <w:color w:val="auto"/>
        </w:rPr>
      </w:pPr>
    </w:p>
    <w:p>
      <w:pPr>
        <w:ind w:right="160" w:firstLine="832"/>
        <w:spacing w:after="0" w:line="263" w:lineRule="auto"/>
        <w:rPr>
          <w:sz w:val="20"/>
          <w:szCs w:val="20"/>
          <w:color w:val="auto"/>
        </w:rPr>
      </w:pPr>
      <w:r>
        <w:rPr>
          <w:rFonts w:ascii="Arial" w:cs="Arial" w:eastAsia="Arial" w:hAnsi="Arial"/>
          <w:sz w:val="18"/>
          <w:szCs w:val="18"/>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ind w:right="380" w:firstLine="832"/>
        <w:spacing w:after="0" w:line="279" w:lineRule="auto"/>
        <w:rPr>
          <w:sz w:val="20"/>
          <w:szCs w:val="20"/>
          <w:color w:val="auto"/>
        </w:rPr>
      </w:pPr>
      <w:r>
        <w:rPr>
          <w:rFonts w:ascii="Arial" w:cs="Arial" w:eastAsia="Arial" w:hAnsi="Arial"/>
          <w:sz w:val="17"/>
          <w:szCs w:val="17"/>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71" w:lineRule="exact"/>
        <w:rPr>
          <w:sz w:val="20"/>
          <w:szCs w:val="20"/>
          <w:color w:val="auto"/>
        </w:rPr>
      </w:pPr>
    </w:p>
    <w:p>
      <w:pPr>
        <w:ind w:right="20" w:firstLine="832"/>
        <w:spacing w:after="0" w:line="275" w:lineRule="auto"/>
        <w:rPr>
          <w:sz w:val="20"/>
          <w:szCs w:val="20"/>
          <w:color w:val="auto"/>
        </w:rPr>
      </w:pPr>
      <w:r>
        <w:rPr>
          <w:rFonts w:ascii="Arial" w:cs="Arial" w:eastAsia="Arial" w:hAnsi="Arial"/>
          <w:sz w:val="17"/>
          <w:szCs w:val="17"/>
          <w:color w:val="auto"/>
        </w:rPr>
        <w:t>The Company evaluated whether the Hercules Term Loan entered into in September 2020 represented a debt modification or extinguishment of the SVB Loan in accordance with ASC 470-50, Debt – Modifications and Extinguishments. As a result of the repayment and retirement of the SVB Loan, the SVB Loan was accounted for by the Company under the extinguishment accounting model. The Company recorded a loss on extinguishment of debt of approximately $1.2 million on the Company’s statement of operations for the twelve months ended December 31, 2020, representing a prepayment premium, the unamortized discount of the SVB Loan and the write-off of deferred financing costs.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w:t>
      </w:r>
    </w:p>
    <w:p>
      <w:pPr>
        <w:spacing w:after="0" w:line="225" w:lineRule="exact"/>
        <w:rPr>
          <w:sz w:val="20"/>
          <w:szCs w:val="20"/>
          <w:color w:val="auto"/>
        </w:rPr>
      </w:pPr>
    </w:p>
    <w:p>
      <w:pPr>
        <w:ind w:right="20" w:firstLine="832"/>
        <w:spacing w:after="0" w:line="254" w:lineRule="auto"/>
        <w:rPr>
          <w:sz w:val="20"/>
          <w:szCs w:val="20"/>
          <w:color w:val="auto"/>
        </w:rPr>
      </w:pPr>
      <w:r>
        <w:rPr>
          <w:rFonts w:ascii="Arial" w:cs="Arial" w:eastAsia="Arial" w:hAnsi="Arial"/>
          <w:sz w:val="18"/>
          <w:szCs w:val="18"/>
          <w:color w:val="auto"/>
        </w:rPr>
        <w:t>In November 2016, the Company entered into an initial term loan agreement with Silicon Valley Bank (“SVB”) for a total of $20.0 million (“2016 Original Term Loan”). The three-tranche term loan consisted of an initial $10.0 million tranche funded upon closing, and the remaining tranches were not drawn upon as the Company did not achieve the conditional criteria to access the second and third tranches before the specified dates and the $10.0 million in additional term loan advances subsequently expired. Therefore, the Company amended the 2016 Original Term Loan to provide an additional $4.0 million growth capital loan (“2016 Amended Term Loan”). The Company’s obligations under the 2016 Amended Term Loan, along with the ability to draw down on the additional $4.0 million tranche, were considered to be performed and completed in connection with the establishment of the 2019 Term Loan (as defined below).</w:t>
      </w:r>
    </w:p>
    <w:p>
      <w:pPr>
        <w:spacing w:after="0" w:line="195" w:lineRule="exact"/>
        <w:rPr>
          <w:sz w:val="20"/>
          <w:szCs w:val="20"/>
          <w:color w:val="auto"/>
        </w:rPr>
      </w:pPr>
    </w:p>
    <w:p>
      <w:pPr>
        <w:ind w:right="40" w:firstLine="832"/>
        <w:spacing w:after="0" w:line="290" w:lineRule="auto"/>
        <w:rPr>
          <w:sz w:val="20"/>
          <w:szCs w:val="20"/>
          <w:color w:val="auto"/>
        </w:rPr>
      </w:pPr>
      <w:r>
        <w:rPr>
          <w:rFonts w:ascii="Arial" w:cs="Arial" w:eastAsia="Arial" w:hAnsi="Arial"/>
          <w:sz w:val="16"/>
          <w:szCs w:val="16"/>
          <w:color w:val="auto"/>
        </w:rPr>
        <w:t>In March 2019, the Company entered into a $24.0 million growth capital term facility (the “2019 Term Loan”) with SVB and WestRiver Innovation Lending Fund VIII, L.P. (“WestRiver”). The 2019 Term Loan consisted of an initial $20.0 million tranche, which was funded upon closing, and a second tranche of $4.0 million, which was available to be drawn subject to completion of a clinical milestone prior to August 15, 2019. A portion of the first tranche was used to satisfy the Company’s existing obligations under and fully extinguish the 2016 Amended Term Loan, which at the commencement of the 2019 Term Loan consisted of $5.6 million in outstanding principal balance and $0.85 million as a final payment fee. The 2019 Term Loan was subsequently amended in July 2019 (the “First Amendment to the 2019 Term Loan”) to extend the interest-only monthly payment period for 18 months from the date of the 2019 Term Loan and the Company’s ability to draw down on the second tranche of $4.0 million was extended until December 31, 2019. The second tranche of $4.0 million was not drawn down by the Company. The 2019 Term Loan accrued interest at a fixed rate of 7.5%.</w:t>
      </w:r>
    </w:p>
    <w:p>
      <w:pPr>
        <w:spacing w:after="0" w:line="165" w:lineRule="exact"/>
        <w:rPr>
          <w:sz w:val="20"/>
          <w:szCs w:val="20"/>
          <w:color w:val="auto"/>
        </w:rPr>
      </w:pPr>
    </w:p>
    <w:p>
      <w:pPr>
        <w:ind w:right="40" w:firstLine="832"/>
        <w:spacing w:after="0" w:line="259" w:lineRule="auto"/>
        <w:rPr>
          <w:sz w:val="20"/>
          <w:szCs w:val="20"/>
          <w:color w:val="auto"/>
        </w:rPr>
      </w:pPr>
      <w:r>
        <w:rPr>
          <w:rFonts w:ascii="Arial" w:cs="Arial" w:eastAsia="Arial" w:hAnsi="Arial"/>
          <w:sz w:val="18"/>
          <w:szCs w:val="18"/>
          <w:color w:val="auto"/>
        </w:rPr>
        <w:t>Interest on the 2019 Term Loan and the First Amendment to the 2019 Term Loan was payable monthly beginning April 1, 2019 and principal was due starting on October 1, 2020. In addition, the Company was required to make a final payment of $1.26 million on February 1, 2023, the maturity date of the 2019 Term Loan. However, the Company subsequently entered into the 2020 Term Loan (as defined below), the proceeds of which were used in part to fully satisfy and extinguish the 2019 Term Loan, as amended.</w:t>
      </w:r>
    </w:p>
    <w:p>
      <w:pPr>
        <w:spacing w:after="0" w:line="187" w:lineRule="exact"/>
        <w:rPr>
          <w:sz w:val="20"/>
          <w:szCs w:val="20"/>
          <w:color w:val="auto"/>
        </w:rPr>
      </w:pPr>
    </w:p>
    <w:p>
      <w:pPr>
        <w:ind w:right="100" w:firstLine="832"/>
        <w:spacing w:after="0" w:line="263" w:lineRule="auto"/>
        <w:rPr>
          <w:sz w:val="20"/>
          <w:szCs w:val="20"/>
          <w:color w:val="auto"/>
        </w:rPr>
      </w:pPr>
      <w:r>
        <w:rPr>
          <w:rFonts w:ascii="Arial" w:cs="Arial" w:eastAsia="Arial" w:hAnsi="Arial"/>
          <w:sz w:val="18"/>
          <w:szCs w:val="18"/>
          <w:color w:val="auto"/>
        </w:rPr>
        <w:t>In connection with the 2019 Term Loan, the Company issued SVB and WestRiver a warrant to purchase shares of common stock. These warrants were fully exercised and no longer outstanding as of September 30, 2020 (see Note 6 – Stockholders’ Equity under “Warrants” section for further discussion).</w:t>
      </w:r>
    </w:p>
    <w:p>
      <w:pPr>
        <w:spacing w:after="0" w:line="184" w:lineRule="exact"/>
        <w:rPr>
          <w:sz w:val="20"/>
          <w:szCs w:val="20"/>
          <w:color w:val="auto"/>
        </w:rPr>
      </w:pPr>
    </w:p>
    <w:p>
      <w:pPr>
        <w:ind w:right="980" w:firstLine="832"/>
        <w:spacing w:after="0" w:line="277" w:lineRule="auto"/>
        <w:rPr>
          <w:sz w:val="20"/>
          <w:szCs w:val="20"/>
          <w:color w:val="auto"/>
        </w:rPr>
      </w:pPr>
      <w:r>
        <w:rPr>
          <w:rFonts w:ascii="Arial" w:cs="Arial" w:eastAsia="Arial" w:hAnsi="Arial"/>
          <w:sz w:val="18"/>
          <w:szCs w:val="18"/>
          <w:color w:val="auto"/>
        </w:rPr>
        <w:t>In September 2020, the Company terminated and repaid all amounts outstanding under the 2019 Term Loan and recorded a loss on extinguishment of the loan (see further discussion below).</w:t>
      </w:r>
    </w:p>
    <w:p>
      <w:pPr>
        <w:spacing w:after="0" w:line="170"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The book value of debt approximates its fair value given its short term maturity and variable interest rate. Interest expense was $2,362,083, $1,362,500, and $751,670 and amortization of the final payment was $469,676, $436,567, and $266,668 for the years ended December 31, 2020, 2019, and 2018, respectively.</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amount</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Add: accreted liability of final payment fee</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151,912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404,364</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unamortized debt discount, long term</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(1,830,064)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(405,071)</w:t>
            </w: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Less: current portion of long-term debt</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 payable, long-term</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48,321,848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17,332,626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Current portion of outstanding principal amount</w:t>
            </w: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current portion of unamortized debt discount</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30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2,602,292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80" w:type="dxa"/>
            <w:vAlign w:val="bottom"/>
          </w:tcPr>
          <w:p>
            <w:pPr>
              <w:spacing w:after="0"/>
              <w:rPr>
                <w:sz w:val="24"/>
                <w:szCs w:val="24"/>
                <w:color w:val="auto"/>
              </w:rPr>
            </w:pPr>
          </w:p>
        </w:tc>
        <w:tc>
          <w:tcPr>
            <w:tcW w:w="3280" w:type="dxa"/>
            <w:vAlign w:val="bottom"/>
            <w:gridSpan w:val="2"/>
          </w:tcPr>
          <w:p>
            <w:pPr>
              <w:jc w:val="right"/>
              <w:ind w:right="2070"/>
              <w:spacing w:after="0"/>
              <w:rPr>
                <w:sz w:val="20"/>
                <w:szCs w:val="20"/>
                <w:color w:val="auto"/>
              </w:rPr>
            </w:pPr>
            <w:r>
              <w:rPr>
                <w:rFonts w:ascii="Arial" w:cs="Arial" w:eastAsia="Arial" w:hAnsi="Arial"/>
                <w:sz w:val="18"/>
                <w:szCs w:val="18"/>
                <w:color w:val="auto"/>
              </w:rPr>
              <w:t>F-17</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Further information on warrants issued related to the debt financings and amendments are disclosed in Note 9 - Warrants.</w:t>
      </w:r>
    </w:p>
    <w:p>
      <w:pPr>
        <w:spacing w:after="0" w:line="225" w:lineRule="exact"/>
        <w:rPr>
          <w:sz w:val="20"/>
          <w:szCs w:val="20"/>
          <w:color w:val="auto"/>
        </w:rPr>
      </w:pPr>
    </w:p>
    <w:p>
      <w:pPr>
        <w:ind w:right="120" w:firstLine="832"/>
        <w:spacing w:after="0" w:line="277" w:lineRule="auto"/>
        <w:rPr>
          <w:sz w:val="20"/>
          <w:szCs w:val="20"/>
          <w:color w:val="auto"/>
        </w:rPr>
      </w:pPr>
      <w:r>
        <w:rPr>
          <w:rFonts w:ascii="Arial" w:cs="Arial" w:eastAsia="Arial" w:hAnsi="Arial"/>
          <w:sz w:val="18"/>
          <w:szCs w:val="18"/>
          <w:color w:val="auto"/>
        </w:rPr>
        <w:t>Amortization of the debt discount in relation to warrants issued in Note 9 - Warrants was $317,074, $213,426, and $108,968 for the year ended December 31, 2020,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840"/>
              <w:spacing w:after="0"/>
              <w:rPr>
                <w:sz w:val="20"/>
                <w:szCs w:val="20"/>
                <w:color w:val="auto"/>
              </w:rPr>
            </w:pPr>
            <w:r>
              <w:rPr>
                <w:rFonts w:ascii="Arial" w:cs="Arial" w:eastAsia="Arial" w:hAnsi="Arial"/>
                <w:sz w:val="18"/>
                <w:szCs w:val="18"/>
                <w:color w:val="auto"/>
              </w:rPr>
              <w:t>Scheduled Principal Payments on Outstanding Debt, as of December 31, 2020, are as follows: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9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60" w:type="dxa"/>
            <w:vAlign w:val="bottom"/>
            <w:gridSpan w:val="2"/>
            <w:shd w:val="clear" w:color="auto" w:fill="CFF0FC"/>
          </w:tcPr>
          <w:p>
            <w:pPr>
              <w:jc w:val="right"/>
              <w:ind w:right="42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12,193,153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19,761,468</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18,045,379</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 payments outstanding</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40" w:firstLine="832"/>
        <w:spacing w:after="0" w:line="271" w:lineRule="auto"/>
        <w:rPr>
          <w:sz w:val="20"/>
          <w:szCs w:val="20"/>
          <w:color w:val="auto"/>
        </w:rPr>
      </w:pPr>
      <w:r>
        <w:rPr>
          <w:rFonts w:ascii="Arial" w:cs="Arial" w:eastAsia="Arial" w:hAnsi="Arial"/>
          <w:sz w:val="17"/>
          <w:szCs w:val="17"/>
          <w:color w:val="auto"/>
        </w:rPr>
        <w:t>Starting in 2019, leases are accounted for under ASC Topic 842. The Company made an accounting policy election not to apply the recognition requirements to short-term leases. The Company recognizes the lease payments for short-term leases in the consolidated statements of operations and comprehensive loss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New York. The lease does not include any restrictions or covenants that had to be accounted for under the lease guidance.</w:t>
      </w:r>
    </w:p>
    <w:p>
      <w:pPr>
        <w:spacing w:after="0" w:line="178" w:lineRule="exact"/>
        <w:rPr>
          <w:sz w:val="20"/>
          <w:szCs w:val="20"/>
          <w:color w:val="auto"/>
        </w:rPr>
      </w:pPr>
    </w:p>
    <w:p>
      <w:pPr>
        <w:ind w:right="20" w:firstLine="832"/>
        <w:spacing w:after="0" w:line="286" w:lineRule="auto"/>
        <w:rPr>
          <w:sz w:val="20"/>
          <w:szCs w:val="20"/>
          <w:color w:val="auto"/>
        </w:rPr>
      </w:pPr>
      <w:r>
        <w:rPr>
          <w:rFonts w:ascii="Arial" w:cs="Arial" w:eastAsia="Arial" w:hAnsi="Arial"/>
          <w:sz w:val="17"/>
          <w:szCs w:val="17"/>
          <w:color w:val="auto"/>
        </w:rPr>
        <w:t>In June 2020, the company entered into a lease for office space at 22 Cortlandt St, New York, NY consisting of the 16</w:t>
      </w:r>
      <w:r>
        <w:rPr>
          <w:rFonts w:ascii="Arial" w:cs="Arial" w:eastAsia="Arial" w:hAnsi="Arial"/>
          <w:sz w:val="14"/>
          <w:szCs w:val="14"/>
          <w:color w:val="auto"/>
        </w:rPr>
        <w:t>th</w:t>
      </w:r>
      <w:r>
        <w:rPr>
          <w:rFonts w:ascii="Arial" w:cs="Arial" w:eastAsia="Arial" w:hAnsi="Arial"/>
          <w:sz w:val="17"/>
          <w:szCs w:val="17"/>
          <w:color w:val="auto"/>
        </w:rPr>
        <w:t xml:space="preserve"> floor which began on August 1, 2020. The term for this lease was to expire on July 31, 2021. At lease inception the lease arrangement was deemed to be a short-term lease due to its term not exceeding one year, and as such was accounted for on a straight-line basis until December 2020.</w:t>
      </w:r>
    </w:p>
    <w:p>
      <w:pPr>
        <w:spacing w:after="0" w:line="165" w:lineRule="exact"/>
        <w:rPr>
          <w:sz w:val="20"/>
          <w:szCs w:val="20"/>
          <w:color w:val="auto"/>
        </w:rPr>
      </w:pPr>
    </w:p>
    <w:p>
      <w:pPr>
        <w:ind w:right="240" w:firstLine="832"/>
        <w:spacing w:after="0" w:line="263" w:lineRule="auto"/>
        <w:rPr>
          <w:sz w:val="20"/>
          <w:szCs w:val="20"/>
          <w:color w:val="auto"/>
        </w:rPr>
      </w:pPr>
      <w:r>
        <w:rPr>
          <w:rFonts w:ascii="Arial" w:cs="Arial" w:eastAsia="Arial" w:hAnsi="Arial"/>
          <w:sz w:val="18"/>
          <w:szCs w:val="18"/>
          <w:color w:val="auto"/>
        </w:rPr>
        <w:t>In December 2020, the company modified the lease agreement for office space at 22 Cortlandt St, New York, NY, consisting of the 16</w:t>
      </w:r>
      <w:r>
        <w:rPr>
          <w:rFonts w:ascii="Arial" w:cs="Arial" w:eastAsia="Arial" w:hAnsi="Arial"/>
          <w:sz w:val="15"/>
          <w:szCs w:val="15"/>
          <w:color w:val="auto"/>
        </w:rPr>
        <w:t>th</w:t>
      </w:r>
      <w:r>
        <w:rPr>
          <w:rFonts w:ascii="Arial" w:cs="Arial" w:eastAsia="Arial" w:hAnsi="Arial"/>
          <w:sz w:val="18"/>
          <w:szCs w:val="18"/>
          <w:color w:val="auto"/>
        </w:rPr>
        <w:t xml:space="preserve"> floor which will begin on August 1, 2021 and extend through July 31, 2022. Due to the extension of term, the lease was no longer deemed to be a short term lease, and thus the guidance per ASC Topic 842 was applied.</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Rent expense incurred during the years ended December 31, 2020, 2019 and 2018 was $870,275, $485,548, and $315,301.</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the presentation of operating leases in the Company’s consolidated balance sheet: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3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right"/>
              <w:ind w:right="47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FF0FC"/>
            </w:tcBorders>
          </w:tcPr>
          <w:p>
            <w:pPr>
              <w:spacing w:after="0"/>
              <w:rPr>
                <w:sz w:val="14"/>
                <w:szCs w:val="14"/>
                <w:color w:val="auto"/>
              </w:rPr>
            </w:pPr>
          </w:p>
        </w:tc>
        <w:tc>
          <w:tcPr>
            <w:tcW w:w="43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4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Right-of-use operating asset</w:t>
            </w:r>
          </w:p>
        </w:tc>
        <w:tc>
          <w:tcPr>
            <w:tcW w:w="430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6"/>
              <w:spacing w:after="0"/>
              <w:rPr>
                <w:sz w:val="20"/>
                <w:szCs w:val="20"/>
                <w:color w:val="auto"/>
              </w:rPr>
            </w:pPr>
            <w:r>
              <w:rPr>
                <w:rFonts w:ascii="Arial" w:cs="Arial" w:eastAsia="Arial" w:hAnsi="Arial"/>
                <w:sz w:val="18"/>
                <w:szCs w:val="18"/>
                <w:color w:val="auto"/>
              </w:rPr>
              <w:t>1,739,475</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4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4300" w:type="dxa"/>
            <w:vAlign w:val="bottom"/>
          </w:tcPr>
          <w:p>
            <w:pPr>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6"/>
              <w:spacing w:after="0"/>
              <w:rPr>
                <w:sz w:val="20"/>
                <w:szCs w:val="20"/>
                <w:color w:val="auto"/>
              </w:rPr>
            </w:pPr>
            <w:r>
              <w:rPr>
                <w:rFonts w:ascii="Arial" w:cs="Arial" w:eastAsia="Arial" w:hAnsi="Arial"/>
                <w:sz w:val="18"/>
                <w:szCs w:val="18"/>
                <w:color w:val="auto"/>
              </w:rPr>
              <w:t>1,220,587</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liabilities</w:t>
            </w: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long-term</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581,708</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1,802,295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300" w:type="dxa"/>
            <w:vAlign w:val="bottom"/>
            <w:vMerge w:val="restart"/>
          </w:tcPr>
          <w:p>
            <w:pPr>
              <w:ind w:left="920"/>
              <w:spacing w:after="0"/>
              <w:rPr>
                <w:sz w:val="20"/>
                <w:szCs w:val="20"/>
                <w:color w:val="auto"/>
              </w:rPr>
            </w:pPr>
            <w:r>
              <w:rPr>
                <w:rFonts w:ascii="Arial" w:cs="Arial" w:eastAsia="Arial" w:hAnsi="Arial"/>
                <w:sz w:val="18"/>
                <w:szCs w:val="18"/>
                <w:color w:val="auto"/>
              </w:rPr>
              <w:t>F-18</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 the year ended December 31, 2020, the Company noted the following lease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3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Statement of Operations Location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jc w:val="right"/>
              <w:ind w:right="69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FF0FC"/>
            </w:tcBorders>
          </w:tcPr>
          <w:p>
            <w:pPr>
              <w:spacing w:after="0"/>
              <w:rPr>
                <w:sz w:val="14"/>
                <w:szCs w:val="14"/>
                <w:color w:val="auto"/>
              </w:rPr>
            </w:pPr>
          </w:p>
        </w:tc>
        <w:tc>
          <w:tcPr>
            <w:tcW w:w="43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47,821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operating lease expense</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47,821</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840"/>
              <w:spacing w:after="0"/>
              <w:rPr>
                <w:sz w:val="20"/>
                <w:szCs w:val="20"/>
                <w:color w:val="auto"/>
              </w:rPr>
            </w:pPr>
            <w:r>
              <w:rPr>
                <w:rFonts w:ascii="Arial" w:cs="Arial" w:eastAsia="Arial" w:hAnsi="Arial"/>
                <w:sz w:val="18"/>
                <w:szCs w:val="18"/>
                <w:color w:val="auto"/>
              </w:rPr>
              <w:t>Future minimum lease payments of our operating leases as of December 31, 2020 were as follows: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4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2024</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1,880,000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43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Present value of operating lease liabilities</w:t>
            </w:r>
          </w:p>
        </w:tc>
        <w:tc>
          <w:tcPr>
            <w:tcW w:w="4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1,802,295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As of December 31, 2020, the remaining lease term for our operating lease was 1.6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ind w:right="40" w:firstLine="832"/>
        <w:spacing w:after="0" w:line="257" w:lineRule="auto"/>
        <w:rPr>
          <w:sz w:val="20"/>
          <w:szCs w:val="20"/>
          <w:color w:val="auto"/>
        </w:rPr>
      </w:pPr>
      <w:r>
        <w:rPr>
          <w:rFonts w:ascii="Arial" w:cs="Arial" w:eastAsia="Arial" w:hAnsi="Arial"/>
          <w:sz w:val="18"/>
          <w:szCs w:val="18"/>
          <w:color w:val="auto"/>
        </w:rPr>
        <w:t>In October 2017, the Company entered into the Sales Agreement with SVB Leerink, pursuant to which the Company may sell up to $30 million in shares of its common stock from time to time through SVB Leerink, acting as its sales agent, in one or more at-the-market offerings. In January 2019, the Company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88" w:lineRule="exact"/>
        <w:rPr>
          <w:sz w:val="20"/>
          <w:szCs w:val="20"/>
          <w:color w:val="auto"/>
        </w:rPr>
      </w:pPr>
    </w:p>
    <w:p>
      <w:pPr>
        <w:ind w:right="100" w:firstLine="832"/>
        <w:spacing w:after="0" w:line="270" w:lineRule="auto"/>
        <w:rPr>
          <w:sz w:val="20"/>
          <w:szCs w:val="20"/>
          <w:color w:val="auto"/>
        </w:rPr>
      </w:pPr>
      <w:r>
        <w:rPr>
          <w:rFonts w:ascii="Arial" w:cs="Arial" w:eastAsia="Arial" w:hAnsi="Arial"/>
          <w:sz w:val="17"/>
          <w:szCs w:val="17"/>
          <w:color w:val="auto"/>
        </w:rPr>
        <w:t>In December 2017, the Company completed the Registered Direct Offering, whereby it sold an aggregate of $9.5 million worth of units (“Units”) at a purchase price of $5.325 per Unit with each Unit consisting of (i) one share of the Company’s common stock, and (ii) a Common Warrant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 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 The Common Warrants priced at $5.25 and Placement Agent Warrants priced at $6.6562 utilized the 2016 Shelf Registration Statement for a total of $9.4 million and $712,313.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832"/>
        <w:spacing w:after="0" w:line="293" w:lineRule="auto"/>
        <w:rPr>
          <w:sz w:val="20"/>
          <w:szCs w:val="20"/>
          <w:color w:val="auto"/>
        </w:rPr>
      </w:pPr>
      <w:r>
        <w:rPr>
          <w:rFonts w:ascii="Arial" w:cs="Arial" w:eastAsia="Arial" w:hAnsi="Arial"/>
          <w:sz w:val="16"/>
          <w:szCs w:val="16"/>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 pursuant to a prospectus supplement to the 2016 Shelf Registration Statement.</w:t>
      </w:r>
    </w:p>
    <w:p>
      <w:pPr>
        <w:spacing w:after="0" w:line="164" w:lineRule="exact"/>
        <w:rPr>
          <w:sz w:val="20"/>
          <w:szCs w:val="20"/>
          <w:color w:val="auto"/>
        </w:rPr>
      </w:pPr>
    </w:p>
    <w:p>
      <w:pPr>
        <w:ind w:firstLine="832"/>
        <w:spacing w:after="0" w:line="296" w:lineRule="auto"/>
        <w:rPr>
          <w:sz w:val="20"/>
          <w:szCs w:val="20"/>
          <w:color w:val="auto"/>
        </w:rPr>
      </w:pPr>
      <w:r>
        <w:rPr>
          <w:rFonts w:ascii="Arial" w:cs="Arial" w:eastAsia="Arial" w:hAnsi="Arial"/>
          <w:sz w:val="16"/>
          <w:szCs w:val="16"/>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at the Company’s option, the shares that were unsold of approximately $29.9 million under the May 2019 Sales Agreement, may be rolled over to the December 2019 Sales Agreement (see below).</w:t>
      </w:r>
    </w:p>
    <w:p>
      <w:pPr>
        <w:spacing w:after="0" w:line="161" w:lineRule="exact"/>
        <w:rPr>
          <w:sz w:val="20"/>
          <w:szCs w:val="20"/>
          <w:color w:val="auto"/>
        </w:rPr>
      </w:pPr>
    </w:p>
    <w:p>
      <w:pPr>
        <w:ind w:firstLine="832"/>
        <w:spacing w:after="0" w:line="254" w:lineRule="auto"/>
        <w:rPr>
          <w:sz w:val="20"/>
          <w:szCs w:val="20"/>
          <w:color w:val="auto"/>
        </w:rPr>
      </w:pPr>
      <w:r>
        <w:rPr>
          <w:rFonts w:ascii="Arial" w:cs="Arial" w:eastAsia="Arial" w:hAnsi="Arial"/>
          <w:sz w:val="18"/>
          <w:szCs w:val="18"/>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For the year ended December 31, 2020, the Company received approximately $14.6 million in gross proceeds through the sale of 167,243 shares, of which net proceeds were approximately $14.1 million. For the year ended December 31, 2019, the Company received approximately $7.3 million in gross proceeds through the sale of 89,390 shares, of which net proceeds were approximately $7.1 million.</w:t>
      </w:r>
    </w:p>
    <w:p>
      <w:pPr>
        <w:spacing w:after="0" w:line="195" w:lineRule="exact"/>
        <w:rPr>
          <w:sz w:val="20"/>
          <w:szCs w:val="20"/>
          <w:color w:val="auto"/>
        </w:rPr>
      </w:pPr>
    </w:p>
    <w:p>
      <w:pPr>
        <w:ind w:firstLine="832"/>
        <w:spacing w:after="0" w:line="263" w:lineRule="auto"/>
        <w:rPr>
          <w:sz w:val="20"/>
          <w:szCs w:val="20"/>
          <w:color w:val="auto"/>
        </w:rPr>
      </w:pPr>
      <w:r>
        <w:rPr>
          <w:rFonts w:ascii="Arial" w:cs="Arial" w:eastAsia="Arial" w:hAnsi="Arial"/>
          <w:sz w:val="18"/>
          <w:szCs w:val="18"/>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84" w:lineRule="exact"/>
        <w:rPr>
          <w:sz w:val="20"/>
          <w:szCs w:val="20"/>
          <w:color w:val="auto"/>
        </w:rPr>
      </w:pPr>
    </w:p>
    <w:p>
      <w:pPr>
        <w:ind w:right="40" w:firstLine="832"/>
        <w:spacing w:after="0" w:line="342"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229" w:lineRule="exact"/>
        <w:rPr>
          <w:sz w:val="20"/>
          <w:szCs w:val="20"/>
          <w:color w:val="auto"/>
        </w:rPr>
      </w:pPr>
    </w:p>
    <w:p>
      <w:pPr>
        <w:ind w:firstLine="832"/>
        <w:spacing w:after="0" w:line="259" w:lineRule="auto"/>
        <w:rPr>
          <w:sz w:val="20"/>
          <w:szCs w:val="20"/>
          <w:color w:val="auto"/>
        </w:rPr>
      </w:pPr>
      <w:r>
        <w:rPr>
          <w:rFonts w:ascii="Arial" w:cs="Arial" w:eastAsia="Arial" w:hAnsi="Arial"/>
          <w:sz w:val="18"/>
          <w:szCs w:val="18"/>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$221.9 million pursuant to such shelf registration statement.</w:t>
      </w:r>
    </w:p>
    <w:p>
      <w:pPr>
        <w:spacing w:after="0" w:line="187" w:lineRule="exact"/>
        <w:rPr>
          <w:sz w:val="20"/>
          <w:szCs w:val="20"/>
          <w:color w:val="auto"/>
        </w:rPr>
      </w:pPr>
    </w:p>
    <w:p>
      <w:pPr>
        <w:ind w:right="20" w:firstLine="832"/>
        <w:spacing w:after="0" w:line="259" w:lineRule="auto"/>
        <w:rPr>
          <w:sz w:val="20"/>
          <w:szCs w:val="20"/>
          <w:color w:val="auto"/>
        </w:rPr>
      </w:pPr>
      <w:r>
        <w:rPr>
          <w:rFonts w:ascii="Arial" w:cs="Arial" w:eastAsia="Arial" w:hAnsi="Arial"/>
          <w:sz w:val="18"/>
          <w:szCs w:val="18"/>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40" w:firstLine="832"/>
        <w:spacing w:after="0" w:line="273" w:lineRule="auto"/>
        <w:rPr>
          <w:sz w:val="20"/>
          <w:szCs w:val="20"/>
          <w:color w:val="auto"/>
        </w:rPr>
      </w:pPr>
      <w:r>
        <w:rPr>
          <w:rFonts w:ascii="Arial" w:cs="Arial" w:eastAsia="Arial" w:hAnsi="Arial"/>
          <w:sz w:val="17"/>
          <w:szCs w:val="17"/>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2020, there were 4,149,112 shares available for future grant under the 2015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Cancellation of Stock Awards</w:t>
      </w:r>
    </w:p>
    <w:p>
      <w:pPr>
        <w:spacing w:after="0" w:line="229" w:lineRule="exact"/>
        <w:rPr>
          <w:sz w:val="20"/>
          <w:szCs w:val="20"/>
          <w:color w:val="auto"/>
        </w:rPr>
      </w:pPr>
    </w:p>
    <w:p>
      <w:pPr>
        <w:ind w:right="260" w:firstLine="832"/>
        <w:spacing w:after="0" w:line="263" w:lineRule="auto"/>
        <w:rPr>
          <w:sz w:val="20"/>
          <w:szCs w:val="20"/>
          <w:color w:val="auto"/>
        </w:rPr>
      </w:pPr>
      <w:r>
        <w:rPr>
          <w:rFonts w:ascii="Arial" w:cs="Arial" w:eastAsia="Arial" w:hAnsi="Arial"/>
          <w:sz w:val="18"/>
          <w:szCs w:val="18"/>
          <w:color w:val="auto"/>
        </w:rPr>
        <w:t>In June 2020, in connection with the decision not to stand for re-election by a member of the Company’s Board of Director’s, the vesting of stock options covering 21,666 shares of common stock was accelerated. As a result of this modification, the Company recorded incremental stock-based compensation expense of approximately $1.3 million for the year ended December 31, 2020.</w:t>
      </w:r>
    </w:p>
    <w:p>
      <w:pPr>
        <w:spacing w:after="0" w:line="184" w:lineRule="exact"/>
        <w:rPr>
          <w:sz w:val="20"/>
          <w:szCs w:val="20"/>
          <w:color w:val="auto"/>
        </w:rPr>
      </w:pPr>
    </w:p>
    <w:p>
      <w:pPr>
        <w:ind w:right="240" w:firstLine="832"/>
        <w:spacing w:after="0" w:line="301" w:lineRule="auto"/>
        <w:rPr>
          <w:sz w:val="20"/>
          <w:szCs w:val="20"/>
          <w:color w:val="auto"/>
        </w:rPr>
      </w:pPr>
      <w:r>
        <w:rPr>
          <w:rFonts w:ascii="Arial" w:cs="Arial" w:eastAsia="Arial" w:hAnsi="Arial"/>
          <w:sz w:val="16"/>
          <w:szCs w:val="16"/>
          <w:color w:val="auto"/>
        </w:rPr>
        <w:t>In November 2020, certain employee Stock Options and Restricted Stock Units were cancelled. Stock options to purchase an aggregate of 38,267 shares of common stock were cancelled, and the Company recognized non-cash stock-based compensation expense of $2.1 million related to this cancellation for the year ended December 31, 2020. Restricted Stock Units for an aggregate of 11,735 shares of common stock were cancelled, and the Company recognized non-cash stock-based compensation expense of $0.5 million related to this cancellation for the year ended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stock option activity as of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contractual</w:t>
            </w: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shares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exercise price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term</w:t>
            </w:r>
          </w:p>
        </w:tc>
        <w:tc>
          <w:tcPr>
            <w:tcW w:w="1280" w:type="dxa"/>
            <w:vAlign w:val="bottom"/>
          </w:tcPr>
          <w:p>
            <w:pPr>
              <w:ind w:lef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3,458,447</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Granted</w:t>
            </w:r>
          </w:p>
        </w:tc>
        <w:tc>
          <w:tcPr>
            <w:tcW w:w="2540" w:type="dxa"/>
            <w:vAlign w:val="bottom"/>
            <w:gridSpan w:val="2"/>
          </w:tcPr>
          <w:p>
            <w:pPr>
              <w:jc w:val="right"/>
              <w:ind w:right="36"/>
              <w:spacing w:after="0"/>
              <w:rPr>
                <w:sz w:val="20"/>
                <w:szCs w:val="20"/>
                <w:color w:val="auto"/>
              </w:rPr>
            </w:pPr>
            <w:r>
              <w:rPr>
                <w:rFonts w:ascii="Arial" w:cs="Arial" w:eastAsia="Arial" w:hAnsi="Arial"/>
                <w:sz w:val="18"/>
                <w:szCs w:val="18"/>
                <w:color w:val="auto"/>
              </w:rPr>
              <w:t>649,142</w:t>
            </w:r>
          </w:p>
        </w:tc>
        <w:tc>
          <w:tcPr>
            <w:tcW w:w="1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(127,778)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(207,628)</w:t>
            </w:r>
          </w:p>
        </w:tc>
        <w:tc>
          <w:tcPr>
            <w:tcW w:w="1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(38,267)</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2020</w:t>
            </w:r>
          </w:p>
        </w:tc>
        <w:tc>
          <w:tcPr>
            <w:tcW w:w="130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3,733,916</w:t>
            </w: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243,556,917</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2020</w:t>
            </w:r>
          </w:p>
        </w:tc>
        <w:tc>
          <w:tcPr>
            <w:tcW w:w="13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3,727,747</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243,062,340</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2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2,479,110</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175,575,360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40" w:type="dxa"/>
            <w:vAlign w:val="bottom"/>
          </w:tcPr>
          <w:p>
            <w:pPr>
              <w:spacing w:after="0"/>
              <w:rPr>
                <w:sz w:val="24"/>
                <w:szCs w:val="24"/>
                <w:color w:val="auto"/>
              </w:rPr>
            </w:pPr>
          </w:p>
        </w:tc>
        <w:tc>
          <w:tcPr>
            <w:tcW w:w="2660" w:type="dxa"/>
            <w:vAlign w:val="bottom"/>
            <w:gridSpan w:val="3"/>
          </w:tcPr>
          <w:p>
            <w:pPr>
              <w:ind w:left="920"/>
              <w:spacing w:after="0"/>
              <w:rPr>
                <w:sz w:val="20"/>
                <w:szCs w:val="20"/>
                <w:color w:val="auto"/>
              </w:rPr>
            </w:pPr>
            <w:r>
              <w:rPr>
                <w:rFonts w:ascii="Arial" w:cs="Arial" w:eastAsia="Arial" w:hAnsi="Arial"/>
                <w:sz w:val="18"/>
                <w:szCs w:val="18"/>
                <w:color w:val="auto"/>
              </w:rPr>
              <w:t>F-21</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0" w:firstLine="832"/>
        <w:spacing w:after="0" w:line="218"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 The relevant data used to determine the value of the stock option grants for the years ended December 31, 2020, 2019, and 2018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640" w:type="dxa"/>
            <w:vAlign w:val="bottom"/>
          </w:tcPr>
          <w:p>
            <w:pPr>
              <w:spacing w:after="0"/>
              <w:rPr>
                <w:sz w:val="14"/>
                <w:szCs w:val="14"/>
                <w:color w:val="auto"/>
              </w:rPr>
            </w:pPr>
          </w:p>
        </w:tc>
        <w:tc>
          <w:tcPr>
            <w:tcW w:w="1040" w:type="dxa"/>
            <w:vAlign w:val="bottom"/>
          </w:tcPr>
          <w:p>
            <w:pPr>
              <w:jc w:val="right"/>
              <w:ind w:right="675"/>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4"/>
                <w:szCs w:val="14"/>
                <w:color w:val="auto"/>
              </w:rPr>
            </w:pPr>
          </w:p>
        </w:tc>
        <w:tc>
          <w:tcPr>
            <w:tcW w:w="168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ind w:right="695"/>
              <w:spacing w:after="0"/>
              <w:rPr>
                <w:sz w:val="20"/>
                <w:szCs w:val="20"/>
                <w:color w:val="auto"/>
              </w:rPr>
            </w:pPr>
            <w:r>
              <w:rPr>
                <w:rFonts w:ascii="Arial" w:cs="Arial" w:eastAsia="Arial" w:hAnsi="Arial"/>
                <w:sz w:val="14"/>
                <w:szCs w:val="14"/>
                <w:b w:val="1"/>
                <w:bCs w:val="1"/>
                <w:color w:val="auto"/>
                <w:w w:val="83"/>
              </w:rPr>
              <w:t>2018</w:t>
            </w: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Risk-free interest rates</w:t>
            </w: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- 1.7%</w:t>
            </w:r>
          </w:p>
        </w:tc>
        <w:tc>
          <w:tcPr>
            <w:tcW w:w="1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center"/>
              <w:ind w:right="14"/>
              <w:spacing w:after="0"/>
              <w:rPr>
                <w:sz w:val="20"/>
                <w:szCs w:val="20"/>
                <w:color w:val="auto"/>
              </w:rPr>
            </w:pPr>
            <w:r>
              <w:rPr>
                <w:rFonts w:ascii="Arial" w:cs="Arial" w:eastAsia="Arial" w:hAnsi="Arial"/>
                <w:sz w:val="18"/>
                <w:szCs w:val="18"/>
                <w:color w:val="auto"/>
                <w:w w:val="90"/>
              </w:rPr>
              <w:t>1.4 - 2.7%</w:t>
            </w: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6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- 3.1%</w:t>
            </w: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40" w:type="dxa"/>
            <w:vAlign w:val="bottom"/>
          </w:tcPr>
          <w:p>
            <w:pPr>
              <w:spacing w:after="0"/>
              <w:rPr>
                <w:sz w:val="19"/>
                <w:szCs w:val="19"/>
                <w:color w:val="auto"/>
              </w:rPr>
            </w:pPr>
          </w:p>
        </w:tc>
        <w:tc>
          <w:tcPr>
            <w:tcW w:w="11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ind w:right="695"/>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- 99%</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center"/>
              <w:ind w:right="14"/>
              <w:spacing w:after="0"/>
              <w:rPr>
                <w:sz w:val="20"/>
                <w:szCs w:val="20"/>
                <w:color w:val="auto"/>
              </w:rPr>
            </w:pPr>
            <w:r>
              <w:rPr>
                <w:rFonts w:ascii="Arial" w:cs="Arial" w:eastAsia="Arial" w:hAnsi="Arial"/>
                <w:sz w:val="18"/>
                <w:szCs w:val="18"/>
                <w:color w:val="auto"/>
              </w:rPr>
              <w:t>87-91%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- 87%</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Weighted average expected term</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3.51 - 6.14 years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5.00 - 6.13 years</w:t>
            </w:r>
          </w:p>
        </w:tc>
        <w:tc>
          <w:tcPr>
            <w:tcW w:w="1700" w:type="dxa"/>
            <w:vAlign w:val="bottom"/>
            <w:gridSpan w:val="2"/>
          </w:tcPr>
          <w:p>
            <w:pPr>
              <w:jc w:val="right"/>
              <w:ind w:right="235"/>
              <w:spacing w:after="0"/>
              <w:rPr>
                <w:sz w:val="20"/>
                <w:szCs w:val="20"/>
                <w:color w:val="auto"/>
              </w:rPr>
            </w:pPr>
            <w:r>
              <w:rPr>
                <w:rFonts w:ascii="Arial" w:cs="Arial" w:eastAsia="Arial" w:hAnsi="Arial"/>
                <w:sz w:val="18"/>
                <w:szCs w:val="18"/>
                <w:color w:val="auto"/>
              </w:rPr>
              <w:t>3.66 - 6.13 years</w:t>
            </w:r>
          </w:p>
        </w:tc>
      </w:tr>
    </w:tbl>
    <w:p>
      <w:pPr>
        <w:spacing w:after="0" w:line="228" w:lineRule="exact"/>
        <w:rPr>
          <w:sz w:val="20"/>
          <w:szCs w:val="20"/>
          <w:color w:val="auto"/>
        </w:rPr>
      </w:pPr>
    </w:p>
    <w:p>
      <w:pPr>
        <w:ind w:right="20" w:firstLine="832"/>
        <w:spacing w:after="0" w:line="219" w:lineRule="exact"/>
        <w:rPr>
          <w:sz w:val="20"/>
          <w:szCs w:val="20"/>
          <w:color w:val="auto"/>
        </w:rPr>
      </w:pPr>
      <w:r>
        <w:rPr>
          <w:rFonts w:ascii="Arial" w:cs="Arial" w:eastAsia="Arial" w:hAnsi="Arial"/>
          <w:sz w:val="17"/>
          <w:szCs w:val="17"/>
          <w:color w:val="auto"/>
        </w:rPr>
        <w:t>The weighted average grant date fair value of options granted was $36.77, $12.49, and $1.99 per option for the years ended December 31, 2020, 2019 and 2018, respectively. As of December 31, 2020, there was $20.9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2.8 years. These amounts do not include 10,716 options outstanding as of December 31, 2020,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 The intrinsic value of stock options exercised during the years ended December 31, 2020, 2019 and 2018 was $9.4 million, $4.5 million and $0.5 million,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ind w:right="140" w:firstLine="832"/>
        <w:spacing w:after="0" w:line="279" w:lineRule="auto"/>
        <w:rPr>
          <w:sz w:val="20"/>
          <w:szCs w:val="20"/>
          <w:color w:val="auto"/>
        </w:rPr>
      </w:pPr>
      <w:r>
        <w:rPr>
          <w:rFonts w:ascii="Arial" w:cs="Arial" w:eastAsia="Arial" w:hAnsi="Arial"/>
          <w:sz w:val="17"/>
          <w:szCs w:val="17"/>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December 31, 2020, total compensation cost not yet recognized related to unvested RSUs was $4.1 million, which is expected to be recognized over a weighted-average period of 3.3 years.</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 the RSU activity for the year ended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337"/>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4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400" w:type="dxa"/>
            <w:vAlign w:val="bottom"/>
          </w:tcPr>
          <w:p>
            <w:pPr>
              <w:jc w:val="center"/>
              <w:ind w:right="317"/>
              <w:spacing w:after="0"/>
              <w:rPr>
                <w:sz w:val="20"/>
                <w:szCs w:val="20"/>
                <w:color w:val="auto"/>
              </w:rPr>
            </w:pPr>
            <w:r>
              <w:rPr>
                <w:rFonts w:ascii="Arial" w:cs="Arial" w:eastAsia="Arial" w:hAnsi="Arial"/>
                <w:sz w:val="14"/>
                <w:szCs w:val="14"/>
                <w:b w:val="1"/>
                <w:bCs w:val="1"/>
                <w:color w:val="auto"/>
                <w:w w:val="94"/>
              </w:rPr>
              <w:t>grant date</w:t>
            </w:r>
          </w:p>
        </w:tc>
      </w:tr>
      <w:tr>
        <w:trPr>
          <w:trHeight w:val="171"/>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4"/>
                <w:szCs w:val="14"/>
                <w:color w:val="auto"/>
              </w:rPr>
            </w:pPr>
          </w:p>
        </w:tc>
        <w:tc>
          <w:tcPr>
            <w:tcW w:w="1400" w:type="dxa"/>
            <w:vAlign w:val="bottom"/>
          </w:tcPr>
          <w:p>
            <w:pPr>
              <w:jc w:val="center"/>
              <w:ind w:right="337"/>
              <w:spacing w:after="0"/>
              <w:rPr>
                <w:sz w:val="20"/>
                <w:szCs w:val="20"/>
                <w:color w:val="auto"/>
              </w:rPr>
            </w:pPr>
            <w:r>
              <w:rPr>
                <w:rFonts w:ascii="Arial" w:cs="Arial" w:eastAsia="Arial" w:hAnsi="Arial"/>
                <w:sz w:val="14"/>
                <w:szCs w:val="14"/>
                <w:b w:val="1"/>
                <w:bCs w:val="1"/>
                <w:color w:val="auto"/>
                <w:w w:val="94"/>
              </w:rPr>
              <w:t>fair value</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37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Granted</w:t>
            </w:r>
          </w:p>
        </w:tc>
        <w:tc>
          <w:tcPr>
            <w:tcW w:w="5420" w:type="dxa"/>
            <w:vAlign w:val="bottom"/>
            <w:gridSpan w:val="2"/>
          </w:tcPr>
          <w:p>
            <w:pPr>
              <w:jc w:val="right"/>
              <w:ind w:right="57"/>
              <w:spacing w:after="0"/>
              <w:rPr>
                <w:sz w:val="20"/>
                <w:szCs w:val="20"/>
                <w:color w:val="auto"/>
              </w:rPr>
            </w:pPr>
            <w:r>
              <w:rPr>
                <w:rFonts w:ascii="Arial" w:cs="Arial" w:eastAsia="Arial" w:hAnsi="Arial"/>
                <w:sz w:val="18"/>
                <w:szCs w:val="18"/>
                <w:color w:val="auto"/>
              </w:rPr>
              <w:t>161,268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37.42</w:t>
            </w: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Released</w:t>
            </w:r>
          </w:p>
        </w:tc>
        <w:tc>
          <w:tcPr>
            <w:tcW w:w="37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86.88</w:t>
            </w: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5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45.14</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37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136,067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35.76</w:t>
            </w:r>
          </w:p>
        </w:tc>
      </w:tr>
      <w:tr>
        <w:trPr>
          <w:trHeight w:val="20"/>
        </w:trPr>
        <w:tc>
          <w:tcPr>
            <w:tcW w:w="3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5"/>
        </w:trPr>
        <w:tc>
          <w:tcPr>
            <w:tcW w:w="3980" w:type="dxa"/>
            <w:vAlign w:val="bottom"/>
          </w:tcPr>
          <w:p>
            <w:pPr>
              <w:spacing w:after="0"/>
              <w:rPr>
                <w:sz w:val="24"/>
                <w:szCs w:val="24"/>
                <w:color w:val="auto"/>
              </w:rPr>
            </w:pPr>
          </w:p>
        </w:tc>
        <w:tc>
          <w:tcPr>
            <w:tcW w:w="5580" w:type="dxa"/>
            <w:vAlign w:val="bottom"/>
            <w:gridSpan w:val="3"/>
          </w:tcPr>
          <w:p>
            <w:pPr>
              <w:ind w:left="1480"/>
              <w:spacing w:after="0"/>
              <w:rPr>
                <w:sz w:val="20"/>
                <w:szCs w:val="20"/>
                <w:color w:val="auto"/>
              </w:rPr>
            </w:pPr>
            <w:r>
              <w:rPr>
                <w:rFonts w:ascii="Arial" w:cs="Arial" w:eastAsia="Arial" w:hAnsi="Arial"/>
                <w:sz w:val="18"/>
                <w:szCs w:val="18"/>
                <w:color w:val="auto"/>
              </w:rPr>
              <w:t>F-22</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4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years ended December 31, 2020, 2019, and 2018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3,953,939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1,584,165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391,946</w:t>
            </w: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10,802,267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4,530,995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1,363,028</w:t>
            </w: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14,756,206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6,115,160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1,754,974</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29" w:lineRule="exact"/>
        <w:rPr>
          <w:sz w:val="20"/>
          <w:szCs w:val="20"/>
          <w:color w:val="auto"/>
        </w:rPr>
      </w:pPr>
    </w:p>
    <w:p>
      <w:pPr>
        <w:jc w:val="both"/>
        <w:ind w:right="20" w:firstLine="832"/>
        <w:spacing w:after="0" w:line="277" w:lineRule="auto"/>
        <w:rPr>
          <w:sz w:val="20"/>
          <w:szCs w:val="20"/>
          <w:color w:val="auto"/>
        </w:rPr>
      </w:pPr>
      <w:r>
        <w:rPr>
          <w:rFonts w:ascii="Arial" w:cs="Arial" w:eastAsia="Arial" w:hAnsi="Arial"/>
          <w:sz w:val="18"/>
          <w:szCs w:val="18"/>
          <w:color w:val="auto"/>
        </w:rPr>
        <w:t>As of December 31, 2020, the Company had outstanding warrants to purchase 15,541 shares of common stock. The following table summarizes warrant activity as of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520" w:type="dxa"/>
            <w:vAlign w:val="bottom"/>
          </w:tcPr>
          <w:p>
            <w:pPr>
              <w:jc w:val="right"/>
              <w:ind w:right="273"/>
              <w:spacing w:after="0"/>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9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6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2,099,199</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15,750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Expired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(1,890,602)</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123,037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58,334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(111,715)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2019</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69,656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15,541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15,541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Warrants</w:t>
      </w:r>
    </w:p>
    <w:p>
      <w:pPr>
        <w:spacing w:after="0" w:line="225" w:lineRule="exact"/>
        <w:rPr>
          <w:sz w:val="20"/>
          <w:szCs w:val="20"/>
          <w:color w:val="auto"/>
        </w:rPr>
      </w:pPr>
    </w:p>
    <w:p>
      <w:pPr>
        <w:ind w:right="180" w:firstLine="832"/>
        <w:spacing w:after="0" w:line="270" w:lineRule="auto"/>
        <w:rPr>
          <w:sz w:val="20"/>
          <w:szCs w:val="20"/>
          <w:color w:val="auto"/>
        </w:rPr>
      </w:pPr>
      <w:r>
        <w:rPr>
          <w:rFonts w:ascii="Arial" w:cs="Arial" w:eastAsia="Arial" w:hAnsi="Arial"/>
          <w:sz w:val="17"/>
          <w:szCs w:val="17"/>
          <w:color w:val="auto"/>
        </w:rPr>
        <w:t>In connection with the entry into the Loan Agreement, the Company issued to Hercules a warrant to purchase a number of shares of the Company’s common stock, par value $0.0001 per share equal to 2.5% of the aggregate amount of the Term Loan Advances that are funded, as such amounts are funded.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Exercised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and 2020 Exercise of March 2019 and July 2019 Warrants</w:t>
      </w:r>
    </w:p>
    <w:p>
      <w:pPr>
        <w:spacing w:after="0" w:line="225" w:lineRule="exact"/>
        <w:rPr>
          <w:sz w:val="20"/>
          <w:szCs w:val="20"/>
          <w:color w:val="auto"/>
        </w:rPr>
      </w:pPr>
    </w:p>
    <w:p>
      <w:pPr>
        <w:ind w:firstLine="832"/>
        <w:spacing w:after="0" w:line="285" w:lineRule="auto"/>
        <w:rPr>
          <w:sz w:val="20"/>
          <w:szCs w:val="20"/>
          <w:color w:val="auto"/>
        </w:rPr>
      </w:pPr>
      <w:r>
        <w:rPr>
          <w:rFonts w:ascii="Arial" w:cs="Arial" w:eastAsia="Arial" w:hAnsi="Arial"/>
          <w:sz w:val="16"/>
          <w:szCs w:val="16"/>
          <w:color w:val="auto"/>
        </w:rPr>
        <w:t>In connection with the Company’s term loan facility with SVB and WestRiver which was completed in March 2019, the Company issued warrants for up to 70,000 shares of the Company’s common stock at a price per share equal to $8.10 based upon usage of the facility and were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was amortized to interest expense over the term of the debt utilizing the effective interest rate method. In July 2019, 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would have become exercisable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Due to the Company not drawing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In August 2020, WestRiver exercised in full its portion of 29,167 warrants it received in connection with the 2019 Term Loan via a cashless exercise. The Company issued SVB 26,270 shares of its common stock in connection with the warrant exercise and did not receive any cash proceeds. As of December 31, 2020, none of the warrants issued in connection with the First Amendment to the 2019 Term Loan were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and 2020 Exercise of 2018 Warrants</w:t>
      </w:r>
    </w:p>
    <w:p>
      <w:pPr>
        <w:spacing w:after="0" w:line="225"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In connection with the First Amendment to the Loan and Security Agreement, SVB and WestRiver Innovation Lending Fund VIII, L.P. received warrants to purchase 15,750 shares of the Company’s stock at an exercise price of $3.06 per share, which are exercisable for seven years from the date of issuance (“2018 warrants”). The warrants were classified as a component of stockholders' equity. In August 2019, SVB exercised in full its portions of 7,875 warrants it received in connection with the 2016 Amended Term Loan via a cashless exercise. The Company issued SVB 6,969 shares of its common stock in connection with the warrant exercise, and did not receive any cash proceeds. In August 2020, WestRiver exercised in full the 7,875 warrants it received in connection with the 2016 Amended Term Loan via a cashless exercise. The Company issued SVB 7,579 shares of its common stock in connection with the warrant exercise, and did not receive any cash proceeds. As of December 31, 2020, none of the warrants issued in connection with the 2016 Amended Term Loan were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Expiration of 2017 Warrants</w:t>
      </w:r>
    </w:p>
    <w:p>
      <w:pPr>
        <w:spacing w:after="0" w:line="252" w:lineRule="exact"/>
        <w:rPr>
          <w:sz w:val="20"/>
          <w:szCs w:val="20"/>
          <w:color w:val="auto"/>
        </w:rPr>
      </w:pPr>
    </w:p>
    <w:p>
      <w:pPr>
        <w:ind w:right="180" w:firstLine="832"/>
        <w:spacing w:after="0" w:line="275" w:lineRule="auto"/>
        <w:rPr>
          <w:sz w:val="20"/>
          <w:szCs w:val="20"/>
          <w:color w:val="auto"/>
        </w:rPr>
      </w:pPr>
      <w:r>
        <w:rPr>
          <w:rFonts w:ascii="Arial" w:cs="Arial" w:eastAsia="Arial" w:hAnsi="Arial"/>
          <w:sz w:val="17"/>
          <w:szCs w:val="17"/>
          <w:color w:val="auto"/>
        </w:rPr>
        <w:t>In connection with the Registered Direct Offering, which was completed on December 11, 2017, the Company issued Common Warrants and Placement Agent Warrants to purchase 1,783,587 shares and 107,015 shares of common stock, respectively, with an exercise price of $5.25 per share and $6.6562 per share, respectively, which are exercisable from the date of issuance until December 11, 2018 (“2017 warrants”). The Common Warrants and Placement Agent Warrants were classified as warrant liability. See Note 3, “Fair Value Measurements”, for the fair value calculations of the warrant liability. The 2017 warrants had a 1 year term and expired on December 11, 2018.</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and 2020 Exercise of 2016 Warrants</w:t>
      </w:r>
    </w:p>
    <w:p>
      <w:pPr>
        <w:spacing w:after="0" w:line="225" w:lineRule="exact"/>
        <w:rPr>
          <w:sz w:val="20"/>
          <w:szCs w:val="20"/>
          <w:color w:val="auto"/>
        </w:rPr>
      </w:pPr>
    </w:p>
    <w:p>
      <w:pPr>
        <w:ind w:firstLine="832"/>
        <w:spacing w:after="0" w:line="254" w:lineRule="auto"/>
        <w:rPr>
          <w:sz w:val="20"/>
          <w:szCs w:val="20"/>
          <w:color w:val="auto"/>
        </w:rPr>
      </w:pPr>
      <w:r>
        <w:rPr>
          <w:rFonts w:ascii="Arial" w:cs="Arial" w:eastAsia="Arial" w:hAnsi="Arial"/>
          <w:sz w:val="18"/>
          <w:szCs w:val="18"/>
          <w:color w:val="auto"/>
        </w:rPr>
        <w:t>In connection with the Company’s debt financing which was completed on November 9, 2016, the Company issued warrants to purchase 65,228 shares of common stock with an exercise price of $7.41 per share, which are exercisable upon issuance (“2016 warrants”) to SVB and Life Sciences. The warrants were classified as a component of stockholders' equity. In September 2019, SVB exercised its portion of 32,614 warrants it received in connection with the 2016 Original Term Loan via a cashless exercise. The Company issued SVB 24,328 shares of its common stock in connection with the warrant exercise, and did not receive any cash proceeds. In addition, in May 2020, Life Science exercised in full the 32,614 warrants it received in connection with the 2016 Original Term Loan via a cashless exercise. The Company issued Life Science 29,982 shares of its common stock in connection with the warrant exercise and did not receive any cash proceeds. As of December 31, 2020, none of the warrants issued in connection with the 2016 Original Term Loan were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Exercise of 2014 warrants</w:t>
      </w:r>
    </w:p>
    <w:p>
      <w:pPr>
        <w:spacing w:after="0" w:line="225" w:lineRule="exact"/>
        <w:rPr>
          <w:sz w:val="20"/>
          <w:szCs w:val="20"/>
          <w:color w:val="auto"/>
        </w:rPr>
      </w:pPr>
    </w:p>
    <w:p>
      <w:pPr>
        <w:ind w:right="20" w:firstLine="832"/>
        <w:spacing w:after="0" w:line="270" w:lineRule="auto"/>
        <w:rPr>
          <w:sz w:val="20"/>
          <w:szCs w:val="20"/>
          <w:color w:val="auto"/>
        </w:rPr>
      </w:pPr>
      <w:r>
        <w:rPr>
          <w:rFonts w:ascii="Arial" w:cs="Arial" w:eastAsia="Arial" w:hAnsi="Arial"/>
          <w:sz w:val="17"/>
          <w:szCs w:val="17"/>
          <w:color w:val="auto"/>
        </w:rPr>
        <w:t>On November 3, 2014, the Company issued warrants to purchase 42,059 shares of common stock with an exercise price of $5.94 per share to the placement agent in connection with the issuance of certain convertible notes from September 2014 through November 2014 (the “September 2014 Notes”), which were exercisable upon issuance (“2014 warrants”). The warrants were initially classified as a liability in the consolidated financial statements, as upon a qualified financing, the warrant price would automatically adjust to a 10% premium to the conversion price of the September 2014 Notes in such mandatory conversion. The initial fair value of the warrant liability was $79,129 which was recorded as a discount to the notes and amortized over the term of the original September 2014 Notes. Upon the note amendment that occurred in September 2015, the discount was included in the carrying amount in the calculation of a loss on extinguishment. In connection with the automatic conversion of the September 2014 Notes upon the close of the Company’s IPO in November 2015, the warrant liability was reclassified to equity. The 2014 warrants had a five-year term and an expiration of November 2, 2019. All 42,059 warrants were exercised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and 2018 Exercise of 2013 Warrants</w:t>
      </w:r>
    </w:p>
    <w:p>
      <w:pPr>
        <w:spacing w:after="0" w:line="225" w:lineRule="exact"/>
        <w:rPr>
          <w:sz w:val="20"/>
          <w:szCs w:val="20"/>
          <w:color w:val="auto"/>
        </w:rPr>
      </w:pPr>
    </w:p>
    <w:p>
      <w:pPr>
        <w:ind w:right="240" w:firstLine="832"/>
        <w:spacing w:after="0" w:line="259" w:lineRule="auto"/>
        <w:rPr>
          <w:sz w:val="20"/>
          <w:szCs w:val="20"/>
          <w:color w:val="auto"/>
        </w:rPr>
      </w:pPr>
      <w:r>
        <w:rPr>
          <w:rFonts w:ascii="Arial" w:cs="Arial" w:eastAsia="Arial" w:hAnsi="Arial"/>
          <w:sz w:val="18"/>
          <w:szCs w:val="18"/>
          <w:color w:val="auto"/>
        </w:rPr>
        <w:t>On October 29, 2013, the Company issued warrants to purchase 230,459 shares of common stock with an exercise price of $1.30 per share to the placement agent in connection with the June 2013 Notes, which were exercisable upon issuance (“2013 warrants”). The warrants were classified as a component of stockholders’ equity. The 2013 warrants had a five-year term. 129,149 warrants and 101,310 warrants were exercised in 2017 and 2018, respectively.</w:t>
      </w:r>
    </w:p>
    <w:p>
      <w:pPr>
        <w:spacing w:after="0" w:line="187" w:lineRule="exact"/>
        <w:rPr>
          <w:sz w:val="20"/>
          <w:szCs w:val="20"/>
          <w:color w:val="auto"/>
        </w:rPr>
      </w:pPr>
    </w:p>
    <w:p>
      <w:pPr>
        <w:ind w:left="840"/>
        <w:spacing w:after="0" w:line="207" w:lineRule="exact"/>
        <w:rPr>
          <w:sz w:val="20"/>
          <w:szCs w:val="20"/>
          <w:color w:val="auto"/>
        </w:rPr>
      </w:pPr>
      <w:r>
        <w:rPr>
          <w:rFonts w:ascii="Arial" w:cs="Arial" w:eastAsia="Arial" w:hAnsi="Arial"/>
          <w:sz w:val="18"/>
          <w:szCs w:val="18"/>
          <w:color w:val="auto"/>
        </w:rPr>
        <w:t>The initial fair value of the warrants were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assumptions: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warrants</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warrants</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warrants</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warrants</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warrants</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warrants</w:t>
            </w:r>
          </w:p>
        </w:tc>
        <w:tc>
          <w:tcPr>
            <w:tcW w:w="1000" w:type="dxa"/>
            <w:vAlign w:val="bottom"/>
          </w:tcPr>
          <w:p>
            <w:pPr>
              <w:jc w:val="right"/>
              <w:ind w:right="236"/>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Weighted average contractual term</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7 years</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7 years</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7 years</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1 year</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7 years</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5 years</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674"/>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w w:val="91"/>
              </w:rPr>
              <w:t>F-25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License Agreements</w:t>
      </w:r>
    </w:p>
    <w:p>
      <w:pPr>
        <w:spacing w:after="0" w:line="229" w:lineRule="exact"/>
        <w:rPr>
          <w:sz w:val="20"/>
          <w:szCs w:val="20"/>
          <w:color w:val="auto"/>
        </w:rPr>
      </w:pPr>
    </w:p>
    <w:p>
      <w:pPr>
        <w:jc w:val="both"/>
        <w:ind w:right="60" w:firstLine="832"/>
        <w:spacing w:after="0" w:line="259" w:lineRule="auto"/>
        <w:rPr>
          <w:sz w:val="20"/>
          <w:szCs w:val="20"/>
          <w:color w:val="auto"/>
        </w:rPr>
      </w:pPr>
      <w:r>
        <w:rPr>
          <w:rFonts w:ascii="Arial" w:cs="Arial" w:eastAsia="Arial" w:hAnsi="Arial"/>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87" w:lineRule="exact"/>
        <w:rPr>
          <w:sz w:val="20"/>
          <w:szCs w:val="20"/>
          <w:color w:val="auto"/>
        </w:rPr>
      </w:pPr>
    </w:p>
    <w:p>
      <w:pPr>
        <w:ind w:right="40" w:firstLine="832"/>
        <w:spacing w:after="0" w:line="255" w:lineRule="auto"/>
        <w:rPr>
          <w:sz w:val="20"/>
          <w:szCs w:val="20"/>
          <w:color w:val="auto"/>
        </w:rPr>
      </w:pPr>
      <w:r>
        <w:rPr>
          <w:rFonts w:ascii="Arial" w:cs="Arial" w:eastAsia="Arial" w:hAnsi="Arial"/>
          <w:sz w:val="18"/>
          <w:szCs w:val="18"/>
          <w:color w:val="auto"/>
        </w:rPr>
        <w:t>Under the terms of the agreement, Pfizer received 82,019 shares of the Company’s common stock having a stated value of $8.0 million, based on the average closing price of the Company’s common stock for the ten prior trading days of $97.538,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twelve months ended December 31, 2020.</w:t>
      </w:r>
    </w:p>
    <w:p>
      <w:pPr>
        <w:spacing w:after="0" w:line="192"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twelve months ended December 31, 2020, no milestone payments or royalties were paid to Pfizer by the Company.</w:t>
      </w:r>
    </w:p>
    <w:p>
      <w:pPr>
        <w:spacing w:after="0" w:line="184" w:lineRule="exact"/>
        <w:rPr>
          <w:sz w:val="20"/>
          <w:szCs w:val="20"/>
          <w:color w:val="auto"/>
        </w:rPr>
      </w:pPr>
    </w:p>
    <w:p>
      <w:pPr>
        <w:ind w:firstLine="832"/>
        <w:spacing w:after="0" w:line="217" w:lineRule="exact"/>
        <w:rPr>
          <w:sz w:val="20"/>
          <w:szCs w:val="20"/>
          <w:color w:val="auto"/>
        </w:rPr>
      </w:pPr>
      <w:r>
        <w:rPr>
          <w:rFonts w:ascii="Arial" w:cs="Arial" w:eastAsia="Arial" w:hAnsi="Arial"/>
          <w:sz w:val="16"/>
          <w:szCs w:val="16"/>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and two product candidate that are not currently in development, anywhere in the world for veterinary and human therapeutic and diagnostic use. Pursuant to the agreements, the Company is required to use commercially reasonable efforts to develop, obtain regulatory approval for and commercialize AXS</w:t>
      </w:r>
      <w:r>
        <w:rPr>
          <w:rFonts w:ascii="MS PGothic" w:cs="MS PGothic" w:eastAsia="MS PGothic" w:hAnsi="MS PGothic"/>
          <w:sz w:val="16"/>
          <w:szCs w:val="16"/>
          <w:color w:val="auto"/>
        </w:rPr>
        <w:t>‑</w:t>
      </w:r>
      <w:r>
        <w:rPr>
          <w:rFonts w:ascii="Arial" w:cs="Arial" w:eastAsia="Arial" w:hAnsi="Arial"/>
          <w:sz w:val="16"/>
          <w:szCs w:val="16"/>
          <w:color w:val="auto"/>
        </w:rPr>
        <w:t>05. Under the terms of the agreements, the Company is required to pay to Antecip a royalty equal to 3.0% for AXS</w:t>
      </w:r>
      <w:r>
        <w:rPr>
          <w:rFonts w:ascii="MS PGothic" w:cs="MS PGothic" w:eastAsia="MS PGothic" w:hAnsi="MS PGothic"/>
          <w:sz w:val="16"/>
          <w:szCs w:val="16"/>
          <w:color w:val="auto"/>
        </w:rPr>
        <w:t>‑</w:t>
      </w:r>
      <w:r>
        <w:rPr>
          <w:rFonts w:ascii="Arial" w:cs="Arial" w:eastAsia="Arial" w:hAnsi="Arial"/>
          <w:sz w:val="16"/>
          <w:szCs w:val="16"/>
          <w:color w:val="auto"/>
        </w:rPr>
        <w:t>05,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204" w:lineRule="exact"/>
        <w:rPr>
          <w:sz w:val="20"/>
          <w:szCs w:val="20"/>
          <w:color w:val="auto"/>
        </w:rPr>
      </w:pPr>
    </w:p>
    <w:p>
      <w:pPr>
        <w:ind w:right="220" w:firstLine="832"/>
        <w:spacing w:after="0" w:line="277" w:lineRule="auto"/>
        <w:rPr>
          <w:sz w:val="20"/>
          <w:szCs w:val="20"/>
          <w:color w:val="auto"/>
        </w:rPr>
      </w:pPr>
      <w:r>
        <w:rPr>
          <w:rFonts w:ascii="Arial" w:cs="Arial" w:eastAsia="Arial" w:hAnsi="Arial"/>
          <w:sz w:val="18"/>
          <w:szCs w:val="18"/>
          <w:color w:val="auto"/>
        </w:rPr>
        <w:t>In connection with the 2020 Term Loan, the Company entered into a Direct Agreement with Antecip pursuant to which Antecip consented to the collateral assignment of the License Agreement to Hercules, among other things.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40" w:firstLine="832"/>
        <w:spacing w:after="0" w:line="293" w:lineRule="auto"/>
        <w:rPr>
          <w:sz w:val="20"/>
          <w:szCs w:val="20"/>
          <w:color w:val="auto"/>
        </w:rPr>
      </w:pPr>
      <w:r>
        <w:rPr>
          <w:rFonts w:ascii="Arial" w:cs="Arial" w:eastAsia="Arial" w:hAnsi="Arial"/>
          <w:sz w:val="16"/>
          <w:szCs w:val="16"/>
          <w:color w:val="auto"/>
        </w:rPr>
        <w:t>As of December 31, 2020, the Company has U.S. federal net operating loss (“NOL”) carryforwards of approximately $249 million. NOLs amounting to $60 million generated before the 2018 tax year will start expiring beginning 2032, and the NOL of approximately $189 million generated in 2018 and later have an indefinite carryforward period.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components of the Company’s deferred tax assets and deferred tax liabilities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3"/>
              </w:rPr>
              <w:t>December 31, 2020</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federal operating loss carryforward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52,329,877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32,299,085</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foreign operating loss carryforward</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86,829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59,557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state operating loss carryforward</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32,410,604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20,000,317</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Non-cash compensation</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7,329,228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3,485,519</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13,028,222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10,366,683</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1,765,452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985,431</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Charitable Contribution</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5,408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5,408</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7,883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11,401</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612,973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968,709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1,200,754</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108,545,185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68,414,155</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Deferred finance costs</w:t>
            </w:r>
          </w:p>
        </w:tc>
        <w:tc>
          <w:tcPr>
            <w:tcW w:w="1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(121,875)</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Asset</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(591,607)</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Deferred tax liability, excluding valuation allowance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(121,875)</w:t>
            </w:r>
          </w:p>
        </w:tc>
      </w:tr>
      <w:tr>
        <w:trPr>
          <w:trHeight w:val="229"/>
        </w:trPr>
        <w:tc>
          <w:tcPr>
            <w:tcW w:w="7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(107,953,578)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(68,292,280)</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32"/>
        <w:spacing w:after="0" w:line="255" w:lineRule="auto"/>
        <w:rPr>
          <w:sz w:val="20"/>
          <w:szCs w:val="20"/>
          <w:color w:val="auto"/>
        </w:rPr>
      </w:pPr>
      <w:r>
        <w:rPr>
          <w:rFonts w:ascii="Arial" w:cs="Arial" w:eastAsia="Arial" w:hAnsi="Arial"/>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Valuation allowance increased $39.7 million, $27.0 million, and $12.5 million, in 2020, 2019, and 2018, respectively, as a result of the increase of the deferred tax assets.</w:t>
      </w:r>
    </w:p>
    <w:p>
      <w:pPr>
        <w:spacing w:after="0" w:line="192" w:lineRule="exact"/>
        <w:rPr>
          <w:sz w:val="20"/>
          <w:szCs w:val="20"/>
          <w:color w:val="auto"/>
        </w:rPr>
      </w:pPr>
    </w:p>
    <w:p>
      <w:pPr>
        <w:ind w:right="40" w:firstLine="832"/>
        <w:spacing w:after="0" w:line="263" w:lineRule="auto"/>
        <w:rPr>
          <w:sz w:val="20"/>
          <w:szCs w:val="20"/>
          <w:color w:val="auto"/>
        </w:rPr>
      </w:pPr>
      <w:r>
        <w:rPr>
          <w:rFonts w:ascii="Arial" w:cs="Arial" w:eastAsia="Arial" w:hAnsi="Arial"/>
          <w:sz w:val="18"/>
          <w:szCs w:val="18"/>
          <w:color w:val="auto"/>
        </w:rPr>
        <w:t>There was no income tax expense (benefit) recorded by the Company due to its net loss tax position and full valuation allowance during the years ended December 31, 2020, 2019, and 2018. A reconciliation of income tax expense (benefit) at the statutory federal income tax rate and income taxes as reflected in the consolidated financial statements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20" w:type="dxa"/>
            <w:vAlign w:val="bottom"/>
          </w:tcPr>
          <w:p>
            <w:pPr>
              <w:spacing w:after="0"/>
              <w:rPr>
                <w:sz w:val="14"/>
                <w:szCs w:val="14"/>
                <w:color w:val="auto"/>
              </w:rPr>
            </w:pPr>
          </w:p>
        </w:tc>
        <w:tc>
          <w:tcPr>
            <w:tcW w:w="356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20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560" w:type="dxa"/>
            <w:vAlign w:val="bottom"/>
            <w:gridSpan w:val="2"/>
          </w:tcPr>
          <w:p>
            <w:pPr>
              <w:jc w:val="right"/>
              <w:ind w:right="116"/>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13.1</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 Excess tax benefit</w:t>
            </w:r>
          </w:p>
        </w:tc>
        <w:tc>
          <w:tcPr>
            <w:tcW w:w="356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3560" w:type="dxa"/>
            <w:vAlign w:val="bottom"/>
            <w:gridSpan w:val="2"/>
          </w:tcPr>
          <w:p>
            <w:pPr>
              <w:jc w:val="right"/>
              <w:ind w:right="36"/>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credit</w:t>
            </w:r>
          </w:p>
        </w:tc>
        <w:tc>
          <w:tcPr>
            <w:tcW w:w="3560" w:type="dxa"/>
            <w:vAlign w:val="bottom"/>
            <w:gridSpan w:val="2"/>
            <w:shd w:val="clear" w:color="auto" w:fill="CFF0FC"/>
          </w:tcPr>
          <w:p>
            <w:pPr>
              <w:jc w:val="right"/>
              <w:ind w:right="116"/>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560" w:type="dxa"/>
            <w:vAlign w:val="bottom"/>
            <w:gridSpan w:val="2"/>
          </w:tcPr>
          <w:p>
            <w:pPr>
              <w:jc w:val="right"/>
              <w:ind w:right="36"/>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(40.2)</w:t>
            </w: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56"/>
        </w:trPr>
        <w:tc>
          <w:tcPr>
            <w:tcW w:w="4420" w:type="dxa"/>
            <w:vAlign w:val="bottom"/>
          </w:tcPr>
          <w:p>
            <w:pPr>
              <w:spacing w:after="0"/>
              <w:rPr>
                <w:sz w:val="24"/>
                <w:szCs w:val="24"/>
                <w:color w:val="auto"/>
              </w:rPr>
            </w:pPr>
          </w:p>
        </w:tc>
        <w:tc>
          <w:tcPr>
            <w:tcW w:w="3700" w:type="dxa"/>
            <w:vAlign w:val="bottom"/>
            <w:gridSpan w:val="3"/>
          </w:tcPr>
          <w:p>
            <w:pPr>
              <w:ind w:left="1040"/>
              <w:spacing w:after="0"/>
              <w:rPr>
                <w:sz w:val="20"/>
                <w:szCs w:val="20"/>
                <w:color w:val="auto"/>
              </w:rPr>
            </w:pPr>
            <w:r>
              <w:rPr>
                <w:rFonts w:ascii="Arial" w:cs="Arial" w:eastAsia="Arial" w:hAnsi="Arial"/>
                <w:sz w:val="18"/>
                <w:szCs w:val="18"/>
                <w:color w:val="auto"/>
              </w:rPr>
              <w:t>F-27</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80" w:firstLine="832"/>
        <w:spacing w:after="0" w:line="259" w:lineRule="auto"/>
        <w:rPr>
          <w:sz w:val="20"/>
          <w:szCs w:val="20"/>
          <w:color w:val="auto"/>
        </w:rPr>
      </w:pPr>
      <w:r>
        <w:rPr>
          <w:rFonts w:ascii="Arial" w:cs="Arial" w:eastAsia="Arial" w:hAnsi="Arial"/>
          <w:sz w:val="18"/>
          <w:szCs w:val="18"/>
          <w:color w:val="auto"/>
        </w:rPr>
        <w:t>The Company is not currently under examination at the federal or state levels and as of the date of the consolidated financial statements, there were no known assessments.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214" w:lineRule="exact"/>
        <w:rPr>
          <w:sz w:val="20"/>
          <w:szCs w:val="20"/>
          <w:color w:val="auto"/>
        </w:rPr>
      </w:pPr>
    </w:p>
    <w:p>
      <w:pPr>
        <w:ind w:firstLine="832"/>
        <w:spacing w:after="0" w:line="271"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ind w:right="60" w:firstLine="832"/>
        <w:spacing w:after="0" w:line="259" w:lineRule="auto"/>
        <w:rPr>
          <w:sz w:val="20"/>
          <w:szCs w:val="20"/>
          <w:color w:val="auto"/>
        </w:rPr>
      </w:pPr>
      <w:r>
        <w:rPr>
          <w:rFonts w:ascii="Arial" w:cs="Arial" w:eastAsia="Arial" w:hAnsi="Arial"/>
          <w:sz w:val="18"/>
          <w:szCs w:val="18"/>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Capital LLC, an entity controlled by Dr. Tabuteau, an aggregate of 7,344,500 shares of the Company’s common stock for nominal consideration.</w:t>
      </w:r>
    </w:p>
    <w:p>
      <w:pPr>
        <w:spacing w:after="0" w:line="187" w:lineRule="exact"/>
        <w:rPr>
          <w:sz w:val="20"/>
          <w:szCs w:val="20"/>
          <w:color w:val="auto"/>
        </w:rPr>
      </w:pPr>
    </w:p>
    <w:p>
      <w:pPr>
        <w:ind w:right="100" w:firstLine="832"/>
        <w:spacing w:after="0" w:line="277" w:lineRule="auto"/>
        <w:rPr>
          <w:sz w:val="20"/>
          <w:szCs w:val="20"/>
          <w:color w:val="auto"/>
        </w:rPr>
      </w:pPr>
      <w:r>
        <w:rPr>
          <w:rFonts w:ascii="Arial" w:cs="Arial" w:eastAsia="Arial" w:hAnsi="Arial"/>
          <w:sz w:val="18"/>
          <w:szCs w:val="18"/>
          <w:color w:val="auto"/>
        </w:rPr>
        <w:t>The Company is a party to three exclusive license agreements with Antecip Bioventures II LLC, an entity owned by Dr. Tabuteau. See Note 10 – License Agreements for further information regarding the license agreements.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Quarterly Consolidated Financial Data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3"/>
                <w:szCs w:val="13"/>
                <w:color w:val="auto"/>
              </w:rPr>
            </w:pPr>
          </w:p>
        </w:tc>
        <w:tc>
          <w:tcPr>
            <w:tcW w:w="12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Dec. 31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32,491,457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17,778,834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21,126,801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27,744,236</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(32,484,146)</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(18,326,992)</w:t>
            </w: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(22,924,815)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(29,164,647)</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r>
      <w:tr>
        <w:trPr>
          <w:trHeight w:val="473"/>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5"/>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3"/>
                <w:szCs w:val="13"/>
                <w:color w:val="auto"/>
              </w:rPr>
            </w:pPr>
          </w:p>
        </w:tc>
        <w:tc>
          <w:tcPr>
            <w:tcW w:w="12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Dec. 31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10,421,473</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13,448,219</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18,947,235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24,428,170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(10,640,376)</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(13,762,214)</w:t>
            </w: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(19,135,612)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(24,806,984)</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r>
    </w:tbl>
    <w:p>
      <w:pPr>
        <w:spacing w:after="0" w:line="229" w:lineRule="exact"/>
        <w:rPr>
          <w:sz w:val="20"/>
          <w:szCs w:val="20"/>
          <w:color w:val="auto"/>
        </w:rPr>
      </w:pPr>
    </w:p>
    <w:p>
      <w:pPr>
        <w:ind w:left="420" w:right="200" w:hanging="412"/>
        <w:spacing w:after="0" w:line="277"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Basic and diluted net loss per common share is computed independently for each of the quarters presented. Therefore, the sum of all quarterly basic and fully diluted net loss per common share may not equal the annual basic and diluted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19"/>
          </w:tcPr>
          <w:p>
            <w:pPr>
              <w:ind w:left="520"/>
              <w:spacing w:after="0"/>
              <w:rPr>
                <w:sz w:val="20"/>
                <w:szCs w:val="20"/>
                <w:color w:val="auto"/>
              </w:rPr>
            </w:pPr>
            <w:r>
              <w:rPr>
                <w:rFonts w:ascii="Arial" w:cs="Arial" w:eastAsia="Arial" w:hAnsi="Arial"/>
                <w:sz w:val="18"/>
                <w:szCs w:val="18"/>
                <w:b w:val="1"/>
                <w:bCs w:val="1"/>
                <w:color w:val="auto"/>
              </w:rPr>
              <w:t>INDEX EXHIBITS</w:t>
            </w:r>
          </w:p>
        </w:tc>
        <w:tc>
          <w:tcPr>
            <w:tcW w:w="0" w:type="dxa"/>
            <w:vAlign w:val="bottom"/>
          </w:tcPr>
          <w:p>
            <w:pPr>
              <w:spacing w:after="0"/>
              <w:rPr>
                <w:sz w:val="1"/>
                <w:szCs w:val="1"/>
                <w:color w:val="auto"/>
              </w:rPr>
            </w:pPr>
          </w:p>
        </w:tc>
      </w:tr>
      <w:tr>
        <w:trPr>
          <w:trHeight w:val="342"/>
        </w:trPr>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19"/>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2"/>
                <w:szCs w:val="22"/>
                <w:color w:val="auto"/>
              </w:rPr>
            </w:pPr>
          </w:p>
        </w:tc>
        <w:tc>
          <w:tcPr>
            <w:tcW w:w="984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Amended and Restated Certificate of Incorporation of the Company (Incorporated by reference, Exhibit 3.1 to the Company’s Form 8-K</w:t>
              </w:r>
            </w:hyperlink>
          </w:p>
        </w:tc>
        <w:tc>
          <w:tcPr>
            <w:tcW w:w="260" w:type="dxa"/>
            <w:vAlign w:val="bottom"/>
            <w:tcBorders>
              <w:top w:val="single" w:sz="8" w:color="auto"/>
            </w:tcBorders>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(No. 001-37635) filed November 24, 2015).</w:t>
              </w:r>
            </w:hyperlink>
          </w:p>
        </w:tc>
        <w:tc>
          <w:tcPr>
            <w:tcW w:w="6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1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Amended and Restated Bylaws of the Company (Incorporated by reference, Exhibit 3.2 to the Company’s Form 8-K (No. 001-37635) filed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November 24, 2015).</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ind w:left="18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9880" w:type="dxa"/>
            <w:vAlign w:val="bottom"/>
            <w:tcBorders>
              <w:bottom w:val="single" w:sz="8" w:color="0000EE"/>
            </w:tcBorders>
            <w:gridSpan w:val="14"/>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Specimen Certificate evidencing shares of Company’s common stock (Incorporated by reference, Exhibit 4.1 to Amendment No. 1 to the</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Company’s Registration Statement on Form S-1 (No. 333</w:t>
              </w:r>
              <w:r>
                <w:rPr>
                  <w:rFonts w:ascii="MS PGothic" w:cs="MS PGothic" w:eastAsia="MS PGothic" w:hAnsi="MS PGothic"/>
                  <w:sz w:val="18"/>
                  <w:szCs w:val="18"/>
                  <w:color w:val="0000EE"/>
                  <w:w w:val="91"/>
                </w:rPr>
                <w:t>‑</w:t>
              </w:r>
              <w:r>
                <w:rPr>
                  <w:rFonts w:ascii="Arial" w:cs="Arial" w:eastAsia="Arial" w:hAnsi="Arial"/>
                  <w:sz w:val="18"/>
                  <w:szCs w:val="18"/>
                  <w:color w:val="0000EE"/>
                  <w:w w:val="91"/>
                </w:rPr>
                <w:t>207393) filed October 30, 2015).</w:t>
              </w:r>
            </w:hyperlink>
          </w:p>
        </w:tc>
        <w:tc>
          <w:tcPr>
            <w:tcW w:w="3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18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Form of warrant to purchase shares of Company’s common stock issued in 2013 (Incorporated by reference, Exhibit 4.2 to the Company’s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Registration Statement on Form S-1 (No. 333-207393) filed October 13, 2015).</w:t>
              </w:r>
            </w:hyperlink>
          </w:p>
        </w:tc>
        <w:tc>
          <w:tcPr>
            <w:tcW w:w="4220" w:type="dxa"/>
            <w:vAlign w:val="bottom"/>
            <w:tcBorders>
              <w:top w:val="single" w:sz="8" w:color="0000EE"/>
            </w:tcBorders>
            <w:gridSpan w:val="10"/>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Form of warrant to purchase shares of Company’s common stock issued in 2014 (Incorporated by reference, Exhibit 4.3 to the Company’s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Registration Statement on Form S-1 (No. 333-207393) filed October 13, 2015).</w:t>
              </w:r>
            </w:hyperlink>
          </w:p>
        </w:tc>
        <w:tc>
          <w:tcPr>
            <w:tcW w:w="4220" w:type="dxa"/>
            <w:vAlign w:val="bottom"/>
            <w:tcBorders>
              <w:top w:val="single" w:sz="8" w:color="0000EE"/>
            </w:tcBorders>
            <w:gridSpan w:val="10"/>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18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10100" w:type="dxa"/>
            <w:vAlign w:val="bottom"/>
            <w:gridSpan w:val="22"/>
          </w:tcPr>
          <w:p>
            <w:pPr>
              <w:spacing w:after="0" w:line="207" w:lineRule="exact"/>
              <w:rPr>
                <w:rFonts w:ascii="Arial" w:cs="Arial" w:eastAsia="Arial" w:hAnsi="Arial"/>
                <w:sz w:val="18"/>
                <w:szCs w:val="18"/>
                <w:color w:val="0000EE"/>
                <w:w w:val="99"/>
              </w:rPr>
            </w:pPr>
            <w:hyperlink r:id="rId184">
              <w:r>
                <w:rPr>
                  <w:rFonts w:ascii="Arial" w:cs="Arial" w:eastAsia="Arial" w:hAnsi="Arial"/>
                  <w:sz w:val="18"/>
                  <w:szCs w:val="18"/>
                  <w:u w:val="single" w:color="auto"/>
                  <w:color w:val="0000EE"/>
                  <w:w w:val="99"/>
                </w:rPr>
                <w:t>Form of Warrant (Incorporated by reference, Exhibit 4.1 to the Company’s Current Report on Form 8</w:t>
              </w:r>
              <w:r>
                <w:rPr>
                  <w:rFonts w:ascii="MS PGothic" w:cs="MS PGothic" w:eastAsia="MS PGothic" w:hAnsi="MS PGothic"/>
                  <w:sz w:val="18"/>
                  <w:szCs w:val="18"/>
                  <w:u w:val="single" w:color="auto"/>
                  <w:color w:val="0000EE"/>
                  <w:w w:val="99"/>
                </w:rPr>
                <w:t>‑</w:t>
              </w:r>
              <w:r>
                <w:rPr>
                  <w:rFonts w:ascii="Arial" w:cs="Arial" w:eastAsia="Arial" w:hAnsi="Arial"/>
                  <w:sz w:val="18"/>
                  <w:szCs w:val="18"/>
                  <w:u w:val="single" w:color="auto"/>
                  <w:color w:val="0000EE"/>
                  <w:w w:val="99"/>
                </w:rPr>
                <w:t>K filed December 4, 2017)</w:t>
              </w:r>
              <w:r>
                <w:rPr>
                  <w:rFonts w:ascii="Arial" w:cs="Arial" w:eastAsia="Arial" w:hAnsi="Arial"/>
                  <w:sz w:val="18"/>
                  <w:szCs w:val="18"/>
                  <w:color w:val="0000EE"/>
                  <w:w w:val="99"/>
                </w:rPr>
                <w:t>.</w:t>
              </w:r>
            </w:hyperlink>
          </w:p>
        </w:tc>
        <w:tc>
          <w:tcPr>
            <w:tcW w:w="0" w:type="dxa"/>
            <w:vAlign w:val="bottom"/>
          </w:tcPr>
          <w:p>
            <w:pPr>
              <w:spacing w:after="0"/>
              <w:rPr>
                <w:sz w:val="1"/>
                <w:szCs w:val="1"/>
                <w:color w:val="auto"/>
              </w:rPr>
            </w:pPr>
          </w:p>
        </w:tc>
      </w:tr>
      <w:tr>
        <w:trPr>
          <w:trHeight w:val="270"/>
        </w:trPr>
        <w:tc>
          <w:tcPr>
            <w:tcW w:w="1120" w:type="dxa"/>
            <w:vAlign w:val="bottom"/>
          </w:tcPr>
          <w:p>
            <w:pPr>
              <w:ind w:left="18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3"/>
                <w:szCs w:val="23"/>
                <w:color w:val="auto"/>
              </w:rPr>
            </w:pPr>
          </w:p>
        </w:tc>
        <w:tc>
          <w:tcPr>
            <w:tcW w:w="10100" w:type="dxa"/>
            <w:vAlign w:val="bottom"/>
            <w:gridSpan w:val="22"/>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Warrant Agreement, dated as of September 25, 2020, by and between Axsome Therapeutics, Inc. and Hercules Capital, Inc (Incorporated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by reference, Exhibit 10.4 to the Company’s Quarterly Report on Form 10-Q, filed November 5, 2020).</w:t>
              </w:r>
            </w:hyperlink>
          </w:p>
        </w:tc>
        <w:tc>
          <w:tcPr>
            <w:tcW w:w="2420" w:type="dxa"/>
            <w:vAlign w:val="bottom"/>
            <w:tcBorders>
              <w:top w:val="single" w:sz="8" w:color="0000EE"/>
            </w:tcBorders>
            <w:gridSpan w:val="6"/>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18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u w:val="single" w:color="auto"/>
                <w:color w:val="0000EE"/>
                <w:w w:val="92"/>
              </w:rPr>
            </w:pPr>
            <w:hyperlink r:id="rId186">
              <w:r>
                <w:rPr>
                  <w:rFonts w:ascii="Arial" w:cs="Arial" w:eastAsia="Arial" w:hAnsi="Arial"/>
                  <w:sz w:val="18"/>
                  <w:szCs w:val="18"/>
                  <w:u w:val="single" w:color="auto"/>
                  <w:color w:val="0000EE"/>
                  <w:w w:val="92"/>
                </w:rPr>
                <w:t>Description of Securities (Incorporated by reference, Exhibit 4.13, to the Company’s Annual Report on Form 10-K, filed March 12, 2020).</w:t>
              </w:r>
            </w:hyperlink>
          </w:p>
        </w:tc>
        <w:tc>
          <w:tcPr>
            <w:tcW w:w="0" w:type="dxa"/>
            <w:vAlign w:val="bottom"/>
          </w:tcPr>
          <w:p>
            <w:pPr>
              <w:spacing w:after="0"/>
              <w:rPr>
                <w:sz w:val="1"/>
                <w:szCs w:val="1"/>
                <w:color w:val="auto"/>
              </w:rPr>
            </w:pPr>
          </w:p>
        </w:tc>
      </w:tr>
      <w:tr>
        <w:trPr>
          <w:trHeight w:val="270"/>
        </w:trPr>
        <w:tc>
          <w:tcPr>
            <w:tcW w:w="1120" w:type="dxa"/>
            <w:vAlign w:val="bottom"/>
          </w:tcPr>
          <w:p>
            <w:pPr>
              <w:ind w:lef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9940" w:type="dxa"/>
            <w:vAlign w:val="bottom"/>
            <w:tcBorders>
              <w:bottom w:val="single" w:sz="8" w:color="0000EE"/>
            </w:tcBorders>
            <w:gridSpan w:val="15"/>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Axsome Therapeutics, Inc. 2013 Equity Compensation Plan and Form of Nonqualified Stock Option Agreement thereunder (Incorporated</w:t>
              </w:r>
            </w:hyperlink>
          </w:p>
        </w:tc>
        <w:tc>
          <w:tcPr>
            <w:tcW w:w="16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22"/>
          </w:tcPr>
          <w:p>
            <w:pPr>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by reference, Exhibit 10.1 to the Company’s Registration Statement on Form S-1 (No. 333-207393) filed October 13, 2015).</w:t>
              </w:r>
            </w:hyperlink>
          </w:p>
        </w:tc>
        <w:tc>
          <w:tcPr>
            <w:tcW w:w="0" w:type="dxa"/>
            <w:vAlign w:val="bottom"/>
          </w:tcPr>
          <w:p>
            <w:pPr>
              <w:spacing w:after="0"/>
              <w:rPr>
                <w:sz w:val="1"/>
                <w:szCs w:val="1"/>
                <w:color w:val="auto"/>
              </w:rPr>
            </w:pPr>
          </w:p>
        </w:tc>
      </w:tr>
      <w:tr>
        <w:trPr>
          <w:trHeight w:val="270"/>
        </w:trPr>
        <w:tc>
          <w:tcPr>
            <w:tcW w:w="1120" w:type="dxa"/>
            <w:vAlign w:val="bottom"/>
          </w:tcPr>
          <w:p>
            <w:pPr>
              <w:ind w:left="10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3"/>
                <w:szCs w:val="23"/>
                <w:color w:val="auto"/>
              </w:rPr>
            </w:pPr>
          </w:p>
        </w:tc>
        <w:tc>
          <w:tcPr>
            <w:tcW w:w="10100" w:type="dxa"/>
            <w:vAlign w:val="bottom"/>
            <w:gridSpan w:val="22"/>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Axsome Therapeutics, Inc. Amended and Restated 2015 Omnibus Incentive Compensation Plan (Incorporated by reference, Exhibit 10.2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the Company’s Quarterly Report on Form 10-Q filed August 10, 2020).</w:t>
              </w:r>
            </w:hyperlink>
          </w:p>
        </w:tc>
        <w:tc>
          <w:tcPr>
            <w:tcW w:w="4900" w:type="dxa"/>
            <w:vAlign w:val="bottom"/>
            <w:tcBorders>
              <w:top w:val="single" w:sz="8" w:color="0000EE"/>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9080" w:type="dxa"/>
            <w:vAlign w:val="bottom"/>
            <w:tcBorders>
              <w:bottom w:val="single" w:sz="8" w:color="0000EE"/>
            </w:tcBorders>
            <w:gridSpan w:val="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Axsome Therapeutics, Inc. Form of Stock Option Agreement pursuant to the Amended and Restated 2015 Omnibus Incentive</w:t>
              </w:r>
            </w:hyperlink>
          </w:p>
        </w:tc>
        <w:tc>
          <w:tcPr>
            <w:tcW w:w="1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Compensation Plan (Incorporated by reference, Exhibit 99.2 to the Company’s Registration Statement on Form S-8 (No. 333-208579) filed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December 16, 2015).</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ind w:left="10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9580" w:type="dxa"/>
            <w:vAlign w:val="bottom"/>
            <w:tcBorders>
              <w:bottom w:val="single" w:sz="8" w:color="0000EE"/>
            </w:tcBorders>
            <w:gridSpan w:val="11"/>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Axsome Therapeutics, Inc. Form of Restricted Stock Unit Agreement (Non-Executives) pursuant to the Amended and Restated 2015</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Omnibus Incentive Compensation Plan (Incorporated by reference, Exhibit 99.3 to the Company’s Registration Statement on Form S-8</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(File No. 333-238174), filed May 11, 2020).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ind w:lef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Axsome Therapeutics, Inc. Form of Restricted Stock Unit Agreement (Executives and Non-Employee Directors) pursuant to the Amended</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and Restated 2015 Omnibus Incentive Compensation Plan (Incorporated by reference, Exhibit 99.4 to the Company’s Registration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Statement on Form S-8 (File No. 333-238174), filed May 11, 2020).</w:t>
              </w:r>
            </w:hyperlink>
          </w:p>
        </w:tc>
        <w:tc>
          <w:tcPr>
            <w:tcW w:w="4460" w:type="dxa"/>
            <w:vAlign w:val="bottom"/>
            <w:tcBorders>
              <w:top w:val="single" w:sz="8" w:color="0000EE"/>
            </w:tcBorders>
            <w:gridSpan w:val="6"/>
          </w:tcPr>
          <w:p>
            <w:pPr>
              <w:spacing w:after="0"/>
              <w:rPr>
                <w:sz w:val="17"/>
                <w:szCs w:val="17"/>
                <w:color w:val="auto"/>
              </w:rPr>
            </w:pPr>
          </w:p>
        </w:tc>
        <w:tc>
          <w:tcPr>
            <w:tcW w:w="7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10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5"/>
              </w:rPr>
            </w:pPr>
            <w:hyperlink r:id="rId192">
              <w:r>
                <w:rPr>
                  <w:rFonts w:ascii="Arial" w:cs="Arial" w:eastAsia="Arial" w:hAnsi="Arial"/>
                  <w:sz w:val="18"/>
                  <w:szCs w:val="18"/>
                  <w:color w:val="0000EE"/>
                  <w:w w:val="95"/>
                </w:rPr>
                <w:t>License Agreement, dated January 12, 2012, by and between the Company and Antecip Bioventures II LLC, as modified by the First</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80" w:type="dxa"/>
            <w:vAlign w:val="bottom"/>
            <w:gridSpan w:val="11"/>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22"/>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Amendment to License Agreement, dated August 21, 2015, by and between the Company and Antecip Bioventures II LLC (Incorporated</w:t>
              </w:r>
            </w:hyperlink>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by reference, Exhibit 10.2 to the Company’s Registration Statement on Form S-1 (No. 333-207393) filed October 13, 2015).</w:t>
              </w:r>
            </w:hyperlink>
          </w:p>
        </w:tc>
        <w:tc>
          <w:tcPr>
            <w:tcW w:w="22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4"/>
          </w:tcPr>
          <w:p>
            <w:pPr>
              <w:ind w:left="432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10.7++</w:t>
            </w:r>
          </w:p>
        </w:tc>
        <w:tc>
          <w:tcPr>
            <w:tcW w:w="10080" w:type="dxa"/>
            <w:vAlign w:val="bottom"/>
            <w:gridSpan w:val="23"/>
          </w:tcPr>
          <w:p>
            <w:pPr>
              <w:spacing w:after="0"/>
              <w:rPr>
                <w:rFonts w:ascii="Arial" w:cs="Arial" w:eastAsia="Arial" w:hAnsi="Arial"/>
                <w:sz w:val="18"/>
                <w:szCs w:val="18"/>
                <w:color w:val="0000EE"/>
                <w:w w:val="98"/>
              </w:rPr>
            </w:pPr>
            <w:hyperlink r:id="rId195">
              <w:r>
                <w:rPr>
                  <w:rFonts w:ascii="Arial" w:cs="Arial" w:eastAsia="Arial" w:hAnsi="Arial"/>
                  <w:sz w:val="18"/>
                  <w:szCs w:val="18"/>
                  <w:color w:val="0000EE"/>
                  <w:w w:val="98"/>
                </w:rPr>
                <w:t>License Agreement, dated June 6, 2012, by and between the Company and Antecip Bioventures II LLC, as modified by the First</w:t>
              </w:r>
            </w:hyperlink>
          </w:p>
        </w:tc>
      </w:tr>
      <w:tr>
        <w:trPr>
          <w:trHeight w:val="20"/>
        </w:trPr>
        <w:tc>
          <w:tcPr>
            <w:tcW w:w="1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Amendment to License Agreement, dated August 21, 2015, by and between the Company and Antecip Bioventures II LLC (Incorporated</w:t>
              </w:r>
            </w:hyperlink>
          </w:p>
        </w:tc>
      </w:tr>
      <w:tr>
        <w:trPr>
          <w:trHeight w:val="237"/>
        </w:trPr>
        <w:tc>
          <w:tcPr>
            <w:tcW w:w="1160" w:type="dxa"/>
            <w:vAlign w:val="bottom"/>
          </w:tcPr>
          <w:p>
            <w:pPr>
              <w:spacing w:after="0"/>
              <w:rPr>
                <w:sz w:val="20"/>
                <w:szCs w:val="20"/>
                <w:color w:val="auto"/>
              </w:rPr>
            </w:pPr>
          </w:p>
        </w:tc>
        <w:tc>
          <w:tcPr>
            <w:tcW w:w="988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by reference, Exhibit 10.4 to the Company’s Registration Statement on Form S-1 (No. 333-207393) filed October 13, 2015).</w:t>
              </w:r>
            </w:hyperlink>
          </w:p>
        </w:tc>
        <w:tc>
          <w:tcPr>
            <w:tcW w:w="200" w:type="dxa"/>
            <w:vAlign w:val="bottom"/>
            <w:gridSpan w:val="5"/>
          </w:tcPr>
          <w:p>
            <w:pPr>
              <w:spacing w:after="0"/>
              <w:rPr>
                <w:sz w:val="20"/>
                <w:szCs w:val="20"/>
                <w:color w:val="auto"/>
              </w:rPr>
            </w:pP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10.8+</w:t>
            </w:r>
          </w:p>
        </w:tc>
        <w:tc>
          <w:tcPr>
            <w:tcW w:w="10080" w:type="dxa"/>
            <w:vAlign w:val="bottom"/>
            <w:tcBorders>
              <w:bottom w:val="single" w:sz="8" w:color="0000EE"/>
            </w:tcBorders>
            <w:gridSpan w:val="23"/>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Consulting Agreement, dated April 13, 2012, by and between the Company and Mark Coleman, M.D., as modified by the First Amendment</w:t>
              </w:r>
            </w:hyperlink>
          </w:p>
        </w:tc>
      </w:tr>
      <w:tr>
        <w:trPr>
          <w:trHeight w:val="196"/>
        </w:trPr>
        <w:tc>
          <w:tcPr>
            <w:tcW w:w="1160" w:type="dxa"/>
            <w:vAlign w:val="bottom"/>
          </w:tcPr>
          <w:p>
            <w:pPr>
              <w:spacing w:after="0"/>
              <w:rPr>
                <w:sz w:val="17"/>
                <w:szCs w:val="17"/>
                <w:color w:val="auto"/>
              </w:rPr>
            </w:pPr>
          </w:p>
        </w:tc>
        <w:tc>
          <w:tcPr>
            <w:tcW w:w="99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to Consulting Agreement, dated June 2, 2014, by and between the Company and Mark Coleman, M.D (Incorporated by reference, Exhibit</w:t>
              </w:r>
            </w:hyperlink>
          </w:p>
        </w:tc>
        <w:tc>
          <w:tcPr>
            <w:tcW w:w="14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r>
                <w:rPr>
                  <w:rFonts w:ascii="Arial" w:cs="Arial" w:eastAsia="Arial" w:hAnsi="Arial"/>
                  <w:sz w:val="18"/>
                  <w:szCs w:val="18"/>
                  <w:color w:val="0000EE"/>
                  <w:w w:val="91"/>
                </w:rPr>
                <w:t xml:space="preserve"> to the Company’s Registration Statement on Form S-1 (No. 333-207393) filed October 13, 2015).</w:t>
              </w:r>
            </w:hyperlink>
          </w:p>
        </w:tc>
        <w:tc>
          <w:tcPr>
            <w:tcW w:w="2660" w:type="dxa"/>
            <w:vAlign w:val="bottom"/>
            <w:gridSpan w:val="1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10.9</w:t>
            </w:r>
          </w:p>
        </w:tc>
        <w:tc>
          <w:tcPr>
            <w:tcW w:w="9260" w:type="dxa"/>
            <w:vAlign w:val="bottom"/>
            <w:tcBorders>
              <w:bottom w:val="single" w:sz="8" w:color="0000EE"/>
            </w:tcBorders>
            <w:gridSpan w:val="12"/>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Form of Purchase Agreement, dated as of November 30, 2017 among Axsome Therapeutics, Inc. and the purchasers thereunder</w:t>
              </w:r>
            </w:hyperlink>
          </w:p>
        </w:tc>
        <w:tc>
          <w:tcPr>
            <w:tcW w:w="820" w:type="dxa"/>
            <w:vAlign w:val="bottom"/>
            <w:gridSpan w:val="11"/>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23"/>
          </w:tcPr>
          <w:p>
            <w:pPr>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(Incorporated by reference, Exhibit 10.1 to the Company’s Current Report on Form 8-K filed December 4, 2017).</w:t>
              </w:r>
            </w:hyperlink>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10.10+</w:t>
            </w:r>
          </w:p>
        </w:tc>
        <w:tc>
          <w:tcPr>
            <w:tcW w:w="9940" w:type="dxa"/>
            <w:vAlign w:val="bottom"/>
            <w:tcBorders>
              <w:bottom w:val="single" w:sz="8" w:color="0000EE"/>
            </w:tcBorders>
            <w:gridSpan w:val="20"/>
          </w:tcPr>
          <w:p>
            <w:pPr>
              <w:spacing w:after="0"/>
              <w:rPr>
                <w:rFonts w:ascii="Arial" w:cs="Arial" w:eastAsia="Arial" w:hAnsi="Arial"/>
                <w:sz w:val="18"/>
                <w:szCs w:val="18"/>
                <w:color w:val="0000EE"/>
                <w:w w:val="92"/>
              </w:rPr>
            </w:pPr>
            <w:hyperlink r:id="rId198">
              <w:r>
                <w:rPr>
                  <w:rFonts w:ascii="Arial" w:cs="Arial" w:eastAsia="Arial" w:hAnsi="Arial"/>
                  <w:sz w:val="18"/>
                  <w:szCs w:val="18"/>
                  <w:color w:val="0000EE"/>
                  <w:w w:val="92"/>
                </w:rPr>
                <w:t>Nick Pizzie Offer Letter, dated April 16, 2018 (Incorporated by reference, Exhibit 10.1 to the Company’s Quarterly Report on Form 10-Q</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filed May 8, 2018).</w:t>
              </w:r>
            </w:hyperlink>
          </w:p>
        </w:tc>
        <w:tc>
          <w:tcPr>
            <w:tcW w:w="8660" w:type="dxa"/>
            <w:vAlign w:val="bottom"/>
            <w:gridSpan w:val="20"/>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10.11</w:t>
            </w:r>
          </w:p>
        </w:tc>
        <w:tc>
          <w:tcPr>
            <w:tcW w:w="10080" w:type="dxa"/>
            <w:vAlign w:val="bottom"/>
            <w:tcBorders>
              <w:bottom w:val="single" w:sz="8" w:color="0000EE"/>
            </w:tcBorders>
            <w:gridSpan w:val="23"/>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Form of Purchase Agreement, dated as of September 27, 2018, by and among the Company and the investors party thereto (Incorporated by</w:t>
              </w:r>
            </w:hyperlink>
          </w:p>
        </w:tc>
      </w:tr>
      <w:tr>
        <w:trPr>
          <w:trHeight w:val="196"/>
        </w:trPr>
        <w:tc>
          <w:tcPr>
            <w:tcW w:w="1160" w:type="dxa"/>
            <w:vAlign w:val="bottom"/>
          </w:tcPr>
          <w:p>
            <w:pPr>
              <w:spacing w:after="0"/>
              <w:rPr>
                <w:sz w:val="17"/>
                <w:szCs w:val="17"/>
                <w:color w:val="auto"/>
              </w:rPr>
            </w:pPr>
          </w:p>
        </w:tc>
        <w:tc>
          <w:tcPr>
            <w:tcW w:w="71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reference, Exhibit 10.1 to the Company’s Current Report on Form 8-K, filed September 28, 2018).</w:t>
              </w:r>
            </w:hyperlink>
          </w:p>
        </w:tc>
        <w:tc>
          <w:tcPr>
            <w:tcW w:w="2980" w:type="dxa"/>
            <w:vAlign w:val="bottom"/>
            <w:gridSpan w:val="14"/>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10.12+++</w:t>
            </w:r>
          </w:p>
        </w:tc>
        <w:tc>
          <w:tcPr>
            <w:tcW w:w="10080" w:type="dxa"/>
            <w:vAlign w:val="bottom"/>
            <w:gridSpan w:val="23"/>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License Agreement, dated as of January 10, 2020, by and between the Company and Pfizer Inc. (Incorporated by reference, Exhibit 10.15</w:t>
              </w:r>
            </w:hyperlink>
          </w:p>
        </w:tc>
      </w:tr>
      <w:tr>
        <w:trPr>
          <w:trHeight w:val="196"/>
        </w:trPr>
        <w:tc>
          <w:tcPr>
            <w:tcW w:w="116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to the Company’s Annual Report on Form 10-K, filed March 12 2020).</w:t>
              </w:r>
            </w:hyperlink>
          </w:p>
        </w:tc>
        <w:tc>
          <w:tcPr>
            <w:tcW w:w="478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10080" w:type="dxa"/>
            <w:vAlign w:val="bottom"/>
            <w:gridSpan w:val="23"/>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Share Transfer Agreement by and between the Company and Pfizer Inc. (Incorporated by reference, Exhibit 10.1 to the Company’s Current</w:t>
              </w:r>
            </w:hyperlink>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Report on Form 8-K, filed January 13, 2020).</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10.14</w:t>
            </w:r>
          </w:p>
        </w:tc>
        <w:tc>
          <w:tcPr>
            <w:tcW w:w="10080" w:type="dxa"/>
            <w:vAlign w:val="bottom"/>
            <w:gridSpan w:val="23"/>
          </w:tcPr>
          <w:p>
            <w:pPr>
              <w:spacing w:after="0"/>
              <w:rPr>
                <w:rFonts w:ascii="Arial" w:cs="Arial" w:eastAsia="Arial" w:hAnsi="Arial"/>
                <w:sz w:val="18"/>
                <w:szCs w:val="18"/>
                <w:color w:val="0000EE"/>
                <w:w w:val="97"/>
              </w:rPr>
            </w:pPr>
            <w:hyperlink r:id="rId202">
              <w:r>
                <w:rPr>
                  <w:rFonts w:ascii="Arial" w:cs="Arial" w:eastAsia="Arial" w:hAnsi="Arial"/>
                  <w:sz w:val="18"/>
                  <w:szCs w:val="18"/>
                  <w:color w:val="0000EE"/>
                  <w:w w:val="97"/>
                </w:rPr>
                <w:t>WeWork Membership Agreement effective as of August 1, 2020, by and between the Company and 22 Cortlandt Street HBQ LLC</w:t>
              </w:r>
            </w:hyperlink>
          </w:p>
        </w:tc>
      </w:tr>
      <w:tr>
        <w:trPr>
          <w:trHeight w:val="237"/>
        </w:trPr>
        <w:tc>
          <w:tcPr>
            <w:tcW w:w="1160" w:type="dxa"/>
            <w:vAlign w:val="bottom"/>
          </w:tcPr>
          <w:p>
            <w:pPr>
              <w:spacing w:after="0"/>
              <w:rPr>
                <w:sz w:val="20"/>
                <w:szCs w:val="20"/>
                <w:color w:val="auto"/>
              </w:rPr>
            </w:pPr>
          </w:p>
        </w:tc>
        <w:tc>
          <w:tcPr>
            <w:tcW w:w="940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(Incorporated by reference, Exhibit 10.1 to the Company’s Quarterly Report on Form 10-Q, filed August 10, 2020).</w:t>
              </w:r>
            </w:hyperlink>
          </w:p>
        </w:tc>
        <w:tc>
          <w:tcPr>
            <w:tcW w:w="680" w:type="dxa"/>
            <w:vAlign w:val="bottom"/>
            <w:gridSpan w:val="10"/>
          </w:tcPr>
          <w:p>
            <w:pPr>
              <w:spacing w:after="0"/>
              <w:rPr>
                <w:sz w:val="20"/>
                <w:szCs w:val="20"/>
                <w:color w:val="auto"/>
              </w:rPr>
            </w:pP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10.15+++</w:t>
            </w:r>
          </w:p>
        </w:tc>
        <w:tc>
          <w:tcPr>
            <w:tcW w:w="9600" w:type="dxa"/>
            <w:vAlign w:val="bottom"/>
            <w:tcBorders>
              <w:bottom w:val="single" w:sz="8" w:color="0000EE"/>
            </w:tcBorders>
            <w:gridSpan w:val="14"/>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Agreement, dated as of September 3, 2020, by and between Axsome Therapeutics, Inc. and David Marek (Incorporated by reference,</w:t>
              </w:r>
            </w:hyperlink>
          </w:p>
        </w:tc>
        <w:tc>
          <w:tcPr>
            <w:tcW w:w="48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4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Exhibit 10.2 to the Company’s Amended Quarterly Report on Form 10-Q/A, filed November 6, 2020).</w:t>
              </w:r>
            </w:hyperlink>
          </w:p>
        </w:tc>
        <w:tc>
          <w:tcPr>
            <w:tcW w:w="2680" w:type="dxa"/>
            <w:vAlign w:val="bottom"/>
            <w:gridSpan w:val="13"/>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10.16</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Loan and Security Agreement, dated as of September 25, 2020, by and among Axsome Therapeutics, Inc., the Lenders who from time to</w:t>
              </w:r>
            </w:hyperlink>
          </w:p>
        </w:tc>
        <w:tc>
          <w:tcPr>
            <w:tcW w:w="22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time may be party thereto, and Hercules Capital, Inc., in its capacity as administrative agent and collateral agent for itself and the Lenders</w:t>
              </w:r>
            </w:hyperlink>
          </w:p>
        </w:tc>
      </w:tr>
      <w:tr>
        <w:trPr>
          <w:trHeight w:val="237"/>
        </w:trPr>
        <w:tc>
          <w:tcPr>
            <w:tcW w:w="1160" w:type="dxa"/>
            <w:vAlign w:val="bottom"/>
          </w:tcPr>
          <w:p>
            <w:pPr>
              <w:spacing w:after="0"/>
              <w:rPr>
                <w:sz w:val="20"/>
                <w:szCs w:val="20"/>
                <w:color w:val="auto"/>
              </w:rPr>
            </w:pPr>
          </w:p>
        </w:tc>
        <w:tc>
          <w:tcPr>
            <w:tcW w:w="992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(Incorporated by reference, Exhibit 10.3 to the Company’s Quarterly Report on Form 10-Q, filed November 5, 2020).</w:t>
              </w:r>
            </w:hyperlink>
          </w:p>
        </w:tc>
        <w:tc>
          <w:tcPr>
            <w:tcW w:w="160" w:type="dxa"/>
            <w:vAlign w:val="bottom"/>
            <w:gridSpan w:val="4"/>
          </w:tcPr>
          <w:p>
            <w:pPr>
              <w:spacing w:after="0"/>
              <w:rPr>
                <w:sz w:val="20"/>
                <w:szCs w:val="20"/>
                <w:color w:val="auto"/>
              </w:rPr>
            </w:pP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10.17</w:t>
            </w:r>
          </w:p>
        </w:tc>
        <w:tc>
          <w:tcPr>
            <w:tcW w:w="10080" w:type="dxa"/>
            <w:vAlign w:val="bottom"/>
            <w:tcBorders>
              <w:bottom w:val="single" w:sz="8" w:color="0000EE"/>
            </w:tcBorders>
            <w:gridSpan w:val="23"/>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Direct Agreement, by and among Axsome Therapeutics, Inc., Antecip Bioventures II LLC, and Hercules Capital Inc., as collateral agent for</w:t>
              </w:r>
            </w:hyperlink>
          </w:p>
        </w:tc>
      </w:tr>
      <w:tr>
        <w:trPr>
          <w:trHeight w:val="237"/>
        </w:trPr>
        <w:tc>
          <w:tcPr>
            <w:tcW w:w="1160" w:type="dxa"/>
            <w:vAlign w:val="bottom"/>
          </w:tcPr>
          <w:p>
            <w:pPr>
              <w:spacing w:after="0"/>
              <w:rPr>
                <w:sz w:val="20"/>
                <w:szCs w:val="20"/>
                <w:color w:val="auto"/>
              </w:rPr>
            </w:pPr>
          </w:p>
        </w:tc>
        <w:tc>
          <w:tcPr>
            <w:tcW w:w="10080" w:type="dxa"/>
            <w:vAlign w:val="bottom"/>
            <w:gridSpan w:val="23"/>
          </w:tcPr>
          <w:p>
            <w:pPr>
              <w:spacing w:after="0"/>
              <w:rPr>
                <w:rFonts w:ascii="Arial" w:cs="Arial" w:eastAsia="Arial" w:hAnsi="Arial"/>
                <w:sz w:val="18"/>
                <w:szCs w:val="18"/>
                <w:u w:val="single" w:color="auto"/>
                <w:color w:val="0000EE"/>
                <w:w w:val="91"/>
              </w:rPr>
            </w:pPr>
            <w:hyperlink r:id="rId205">
              <w:r>
                <w:rPr>
                  <w:rFonts w:ascii="Arial" w:cs="Arial" w:eastAsia="Arial" w:hAnsi="Arial"/>
                  <w:sz w:val="18"/>
                  <w:szCs w:val="18"/>
                  <w:u w:val="single" w:color="auto"/>
                  <w:color w:val="0000EE"/>
                  <w:w w:val="91"/>
                </w:rPr>
                <w:t>itself and the Lenders (Incorporated by reference, Exhibit 10.5 to the Company’s Quarterly Report on Form 10-Q, filed November 5, 2020).</w:t>
              </w:r>
            </w:hyperlink>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21.1</w:t>
            </w: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Subsidiaries of the Company (Incorporated by reference, Exhibit 21.1 to the Company’s Registration Statement on Form S-1 (No. 333-</w:t>
              </w:r>
            </w:hyperlink>
          </w:p>
        </w:tc>
        <w:tc>
          <w:tcPr>
            <w:tcW w:w="34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207393) filed October 13, 2015).</w:t>
              </w:r>
            </w:hyperlink>
          </w:p>
        </w:tc>
      </w:tr>
      <w:tr>
        <w:trPr>
          <w:trHeight w:val="358"/>
        </w:trPr>
        <w:tc>
          <w:tcPr>
            <w:tcW w:w="1160" w:type="dxa"/>
            <w:vAlign w:val="bottom"/>
          </w:tcPr>
          <w:p>
            <w:pPr>
              <w:ind w:left="100"/>
              <w:spacing w:after="0"/>
              <w:rPr>
                <w:sz w:val="20"/>
                <w:szCs w:val="20"/>
                <w:color w:val="auto"/>
              </w:rPr>
            </w:pPr>
            <w:r>
              <w:rPr>
                <w:rFonts w:ascii="Arial" w:cs="Arial" w:eastAsia="Arial" w:hAnsi="Arial"/>
                <w:sz w:val="18"/>
                <w:szCs w:val="18"/>
                <w:color w:val="auto"/>
              </w:rPr>
              <w:t>23.1**</w:t>
            </w:r>
          </w:p>
        </w:tc>
        <w:tc>
          <w:tcPr>
            <w:tcW w:w="2380" w:type="dxa"/>
            <w:vAlign w:val="bottom"/>
            <w:tcBorders>
              <w:top w:val="single" w:sz="8" w:color="0000EE"/>
            </w:tcBorders>
            <w:gridSpan w:val="6"/>
          </w:tcPr>
          <w:p>
            <w:pPr>
              <w:spacing w:after="0"/>
              <w:rPr>
                <w:rFonts w:ascii="Arial" w:cs="Arial" w:eastAsia="Arial" w:hAnsi="Arial"/>
                <w:sz w:val="18"/>
                <w:szCs w:val="18"/>
                <w:color w:val="0000EE"/>
                <w:w w:val="94"/>
              </w:rPr>
            </w:pPr>
            <w:hyperlink w:anchor="page158">
              <w:r>
                <w:rPr>
                  <w:rFonts w:ascii="Arial" w:cs="Arial" w:eastAsia="Arial" w:hAnsi="Arial"/>
                  <w:sz w:val="18"/>
                  <w:szCs w:val="18"/>
                  <w:u w:val="single" w:color="auto"/>
                  <w:color w:val="0000EE"/>
                  <w:w w:val="94"/>
                </w:rPr>
                <w:t>Consent of Ernst &amp; Young LLP</w:t>
              </w:r>
              <w:r>
                <w:rPr>
                  <w:rFonts w:ascii="Arial" w:cs="Arial" w:eastAsia="Arial" w:hAnsi="Arial"/>
                  <w:sz w:val="18"/>
                  <w:szCs w:val="18"/>
                  <w:color w:val="0000EE"/>
                  <w:w w:val="94"/>
                </w:rPr>
                <w:t>.</w:t>
              </w:r>
            </w:hyperlink>
          </w:p>
        </w:tc>
        <w:tc>
          <w:tcPr>
            <w:tcW w:w="7700" w:type="dxa"/>
            <w:vAlign w:val="bottom"/>
            <w:gridSpan w:val="17"/>
          </w:tcPr>
          <w:p>
            <w:pPr>
              <w:spacing w:after="0"/>
              <w:rPr>
                <w:sz w:val="24"/>
                <w:szCs w:val="24"/>
                <w:color w:val="auto"/>
              </w:rPr>
            </w:pP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0080" w:type="dxa"/>
            <w:vAlign w:val="bottom"/>
            <w:gridSpan w:val="23"/>
          </w:tcPr>
          <w:p>
            <w:pPr>
              <w:spacing w:after="0"/>
              <w:rPr>
                <w:rFonts w:ascii="Arial" w:cs="Arial" w:eastAsia="Arial" w:hAnsi="Arial"/>
                <w:sz w:val="18"/>
                <w:szCs w:val="18"/>
                <w:color w:val="0000EE"/>
                <w:w w:val="94"/>
              </w:rPr>
            </w:pPr>
            <w:hyperlink w:anchor="page159">
              <w:r>
                <w:rPr>
                  <w:rFonts w:ascii="Arial" w:cs="Arial" w:eastAsia="Arial" w:hAnsi="Arial"/>
                  <w:sz w:val="18"/>
                  <w:szCs w:val="18"/>
                  <w:color w:val="0000EE"/>
                  <w:w w:val="94"/>
                </w:rPr>
                <w:t>Certification of Principal Executive Officer pursuant to Rule 13a-14(a)/15d-14(a), as adopted pursuant to Section 302 of the Sarbanes-</w:t>
              </w:r>
            </w:hyperlink>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Oxley Act of 2002.</w:t>
              </w:r>
            </w:hyperlink>
          </w:p>
        </w:tc>
        <w:tc>
          <w:tcPr>
            <w:tcW w:w="8280" w:type="dxa"/>
            <w:vAlign w:val="bottom"/>
            <w:tcBorders>
              <w:top w:val="single" w:sz="8" w:color="0000EE"/>
            </w:tcBorders>
            <w:gridSpan w:val="13"/>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0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Certification of Principal Financial Officer pursuant to Rule 13a-14(a)/15d-14(a), as adopted pursuant to Section 302 of the Sarbanes-Oxley</w:t>
              </w:r>
            </w:hyperlink>
          </w:p>
        </w:tc>
      </w:tr>
      <w:tr>
        <w:trPr>
          <w:trHeight w:val="196"/>
        </w:trPr>
        <w:tc>
          <w:tcPr>
            <w:tcW w:w="11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60">
              <w:r>
                <w:rPr>
                  <w:rFonts w:ascii="Arial" w:cs="Arial" w:eastAsia="Arial" w:hAnsi="Arial"/>
                  <w:sz w:val="18"/>
                  <w:szCs w:val="18"/>
                  <w:color w:val="0000EE"/>
                  <w:w w:val="93"/>
                </w:rPr>
                <w:t>Act of 2002.</w:t>
              </w:r>
            </w:hyperlink>
          </w:p>
        </w:tc>
        <w:tc>
          <w:tcPr>
            <w:tcW w:w="9160" w:type="dxa"/>
            <w:vAlign w:val="bottom"/>
            <w:gridSpan w:val="2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080" w:type="dxa"/>
            <w:vAlign w:val="bottom"/>
            <w:gridSpan w:val="23"/>
          </w:tcPr>
          <w:p>
            <w:pPr>
              <w:spacing w:after="0"/>
              <w:rPr>
                <w:rFonts w:ascii="Arial" w:cs="Arial" w:eastAsia="Arial" w:hAnsi="Arial"/>
                <w:sz w:val="18"/>
                <w:szCs w:val="18"/>
                <w:color w:val="0000EE"/>
                <w:w w:val="92"/>
              </w:rPr>
            </w:pPr>
            <w:hyperlink w:anchor="page161">
              <w:r>
                <w:rPr>
                  <w:rFonts w:ascii="Arial" w:cs="Arial" w:eastAsia="Arial" w:hAnsi="Arial"/>
                  <w:sz w:val="18"/>
                  <w:szCs w:val="18"/>
                  <w:color w:val="0000EE"/>
                  <w:w w:val="92"/>
                </w:rPr>
                <w:t>Certification of Principal Executive Officer pursuant to 18 U.S.C. §1350, as adopted pursuant to Section 906 of the Sarbanes-Oxley Act of</w:t>
              </w:r>
            </w:hyperlink>
          </w:p>
        </w:tc>
      </w:tr>
      <w:tr>
        <w:trPr>
          <w:trHeight w:val="196"/>
        </w:trPr>
        <w:tc>
          <w:tcPr>
            <w:tcW w:w="1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61">
              <w:r>
                <w:rPr>
                  <w:rFonts w:ascii="Arial" w:cs="Arial" w:eastAsia="Arial" w:hAnsi="Arial"/>
                  <w:sz w:val="18"/>
                  <w:szCs w:val="18"/>
                  <w:color w:val="0000EE"/>
                  <w:w w:val="92"/>
                </w:rPr>
                <w:t>2002 (furnished herewith).</w:t>
              </w:r>
            </w:hyperlink>
          </w:p>
        </w:tc>
        <w:tc>
          <w:tcPr>
            <w:tcW w:w="8020" w:type="dxa"/>
            <w:vAlign w:val="bottom"/>
            <w:tcBorders>
              <w:top w:val="single" w:sz="8" w:color="0000EE"/>
            </w:tcBorders>
            <w:gridSpan w:val="1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994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Certification of Principal Financial Officer pursuant to 18 U.S.C. §1350, as adopted pursuant to Section 906 of the Sarbanes-Oxley Act of</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2002 (furnished herewith).</w:t>
              </w:r>
            </w:hyperlink>
          </w:p>
        </w:tc>
        <w:tc>
          <w:tcPr>
            <w:tcW w:w="8140" w:type="dxa"/>
            <w:vAlign w:val="bottom"/>
            <w:gridSpan w:val="19"/>
          </w:tcPr>
          <w:p>
            <w:pPr>
              <w:spacing w:after="0"/>
              <w:rPr>
                <w:sz w:val="17"/>
                <w:szCs w:val="17"/>
                <w:color w:val="auto"/>
              </w:rPr>
            </w:pPr>
          </w:p>
        </w:tc>
      </w:tr>
      <w:tr>
        <w:trPr>
          <w:trHeight w:val="574"/>
        </w:trPr>
        <w:tc>
          <w:tcPr>
            <w:tcW w:w="1160" w:type="dxa"/>
            <w:vAlign w:val="bottom"/>
          </w:tcPr>
          <w:p>
            <w:pPr>
              <w:spacing w:after="0"/>
              <w:rPr>
                <w:sz w:val="24"/>
                <w:szCs w:val="24"/>
                <w:color w:val="auto"/>
              </w:rPr>
            </w:pPr>
          </w:p>
        </w:tc>
        <w:tc>
          <w:tcPr>
            <w:tcW w:w="5140" w:type="dxa"/>
            <w:vAlign w:val="bottom"/>
            <w:gridSpan w:val="8"/>
          </w:tcPr>
          <w:p>
            <w:pPr>
              <w:ind w:left="4320"/>
              <w:spacing w:after="0"/>
              <w:rPr>
                <w:sz w:val="20"/>
                <w:szCs w:val="20"/>
                <w:color w:val="auto"/>
              </w:rPr>
            </w:pPr>
            <w:r>
              <w:rPr>
                <w:rFonts w:ascii="Arial" w:cs="Arial" w:eastAsia="Arial" w:hAnsi="Arial"/>
                <w:sz w:val="18"/>
                <w:szCs w:val="18"/>
                <w:color w:val="auto"/>
              </w:rPr>
              <w:t>135</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160" w:right="60" w:hanging="1160"/>
        <w:spacing w:after="0" w:line="277" w:lineRule="auto"/>
        <w:tabs>
          <w:tab w:leader="none" w:pos="11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Database Document</w:t>
            </w:r>
          </w:p>
        </w:tc>
      </w:tr>
      <w:tr>
        <w:trPr>
          <w:trHeight w:val="64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tcPr>
          <w:p>
            <w:pPr>
              <w:ind w:left="24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r>
    </w:tbl>
    <w:p>
      <w:pPr>
        <w:spacing w:after="0" w:line="269"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420" w:hanging="412"/>
        <w:spacing w:after="0" w:line="277"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62" w:lineRule="exact"/>
        <w:rPr>
          <w:sz w:val="20"/>
          <w:szCs w:val="20"/>
          <w:color w:val="auto"/>
        </w:rPr>
      </w:pPr>
    </w:p>
    <w:p>
      <w:pPr>
        <w:ind w:right="3460" w:firstLine="8"/>
        <w:spacing w:after="0" w:line="402" w:lineRule="auto"/>
        <w:tabs>
          <w:tab w:leader="none" w:pos="4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 Filed herewith.</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firstLine="832"/>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8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this 1</w:t>
      </w:r>
      <w:r>
        <w:rPr>
          <w:rFonts w:ascii="Arial" w:cs="Arial" w:eastAsia="Arial" w:hAnsi="Arial"/>
          <w:sz w:val="15"/>
          <w:szCs w:val="15"/>
          <w:color w:val="auto"/>
        </w:rPr>
        <w:t>st</w:t>
      </w:r>
      <w:r>
        <w:rPr>
          <w:rFonts w:ascii="Arial" w:cs="Arial" w:eastAsia="Arial" w:hAnsi="Arial"/>
          <w:sz w:val="18"/>
          <w:szCs w:val="18"/>
          <w:color w:val="auto"/>
        </w:rPr>
        <w:t xml:space="preserve"> day of March 2021.</w:t>
      </w:r>
    </w:p>
    <w:p>
      <w:pPr>
        <w:spacing w:after="0" w:line="200" w:lineRule="exact"/>
        <w:rPr>
          <w:sz w:val="20"/>
          <w:szCs w:val="20"/>
          <w:color w:val="auto"/>
        </w:rPr>
      </w:pP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Herriot Tabuteau, M.D.</w:t>
            </w:r>
          </w:p>
        </w:tc>
      </w:tr>
      <w:tr>
        <w:trPr>
          <w:trHeight w:val="209"/>
        </w:trPr>
        <w:tc>
          <w:tcPr>
            <w:tcW w:w="2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Herriot Tabuteau, M.D.</w:t>
            </w:r>
          </w:p>
        </w:tc>
      </w:tr>
      <w:tr>
        <w:trPr>
          <w:trHeight w:val="230"/>
        </w:trPr>
        <w:tc>
          <w:tcPr>
            <w:tcW w:w="2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29" w:lineRule="exact"/>
        <w:rPr>
          <w:sz w:val="20"/>
          <w:szCs w:val="20"/>
          <w:color w:val="auto"/>
        </w:rPr>
      </w:pPr>
    </w:p>
    <w:p>
      <w:pPr>
        <w:ind w:right="460" w:firstLine="8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Signature</w:t>
            </w:r>
          </w:p>
        </w:tc>
        <w:tc>
          <w:tcPr>
            <w:tcW w:w="200" w:type="dxa"/>
            <w:vAlign w:val="bottom"/>
          </w:tcPr>
          <w:p>
            <w:pPr>
              <w:spacing w:after="0"/>
              <w:rPr>
                <w:sz w:val="20"/>
                <w:szCs w:val="20"/>
                <w:color w:val="auto"/>
              </w:rPr>
            </w:pPr>
          </w:p>
        </w:tc>
        <w:tc>
          <w:tcPr>
            <w:tcW w:w="520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86"/>
        </w:trPr>
        <w:tc>
          <w:tcPr>
            <w:tcW w:w="180" w:type="dxa"/>
            <w:vAlign w:val="bottom"/>
          </w:tcPr>
          <w:p>
            <w:pPr>
              <w:spacing w:after="0"/>
              <w:rPr>
                <w:sz w:val="24"/>
                <w:szCs w:val="24"/>
                <w:color w:val="auto"/>
              </w:rPr>
            </w:pPr>
          </w:p>
        </w:tc>
        <w:tc>
          <w:tcPr>
            <w:tcW w:w="3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/s/ Herriot Tabuteau, M.D.</w:t>
            </w: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and Chairman of the Board (Principal</w:t>
            </w:r>
          </w:p>
        </w:tc>
        <w:tc>
          <w:tcPr>
            <w:tcW w:w="2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8"/>
                <w:szCs w:val="18"/>
                <w:color w:val="auto"/>
              </w:rPr>
              <w:t>March 1, 2021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820" w:type="dxa"/>
            <w:vAlign w:val="bottom"/>
            <w:vMerge w:val="restart"/>
          </w:tcPr>
          <w:p>
            <w:pPr>
              <w:jc w:val="center"/>
              <w:ind w:right="70"/>
              <w:spacing w:after="0"/>
              <w:rPr>
                <w:sz w:val="20"/>
                <w:szCs w:val="20"/>
                <w:color w:val="auto"/>
              </w:rPr>
            </w:pPr>
            <w:r>
              <w:rPr>
                <w:rFonts w:ascii="Arial" w:cs="Arial" w:eastAsia="Arial" w:hAnsi="Arial"/>
                <w:sz w:val="18"/>
                <w:szCs w:val="18"/>
                <w:color w:val="auto"/>
                <w:w w:val="92"/>
              </w:rPr>
              <w:t>Herriot Tabuteau, M.D.</w:t>
            </w:r>
          </w:p>
        </w:tc>
        <w:tc>
          <w:tcPr>
            <w:tcW w:w="5400" w:type="dxa"/>
            <w:vAlign w:val="bottom"/>
            <w:gridSpan w:val="2"/>
            <w:vMerge w:val="restart"/>
          </w:tcPr>
          <w:p>
            <w:pPr>
              <w:ind w:left="200"/>
              <w:spacing w:after="0"/>
              <w:rPr>
                <w:sz w:val="20"/>
                <w:szCs w:val="20"/>
                <w:color w:val="auto"/>
              </w:rPr>
            </w:pPr>
            <w:r>
              <w:rPr>
                <w:rFonts w:ascii="Arial" w:cs="Arial" w:eastAsia="Arial" w:hAnsi="Arial"/>
                <w:sz w:val="18"/>
                <w:szCs w:val="18"/>
                <w:color w:val="auto"/>
              </w:rPr>
              <w:t>Executive Officer)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5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6"/>
        </w:trPr>
        <w:tc>
          <w:tcPr>
            <w:tcW w:w="180" w:type="dxa"/>
            <w:vAlign w:val="bottom"/>
          </w:tcPr>
          <w:p>
            <w:pPr>
              <w:spacing w:after="0"/>
              <w:rPr>
                <w:sz w:val="24"/>
                <w:szCs w:val="24"/>
                <w:color w:val="auto"/>
              </w:rPr>
            </w:pPr>
          </w:p>
        </w:tc>
        <w:tc>
          <w:tcPr>
            <w:tcW w:w="3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/s/ Nick Pizzie</w:t>
            </w: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8"/>
                <w:szCs w:val="18"/>
                <w:color w:val="auto"/>
              </w:rPr>
              <w:t>March 1, 2021</w:t>
            </w:r>
          </w:p>
        </w:tc>
        <w:tc>
          <w:tcPr>
            <w:tcW w:w="0" w:type="dxa"/>
            <w:vAlign w:val="bottom"/>
          </w:tcPr>
          <w:p>
            <w:pPr>
              <w:spacing w:after="0"/>
              <w:rPr>
                <w:sz w:val="1"/>
                <w:szCs w:val="1"/>
                <w:color w:val="auto"/>
              </w:rPr>
            </w:pPr>
          </w:p>
        </w:tc>
      </w:tr>
      <w:tr>
        <w:trPr>
          <w:trHeight w:val="115"/>
        </w:trPr>
        <w:tc>
          <w:tcPr>
            <w:tcW w:w="180" w:type="dxa"/>
            <w:vAlign w:val="bottom"/>
          </w:tcPr>
          <w:p>
            <w:pPr>
              <w:spacing w:after="0"/>
              <w:rPr>
                <w:sz w:val="10"/>
                <w:szCs w:val="10"/>
                <w:color w:val="auto"/>
              </w:rPr>
            </w:pPr>
          </w:p>
        </w:tc>
        <w:tc>
          <w:tcPr>
            <w:tcW w:w="3820" w:type="dxa"/>
            <w:vAlign w:val="bottom"/>
            <w:vMerge w:val="restart"/>
          </w:tcPr>
          <w:p>
            <w:pPr>
              <w:jc w:val="center"/>
              <w:ind w:right="90"/>
              <w:spacing w:after="0"/>
              <w:rPr>
                <w:sz w:val="20"/>
                <w:szCs w:val="20"/>
                <w:color w:val="auto"/>
              </w:rPr>
            </w:pPr>
            <w:r>
              <w:rPr>
                <w:rFonts w:ascii="Arial" w:cs="Arial" w:eastAsia="Arial" w:hAnsi="Arial"/>
                <w:sz w:val="18"/>
                <w:szCs w:val="18"/>
                <w:color w:val="auto"/>
                <w:w w:val="95"/>
              </w:rPr>
              <w:t>Nick Pizzie</w:t>
            </w:r>
          </w:p>
        </w:tc>
        <w:tc>
          <w:tcPr>
            <w:tcW w:w="5400" w:type="dxa"/>
            <w:vAlign w:val="bottom"/>
            <w:gridSpan w:val="2"/>
            <w:vMerge w:val="restart"/>
          </w:tcPr>
          <w:p>
            <w:pPr>
              <w:ind w:left="200"/>
              <w:spacing w:after="0"/>
              <w:rPr>
                <w:sz w:val="20"/>
                <w:szCs w:val="20"/>
                <w:color w:val="auto"/>
              </w:rPr>
            </w:pPr>
            <w:r>
              <w:rPr>
                <w:rFonts w:ascii="Arial" w:cs="Arial" w:eastAsia="Arial" w:hAnsi="Arial"/>
                <w:sz w:val="18"/>
                <w:szCs w:val="18"/>
                <w:color w:val="auto"/>
              </w:rPr>
              <w:t>(Principal Financial and Accounting Officer)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5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3"/>
        </w:trPr>
        <w:tc>
          <w:tcPr>
            <w:tcW w:w="180" w:type="dxa"/>
            <w:vAlign w:val="bottom"/>
          </w:tcPr>
          <w:p>
            <w:pPr>
              <w:spacing w:after="0"/>
              <w:rPr>
                <w:sz w:val="24"/>
                <w:szCs w:val="24"/>
                <w:color w:val="auto"/>
              </w:rPr>
            </w:pPr>
          </w:p>
        </w:tc>
        <w:tc>
          <w:tcPr>
            <w:tcW w:w="3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/s/ Roger Jeffs, Ph.D.</w:t>
            </w:r>
          </w:p>
        </w:tc>
        <w:tc>
          <w:tcPr>
            <w:tcW w:w="54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8"/>
                <w:szCs w:val="18"/>
                <w:color w:val="auto"/>
              </w:rPr>
              <w:t>March 1, 2021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82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Roger Jeffs, Ph.D.</w:t>
            </w:r>
          </w:p>
        </w:tc>
        <w:tc>
          <w:tcPr>
            <w:tcW w:w="5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180" w:type="dxa"/>
            <w:vAlign w:val="bottom"/>
          </w:tcPr>
          <w:p>
            <w:pPr>
              <w:spacing w:after="0"/>
              <w:rPr>
                <w:sz w:val="24"/>
                <w:szCs w:val="24"/>
                <w:color w:val="auto"/>
              </w:rPr>
            </w:pPr>
          </w:p>
        </w:tc>
        <w:tc>
          <w:tcPr>
            <w:tcW w:w="3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/s/ Mark Coleman, M.D.</w:t>
            </w:r>
          </w:p>
        </w:tc>
        <w:tc>
          <w:tcPr>
            <w:tcW w:w="54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8"/>
                <w:szCs w:val="18"/>
                <w:color w:val="auto"/>
              </w:rPr>
              <w:t>March 1, 2021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82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Mark Coleman, M.D.</w:t>
            </w:r>
          </w:p>
        </w:tc>
        <w:tc>
          <w:tcPr>
            <w:tcW w:w="5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180" w:type="dxa"/>
            <w:vAlign w:val="bottom"/>
          </w:tcPr>
          <w:p>
            <w:pPr>
              <w:spacing w:after="0"/>
              <w:rPr>
                <w:sz w:val="24"/>
                <w:szCs w:val="24"/>
                <w:color w:val="auto"/>
              </w:rPr>
            </w:pPr>
          </w:p>
        </w:tc>
        <w:tc>
          <w:tcPr>
            <w:tcW w:w="3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/s/ Mark Saad</w:t>
            </w:r>
          </w:p>
        </w:tc>
        <w:tc>
          <w:tcPr>
            <w:tcW w:w="54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640" w:type="dxa"/>
            <w:vAlign w:val="bottom"/>
            <w:vMerge w:val="restart"/>
          </w:tcPr>
          <w:p>
            <w:pPr>
              <w:spacing w:after="0"/>
              <w:rPr>
                <w:sz w:val="20"/>
                <w:szCs w:val="20"/>
                <w:color w:val="auto"/>
              </w:rPr>
            </w:pPr>
            <w:r>
              <w:rPr>
                <w:rFonts w:ascii="Arial" w:cs="Arial" w:eastAsia="Arial" w:hAnsi="Arial"/>
                <w:sz w:val="18"/>
                <w:szCs w:val="18"/>
                <w:color w:val="auto"/>
              </w:rPr>
              <w:t>March 1, 2021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382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Mark Saad</w:t>
            </w:r>
          </w:p>
        </w:tc>
        <w:tc>
          <w:tcPr>
            <w:tcW w:w="5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1"/>
        </w:trPr>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400" w:type="dxa"/>
            <w:vAlign w:val="bottom"/>
            <w:gridSpan w:val="2"/>
          </w:tcPr>
          <w:p>
            <w:pPr>
              <w:jc w:val="right"/>
              <w:ind w:right="355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7" w:name="page158"/>
    <w:bookmarkEnd w:id="157"/>
    <w:p>
      <w:pPr>
        <w:ind w:left="10000"/>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Registration Statements on:</w:t>
      </w:r>
    </w:p>
    <w:p>
      <w:pPr>
        <w:spacing w:after="0" w:line="233" w:lineRule="exact"/>
        <w:rPr>
          <w:sz w:val="20"/>
          <w:szCs w:val="20"/>
          <w:color w:val="auto"/>
        </w:rPr>
      </w:pPr>
    </w:p>
    <w:p>
      <w:pPr>
        <w:ind w:left="880" w:hanging="440"/>
        <w:spacing w:after="0"/>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S-8 (No. 333-217002);</w:t>
      </w:r>
    </w:p>
    <w:p>
      <w:pPr>
        <w:spacing w:after="0" w:line="8" w:lineRule="exact"/>
        <w:rPr>
          <w:rFonts w:ascii="Arial" w:cs="Arial" w:eastAsia="Arial" w:hAnsi="Arial"/>
          <w:sz w:val="22"/>
          <w:szCs w:val="22"/>
          <w:color w:val="auto"/>
        </w:rPr>
      </w:pPr>
    </w:p>
    <w:p>
      <w:pPr>
        <w:ind w:left="880" w:hanging="440"/>
        <w:spacing w:after="0" w:line="230"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S-8 (No. 333-208579);</w:t>
      </w:r>
    </w:p>
    <w:p>
      <w:pPr>
        <w:ind w:left="880" w:hanging="440"/>
        <w:spacing w:after="0" w:line="230"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S-8 (No. 333-230296);</w:t>
      </w:r>
    </w:p>
    <w:p>
      <w:pPr>
        <w:ind w:left="880" w:hanging="440"/>
        <w:spacing w:after="0" w:line="230"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S-8 (No. 333-226824);</w:t>
      </w:r>
    </w:p>
    <w:p>
      <w:pPr>
        <w:ind w:left="880" w:hanging="440"/>
        <w:spacing w:after="0" w:line="230"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S-8 (No. 333-238174); and</w:t>
      </w:r>
    </w:p>
    <w:p>
      <w:pPr>
        <w:ind w:left="880" w:hanging="440"/>
        <w:spacing w:after="0"/>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Form S-3 (No. 333-235372).</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of our reports dated March 1, 2021, with respect to the consolidated financial statements of Axsome Therapeutics, Inc., and the effectiveness of internal control over financial reporting of Axsome Therapeutics, Inc. included in this Annual Report (Form 10-K) of Axsome Therapeutics,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 2021</w:t>
      </w:r>
    </w:p>
    <w:p>
      <w:pPr>
        <w:sectPr>
          <w:pgSz w:w="11900" w:h="16838" w:orient="portrait"/>
          <w:cols w:equalWidth="0" w:num="1">
            <w:col w:w="11240"/>
          </w:cols>
          <w:pgMar w:left="320" w:top="666"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certify that:</w:t>
      </w:r>
    </w:p>
    <w:p>
      <w:pPr>
        <w:spacing w:after="0" w:line="239"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238"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40" w:right="200" w:hanging="495"/>
        <w:spacing w:after="0" w:line="263"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40" w:right="520" w:hanging="495"/>
        <w:spacing w:after="0" w:line="263"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840" w:right="680" w:hanging="495"/>
        <w:spacing w:after="0" w:line="342" w:lineRule="auto"/>
        <w:tabs>
          <w:tab w:leader="none" w:pos="8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840" w:right="200" w:hanging="495"/>
        <w:spacing w:after="0" w:line="263"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840" w:right="100" w:hanging="495"/>
        <w:spacing w:after="0" w:line="277"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40" w:right="60" w:hanging="495"/>
        <w:spacing w:after="0" w:line="277"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Herriot Tabuteau,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23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238"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40" w:right="200" w:hanging="495"/>
        <w:spacing w:after="0" w:line="263"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40" w:right="520" w:hanging="495"/>
        <w:spacing w:after="0" w:line="263"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840" w:right="680" w:hanging="495"/>
        <w:spacing w:after="0" w:line="342" w:lineRule="auto"/>
        <w:tabs>
          <w:tab w:leader="none" w:pos="8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840" w:right="200" w:hanging="495"/>
        <w:spacing w:after="0" w:line="263"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840" w:right="100" w:hanging="495"/>
        <w:spacing w:after="0" w:line="277"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40" w:right="60" w:hanging="495"/>
        <w:spacing w:after="0" w:line="277"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5620" w:right="4560" w:hanging="5615"/>
        <w:spacing w:after="0" w:line="273" w:lineRule="auto"/>
        <w:tabs>
          <w:tab w:leader="none" w:pos="560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7"/>
          <w:szCs w:val="17"/>
          <w:color w:val="auto"/>
        </w:rPr>
        <w:t>/s/ Nick Pizzie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3566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STATEMENT OF PRINCIPAL EXECUTIVE OFFICER OF</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jc w:val="both"/>
        <w:ind w:right="140" w:firstLine="555"/>
        <w:spacing w:after="0" w:line="286" w:lineRule="auto"/>
        <w:rPr>
          <w:sz w:val="20"/>
          <w:szCs w:val="20"/>
          <w:color w:val="auto"/>
        </w:rPr>
      </w:pPr>
      <w:r>
        <w:rPr>
          <w:rFonts w:ascii="Arial" w:cs="Arial" w:eastAsia="Arial" w:hAnsi="Arial"/>
          <w:sz w:val="17"/>
          <w:szCs w:val="17"/>
          <w:color w:val="auto"/>
        </w:rPr>
        <w:t>In connection with the annual report of Axsome Therapeutics, Inc. (the “Company”) on Form 10-K for the year ended December 31, 2020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9" w:lineRule="exact"/>
        <w:rPr>
          <w:sz w:val="20"/>
          <w:szCs w:val="20"/>
          <w:color w:val="auto"/>
        </w:rPr>
      </w:pPr>
    </w:p>
    <w:p>
      <w:pPr>
        <w:ind w:left="880" w:hanging="323"/>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560" w:right="700" w:hanging="3"/>
        <w:spacing w:after="0" w:line="277" w:lineRule="auto"/>
        <w:tabs>
          <w:tab w:leader="none" w:pos="8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 PRINCIPAL FINANCIAL OFFICER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40" w:firstLine="555"/>
        <w:spacing w:after="0" w:line="263"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2020 as filed with the Securities and Exchange Commission (the “Report”), I, Nick Pizzie, Chief Financial Officer of the Company, certify, pursuant to 18 U.S.C. §1350, as adopted pursuant to §906 of the Sarbanes-Oxley Act of 2002, that, based on my knowledge:</w:t>
      </w:r>
    </w:p>
    <w:p>
      <w:pPr>
        <w:spacing w:after="0" w:line="197" w:lineRule="exact"/>
        <w:rPr>
          <w:sz w:val="20"/>
          <w:szCs w:val="20"/>
          <w:color w:val="auto"/>
        </w:rPr>
      </w:pPr>
    </w:p>
    <w:p>
      <w:pPr>
        <w:ind w:left="880" w:hanging="323"/>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560" w:right="700" w:hanging="3"/>
        <w:spacing w:after="0" w:line="277" w:lineRule="auto"/>
        <w:tabs>
          <w:tab w:leader="none" w:pos="88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Pizzie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Nick Pizzie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2"/>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decimal"/>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3"/>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179" Type="http://schemas.openxmlformats.org/officeDocument/2006/relationships/hyperlink" Target="http://www.sec.gov/Archives/edgar/data/1579428/000110465915081125/a15-24048_1ex3d1.htm" TargetMode="External"/><Relationship Id="rId180" Type="http://schemas.openxmlformats.org/officeDocument/2006/relationships/hyperlink" Target="http://www.sec.gov/Archives/edgar/data/1579428/000110465915081125/a15-24048_1ex3d2.htm" TargetMode="External"/><Relationship Id="rId181" Type="http://schemas.openxmlformats.org/officeDocument/2006/relationships/hyperlink" Target="http://www.sec.gov/Archives/edgar/data/1579428/000104746915008199/a2226320zex-4_1.htm" TargetMode="External"/><Relationship Id="rId182" Type="http://schemas.openxmlformats.org/officeDocument/2006/relationships/hyperlink" Target="http://www.sec.gov/Archives/edgar/data/1579428/000104746915007821/a2226220zex-4_2.htm" TargetMode="External"/><Relationship Id="rId183" Type="http://schemas.openxmlformats.org/officeDocument/2006/relationships/hyperlink" Target="http://www.sec.gov/Archives/edgar/data/1579428/000104746915007821/a2226220zex-4_3.htm" TargetMode="External"/><Relationship Id="rId184" Type="http://schemas.openxmlformats.org/officeDocument/2006/relationships/hyperlink" Target="http://www.sec.gov/Archives/edgar/data/1579428/000110465917071533/a17-27901_1ex4d1.htm" TargetMode="External"/><Relationship Id="rId185" Type="http://schemas.openxmlformats.org/officeDocument/2006/relationships/hyperlink" Target="http://www.sec.gov/Archives/edgar/data/1579428/000155837020012949/axsm-20200930xex10d4.htm" TargetMode="External"/><Relationship Id="rId186" Type="http://schemas.openxmlformats.org/officeDocument/2006/relationships/hyperlink" Target="http://www.sec.gov/Archives/edgar/data/1579428/000155837020002573/axsm-20191231ex4132a1d5e.htm" TargetMode="External"/><Relationship Id="rId187" Type="http://schemas.openxmlformats.org/officeDocument/2006/relationships/hyperlink" Target="http://www.sec.gov/Archives/edgar/data/1579428/000104746915007821/a2226220zex-10_1.htm" TargetMode="External"/><Relationship Id="rId188" Type="http://schemas.openxmlformats.org/officeDocument/2006/relationships/hyperlink" Target="http://www.sec.gov/Archives/edgar/data/1579428/000155837020010231/axsm-20200630xex10d2.htm" TargetMode="External"/><Relationship Id="rId189" Type="http://schemas.openxmlformats.org/officeDocument/2006/relationships/hyperlink" Target="http://www.sec.gov/Archives/edgar/data/1579428/000110465915085196/a15-24973_1ex99d2.htm" TargetMode="External"/><Relationship Id="rId190" Type="http://schemas.openxmlformats.org/officeDocument/2006/relationships/hyperlink" Target="http://www.sec.gov/Archives/edgar/data/1579428/000155837020006307/axsm-20200508xex99d3.htm" TargetMode="External"/><Relationship Id="rId191" Type="http://schemas.openxmlformats.org/officeDocument/2006/relationships/hyperlink" Target="http://www.sec.gov/Archives/edgar/data/1579428/000155837020006307/axsm-20200508xex99d4.htm" TargetMode="External"/><Relationship Id="rId192" Type="http://schemas.openxmlformats.org/officeDocument/2006/relationships/hyperlink" Target="http://www.sec.gov/Archives/edgar/data/1579428/000104746915007821/a2226220zex-10_2.htm" TargetMode="External"/><Relationship Id="rId195" Type="http://schemas.openxmlformats.org/officeDocument/2006/relationships/hyperlink" Target="http://www.sec.gov/Archives/edgar/data/1579428/000104746915007821/a2226220zex-10_4.htm" TargetMode="External"/><Relationship Id="rId196" Type="http://schemas.openxmlformats.org/officeDocument/2006/relationships/hyperlink" Target="http://www.sec.gov/Archives/edgar/data/1579428/000104746915007821/a2226220zex-10_5.htm" TargetMode="External"/><Relationship Id="rId197" Type="http://schemas.openxmlformats.org/officeDocument/2006/relationships/hyperlink" Target="http://www.sec.gov/Archives/edgar/data/1579428/000110465917071533/a17-27901_1ex10d1.htm" TargetMode="External"/><Relationship Id="rId198" Type="http://schemas.openxmlformats.org/officeDocument/2006/relationships/hyperlink" Target="http://www.sec.gov/Archives/edgar/data/1579428/000155837018004333/axsm-20180331ex101d19ec4.htm" TargetMode="External"/><Relationship Id="rId199" Type="http://schemas.openxmlformats.org/officeDocument/2006/relationships/hyperlink" Target="http://www.sec.gov/Archives/edgar/data/1579428/000110465918059225/a18-36094_1ex10d1.htm" TargetMode="External"/><Relationship Id="rId200" Type="http://schemas.openxmlformats.org/officeDocument/2006/relationships/hyperlink" Target="http://www.sec.gov/Archives/edgar/data/1579428/000155837020002573/axsm-20191231ex1015f938b.htm" TargetMode="External"/><Relationship Id="rId201" Type="http://schemas.openxmlformats.org/officeDocument/2006/relationships/hyperlink" Target="http://www.sec.gov/Archives/edgar/data/1579428/000110465920003255/tm203196d1_ex10-1.htm" TargetMode="External"/><Relationship Id="rId202" Type="http://schemas.openxmlformats.org/officeDocument/2006/relationships/hyperlink" Target="http://www.sec.gov/Archives/edgar/data/1579428/000155837020010231/axsm-20200630xex10d1.htm" TargetMode="External"/><Relationship Id="rId203" Type="http://schemas.openxmlformats.org/officeDocument/2006/relationships/hyperlink" Target="http://www.sec.gov/Archives/edgar/data/1579428/000155837020013181/axsm-20200930xex10d2.htm" TargetMode="External"/><Relationship Id="rId204" Type="http://schemas.openxmlformats.org/officeDocument/2006/relationships/hyperlink" Target="http://www.sec.gov/Archives/edgar/data/1579428/000155837020012949/axsm-20200930xex10d3.htm" TargetMode="External"/><Relationship Id="rId205" Type="http://schemas.openxmlformats.org/officeDocument/2006/relationships/hyperlink" Target="http://www.sec.gov/Archives/edgar/data/1579428/000155837020012949/axsm-20200930xex10d5.htm" TargetMode="External"/><Relationship Id="rId206" Type="http://schemas.openxmlformats.org/officeDocument/2006/relationships/hyperlink" Target="http://www.sec.gov/Archives/edgar/data/1579428/000104746915007821/a222622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2021-03-01T16:34:25Z</dcterms:created>
  <dcterms:modified xsi:type="dcterms:W3CDTF">2021-03-01T16:34:25Z</dcterms:modified>
</cp:coreProperties>
</file>