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4540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Jacobson Mark 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AXSOME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WORLD TRADE CENTER, 22ND FLOOR</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10007</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Axsome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AXSM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10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80" w:type="dxa"/>
            <w:vAlign w:val="bottom"/>
          </w:tcPr>
          <w:p>
            <w:pPr>
              <w:ind w:left="12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02/27/2024</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32,825</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ind w:right="203"/>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84</w:t>
            </w:r>
          </w:p>
        </w:tc>
        <w:tc>
          <w:tcPr>
            <w:tcW w:w="1080" w:type="dxa"/>
            <w:vAlign w:val="bottom"/>
          </w:tcPr>
          <w:p>
            <w:pPr>
              <w:jc w:val="right"/>
              <w:ind w:right="179"/>
              <w:spacing w:after="0" w:line="129" w:lineRule="exact"/>
              <w:rPr>
                <w:sz w:val="20"/>
                <w:szCs w:val="20"/>
                <w:color w:val="auto"/>
              </w:rPr>
            </w:pPr>
            <w:r>
              <w:rPr>
                <w:rFonts w:ascii="Times New Roman" w:cs="Times New Roman" w:eastAsia="Times New Roman" w:hAnsi="Times New Roman"/>
                <w:sz w:val="13"/>
                <w:szCs w:val="13"/>
                <w:color w:val="0000FF"/>
              </w:rPr>
              <w:t>02/27/2024</w:t>
            </w:r>
          </w:p>
        </w:tc>
        <w:tc>
          <w:tcPr>
            <w:tcW w:w="110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0000FF"/>
              </w:rPr>
              <w:t>32,825</w:t>
            </w:r>
          </w:p>
        </w:tc>
        <w:tc>
          <w:tcPr>
            <w:tcW w:w="2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tcPr>
          <w:p>
            <w:pPr>
              <w:jc w:val="right"/>
              <w:ind w:right="1"/>
              <w:spacing w:after="0" w:line="129" w:lineRule="exact"/>
              <w:rPr>
                <w:sz w:val="20"/>
                <w:szCs w:val="20"/>
                <w:color w:val="auto"/>
              </w:rPr>
            </w:pPr>
            <w:r>
              <w:rPr>
                <w:rFonts w:ascii="Times New Roman" w:cs="Times New Roman" w:eastAsia="Times New Roman" w:hAnsi="Times New Roman"/>
                <w:sz w:val="13"/>
                <w:szCs w:val="13"/>
                <w:color w:val="0000FF"/>
              </w:rPr>
              <w:t>02/26/2034</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ind w:left="2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32,825</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right"/>
              <w:ind w:right="241"/>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18,027</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79"/>
              <w:spacing w:after="0" w:line="129" w:lineRule="exact"/>
              <w:rPr>
                <w:sz w:val="20"/>
                <w:szCs w:val="20"/>
                <w:color w:val="auto"/>
              </w:rPr>
            </w:pPr>
            <w:r>
              <w:rPr>
                <w:rFonts w:ascii="Times New Roman" w:cs="Times New Roman" w:eastAsia="Times New Roman" w:hAnsi="Times New Roman"/>
                <w:sz w:val="13"/>
                <w:szCs w:val="13"/>
                <w:color w:val="0000FF"/>
              </w:rPr>
              <w:t>02/27/2024</w:t>
            </w:r>
          </w:p>
        </w:tc>
        <w:tc>
          <w:tcPr>
            <w:tcW w:w="110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0000FF"/>
              </w:rPr>
              <w:t>18,027</w:t>
            </w:r>
          </w:p>
        </w:tc>
        <w:tc>
          <w:tcPr>
            <w:tcW w:w="2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ind w:left="2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18,027</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will vest in substantially equal quarterly installments over four years such that the option will be fully vested on February 27, 2028.</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3" w:lineRule="exact"/>
        <w:rPr>
          <w:rFonts w:ascii="Times New Roman" w:cs="Times New Roman" w:eastAsia="Times New Roman" w:hAnsi="Times New Roman"/>
          <w:sz w:val="13"/>
          <w:szCs w:val="13"/>
          <w:color w:val="008000"/>
        </w:rPr>
      </w:pPr>
    </w:p>
    <w:p>
      <w:pPr>
        <w:jc w:val="both"/>
        <w:ind w:left="40" w:right="200" w:firstLine="2"/>
        <w:spacing w:after="0" w:line="237"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RSUs will vest on the one (1) year anniversary of the date of grant. The remaining RSUs will vest in in three substantially equal annual installments, such that the RSUs will be fully vested on February 27, 2028. Vested shares will be delivered to the reporting person upon the earlier of (i) the closing of a Change in Control (as defined in the Issuer's Amended and Restated 2015 Omnibus Incentive Compensation Plan (the "Plan"), (ii) the reporting person's separation of service from the Issuer (including termination with or without Cause (as defined in the Plan), or termination due to death or disability), or (iii) seven (7) years from the date of grant.</w:t>
      </w:r>
    </w:p>
    <w:p>
      <w:pPr>
        <w:spacing w:after="0" w:line="3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Mark Jacobson</w:t>
            </w:r>
          </w:p>
        </w:tc>
        <w:tc>
          <w:tcPr>
            <w:tcW w:w="98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02/29/2024</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05812" TargetMode="External"/><Relationship Id="rId13"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2024-02-29T17:39:11Z</dcterms:created>
  <dcterms:modified xsi:type="dcterms:W3CDTF">2024-02-29T17:39:11Z</dcterms:modified>
</cp:coreProperties>
</file>