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TABUTEAU HERRIOT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AXSOME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WORLD TRADE CENTER,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Axsome Therapeutics, Inc.</w:t>
              </w:r>
            </w:hyperlink>
            <w:r>
              <w:rPr/>
              <w:t xml:space="preserve"> [ </w:t>
            </w:r>
            <w:r>
              <w:rPr>
                <w:rFonts w:ascii="Times;serif" w:hAnsi="Times;serif"/>
                <w:color w:val="0000FF"/>
                <w:sz w:val="24"/>
                <w:shd w:fill="FFFFFF" w:val="clear"/>
              </w:rPr>
              <w:t>AXSM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7"/>
        <w:gridCol w:w="914"/>
        <w:gridCol w:w="784"/>
        <w:gridCol w:w="662"/>
        <w:gridCol w:w="285"/>
        <w:gridCol w:w="909"/>
        <w:gridCol w:w="424"/>
        <w:gridCol w:w="890"/>
        <w:gridCol w:w="1249"/>
        <w:gridCol w:w="966"/>
        <w:gridCol w:w="10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45,004</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52,233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(2)(3)</w:t>
            </w:r>
          </w:p>
        </w:tc>
        <w:tc>
          <w:tcPr>
            <w:tcW w:w="2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45,004</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212.01</w:t>
            </w:r>
            <w:r>
              <w:rPr>
                <w:rFonts w:ascii="Times;serif" w:hAnsi="Times;serif"/>
                <w:color w:val="008000"/>
                <w:position w:val="7"/>
                <w:sz w:val="16"/>
                <w:sz w:val="20"/>
                <w:shd w:fill="FFFFFF" w:val="clear"/>
              </w:rPr>
              <w:t>(4)</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(2)(3)</w:t>
            </w:r>
          </w:p>
        </w:tc>
        <w:tc>
          <w:tcPr>
            <w:tcW w:w="2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213.95</w:t>
            </w:r>
            <w:r>
              <w:rPr>
                <w:rFonts w:ascii="Times;serif" w:hAnsi="Times;serif"/>
                <w:color w:val="008000"/>
                <w:position w:val="7"/>
                <w:sz w:val="16"/>
                <w:sz w:val="20"/>
                <w:shd w:fill="FFFFFF" w:val="clear"/>
              </w:rPr>
              <w:t>(5)</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7,344,500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660"/>
        <w:gridCol w:w="231"/>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213.95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Necessary exercise of stock options set to expire due to attainment of the 10-year expiration date of such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Such transaction was pursuant to a pre-approved 10b5-1 plan, which has now been completed.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subsequent sale of the underlying shares of the aforementioned exercise of stock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of a series of open market transactions with sale prices ranging between $209.28 and $216.35.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of a series of open market transactions with sale prices ranging between $212.41 and $216.36.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Such shares are held by an entity, of which the reporting person has voting and dispositive power, and therefore, the reporting person is deemed to be the indirect beneficial owner of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Nick Pizzie,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19927" TargetMode="External"/><Relationship Id="rId5" Type="http://schemas.openxmlformats.org/officeDocument/2006/relationships/hyperlink" Target="http://www.sec.gov/cgi-bin/browse-edgar?action=getcompany&amp;CIK=0001579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4166</Characters>
  <CharactersWithSpaces>4806</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