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TABUTEAU HERRIOT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AXSOME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WORLD TRADE CENTER, 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Axsome Therapeutics, Inc.</w:t>
              </w:r>
            </w:hyperlink>
            <w:r>
              <w:rPr/>
              <w:t xml:space="preserve"> [ </w:t>
            </w:r>
            <w:r>
              <w:rPr>
                <w:rFonts w:ascii="Times;serif" w:hAnsi="Times;serif"/>
                <w:color w:val="0000FF"/>
                <w:sz w:val="24"/>
                <w:shd w:fill="FFFFFF" w:val="clear"/>
              </w:rPr>
              <w:t>AXSM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7"/>
        <w:gridCol w:w="914"/>
        <w:gridCol w:w="784"/>
        <w:gridCol w:w="662"/>
        <w:gridCol w:w="285"/>
        <w:gridCol w:w="909"/>
        <w:gridCol w:w="424"/>
        <w:gridCol w:w="890"/>
        <w:gridCol w:w="1249"/>
        <w:gridCol w:w="966"/>
        <w:gridCol w:w="108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49,670</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w:t>
            </w:r>
            <w:r>
              <w:rPr/>
              <w:t xml:space="preserve"> </w:t>
            </w:r>
          </w:p>
        </w:tc>
        <w:tc>
          <w:tcPr>
            <w:tcW w:w="12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56,899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06/09/2026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(2)(3)</w:t>
            </w:r>
            <w:r>
              <w:rPr/>
              <w:t xml:space="preserve"> </w:t>
            </w:r>
          </w:p>
        </w:tc>
        <w:tc>
          <w:tcPr>
            <w:tcW w:w="2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49,670</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241.01</w:t>
            </w:r>
            <w:r>
              <w:rPr>
                <w:rFonts w:ascii="Times;serif" w:hAnsi="Times;serif"/>
                <w:color w:val="008000"/>
                <w:position w:val="7"/>
                <w:sz w:val="16"/>
                <w:sz w:val="20"/>
                <w:shd w:fill="FFFFFF" w:val="clear"/>
              </w:rPr>
              <w:t>(4)</w:t>
            </w:r>
            <w:r>
              <w:rPr/>
              <w:t xml:space="preserve"> </w:t>
            </w:r>
          </w:p>
        </w:tc>
        <w:tc>
          <w:tcPr>
            <w:tcW w:w="12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7,229</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7,344,500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660"/>
        <w:gridCol w:w="231"/>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241.01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49,670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99,330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Necessary exercise of stock options set to expire due to attainment of the 10-year expiration date of such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Such transaction was pursuant to a pre-approved 10b5-1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subsequent sale of the underlying shares of the aforementioned exercise of stock options.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of a series of open market transactions with sale prices ranging between $236.11 and $244.13.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Such shares are held by an entity, of which the reporting person has voting and dispositive power, and therefore, the reporting person is deemed to be the indirect beneficial owner of such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Nick Pizzie,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19927" TargetMode="External"/><Relationship Id="rId5" Type="http://schemas.openxmlformats.org/officeDocument/2006/relationships/hyperlink" Target="http://www.sec.gov/cgi-bin/browse-edgar?action=getcompany&amp;CIK=00015794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3813</Characters>
  <CharactersWithSpaces>4431</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