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1424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5"/>
          <w:szCs w:val="5"/>
          <w:color w:val="auto"/>
        </w:rPr>
        <w:t>a</w:t>
      </w:r>
    </w:p>
    <w:tbl>
      <w:tblPr>
        <w:tblLayout w:type="fixed"/>
        <w:tblInd w:w="20" w:type="dxa"/>
        <w:tblCellMar>
          <w:top w:w="0" w:type="dxa"/>
          <w:left w:w="0" w:type="dxa"/>
          <w:bottom w:w="0" w:type="dxa"/>
          <w:right w:w="0" w:type="dxa"/>
        </w:tblCellMar>
      </w:tblPr>
      <w:tr>
        <w:trPr>
          <w:trHeight w:val="200"/>
        </w:trPr>
        <w:tc>
          <w:tcPr>
            <w:tcW w:w="12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gridSpan w:val="3"/>
          </w:tcPr>
          <w:p>
            <w:pPr>
              <w:jc w:val="center"/>
              <w:ind w:right="2260"/>
              <w:spacing w:after="0" w:line="200" w:lineRule="exact"/>
              <w:rPr>
                <w:sz w:val="20"/>
                <w:szCs w:val="20"/>
                <w:color w:val="auto"/>
              </w:rPr>
            </w:pPr>
            <w:r>
              <w:rPr>
                <w:rFonts w:ascii="Times New Roman" w:cs="Times New Roman" w:eastAsia="Times New Roman" w:hAnsi="Times New Roman"/>
                <w:sz w:val="20"/>
                <w:szCs w:val="20"/>
                <w:b w:val="1"/>
                <w:bCs w:val="1"/>
                <w:color w:val="auto"/>
                <w:w w:val="97"/>
              </w:rPr>
              <w:t>UNITED STATES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940" w:type="dxa"/>
            <w:vAlign w:val="bottom"/>
            <w:gridSpan w:val="5"/>
          </w:tcPr>
          <w:p>
            <w:pPr>
              <w:jc w:val="center"/>
              <w:ind w:left="622"/>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80" w:type="dxa"/>
            <w:vAlign w:val="bottom"/>
            <w:gridSpan w:val="3"/>
          </w:tcPr>
          <w:p>
            <w:pPr>
              <w:jc w:val="center"/>
              <w:ind w:right="2260"/>
              <w:spacing w:after="0"/>
              <w:rPr>
                <w:sz w:val="20"/>
                <w:szCs w:val="20"/>
                <w:color w:val="auto"/>
              </w:rPr>
            </w:pPr>
            <w:r>
              <w:rPr>
                <w:rFonts w:ascii="Times New Roman" w:cs="Times New Roman" w:eastAsia="Times New Roman" w:hAnsi="Times New Roman"/>
                <w:sz w:val="17"/>
                <w:szCs w:val="17"/>
                <w:b w:val="1"/>
                <w:bCs w:val="1"/>
                <w:color w:val="auto"/>
                <w:w w:val="97"/>
              </w:rPr>
              <w:t>Washington, D.C. 20549</w:t>
            </w: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280" w:type="dxa"/>
            <w:vAlign w:val="bottom"/>
            <w:vMerge w:val="restart"/>
          </w:tcPr>
          <w:p>
            <w:pPr>
              <w:spacing w:after="0" w:line="175" w:lineRule="exact"/>
              <w:rPr>
                <w:sz w:val="20"/>
                <w:szCs w:val="20"/>
                <w:color w:val="auto"/>
              </w:rPr>
            </w:pPr>
            <w:r>
              <w:rPr>
                <w:rFonts w:ascii="Arial Unicode MS" w:cs="Arial Unicode MS" w:eastAsia="Arial Unicode MS" w:hAnsi="Arial Unicode MS"/>
                <w:sz w:val="13"/>
                <w:szCs w:val="13"/>
                <w:color w:val="auto"/>
                <w:highlight w:val="black"/>
              </w:rPr>
              <w:t>☒</w:t>
            </w: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gridSpan w:val="3"/>
          </w:tcPr>
          <w:p>
            <w:pPr>
              <w:jc w:val="center"/>
              <w:ind w:right="2260"/>
              <w:spacing w:after="0"/>
              <w:rPr>
                <w:sz w:val="20"/>
                <w:szCs w:val="20"/>
                <w:color w:val="auto"/>
              </w:rPr>
            </w:pPr>
            <w:r>
              <w:rPr>
                <w:rFonts w:ascii="Times New Roman" w:cs="Times New Roman" w:eastAsia="Times New Roman" w:hAnsi="Times New Roman"/>
                <w:sz w:val="20"/>
                <w:szCs w:val="20"/>
                <w:b w:val="1"/>
                <w:bCs w:val="1"/>
                <w:color w:val="auto"/>
                <w:w w:val="99"/>
              </w:rPr>
              <w:t>FORM 10-K</w:t>
            </w:r>
          </w:p>
        </w:tc>
        <w:tc>
          <w:tcPr>
            <w:tcW w:w="0" w:type="dxa"/>
            <w:vAlign w:val="bottom"/>
          </w:tcPr>
          <w:p>
            <w:pPr>
              <w:spacing w:after="0"/>
              <w:rPr>
                <w:sz w:val="1"/>
                <w:szCs w:val="1"/>
                <w:color w:val="auto"/>
              </w:rPr>
            </w:pPr>
          </w:p>
        </w:tc>
      </w:tr>
      <w:tr>
        <w:trPr>
          <w:trHeight w:val="182"/>
        </w:trPr>
        <w:tc>
          <w:tcPr>
            <w:tcW w:w="1280" w:type="dxa"/>
            <w:vAlign w:val="bottom"/>
            <w:vMerge w:val="continue"/>
          </w:tcPr>
          <w:p>
            <w:pPr>
              <w:spacing w:after="0"/>
              <w:rPr>
                <w:sz w:val="15"/>
                <w:szCs w:val="15"/>
                <w:color w:val="auto"/>
              </w:rPr>
            </w:pPr>
          </w:p>
        </w:tc>
        <w:tc>
          <w:tcPr>
            <w:tcW w:w="7940" w:type="dxa"/>
            <w:vAlign w:val="bottom"/>
            <w:gridSpan w:val="5"/>
          </w:tcPr>
          <w:p>
            <w:pPr>
              <w:jc w:val="center"/>
              <w:ind w:left="1082"/>
              <w:spacing w:after="0"/>
              <w:rPr>
                <w:sz w:val="20"/>
                <w:szCs w:val="20"/>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gridSpan w:val="3"/>
          </w:tcPr>
          <w:p>
            <w:pPr>
              <w:jc w:val="center"/>
              <w:ind w:right="2260"/>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2022</w:t>
            </w:r>
          </w:p>
        </w:tc>
        <w:tc>
          <w:tcPr>
            <w:tcW w:w="0" w:type="dxa"/>
            <w:vAlign w:val="bottom"/>
          </w:tcPr>
          <w:p>
            <w:pPr>
              <w:spacing w:after="0"/>
              <w:rPr>
                <w:sz w:val="1"/>
                <w:szCs w:val="1"/>
                <w:color w:val="auto"/>
              </w:rPr>
            </w:pPr>
          </w:p>
        </w:tc>
      </w:tr>
      <w:tr>
        <w:trPr>
          <w:trHeight w:val="200"/>
        </w:trPr>
        <w:tc>
          <w:tcPr>
            <w:tcW w:w="12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gridSpan w:val="3"/>
          </w:tcPr>
          <w:p>
            <w:pPr>
              <w:jc w:val="center"/>
              <w:ind w:right="2260"/>
              <w:spacing w:after="0"/>
              <w:rPr>
                <w:sz w:val="20"/>
                <w:szCs w:val="20"/>
                <w:color w:val="auto"/>
              </w:rPr>
            </w:pPr>
            <w:r>
              <w:rPr>
                <w:rFonts w:ascii="Times New Roman" w:cs="Times New Roman" w:eastAsia="Times New Roman" w:hAnsi="Times New Roman"/>
                <w:sz w:val="13"/>
                <w:szCs w:val="13"/>
                <w:b w:val="1"/>
                <w:bCs w:val="1"/>
                <w:color w:val="auto"/>
              </w:rPr>
              <w:t>OR</w:t>
            </w:r>
          </w:p>
        </w:tc>
        <w:tc>
          <w:tcPr>
            <w:tcW w:w="0" w:type="dxa"/>
            <w:vAlign w:val="bottom"/>
          </w:tcPr>
          <w:p>
            <w:pPr>
              <w:spacing w:after="0"/>
              <w:rPr>
                <w:sz w:val="1"/>
                <w:szCs w:val="1"/>
                <w:color w:val="auto"/>
              </w:rPr>
            </w:pPr>
          </w:p>
        </w:tc>
      </w:tr>
      <w:tr>
        <w:trPr>
          <w:trHeight w:val="239"/>
        </w:trPr>
        <w:tc>
          <w:tcPr>
            <w:tcW w:w="1280" w:type="dxa"/>
            <w:vAlign w:val="bottom"/>
          </w:tcPr>
          <w:p>
            <w:pPr>
              <w:spacing w:after="0" w:line="175" w:lineRule="exact"/>
              <w:rPr>
                <w:sz w:val="20"/>
                <w:szCs w:val="20"/>
                <w:color w:val="auto"/>
              </w:rPr>
            </w:pPr>
            <w:r>
              <w:rPr>
                <w:rFonts w:ascii="Arial Unicode MS" w:cs="Arial Unicode MS" w:eastAsia="Arial Unicode MS" w:hAnsi="Arial Unicode MS"/>
                <w:sz w:val="13"/>
                <w:szCs w:val="13"/>
                <w:color w:val="auto"/>
                <w:highlight w:val="black"/>
              </w:rPr>
              <w:t>☐</w:t>
            </w:r>
          </w:p>
        </w:tc>
        <w:tc>
          <w:tcPr>
            <w:tcW w:w="7940" w:type="dxa"/>
            <w:vAlign w:val="bottom"/>
            <w:gridSpan w:val="5"/>
          </w:tcPr>
          <w:p>
            <w:pPr>
              <w:jc w:val="center"/>
              <w:ind w:left="1082"/>
              <w:spacing w:after="0"/>
              <w:rPr>
                <w:sz w:val="20"/>
                <w:szCs w:val="20"/>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1"/>
        </w:trPr>
        <w:tc>
          <w:tcPr>
            <w:tcW w:w="12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5160" w:type="dxa"/>
            <w:vAlign w:val="bottom"/>
            <w:gridSpan w:val="4"/>
          </w:tcPr>
          <w:p>
            <w:pPr>
              <w:jc w:val="center"/>
              <w:ind w:right="208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________ to ________</w:t>
            </w: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980" w:type="dxa"/>
            <w:vAlign w:val="bottom"/>
            <w:gridSpan w:val="3"/>
          </w:tcPr>
          <w:p>
            <w:pPr>
              <w:jc w:val="center"/>
              <w:ind w:right="2260"/>
              <w:spacing w:after="0"/>
              <w:rPr>
                <w:sz w:val="20"/>
                <w:szCs w:val="20"/>
                <w:color w:val="auto"/>
              </w:rPr>
            </w:pPr>
            <w:r>
              <w:rPr>
                <w:rFonts w:ascii="Times New Roman" w:cs="Times New Roman" w:eastAsia="Times New Roman" w:hAnsi="Times New Roman"/>
                <w:sz w:val="17"/>
                <w:szCs w:val="17"/>
                <w:b w:val="1"/>
                <w:bCs w:val="1"/>
                <w:color w:val="auto"/>
                <w:w w:val="99"/>
              </w:rPr>
              <w:t>Commission File Number 001-37635</w:t>
            </w:r>
          </w:p>
        </w:tc>
        <w:tc>
          <w:tcPr>
            <w:tcW w:w="0" w:type="dxa"/>
            <w:vAlign w:val="bottom"/>
          </w:tcPr>
          <w:p>
            <w:pPr>
              <w:spacing w:after="0"/>
              <w:rPr>
                <w:sz w:val="1"/>
                <w:szCs w:val="1"/>
                <w:color w:val="auto"/>
              </w:rPr>
            </w:pPr>
          </w:p>
        </w:tc>
      </w:tr>
      <w:tr>
        <w:trPr>
          <w:trHeight w:val="75"/>
        </w:trPr>
        <w:tc>
          <w:tcPr>
            <w:tcW w:w="128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900" w:type="dxa"/>
            <w:vAlign w:val="bottom"/>
            <w:tcBorders>
              <w:bottom w:val="single" w:sz="8" w:color="auto"/>
            </w:tcBorders>
            <w:gridSpan w:val="2"/>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2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980" w:type="dxa"/>
            <w:vAlign w:val="bottom"/>
            <w:gridSpan w:val="3"/>
          </w:tcPr>
          <w:p>
            <w:pPr>
              <w:jc w:val="center"/>
              <w:ind w:right="2260"/>
              <w:spacing w:after="0"/>
              <w:rPr>
                <w:sz w:val="20"/>
                <w:szCs w:val="20"/>
                <w:color w:val="auto"/>
              </w:rPr>
            </w:pPr>
            <w:r>
              <w:rPr>
                <w:rFonts w:ascii="Times New Roman" w:cs="Times New Roman" w:eastAsia="Times New Roman" w:hAnsi="Times New Roman"/>
                <w:sz w:val="17"/>
                <w:szCs w:val="17"/>
                <w:b w:val="1"/>
                <w:bCs w:val="1"/>
                <w:color w:val="auto"/>
                <w:w w:val="98"/>
              </w:rPr>
              <w:t>AXSOME THERAPEUTICS, INC.</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60" w:type="dxa"/>
            <w:vAlign w:val="bottom"/>
            <w:gridSpan w:val="4"/>
          </w:tcPr>
          <w:p>
            <w:pPr>
              <w:jc w:val="center"/>
              <w:ind w:right="206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0" w:type="dxa"/>
            <w:vAlign w:val="bottom"/>
          </w:tcPr>
          <w:p>
            <w:pPr>
              <w:spacing w:after="0"/>
              <w:rPr>
                <w:sz w:val="1"/>
                <w:szCs w:val="1"/>
                <w:color w:val="auto"/>
              </w:rPr>
            </w:pPr>
          </w:p>
        </w:tc>
      </w:tr>
    </w:tbl>
    <w:p>
      <w:pPr>
        <w:spacing w:after="0" w:line="90" w:lineRule="exact"/>
        <w:rPr>
          <w:sz w:val="24"/>
          <w:szCs w:val="24"/>
          <w:color w:val="auto"/>
        </w:rPr>
      </w:pPr>
    </w:p>
    <w:tbl>
      <w:tblPr>
        <w:tblLayout w:type="fixed"/>
        <w:tblInd w:w="1760" w:type="dxa"/>
        <w:tblCellMar>
          <w:top w:w="0" w:type="dxa"/>
          <w:left w:w="0" w:type="dxa"/>
          <w:bottom w:w="0" w:type="dxa"/>
          <w:right w:w="0" w:type="dxa"/>
        </w:tblCellMar>
      </w:tblPr>
      <w:tr>
        <w:trPr>
          <w:trHeight w:val="200"/>
        </w:trPr>
        <w:tc>
          <w:tcPr>
            <w:tcW w:w="4140" w:type="dxa"/>
            <w:vAlign w:val="bottom"/>
          </w:tcPr>
          <w:p>
            <w:pPr>
              <w:jc w:val="center"/>
              <w:ind w:right="1944"/>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040" w:type="dxa"/>
            <w:vAlign w:val="bottom"/>
          </w:tcPr>
          <w:p>
            <w:pPr>
              <w:jc w:val="right"/>
              <w:ind w:right="27"/>
              <w:spacing w:after="0"/>
              <w:rPr>
                <w:sz w:val="20"/>
                <w:szCs w:val="20"/>
                <w:color w:val="auto"/>
              </w:rPr>
            </w:pPr>
            <w:r>
              <w:rPr>
                <w:rFonts w:ascii="Times New Roman" w:cs="Times New Roman" w:eastAsia="Times New Roman" w:hAnsi="Times New Roman"/>
                <w:sz w:val="17"/>
                <w:szCs w:val="17"/>
                <w:b w:val="1"/>
                <w:bCs w:val="1"/>
                <w:color w:val="auto"/>
              </w:rPr>
              <w:t>45-4241907</w:t>
            </w:r>
          </w:p>
        </w:tc>
      </w:tr>
      <w:tr>
        <w:trPr>
          <w:trHeight w:val="138"/>
        </w:trPr>
        <w:tc>
          <w:tcPr>
            <w:tcW w:w="4140" w:type="dxa"/>
            <w:vAlign w:val="bottom"/>
          </w:tcPr>
          <w:p>
            <w:pPr>
              <w:jc w:val="center"/>
              <w:ind w:right="1964"/>
              <w:spacing w:after="0" w:line="138"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3040" w:type="dxa"/>
            <w:vAlign w:val="bottom"/>
          </w:tcPr>
          <w:p>
            <w:pPr>
              <w:jc w:val="center"/>
              <w:ind w:left="1967"/>
              <w:spacing w:after="0" w:line="138" w:lineRule="exact"/>
              <w:rPr>
                <w:sz w:val="20"/>
                <w:szCs w:val="20"/>
                <w:color w:val="auto"/>
              </w:rPr>
            </w:pPr>
            <w:r>
              <w:rPr>
                <w:rFonts w:ascii="Times New Roman" w:cs="Times New Roman" w:eastAsia="Times New Roman" w:hAnsi="Times New Roman"/>
                <w:sz w:val="13"/>
                <w:szCs w:val="13"/>
                <w:color w:val="auto"/>
              </w:rPr>
              <w:t>(I.R.S. Employer</w:t>
            </w:r>
          </w:p>
        </w:tc>
      </w:tr>
      <w:tr>
        <w:trPr>
          <w:trHeight w:val="173"/>
        </w:trPr>
        <w:tc>
          <w:tcPr>
            <w:tcW w:w="4140" w:type="dxa"/>
            <w:vAlign w:val="bottom"/>
          </w:tcPr>
          <w:p>
            <w:pPr>
              <w:jc w:val="center"/>
              <w:ind w:right="1944"/>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3040" w:type="dxa"/>
            <w:vAlign w:val="bottom"/>
          </w:tcPr>
          <w:p>
            <w:pPr>
              <w:jc w:val="center"/>
              <w:ind w:left="1967"/>
              <w:spacing w:after="0"/>
              <w:rPr>
                <w:sz w:val="20"/>
                <w:szCs w:val="20"/>
                <w:color w:val="auto"/>
              </w:rPr>
            </w:pPr>
            <w:r>
              <w:rPr>
                <w:rFonts w:ascii="Times New Roman" w:cs="Times New Roman" w:eastAsia="Times New Roman" w:hAnsi="Times New Roman"/>
                <w:sz w:val="13"/>
                <w:szCs w:val="13"/>
                <w:color w:val="auto"/>
              </w:rPr>
              <w:t>Identification No.)</w:t>
            </w:r>
          </w:p>
        </w:tc>
      </w:tr>
      <w:tr>
        <w:trPr>
          <w:trHeight w:val="223"/>
        </w:trPr>
        <w:tc>
          <w:tcPr>
            <w:tcW w:w="4140" w:type="dxa"/>
            <w:vAlign w:val="bottom"/>
          </w:tcPr>
          <w:p>
            <w:pPr>
              <w:jc w:val="center"/>
              <w:ind w:right="1964"/>
              <w:spacing w:after="0"/>
              <w:rPr>
                <w:sz w:val="20"/>
                <w:szCs w:val="20"/>
                <w:color w:val="auto"/>
              </w:rPr>
            </w:pPr>
            <w:r>
              <w:rPr>
                <w:rFonts w:ascii="Times New Roman" w:cs="Times New Roman" w:eastAsia="Times New Roman" w:hAnsi="Times New Roman"/>
                <w:sz w:val="17"/>
                <w:szCs w:val="17"/>
                <w:b w:val="1"/>
                <w:bCs w:val="1"/>
                <w:color w:val="auto"/>
                <w:w w:val="98"/>
              </w:rPr>
              <w:t>22 Cortlandt Street</w:t>
            </w:r>
          </w:p>
        </w:tc>
        <w:tc>
          <w:tcPr>
            <w:tcW w:w="3040" w:type="dxa"/>
            <w:vAlign w:val="bottom"/>
          </w:tcPr>
          <w:p>
            <w:pPr>
              <w:spacing w:after="0"/>
              <w:rPr>
                <w:sz w:val="19"/>
                <w:szCs w:val="19"/>
                <w:color w:val="auto"/>
              </w:rPr>
            </w:pPr>
          </w:p>
        </w:tc>
      </w:tr>
      <w:tr>
        <w:trPr>
          <w:trHeight w:val="230"/>
        </w:trPr>
        <w:tc>
          <w:tcPr>
            <w:tcW w:w="4140" w:type="dxa"/>
            <w:vAlign w:val="bottom"/>
          </w:tcPr>
          <w:p>
            <w:pPr>
              <w:jc w:val="center"/>
              <w:ind w:right="1964"/>
              <w:spacing w:after="0" w:line="229" w:lineRule="exact"/>
              <w:rPr>
                <w:sz w:val="20"/>
                <w:szCs w:val="20"/>
                <w:color w:val="auto"/>
              </w:rPr>
            </w:pPr>
            <w:r>
              <w:rPr>
                <w:rFonts w:ascii="Times New Roman" w:cs="Times New Roman" w:eastAsia="Times New Roman" w:hAnsi="Times New Roman"/>
                <w:sz w:val="17"/>
                <w:szCs w:val="17"/>
                <w:b w:val="1"/>
                <w:bCs w:val="1"/>
                <w:color w:val="auto"/>
                <w:w w:val="94"/>
              </w:rPr>
              <w:t>16</w:t>
            </w:r>
            <w:r>
              <w:rPr>
                <w:rFonts w:ascii="Times New Roman" w:cs="Times New Roman" w:eastAsia="Times New Roman" w:hAnsi="Times New Roman"/>
                <w:sz w:val="22"/>
                <w:szCs w:val="22"/>
                <w:b w:val="1"/>
                <w:bCs w:val="1"/>
                <w:color w:val="auto"/>
                <w:w w:val="94"/>
                <w:vertAlign w:val="superscript"/>
              </w:rPr>
              <w:t>th</w:t>
            </w:r>
            <w:r>
              <w:rPr>
                <w:rFonts w:ascii="Times New Roman" w:cs="Times New Roman" w:eastAsia="Times New Roman" w:hAnsi="Times New Roman"/>
                <w:sz w:val="17"/>
                <w:szCs w:val="17"/>
                <w:b w:val="1"/>
                <w:bCs w:val="1"/>
                <w:color w:val="auto"/>
                <w:w w:val="94"/>
              </w:rPr>
              <w:t xml:space="preserve"> Floor</w:t>
            </w:r>
          </w:p>
        </w:tc>
        <w:tc>
          <w:tcPr>
            <w:tcW w:w="3040" w:type="dxa"/>
            <w:vAlign w:val="bottom"/>
          </w:tcPr>
          <w:p>
            <w:pPr>
              <w:jc w:val="right"/>
              <w:ind w:right="227"/>
              <w:spacing w:after="0"/>
              <w:rPr>
                <w:sz w:val="20"/>
                <w:szCs w:val="20"/>
                <w:color w:val="auto"/>
              </w:rPr>
            </w:pPr>
            <w:r>
              <w:rPr>
                <w:rFonts w:ascii="Times New Roman" w:cs="Times New Roman" w:eastAsia="Times New Roman" w:hAnsi="Times New Roman"/>
                <w:sz w:val="17"/>
                <w:szCs w:val="17"/>
                <w:b w:val="1"/>
                <w:bCs w:val="1"/>
                <w:color w:val="auto"/>
              </w:rPr>
              <w:t>10007</w:t>
            </w:r>
          </w:p>
        </w:tc>
      </w:tr>
      <w:tr>
        <w:trPr>
          <w:trHeight w:val="200"/>
        </w:trPr>
        <w:tc>
          <w:tcPr>
            <w:tcW w:w="4140" w:type="dxa"/>
            <w:vAlign w:val="bottom"/>
          </w:tcPr>
          <w:p>
            <w:pPr>
              <w:jc w:val="center"/>
              <w:ind w:right="1964"/>
              <w:spacing w:after="0"/>
              <w:rPr>
                <w:sz w:val="20"/>
                <w:szCs w:val="20"/>
                <w:color w:val="auto"/>
              </w:rPr>
            </w:pPr>
            <w:r>
              <w:rPr>
                <w:rFonts w:ascii="Times New Roman" w:cs="Times New Roman" w:eastAsia="Times New Roman" w:hAnsi="Times New Roman"/>
                <w:sz w:val="17"/>
                <w:szCs w:val="17"/>
                <w:b w:val="1"/>
                <w:bCs w:val="1"/>
                <w:color w:val="auto"/>
                <w:w w:val="95"/>
              </w:rPr>
              <w:t>New York, New York</w:t>
            </w:r>
          </w:p>
        </w:tc>
        <w:tc>
          <w:tcPr>
            <w:tcW w:w="3040" w:type="dxa"/>
            <w:vAlign w:val="bottom"/>
          </w:tcPr>
          <w:p>
            <w:pPr>
              <w:jc w:val="center"/>
              <w:ind w:left="1967"/>
              <w:spacing w:after="0"/>
              <w:rPr>
                <w:sz w:val="20"/>
                <w:szCs w:val="20"/>
                <w:color w:val="auto"/>
              </w:rPr>
            </w:pPr>
            <w:r>
              <w:rPr>
                <w:rFonts w:ascii="Times New Roman" w:cs="Times New Roman" w:eastAsia="Times New Roman" w:hAnsi="Times New Roman"/>
                <w:sz w:val="13"/>
                <w:szCs w:val="13"/>
                <w:color w:val="auto"/>
              </w:rPr>
              <w:t>(Zip Code)</w:t>
            </w:r>
          </w:p>
        </w:tc>
      </w:tr>
      <w:tr>
        <w:trPr>
          <w:trHeight w:val="173"/>
        </w:trPr>
        <w:tc>
          <w:tcPr>
            <w:tcW w:w="4140" w:type="dxa"/>
            <w:vAlign w:val="bottom"/>
          </w:tcPr>
          <w:p>
            <w:pPr>
              <w:jc w:val="center"/>
              <w:ind w:right="1944"/>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040" w:type="dxa"/>
            <w:vAlign w:val="bottom"/>
          </w:tcPr>
          <w:p>
            <w:pPr>
              <w:spacing w:after="0"/>
              <w:rPr>
                <w:sz w:val="15"/>
                <w:szCs w:val="15"/>
                <w:color w:val="auto"/>
              </w:rPr>
            </w:pPr>
          </w:p>
        </w:tc>
      </w:tr>
    </w:tbl>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(212) 332-3241</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200"/>
          </w:cols>
          <w:pgMar w:left="320" w:top="219" w:right="379" w:bottom="1440" w:gutter="0" w:footer="0" w:header="0"/>
        </w:sectPr>
      </w:pPr>
    </w:p>
    <w:p>
      <w:pPr>
        <w:spacing w:after="0" w:line="130"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3"/>
          <w:szCs w:val="13"/>
          <w:color w:val="auto"/>
        </w:rPr>
        <w:t>Title of each class:</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Trading Symbol(s)</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Name of Each Exchange on Which Registered</w:t>
      </w:r>
    </w:p>
    <w:p>
      <w:pPr>
        <w:spacing w:after="0" w:line="126" w:lineRule="exact"/>
        <w:rPr>
          <w:sz w:val="24"/>
          <w:szCs w:val="24"/>
          <w:color w:val="auto"/>
        </w:rPr>
      </w:pPr>
    </w:p>
    <w:p>
      <w:pPr>
        <w:sectPr>
          <w:pgSz w:w="11900" w:h="16838" w:orient="portrait"/>
          <w:cols w:equalWidth="0" w:num="3">
            <w:col w:w="4400" w:space="720"/>
            <w:col w:w="2300" w:space="720"/>
            <w:col w:w="3060"/>
          </w:cols>
          <w:pgMar w:left="320" w:top="219" w:right="3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3"/>
          <w:szCs w:val="13"/>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AXSM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Nasdaq Global Market</w:t>
      </w:r>
    </w:p>
    <w:p>
      <w:pPr>
        <w:spacing w:after="0" w:line="11" w:lineRule="exact"/>
        <w:rPr>
          <w:sz w:val="24"/>
          <w:szCs w:val="24"/>
          <w:color w:val="auto"/>
        </w:rPr>
      </w:pPr>
    </w:p>
    <w:p>
      <w:pPr>
        <w:sectPr>
          <w:pgSz w:w="11900" w:h="16838" w:orient="portrait"/>
          <w:cols w:equalWidth="0" w:num="3">
            <w:col w:w="4720" w:space="720"/>
            <w:col w:w="2620" w:space="720"/>
            <w:col w:w="2420"/>
          </w:cols>
          <w:pgMar w:left="320" w:top="219" w:right="37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3"/>
          <w:szCs w:val="13"/>
          <w:color w:val="auto"/>
        </w:rPr>
        <w:t>(Title of Class)</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None</w:t>
      </w:r>
    </w:p>
    <w:p>
      <w:pPr>
        <w:sectPr>
          <w:pgSz w:w="11900" w:h="16838" w:orient="portrait"/>
          <w:cols w:equalWidth="0" w:num="1">
            <w:col w:w="11200"/>
          </w:cols>
          <w:pgMar w:left="320" w:top="219" w:right="379" w:bottom="1440" w:gutter="0" w:footer="0" w:header="0"/>
          <w:type w:val="continuous"/>
        </w:sectPr>
      </w:pPr>
    </w:p>
    <w:p>
      <w:pPr>
        <w:spacing w:after="0" w:line="15"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23" w:lineRule="exact"/>
        <w:rPr>
          <w:sz w:val="24"/>
          <w:szCs w:val="24"/>
          <w:color w:val="auto"/>
        </w:rPr>
      </w:pPr>
    </w:p>
    <w:p>
      <w:pPr>
        <w:ind w:left="740"/>
        <w:spacing w:after="0" w:line="175" w:lineRule="exact"/>
        <w:rPr>
          <w:sz w:val="20"/>
          <w:szCs w:val="20"/>
          <w:color w:val="auto"/>
        </w:rPr>
      </w:pPr>
      <w:r>
        <w:rPr>
          <w:rFonts w:ascii="Times New Roman" w:cs="Times New Roman" w:eastAsia="Times New Roman" w:hAnsi="Times New Roman"/>
          <w:sz w:val="13"/>
          <w:szCs w:val="13"/>
          <w:color w:val="auto"/>
        </w:rPr>
        <w:t xml:space="preserve">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27"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12" w:lineRule="exact"/>
        <w:rPr>
          <w:sz w:val="24"/>
          <w:szCs w:val="24"/>
          <w:color w:val="auto"/>
        </w:rPr>
      </w:pPr>
    </w:p>
    <w:p>
      <w:pPr>
        <w:ind w:left="740"/>
        <w:spacing w:after="0" w:line="175" w:lineRule="exact"/>
        <w:rPr>
          <w:sz w:val="20"/>
          <w:szCs w:val="20"/>
          <w:color w:val="auto"/>
        </w:rPr>
      </w:pPr>
      <w:r>
        <w:rPr>
          <w:rFonts w:ascii="Times New Roman" w:cs="Times New Roman" w:eastAsia="Times New Roman" w:hAnsi="Times New Roman"/>
          <w:sz w:val="13"/>
          <w:szCs w:val="13"/>
          <w:color w:val="auto"/>
        </w:rPr>
        <w:t xml:space="preserve">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28" w:lineRule="exact"/>
        <w:rPr>
          <w:sz w:val="24"/>
          <w:szCs w:val="24"/>
          <w:color w:val="auto"/>
        </w:rPr>
      </w:pPr>
    </w:p>
    <w:p>
      <w:pPr>
        <w:ind w:right="200" w:firstLine="75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240" w:firstLine="750"/>
        <w:spacing w:after="0" w:line="16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firstLine="750"/>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820" w:type="dxa"/>
            <w:vAlign w:val="bottom"/>
          </w:tcPr>
          <w:p>
            <w:pPr>
              <w:ind w:left="15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0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Accelerated Filer</w:t>
            </w:r>
          </w:p>
        </w:tc>
        <w:tc>
          <w:tcPr>
            <w:tcW w:w="1520" w:type="dxa"/>
            <w:vAlign w:val="bottom"/>
          </w:tcPr>
          <w:p>
            <w:pPr>
              <w:ind w:left="140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88"/>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820" w:type="dxa"/>
            <w:vAlign w:val="bottom"/>
          </w:tcPr>
          <w:p>
            <w:pPr>
              <w:ind w:left="15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0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520" w:type="dxa"/>
            <w:vAlign w:val="bottom"/>
          </w:tcPr>
          <w:p>
            <w:pPr>
              <w:ind w:left="140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08"/>
        </w:trPr>
        <w:tc>
          <w:tcPr>
            <w:tcW w:w="27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Emerging growth company</w:t>
            </w:r>
          </w:p>
        </w:tc>
        <w:tc>
          <w:tcPr>
            <w:tcW w:w="1520" w:type="dxa"/>
            <w:vAlign w:val="bottom"/>
          </w:tcPr>
          <w:p>
            <w:pPr>
              <w:ind w:left="140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38" w:lineRule="exact"/>
        <w:rPr>
          <w:sz w:val="24"/>
          <w:szCs w:val="24"/>
          <w:color w:val="auto"/>
        </w:rPr>
      </w:pPr>
    </w:p>
    <w:p>
      <w:pPr>
        <w:jc w:val="both"/>
        <w:ind w:right="40" w:firstLine="750"/>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2" w:lineRule="exact"/>
        <w:rPr>
          <w:sz w:val="24"/>
          <w:szCs w:val="24"/>
          <w:color w:val="auto"/>
        </w:rPr>
      </w:pPr>
    </w:p>
    <w:p>
      <w:pPr>
        <w:ind w:right="80" w:firstLine="75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160" w:firstLine="750"/>
        <w:spacing w:after="0" w:line="163"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300" w:firstLine="750"/>
        <w:spacing w:after="0" w:line="168"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Times New Roman" w:cs="Times New Roman" w:eastAsia="Times New Roman" w:hAnsi="Times New Roman"/>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left="74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26" w:lineRule="exact"/>
        <w:rPr>
          <w:sz w:val="24"/>
          <w:szCs w:val="24"/>
          <w:color w:val="auto"/>
        </w:rPr>
      </w:pPr>
    </w:p>
    <w:p>
      <w:pPr>
        <w:ind w:right="120" w:firstLine="750"/>
        <w:spacing w:after="0" w:line="239" w:lineRule="auto"/>
        <w:rPr>
          <w:sz w:val="20"/>
          <w:szCs w:val="20"/>
          <w:color w:val="auto"/>
        </w:rPr>
      </w:pPr>
      <w:r>
        <w:rPr>
          <w:rFonts w:ascii="Times New Roman" w:cs="Times New Roman" w:eastAsia="Times New Roman" w:hAnsi="Times New Roman"/>
          <w:sz w:val="13"/>
          <w:szCs w:val="13"/>
          <w:color w:val="auto"/>
        </w:rPr>
        <w:t>The aggregate market value of voting common stock held by non-affiliates of the registrant (assuming for purposes of this calculation, without conceding, that all executive officers and directors are “affiliates”) was approximately $1.2 billion as of June 30, 2022, based on the closing sale price of such stock as reported on the Nasdaq Global Market.</w:t>
      </w:r>
    </w:p>
    <w:p>
      <w:pPr>
        <w:spacing w:after="0" w:line="3"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3"/>
          <w:szCs w:val="13"/>
          <w:color w:val="auto"/>
        </w:rPr>
        <w:t>There were 43,516,501 shares of the registrant’s common stock outstanding as of February 21, 2023.</w:t>
      </w:r>
    </w:p>
    <w:p>
      <w:pPr>
        <w:spacing w:after="0" w:line="2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5" w:lineRule="exact"/>
        <w:rPr>
          <w:sz w:val="24"/>
          <w:szCs w:val="24"/>
          <w:color w:val="auto"/>
        </w:rPr>
      </w:pPr>
    </w:p>
    <w:p>
      <w:pPr>
        <w:ind w:firstLine="750"/>
        <w:spacing w:after="0" w:line="239"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2023 Annual Meeting of Stockholders (the "Proxy Statement"), to be filed within 120 days of the registrant's fiscal year ended December 31, 2022,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296545</wp:posOffset>
            </wp:positionV>
            <wp:extent cx="716788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21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gridSpan w:val="3"/>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43"/>
        </w:trPr>
        <w:tc>
          <w:tcPr>
            <w:tcW w:w="9720" w:type="dxa"/>
            <w:vAlign w:val="bottom"/>
            <w:gridSpan w:val="33"/>
          </w:tcPr>
          <w:p>
            <w:pPr>
              <w:ind w:left="20"/>
              <w:spacing w:after="0"/>
              <w:rPr>
                <w:sz w:val="20"/>
                <w:szCs w:val="20"/>
                <w:color w:val="auto"/>
              </w:rPr>
            </w:pPr>
            <w:r>
              <w:rPr>
                <w:rFonts w:ascii="Times New Roman" w:cs="Times New Roman" w:eastAsia="Times New Roman" w:hAnsi="Times New Roman"/>
                <w:sz w:val="17"/>
                <w:szCs w:val="17"/>
                <w:color w:val="auto"/>
              </w:rPr>
              <w:t>SPECIAL CAUTIONARY NOTICE REGARDING FORWARD-LOOKING STATEMENTS</w:t>
            </w:r>
          </w:p>
        </w:tc>
        <w:tc>
          <w:tcPr>
            <w:tcW w:w="10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343"/>
        </w:trPr>
        <w:tc>
          <w:tcPr>
            <w:tcW w:w="2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gridSpan w:val="8"/>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4"/>
              </w:rPr>
              <w:t>PART I</w:t>
            </w:r>
          </w:p>
        </w:tc>
        <w:tc>
          <w:tcPr>
            <w:tcW w:w="3460" w:type="dxa"/>
            <w:vAlign w:val="bottom"/>
            <w:gridSpan w:val="5"/>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414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Business</w:t>
            </w:r>
          </w:p>
        </w:tc>
        <w:tc>
          <w:tcPr>
            <w:tcW w:w="540" w:type="dxa"/>
            <w:vAlign w:val="bottom"/>
            <w:tcBorders>
              <w:top w:val="single" w:sz="8" w:color="0000EE"/>
            </w:tcBorders>
            <w:gridSpan w:val="2"/>
          </w:tcPr>
          <w:p>
            <w:pPr>
              <w:spacing w:after="0"/>
              <w:rPr>
                <w:sz w:val="17"/>
                <w:szCs w:val="17"/>
                <w:color w:val="auto"/>
              </w:rPr>
            </w:pPr>
          </w:p>
        </w:tc>
        <w:tc>
          <w:tcPr>
            <w:tcW w:w="3820" w:type="dxa"/>
            <w:vAlign w:val="bottom"/>
            <w:gridSpan w:val="10"/>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122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w w:val="95"/>
              </w:rPr>
              <w:t>Risk Factors</w:t>
            </w:r>
          </w:p>
        </w:tc>
        <w:tc>
          <w:tcPr>
            <w:tcW w:w="7660" w:type="dxa"/>
            <w:vAlign w:val="bottom"/>
            <w:gridSpan w:val="27"/>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1B</w:t>
            </w:r>
          </w:p>
        </w:tc>
        <w:tc>
          <w:tcPr>
            <w:tcW w:w="850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Unresolved Staff Comments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18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auto"/>
              </w:rPr>
              <w:t>Properties</w:t>
            </w:r>
          </w:p>
        </w:tc>
        <w:tc>
          <w:tcPr>
            <w:tcW w:w="6620" w:type="dxa"/>
            <w:vAlign w:val="bottom"/>
            <w:gridSpan w:val="21"/>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0"/>
        </w:trPr>
        <w:tc>
          <w:tcPr>
            <w:tcW w:w="122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12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auto"/>
                <w:w w:val="96"/>
              </w:rPr>
              <w:t>Legal Proceedings</w:t>
            </w:r>
          </w:p>
        </w:tc>
        <w:tc>
          <w:tcPr>
            <w:tcW w:w="7260" w:type="dxa"/>
            <w:vAlign w:val="bottom"/>
            <w:gridSpan w:val="25"/>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850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Mine Safety Disclosures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34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3"/>
          </w:tcPr>
          <w:p>
            <w:pPr>
              <w:jc w:val="center"/>
              <w:ind w:right="3800"/>
              <w:spacing w:after="0"/>
              <w:rPr>
                <w:sz w:val="20"/>
                <w:szCs w:val="20"/>
                <w:color w:val="auto"/>
              </w:rPr>
            </w:pPr>
            <w:r>
              <w:rPr>
                <w:rFonts w:ascii="Times New Roman" w:cs="Times New Roman" w:eastAsia="Times New Roman" w:hAnsi="Times New Roman"/>
                <w:sz w:val="17"/>
                <w:szCs w:val="17"/>
                <w:b w:val="1"/>
                <w:bCs w:val="1"/>
                <w:color w:val="auto"/>
                <w:w w:val="94"/>
              </w:rPr>
              <w:t>PART II</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2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34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748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7"/>
                <w:szCs w:val="17"/>
                <w:color w:val="auto"/>
                <w:w w:val="97"/>
              </w:rPr>
              <w:t>Market for Registrant’s Common Equity, Related Stockholder Matters and Issuer Purchases of Equity Securities</w:t>
            </w:r>
          </w:p>
        </w:tc>
        <w:tc>
          <w:tcPr>
            <w:tcW w:w="102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7</w:t>
            </w:r>
          </w:p>
        </w:tc>
        <w:tc>
          <w:tcPr>
            <w:tcW w:w="598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7"/>
                <w:szCs w:val="17"/>
                <w:color w:val="auto"/>
                <w:w w:val="97"/>
              </w:rPr>
              <w:t>Management’s Discussion and Analysis of Financial Condition and Results of Operations</w:t>
            </w:r>
          </w:p>
        </w:tc>
        <w:tc>
          <w:tcPr>
            <w:tcW w:w="2520" w:type="dxa"/>
            <w:vAlign w:val="bottom"/>
            <w:gridSpan w:val="4"/>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7A</w:t>
            </w:r>
          </w:p>
        </w:tc>
        <w:tc>
          <w:tcPr>
            <w:tcW w:w="850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Quantitative and Qualitative Disclosure About Market Risk</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8</w:t>
            </w:r>
          </w:p>
        </w:tc>
        <w:tc>
          <w:tcPr>
            <w:tcW w:w="308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auto"/>
                <w:w w:val="97"/>
              </w:rPr>
              <w:t>Financial Statements and Supplementary Data</w:t>
            </w:r>
          </w:p>
        </w:tc>
        <w:tc>
          <w:tcPr>
            <w:tcW w:w="880" w:type="dxa"/>
            <w:vAlign w:val="bottom"/>
            <w:tcBorders>
              <w:top w:val="single" w:sz="8" w:color="0000EE"/>
            </w:tcBorders>
            <w:gridSpan w:val="2"/>
          </w:tcPr>
          <w:p>
            <w:pPr>
              <w:spacing w:after="0"/>
              <w:rPr>
                <w:sz w:val="17"/>
                <w:szCs w:val="17"/>
                <w:color w:val="auto"/>
              </w:rPr>
            </w:pPr>
          </w:p>
        </w:tc>
        <w:tc>
          <w:tcPr>
            <w:tcW w:w="4540" w:type="dxa"/>
            <w:vAlign w:val="bottom"/>
            <w:gridSpan w:val="16"/>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9</w:t>
            </w:r>
          </w:p>
        </w:tc>
        <w:tc>
          <w:tcPr>
            <w:tcW w:w="60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7"/>
                <w:szCs w:val="17"/>
                <w:color w:val="auto"/>
                <w:w w:val="97"/>
              </w:rPr>
              <w:t>Changes in and Disagreements with Accountants on Accounting and Financial Disclosure</w:t>
            </w:r>
          </w:p>
        </w:tc>
        <w:tc>
          <w:tcPr>
            <w:tcW w:w="2500" w:type="dxa"/>
            <w:vAlign w:val="bottom"/>
            <w:gridSpan w:val="3"/>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9A</w:t>
            </w:r>
          </w:p>
        </w:tc>
        <w:tc>
          <w:tcPr>
            <w:tcW w:w="1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auto"/>
                <w:w w:val="96"/>
              </w:rPr>
              <w:t>Controls and Procedures</w:t>
            </w:r>
          </w:p>
        </w:tc>
        <w:tc>
          <w:tcPr>
            <w:tcW w:w="6860" w:type="dxa"/>
            <w:vAlign w:val="bottom"/>
            <w:gridSpan w:val="23"/>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9B</w:t>
            </w:r>
          </w:p>
        </w:tc>
        <w:tc>
          <w:tcPr>
            <w:tcW w:w="1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auto"/>
                <w:w w:val="96"/>
              </w:rPr>
              <w:t>Other Information</w:t>
            </w:r>
          </w:p>
        </w:tc>
        <w:tc>
          <w:tcPr>
            <w:tcW w:w="7280" w:type="dxa"/>
            <w:vAlign w:val="bottom"/>
            <w:gridSpan w:val="26"/>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9C</w:t>
            </w:r>
          </w:p>
        </w:tc>
        <w:tc>
          <w:tcPr>
            <w:tcW w:w="850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Disclosure Regarding Foreign Jurisdiction that Prevent Inspections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6"/>
              </w:rPr>
              <w:t>PART III</w:t>
            </w:r>
          </w:p>
        </w:tc>
        <w:tc>
          <w:tcPr>
            <w:tcW w:w="3740" w:type="dxa"/>
            <w:vAlign w:val="bottom"/>
            <w:gridSpan w:val="7"/>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10</w:t>
            </w:r>
          </w:p>
        </w:tc>
        <w:tc>
          <w:tcPr>
            <w:tcW w:w="850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Directors, Executive Officers and Corporate Governance</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11</w:t>
            </w:r>
          </w:p>
        </w:tc>
        <w:tc>
          <w:tcPr>
            <w:tcW w:w="378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7"/>
                <w:szCs w:val="17"/>
                <w:color w:val="auto"/>
              </w:rPr>
              <w:t>Executive Compensation</w:t>
            </w:r>
          </w:p>
        </w:tc>
        <w:tc>
          <w:tcPr>
            <w:tcW w:w="4720" w:type="dxa"/>
            <w:vAlign w:val="bottom"/>
            <w:gridSpan w:val="17"/>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0"/>
        </w:trPr>
        <w:tc>
          <w:tcPr>
            <w:tcW w:w="122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12</w:t>
            </w:r>
          </w:p>
        </w:tc>
        <w:tc>
          <w:tcPr>
            <w:tcW w:w="850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 Matters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13</w:t>
            </w:r>
          </w:p>
        </w:tc>
        <w:tc>
          <w:tcPr>
            <w:tcW w:w="674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p>
        </w:tc>
        <w:tc>
          <w:tcPr>
            <w:tcW w:w="1760" w:type="dxa"/>
            <w:vAlign w:val="bottom"/>
            <w:gridSpan w:val="2"/>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14</w:t>
            </w:r>
          </w:p>
        </w:tc>
        <w:tc>
          <w:tcPr>
            <w:tcW w:w="500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7"/>
                <w:szCs w:val="17"/>
                <w:color w:val="auto"/>
              </w:rPr>
              <w:t>Principal Accountant Fees and Services</w:t>
            </w:r>
          </w:p>
        </w:tc>
        <w:tc>
          <w:tcPr>
            <w:tcW w:w="3500" w:type="dxa"/>
            <w:vAlign w:val="bottom"/>
            <w:gridSpan w:val="6"/>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4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15"/>
          </w:tcPr>
          <w:p>
            <w:pPr>
              <w:jc w:val="center"/>
              <w:ind w:right="3740"/>
              <w:spacing w:after="0"/>
              <w:rPr>
                <w:sz w:val="20"/>
                <w:szCs w:val="20"/>
                <w:color w:val="auto"/>
              </w:rPr>
            </w:pPr>
            <w:r>
              <w:rPr>
                <w:rFonts w:ascii="Times New Roman" w:cs="Times New Roman" w:eastAsia="Times New Roman" w:hAnsi="Times New Roman"/>
                <w:sz w:val="17"/>
                <w:szCs w:val="17"/>
                <w:b w:val="1"/>
                <w:bCs w:val="1"/>
                <w:color w:val="auto"/>
                <w:w w:val="95"/>
              </w:rPr>
              <w:t>PART IV</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15</w:t>
            </w:r>
          </w:p>
        </w:tc>
        <w:tc>
          <w:tcPr>
            <w:tcW w:w="408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Exhibits and Financial Statement Schedules</w:t>
            </w:r>
          </w:p>
        </w:tc>
        <w:tc>
          <w:tcPr>
            <w:tcW w:w="660" w:type="dxa"/>
            <w:vAlign w:val="bottom"/>
            <w:tcBorders>
              <w:top w:val="single" w:sz="8" w:color="0000EE"/>
            </w:tcBorders>
            <w:gridSpan w:val="6"/>
          </w:tcPr>
          <w:p>
            <w:pPr>
              <w:spacing w:after="0"/>
              <w:rPr>
                <w:sz w:val="24"/>
                <w:szCs w:val="24"/>
                <w:color w:val="auto"/>
              </w:rPr>
            </w:pPr>
          </w:p>
        </w:tc>
        <w:tc>
          <w:tcPr>
            <w:tcW w:w="3760" w:type="dxa"/>
            <w:vAlign w:val="bottom"/>
            <w:gridSpan w:val="8"/>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0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16</w:t>
            </w:r>
          </w:p>
        </w:tc>
        <w:tc>
          <w:tcPr>
            <w:tcW w:w="29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auto"/>
              </w:rPr>
              <w:t>Form 10-K Summary</w:t>
            </w:r>
          </w:p>
        </w:tc>
        <w:tc>
          <w:tcPr>
            <w:tcW w:w="5580" w:type="dxa"/>
            <w:vAlign w:val="bottom"/>
            <w:gridSpan w:val="19"/>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auto"/>
                <w:w w:val="94"/>
              </w:rPr>
              <w:t>Signatures</w:t>
            </w:r>
          </w:p>
        </w:tc>
        <w:tc>
          <w:tcPr>
            <w:tcW w:w="720" w:type="dxa"/>
            <w:vAlign w:val="bottom"/>
            <w:tcBorders>
              <w:top w:val="single" w:sz="8" w:color="0000EE"/>
            </w:tcBorders>
            <w:gridSpan w:val="4"/>
          </w:tcPr>
          <w:p>
            <w:pPr>
              <w:spacing w:after="0"/>
              <w:rPr>
                <w:sz w:val="17"/>
                <w:szCs w:val="17"/>
                <w:color w:val="auto"/>
              </w:rPr>
            </w:pPr>
          </w:p>
        </w:tc>
        <w:tc>
          <w:tcPr>
            <w:tcW w:w="7080" w:type="dxa"/>
            <w:vAlign w:val="bottom"/>
            <w:gridSpan w:val="24"/>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64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60" w:type="dxa"/>
            <w:vAlign w:val="bottom"/>
            <w:gridSpan w:val="20"/>
          </w:tcPr>
          <w:p>
            <w:pPr>
              <w:jc w:val="center"/>
              <w:ind w:left="4257"/>
              <w:spacing w:after="0"/>
              <w:rPr>
                <w:sz w:val="20"/>
                <w:szCs w:val="20"/>
                <w:color w:val="auto"/>
              </w:rPr>
            </w:pPr>
            <w:r>
              <w:rPr>
                <w:rFonts w:ascii="Times New Roman" w:cs="Times New Roman" w:eastAsia="Times New Roman" w:hAnsi="Times New Roman"/>
                <w:sz w:val="17"/>
                <w:szCs w:val="17"/>
                <w:color w:val="auto"/>
                <w:w w:val="93"/>
              </w:rPr>
              <w:t>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5"/>
        </w:trPr>
        <w:tc>
          <w:tcPr>
            <w:tcW w:w="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46"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b w:val="1"/>
          <w:bCs w:val="1"/>
          <w:color w:val="auto"/>
        </w:rPr>
        <w:t>CAUTIONARY NOTE REGARDING FORWARD</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LOOKING STATEMENTS</w:t>
      </w:r>
    </w:p>
    <w:p>
      <w:pPr>
        <w:spacing w:after="0" w:line="231"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82" w:lineRule="exact"/>
        <w:rPr>
          <w:sz w:val="20"/>
          <w:szCs w:val="20"/>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for increases or decreases in expenses;</w:t>
      </w:r>
    </w:p>
    <w:p>
      <w:pPr>
        <w:spacing w:after="0" w:line="104" w:lineRule="exact"/>
        <w:rPr>
          <w:rFonts w:ascii="Times New Roman" w:cs="Times New Roman" w:eastAsia="Times New Roman" w:hAnsi="Times New Roman"/>
          <w:sz w:val="17"/>
          <w:szCs w:val="17"/>
          <w:color w:val="auto"/>
        </w:rPr>
      </w:pPr>
    </w:p>
    <w:p>
      <w:pPr>
        <w:ind w:left="740" w:right="220" w:hanging="365"/>
        <w:spacing w:after="0" w:line="271" w:lineRule="auto"/>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for the clinical and preclinical development, manufacturing and regulatory approval of our product candidates, and commercialization of our pharmaceutical products or any other products that we may acquire or in-license;</w:t>
      </w:r>
    </w:p>
    <w:p>
      <w:pPr>
        <w:spacing w:after="0" w:line="58"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of the sufficiency of our existing capital resources combined with future anticipated cash flows to finance our operating requirements;</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for incurring capital expenditures to expand our research and development and manufacturing capabilities;</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circumstances or other disruptions to normal business operations arising from or related to COVID-19;</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revenue projections, sales forecasts, and potential peak market data;</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for generating revenue or becoming profitable on a sustained basis;</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or ability to enter into marketing and other partnership agreements;</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or ability to enter into product acquisitions and in-licensing transactions;</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or ability to build our own commercial infrastructure to manufacture, market and sell our products;</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expected losses;</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intellectual property protection for our products;</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acceptance of our products by doctors, patients, or payors;</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price and its volatility;</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personnel;</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third-party manufacturers;</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for future capital requirements; and</w:t>
      </w:r>
    </w:p>
    <w:p>
      <w:pPr>
        <w:spacing w:after="0" w:line="1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implement our strategy.</w:t>
      </w:r>
    </w:p>
    <w:p>
      <w:pPr>
        <w:spacing w:after="0" w:line="205" w:lineRule="exact"/>
        <w:rPr>
          <w:sz w:val="20"/>
          <w:szCs w:val="20"/>
          <w:color w:val="auto"/>
        </w:rPr>
      </w:pPr>
    </w:p>
    <w:p>
      <w:pPr>
        <w:ind w:right="20" w:firstLine="750"/>
        <w:spacing w:after="0" w:line="271" w:lineRule="auto"/>
        <w:rPr>
          <w:sz w:val="20"/>
          <w:szCs w:val="20"/>
          <w:color w:val="auto"/>
        </w:rPr>
      </w:pPr>
      <w:r>
        <w:rPr>
          <w:rFonts w:ascii="Times New Roman" w:cs="Times New Roman" w:eastAsia="Times New Roman" w:hAnsi="Times New Roman"/>
          <w:sz w:val="17"/>
          <w:szCs w:val="17"/>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71" w:lineRule="auto"/>
        <w:rPr>
          <w:sz w:val="20"/>
          <w:szCs w:val="20"/>
          <w:color w:val="auto"/>
        </w:rPr>
      </w:pPr>
      <w:r>
        <w:rPr>
          <w:rFonts w:ascii="Times New Roman" w:cs="Times New Roman" w:eastAsia="Times New Roman" w:hAnsi="Times New Roman"/>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5" w:lineRule="exact"/>
        <w:rPr>
          <w:sz w:val="20"/>
          <w:szCs w:val="20"/>
          <w:color w:val="auto"/>
        </w:rPr>
      </w:pPr>
    </w:p>
    <w:p>
      <w:pPr>
        <w:ind w:right="100" w:firstLine="750"/>
        <w:spacing w:after="0" w:line="276" w:lineRule="auto"/>
        <w:rPr>
          <w:sz w:val="20"/>
          <w:szCs w:val="20"/>
          <w:color w:val="auto"/>
        </w:rPr>
      </w:pPr>
      <w:r>
        <w:rPr>
          <w:rFonts w:ascii="Times New Roman" w:cs="Times New Roman" w:eastAsia="Times New Roman" w:hAnsi="Times New Roman"/>
          <w:sz w:val="17"/>
          <w:szCs w:val="17"/>
          <w:i w:val="1"/>
          <w:iCs w:val="1"/>
          <w:color w:val="auto"/>
        </w:rPr>
        <w:t>Unless the context requires otherwise, references in this report to “Axsome,” “Company,” “we,” “us” and “our” and similar designations refer to Axsome Therapeutics, Inc. and our subsidiaries.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9" w:lineRule="exact"/>
        <w:rPr>
          <w:sz w:val="20"/>
          <w:szCs w:val="20"/>
          <w:color w:val="auto"/>
        </w:rPr>
      </w:pPr>
    </w:p>
    <w:p>
      <w:pPr>
        <w:ind w:right="100" w:firstLine="750"/>
        <w:spacing w:after="0" w:line="258" w:lineRule="auto"/>
        <w:rPr>
          <w:sz w:val="20"/>
          <w:szCs w:val="20"/>
          <w:color w:val="auto"/>
        </w:rPr>
      </w:pPr>
      <w:r>
        <w:rPr>
          <w:rFonts w:ascii="Times New Roman" w:cs="Times New Roman" w:eastAsia="Times New Roman" w:hAnsi="Times New Roman"/>
          <w:sz w:val="17"/>
          <w:szCs w:val="17"/>
          <w:color w:val="auto"/>
        </w:rPr>
        <w:t>We are a commercial-stage biopharmaceutical company developing and delivering novel therapies for central nervous system, or CNS, conditions that have limited treatment options. By focusing on this therapeutic area, we are addressing significant and growing markets where current treatment options are limited or inadequate. Our portfolio primarily consists of two commercial products and the development programs described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Products</w:t>
      </w:r>
    </w:p>
    <w:p>
      <w:pPr>
        <w:spacing w:after="0" w:line="205" w:lineRule="exact"/>
        <w:rPr>
          <w:sz w:val="20"/>
          <w:szCs w:val="20"/>
          <w:color w:val="auto"/>
        </w:rPr>
      </w:pPr>
    </w:p>
    <w:p>
      <w:pPr>
        <w:jc w:val="both"/>
        <w:ind w:left="880" w:hanging="429"/>
        <w:spacing w:after="0" w:line="256" w:lineRule="auto"/>
        <w:tabs>
          <w:tab w:leader="none" w:pos="8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color w:val="auto"/>
        </w:rPr>
        <w:t xml:space="preserve">Auvelity®. </w:t>
      </w:r>
      <w:r>
        <w:rPr>
          <w:rFonts w:ascii="Times New Roman" w:cs="Times New Roman" w:eastAsia="Times New Roman" w:hAnsi="Times New Roman"/>
          <w:sz w:val="17"/>
          <w:szCs w:val="17"/>
          <w:color w:val="auto"/>
        </w:rPr>
        <w:t>Auvelity (dextromethorphan-bupropion) is a novel, oral, N-methyl-D-aspartate (NMDA) receptor antagonist with multimodal activity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indicated for the treatment of major depressive disorder, also known as MDD. Auvelity was developed by the Company and approved by the U.S. Food and Drug Administration, or the FDA, for the treatment of MDD in August 2022. We commenced the commercial sale of Auvelity in the United States in October 2022.</w:t>
      </w:r>
    </w:p>
    <w:p>
      <w:pPr>
        <w:spacing w:after="0" w:line="179" w:lineRule="exact"/>
        <w:rPr>
          <w:rFonts w:ascii="Times New Roman" w:cs="Times New Roman" w:eastAsia="Times New Roman" w:hAnsi="Times New Roman"/>
          <w:sz w:val="15"/>
          <w:szCs w:val="15"/>
          <w:color w:val="auto"/>
        </w:rPr>
      </w:pPr>
    </w:p>
    <w:p>
      <w:pPr>
        <w:jc w:val="both"/>
        <w:ind w:left="880" w:hanging="429"/>
        <w:spacing w:after="0" w:line="250" w:lineRule="auto"/>
        <w:tabs>
          <w:tab w:leader="none" w:pos="8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color w:val="auto"/>
        </w:rPr>
        <w:t xml:space="preserve">Sunosi®. </w:t>
      </w:r>
      <w:r>
        <w:rPr>
          <w:rFonts w:ascii="Times New Roman" w:cs="Times New Roman" w:eastAsia="Times New Roman" w:hAnsi="Times New Roman"/>
          <w:sz w:val="17"/>
          <w:szCs w:val="17"/>
          <w:color w:val="auto"/>
        </w:rPr>
        <w:t>Sunosi (solriamfetol) is a novel, oral medication indicated to the treatment of excessive daytime sleepiness, also known as EDS, in patients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narcolepsy or obstructive sleep apnea. Sunosi was approved for the treatment of EDS in the United States in 2019 and by the European Commission in 2022. We acquired the U.S. rights to Sunosi from Jazz Pharmaceuticals plc, or Jazz, in May 2022 and worldwide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announced a licensing transaction with Pharmanovia to market Sunosi in European and certain Middle East / North Africa countries.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Development Programs</w:t>
      </w:r>
    </w:p>
    <w:p>
      <w:pPr>
        <w:spacing w:after="0" w:line="209" w:lineRule="exact"/>
        <w:rPr>
          <w:sz w:val="20"/>
          <w:szCs w:val="20"/>
          <w:color w:val="auto"/>
        </w:rPr>
      </w:pPr>
    </w:p>
    <w:p>
      <w:pPr>
        <w:ind w:right="40" w:firstLine="750"/>
        <w:spacing w:after="0" w:line="249" w:lineRule="auto"/>
        <w:rPr>
          <w:sz w:val="20"/>
          <w:szCs w:val="20"/>
          <w:color w:val="auto"/>
        </w:rPr>
      </w:pPr>
      <w:r>
        <w:rPr>
          <w:rFonts w:ascii="Times New Roman" w:cs="Times New Roman" w:eastAsia="Times New Roman" w:hAnsi="Times New Roman"/>
          <w:sz w:val="17"/>
          <w:szCs w:val="17"/>
          <w:color w:val="auto"/>
        </w:rPr>
        <w:t>When used in programs for further development, we refer to the proprietary dextromethorphan-bupropion formulation contained in Auvelity as “AXS-05.” AXS-05 is a novel, oral, investigational NMDA receptor antagonist with multimodal activity under development for the treatment of Alzheimer’s disease agitation (“AD agitation”) and smoking cessation. AXS-05 utilizes a proprietary formulation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 trial, a Phase 3, double blind, placebo-controlled, randomized withdrawal trial in patients with AD agitation, and we are conducting an open-label long-term safety study in AD agitation. We are currently conducting the ADVANCE-2 trial, another Phase 3, double blind, placebo-controlled, randomized withdrawal trial in patients with AD agitation. A positive Phase 2 trial for the use of AXS-05 in smoking cessation has been completed under a research collaboration with Duke University.</w:t>
      </w:r>
    </w:p>
    <w:p>
      <w:pPr>
        <w:spacing w:after="0" w:line="179" w:lineRule="exact"/>
        <w:rPr>
          <w:sz w:val="20"/>
          <w:szCs w:val="20"/>
          <w:color w:val="auto"/>
        </w:rPr>
      </w:pPr>
    </w:p>
    <w:p>
      <w:pPr>
        <w:ind w:right="80" w:firstLine="791"/>
        <w:spacing w:after="0" w:line="250" w:lineRule="auto"/>
        <w:rPr>
          <w:sz w:val="20"/>
          <w:szCs w:val="20"/>
          <w:color w:val="auto"/>
        </w:rPr>
      </w:pPr>
      <w:r>
        <w:rPr>
          <w:rFonts w:ascii="Times New Roman" w:cs="Times New Roman" w:eastAsia="Times New Roman" w:hAnsi="Times New Roman"/>
          <w:sz w:val="17"/>
          <w:szCs w:val="17"/>
          <w:color w:val="auto"/>
        </w:rPr>
        <w:t>AXS-07 is a novel, oral, rapidly absorbed, multi-mechanistic, investigational medicine under development for the acute treatment of 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We have also completed an open-label, long-term, safety study of AXS-07 in patients with migraine known as the MOVEMENT trial. In the MOVEMENT trial, administration of AXS-07 resulted in rapid, and substantial relief of migraine pain and associated symptoms and was well tolerated with long term dosing. We submitted an NDA for AXS-07 in 2021, which was accepted, and received a complete response letter, or CRL, from the FDA in April 2022. The principal reasons given in the CRL relate to chemistry, manufacturing, and controls, or CMC considerations.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00" w:firstLine="750"/>
        <w:spacing w:after="0" w:line="254" w:lineRule="auto"/>
        <w:rPr>
          <w:sz w:val="20"/>
          <w:szCs w:val="20"/>
          <w:color w:val="auto"/>
        </w:rPr>
      </w:pPr>
      <w:r>
        <w:rPr>
          <w:rFonts w:ascii="Times New Roman" w:cs="Times New Roman" w:eastAsia="Times New Roman" w:hAnsi="Times New Roman"/>
          <w:sz w:val="17"/>
          <w:szCs w:val="17"/>
          <w:color w:val="auto"/>
        </w:rPr>
        <w:t>AXS-12, reboxetine, is a novel, oral, investigational medicine in development for the treatment of narcolepsy. AXS-12 is a highly selective and potent norepinephrine reuptake inhibitor. AXS-12 has been granted FDA Orphan Drug Designation for the treatment of narcolepsy. We have completed a Phase 2 trial with AXS-12, which we refer to as the CONCERT study. We are currently conducting a randomized, placebo-controlled Phase 3 trial with AXS-12 in narcolepsy, which we refer to as the SYMPHONY study, and one open-label long-term safety extension study.</w:t>
      </w:r>
    </w:p>
    <w:p>
      <w:pPr>
        <w:spacing w:after="0" w:line="173" w:lineRule="exact"/>
        <w:rPr>
          <w:sz w:val="20"/>
          <w:szCs w:val="20"/>
          <w:color w:val="auto"/>
        </w:rPr>
      </w:pPr>
    </w:p>
    <w:p>
      <w:pPr>
        <w:jc w:val="both"/>
        <w:ind w:right="100" w:firstLine="750"/>
        <w:spacing w:after="0" w:line="258" w:lineRule="auto"/>
        <w:rPr>
          <w:sz w:val="20"/>
          <w:szCs w:val="20"/>
          <w:color w:val="auto"/>
        </w:rPr>
      </w:pPr>
      <w:r>
        <w:rPr>
          <w:rFonts w:ascii="Times New Roman" w:cs="Times New Roman" w:eastAsia="Times New Roman" w:hAnsi="Times New Roman"/>
          <w:sz w:val="17"/>
          <w:szCs w:val="17"/>
          <w:color w:val="auto"/>
        </w:rPr>
        <w:t>AXS-14, esreboxetine, is a novel, oral, investigational medicine in development for the treatment of fibromyalgia. AXS-14 is a highly selective and potent norepinephrine reuptake inhibitor. Esreboxetine, the SS-enantiomer of reboxetine, is more potent and selective than racemic reboxetine. We have in-licensed data from Pfizer which includes a completed Phase 2 trial and Phase 3 trial in fibromyalgia, both of which were positive.</w:t>
      </w:r>
    </w:p>
    <w:p>
      <w:pPr>
        <w:spacing w:after="0" w:line="170" w:lineRule="exact"/>
        <w:rPr>
          <w:sz w:val="20"/>
          <w:szCs w:val="20"/>
          <w:color w:val="auto"/>
        </w:rPr>
      </w:pPr>
    </w:p>
    <w:p>
      <w:pPr>
        <w:ind w:right="140" w:firstLine="750"/>
        <w:spacing w:after="0" w:line="271" w:lineRule="auto"/>
        <w:rPr>
          <w:sz w:val="20"/>
          <w:szCs w:val="20"/>
          <w:color w:val="auto"/>
        </w:rPr>
      </w:pPr>
      <w:r>
        <w:rPr>
          <w:rFonts w:ascii="Times New Roman" w:cs="Times New Roman" w:eastAsia="Times New Roman" w:hAnsi="Times New Roman"/>
          <w:sz w:val="17"/>
          <w:szCs w:val="17"/>
          <w:color w:val="auto"/>
        </w:rPr>
        <w:t>Solriamfetol is the active ingredient in Sunosi. It is an oral, dual-acting dopamine and norepinephrine reuptake inhibitor. We recently announced our intent to conduct a Phase 3 trial of solriamfetol in adults with attention-deficit/hyperactivity disorder.</w:t>
      </w:r>
    </w:p>
    <w:p>
      <w:pPr>
        <w:spacing w:after="0" w:line="159" w:lineRule="exact"/>
        <w:rPr>
          <w:sz w:val="20"/>
          <w:szCs w:val="20"/>
          <w:color w:val="auto"/>
        </w:rPr>
      </w:pPr>
    </w:p>
    <w:p>
      <w:pPr>
        <w:ind w:right="180" w:firstLine="750"/>
        <w:spacing w:after="0" w:line="254" w:lineRule="auto"/>
        <w:rPr>
          <w:sz w:val="20"/>
          <w:szCs w:val="20"/>
          <w:color w:val="auto"/>
        </w:rPr>
      </w:pPr>
      <w:r>
        <w:rPr>
          <w:rFonts w:ascii="Times New Roman" w:cs="Times New Roman" w:eastAsia="Times New Roman" w:hAnsi="Times New Roman"/>
          <w:sz w:val="17"/>
          <w:szCs w:val="17"/>
          <w:color w:val="auto"/>
        </w:rPr>
        <w:t>Our product candidates are protected through a combination of patents, trade secrets, and proprietary know-how. If approved, they may also be eligible for periods of regulatory exclusivity. Our intellectual property portfolio includes issued U.S. and foreign patents with claims extending to 2034 and 2040 for AXS-05, to 2036 for AXS-07, and to 2039 for AXS-12, as well as U.S. and foreign patent applications for AXS-05, AXS-07, AXS-12, and AXS-14. As with respect to Sunosi, Orange Book listed patents in the United States extend out to 2040. We also have patents in various other countries pertaining to Sunosi.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09" w:lineRule="exact"/>
        <w:rPr>
          <w:sz w:val="20"/>
          <w:szCs w:val="20"/>
          <w:color w:val="auto"/>
        </w:rPr>
      </w:pPr>
    </w:p>
    <w:p>
      <w:pPr>
        <w:ind w:right="380" w:firstLine="750"/>
        <w:spacing w:after="0" w:line="271" w:lineRule="auto"/>
        <w:rPr>
          <w:sz w:val="20"/>
          <w:szCs w:val="20"/>
          <w:color w:val="auto"/>
        </w:rPr>
      </w:pPr>
      <w:r>
        <w:rPr>
          <w:rFonts w:ascii="Times New Roman" w:cs="Times New Roman" w:eastAsia="Times New Roman" w:hAnsi="Times New Roman"/>
          <w:sz w:val="17"/>
          <w:szCs w:val="17"/>
          <w:color w:val="auto"/>
        </w:rPr>
        <w:t>Our goal is to efficiently develop and commercialize novel, differentiated therapies for the management of CNS disorders. The primary elements of our strategy to achieve this goal are the following:</w:t>
      </w:r>
    </w:p>
    <w:p>
      <w:pPr>
        <w:spacing w:after="0" w:line="155" w:lineRule="exact"/>
        <w:rPr>
          <w:sz w:val="20"/>
          <w:szCs w:val="20"/>
          <w:color w:val="auto"/>
        </w:rPr>
      </w:pPr>
    </w:p>
    <w:p>
      <w:pPr>
        <w:ind w:left="1120" w:right="180" w:hanging="370"/>
        <w:spacing w:after="0" w:line="204" w:lineRule="exact"/>
        <w:tabs>
          <w:tab w:leader="none" w:pos="11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Pursue novel CNS indications with high unmet medical need. </w:t>
      </w:r>
      <w:r>
        <w:rPr>
          <w:rFonts w:ascii="Times New Roman" w:cs="Times New Roman" w:eastAsia="Times New Roman" w:hAnsi="Times New Roman"/>
          <w:sz w:val="16"/>
          <w:szCs w:val="16"/>
          <w:color w:val="auto"/>
        </w:rPr>
        <w:t>We believe that CNS disorders are significantly underserved therapeutic segments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currently limited treatment options. We are developing our product candidates for CNS indications where there exist significant unmet medical needs, or that have no or few FDA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approved pharmacological treatments. CNS disorders are often disabling, difficult to treat, and associated with significant comorbidities. By focusing on areas of unmet medical need, we aim to develop products that have the potential to change current medical practice, and that are highly relevant to patients, physicians, and regulatory bodies. Many of these indications have significant patient populations which, when combined with the limitations of current treatments, should provide us with attractive commercial opportunities.</w:t>
      </w:r>
    </w:p>
    <w:p>
      <w:pPr>
        <w:spacing w:after="0" w:line="182" w:lineRule="exact"/>
        <w:rPr>
          <w:rFonts w:ascii="Times New Roman" w:cs="Times New Roman" w:eastAsia="Times New Roman" w:hAnsi="Times New Roman"/>
          <w:sz w:val="16"/>
          <w:szCs w:val="16"/>
          <w:color w:val="auto"/>
        </w:rPr>
      </w:pPr>
    </w:p>
    <w:p>
      <w:pPr>
        <w:ind w:left="1120" w:hanging="370"/>
        <w:spacing w:after="0" w:line="273" w:lineRule="auto"/>
        <w:tabs>
          <w:tab w:leader="none" w:pos="11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Develop products with our proprietary medicinal chemistry and formulation technologies. </w:t>
      </w:r>
      <w:r>
        <w:rPr>
          <w:rFonts w:ascii="Times New Roman" w:cs="Times New Roman" w:eastAsia="Times New Roman" w:hAnsi="Times New Roman"/>
          <w:sz w:val="16"/>
          <w:szCs w:val="16"/>
          <w:color w:val="auto"/>
        </w:rPr>
        <w:t>Our proprietary medicinal chemistry and formulation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technologies allow us to continue to design new and innovative medicines to treat CNS conditions. These technologies and capabilities include: (1) chiral chemistry and formulation to identify, isolate and stabilize chirally pure enantiomers, (2) metabolic inhibition as a novel drug delivery method to increase the bioavailability and prolong the half-life of target drug molecules, (3) the MoSEIC™ technology which is designed to substantially increase the solubility and speed the absorption of target drug molecules, and (4) proprietary chemical synthesis and analysis to produce target drug molecules.</w:t>
      </w:r>
    </w:p>
    <w:p>
      <w:pPr>
        <w:spacing w:after="0" w:line="154" w:lineRule="exact"/>
        <w:rPr>
          <w:rFonts w:ascii="Times New Roman" w:cs="Times New Roman" w:eastAsia="Times New Roman" w:hAnsi="Times New Roman"/>
          <w:sz w:val="16"/>
          <w:szCs w:val="16"/>
          <w:color w:val="auto"/>
        </w:rPr>
      </w:pPr>
    </w:p>
    <w:p>
      <w:pPr>
        <w:ind w:left="1120" w:hanging="370"/>
        <w:spacing w:after="0" w:line="243" w:lineRule="auto"/>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Develop products with differentiated profiles. </w:t>
      </w:r>
      <w:r>
        <w:rPr>
          <w:rFonts w:ascii="Times New Roman" w:cs="Times New Roman" w:eastAsia="Times New Roman" w:hAnsi="Times New Roman"/>
          <w:sz w:val="17"/>
          <w:szCs w:val="17"/>
          <w:color w:val="auto"/>
        </w:rPr>
        <w:t>We aim to develop products with novel mechanisms of action for the intended indications that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yield differentiated product profiles. For example, AXS-05 combines several mechanisms of action resulting in a unique pharmacological profile that may be relevant to the treatment of numerous CNS disorders. The MoSEIC</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technology is designed to improve the absorption of drug molecules after oral administration and is utilized in our AXS-07 product candidate. We believe that products with clearly differentiated features will be attractive to patients and their physicians, and will provide us with a competitive commercial advantage.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left="1120" w:hanging="370"/>
        <w:spacing w:after="0" w:line="202" w:lineRule="exact"/>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Reduce clinical and regulatory risk, limit development costs, and accelerate time to market. </w:t>
      </w:r>
      <w:r>
        <w:rPr>
          <w:rFonts w:ascii="Times New Roman" w:cs="Times New Roman" w:eastAsia="Times New Roman" w:hAnsi="Times New Roman"/>
          <w:sz w:val="17"/>
          <w:szCs w:val="17"/>
          <w:color w:val="auto"/>
        </w:rPr>
        <w:t>Some of our product candidates incorporate chemical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entities with long histories of clinical use and well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characterized safety profiles. Use of well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characterized molecules has allowed us to rapidly complete early clinical development of our product candidates and may reduce the risk of late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stage clinical failures due to unexpected toxicities. This strategy may allow us to seek FDA approval for some of our product candidates using the 505(b)(2) regulatory pathway. Section 505(b)(2) of the Federal Food, Drug, and Cosmetic Act, or FDCA, permits an applicant to file a new drug application, or NDA, that relies, in part, on the FDA’s prior findings of safety and efficacy in the approval of a similar drug, or on published literature. It therefore allows us to leverage previous preclinical and clinical experience with the active molecules in some of our product candidates and potentially forego conducting certain lengthy and costly preclinical studies, reduce clinical and regulatory risk, limit development costs, and accelerate our time to commercialization.</w:t>
      </w:r>
    </w:p>
    <w:p>
      <w:pPr>
        <w:spacing w:after="0" w:line="185" w:lineRule="exact"/>
        <w:rPr>
          <w:rFonts w:ascii="Times New Roman" w:cs="Times New Roman" w:eastAsia="Times New Roman" w:hAnsi="Times New Roman"/>
          <w:sz w:val="17"/>
          <w:szCs w:val="17"/>
          <w:color w:val="auto"/>
        </w:rPr>
      </w:pPr>
    </w:p>
    <w:p>
      <w:pPr>
        <w:ind w:left="1120" w:right="80" w:hanging="370"/>
        <w:spacing w:after="0" w:line="204" w:lineRule="exact"/>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Retain commercial rights in the United States, where appropriate, and selectively partner outside of the United States to maximize the value of our product candidates. </w:t>
      </w:r>
      <w:r>
        <w:rPr>
          <w:rFonts w:ascii="Times New Roman" w:cs="Times New Roman" w:eastAsia="Times New Roman" w:hAnsi="Times New Roman"/>
          <w:sz w:val="16"/>
          <w:szCs w:val="16"/>
          <w:color w:val="auto"/>
        </w:rPr>
        <w:t>We intend to commercialize our product candidates, if approved, in the United States through the establishment of our own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focused,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 sales and marketing organization targeting high</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prescribing specialists. We intend to selectively partner commercial rights outside of the United States with third parties to maximize the value of our product candidates without the substantial investment required to develop independent sales forces in those geographies. We continue to evaluate strategic options for the commercialization of our other product candidates.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7"/>
          <w:szCs w:val="17"/>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00900" cy="2804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0" cy="280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139"/>
          </w:cols>
          <w:pgMar w:left="320" w:top="12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CNS Product Candidates</w:t>
      </w:r>
    </w:p>
    <w:p>
      <w:pPr>
        <w:spacing w:after="0" w:line="18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AXS</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05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09"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AXS-05 is a novel, oral, investigational NMDA receptor antagonist with multimodal activity under development for the treatment of CNS disorders. AXS-05 consists of a proprietary formulation and dose of dextromethorphan and bupropion and utilizes Axsome’s metabolic inhibition technology. The dextromethorphan component of AXS-05 is an uncompetitive antagonist of the N-methyl-D-aspartate, or NMDA, receptor, an ionotropic glutamate receptor and a sigma-1 receptor agonist. Dextromethorphan is quickly eliminated from the body following administration due to extensive first pass metabolism, which results in low blood levels even at high doses. The bupropion component of AXS-05 serves to increase the bioavailability of dextromethorphan by inhibiting its metabolism and is also a norepinephrine and dopamine reuptake inhibitor.</w:t>
      </w:r>
    </w:p>
    <w:p>
      <w:pPr>
        <w:spacing w:after="0" w:line="180" w:lineRule="exact"/>
        <w:rPr>
          <w:sz w:val="20"/>
          <w:szCs w:val="20"/>
          <w:color w:val="auto"/>
        </w:rPr>
      </w:pPr>
    </w:p>
    <w:p>
      <w:pPr>
        <w:ind w:right="680" w:firstLine="750"/>
        <w:spacing w:after="0" w:line="271" w:lineRule="auto"/>
        <w:rPr>
          <w:sz w:val="20"/>
          <w:szCs w:val="20"/>
          <w:color w:val="auto"/>
        </w:rPr>
      </w:pPr>
      <w:r>
        <w:rPr>
          <w:rFonts w:ascii="Times New Roman" w:cs="Times New Roman" w:eastAsia="Times New Roman" w:hAnsi="Times New Roman"/>
          <w:sz w:val="17"/>
          <w:szCs w:val="17"/>
          <w:color w:val="auto"/>
        </w:rPr>
        <w:t>AXS-05 is potentially applicable to the treatment of a variety of CNS disorders, based on its mechanisms of action. We are developing AXS-05 for Alzheimer’s disease agitation, or AD agitation, and as an aid to smoking cessation.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Alzheimer’s Disease (AD) Agitation</w:t>
      </w:r>
    </w:p>
    <w:p>
      <w:pPr>
        <w:spacing w:after="0" w:line="209" w:lineRule="exact"/>
        <w:rPr>
          <w:sz w:val="20"/>
          <w:szCs w:val="20"/>
          <w:color w:val="auto"/>
        </w:rPr>
      </w:pPr>
    </w:p>
    <w:p>
      <w:pPr>
        <w:ind w:right="500" w:firstLine="750"/>
        <w:spacing w:after="0" w:line="271" w:lineRule="auto"/>
        <w:rPr>
          <w:sz w:val="20"/>
          <w:szCs w:val="20"/>
          <w:color w:val="auto"/>
        </w:rPr>
      </w:pPr>
      <w:r>
        <w:rPr>
          <w:rFonts w:ascii="Times New Roman" w:cs="Times New Roman" w:eastAsia="Times New Roman" w:hAnsi="Times New Roman"/>
          <w:sz w:val="17"/>
          <w:szCs w:val="17"/>
          <w:color w:val="auto"/>
        </w:rPr>
        <w:t>We are developing AXS-05 for the treatment of Alzheimer’s disease agitation, or AD agitation. There is currently no FDA-approved pharmacological treatment for the indication of AD agitation.</w:t>
      </w:r>
    </w:p>
    <w:p>
      <w:pPr>
        <w:spacing w:after="0" w:line="159"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AD is a progressive neurodegenerative disorder that manifests initially as forgetfulness advancing to severe cognitive impairment and memory loss. It is a common form of dementia and afflicts more than 5 million individuals in the United States, a number that is anticipated to increase to approximately 14 million by 2050. In addition to cognitive decline, individuals diagnosed with AD typically experience behavioral and psychological symptoms including agitation and aggression. These symptoms are seen in a high percentage of AD sufferers, with agitation being reported in up to 70% of patients. Agitation is characterized by emotional distress, aggressive behaviors, disruptive irritability, and disinhibition. Agitation associated with AD has been associated with increased caregiver burden, decreased functioning, earlier nursing home placement, and death.</w:t>
      </w:r>
    </w:p>
    <w:p>
      <w:pPr>
        <w:spacing w:after="0" w:line="180" w:lineRule="exact"/>
        <w:rPr>
          <w:sz w:val="20"/>
          <w:szCs w:val="20"/>
          <w:color w:val="auto"/>
        </w:rPr>
      </w:pPr>
    </w:p>
    <w:p>
      <w:pPr>
        <w:ind w:right="120" w:firstLine="750"/>
        <w:spacing w:after="0" w:line="254" w:lineRule="auto"/>
        <w:rPr>
          <w:sz w:val="20"/>
          <w:szCs w:val="20"/>
          <w:color w:val="auto"/>
        </w:rPr>
      </w:pPr>
      <w:r>
        <w:rPr>
          <w:rFonts w:ascii="Times New Roman" w:cs="Times New Roman" w:eastAsia="Times New Roman" w:hAnsi="Times New Roman"/>
          <w:sz w:val="17"/>
          <w:szCs w:val="17"/>
          <w:color w:val="auto"/>
        </w:rPr>
        <w:t>Because there are no FDA-approved pharmacological treatments for the indication of agitation associated with AD, patients are currently treated off-label with various agents including antipsychotics, which have been considered the mainstay of treatment. These treatments however are limited by safety concerns. Typical antipsychotics prescribed for agitation, aggression, or insomnia are associated with functional decline in patients with AD, while studies indicate that atypical antipsychotics may be associated with increased rates of cerebrovascular events and death in patients with dementia.</w:t>
      </w:r>
    </w:p>
    <w:p>
      <w:pPr>
        <w:spacing w:after="0" w:line="173" w:lineRule="exact"/>
        <w:rPr>
          <w:sz w:val="20"/>
          <w:szCs w:val="20"/>
          <w:color w:val="auto"/>
        </w:rPr>
      </w:pPr>
    </w:p>
    <w:p>
      <w:pPr>
        <w:ind w:right="220" w:firstLine="750"/>
        <w:spacing w:after="0" w:line="258" w:lineRule="auto"/>
        <w:rPr>
          <w:sz w:val="20"/>
          <w:szCs w:val="20"/>
          <w:color w:val="auto"/>
        </w:rPr>
      </w:pPr>
      <w:r>
        <w:rPr>
          <w:rFonts w:ascii="Times New Roman" w:cs="Times New Roman" w:eastAsia="Times New Roman" w:hAnsi="Times New Roman"/>
          <w:sz w:val="17"/>
          <w:szCs w:val="17"/>
          <w:color w:val="auto"/>
        </w:rPr>
        <w:t>In June 2020, we announced that AXS-05 had received FDA Breakthrough Therapy designation for the AD agitation indication. In August 2020, we announced confirmation of the pivotal development status and plan for AXS-05 in the treatment of AD agitation following a Breakthrough Therapy meeting with the FDA.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ADVANCE-1 Study</w:t>
      </w:r>
    </w:p>
    <w:p>
      <w:pPr>
        <w:spacing w:after="0" w:line="209" w:lineRule="exact"/>
        <w:rPr>
          <w:sz w:val="20"/>
          <w:szCs w:val="20"/>
          <w:color w:val="auto"/>
        </w:rPr>
      </w:pPr>
    </w:p>
    <w:p>
      <w:pPr>
        <w:ind w:right="160" w:firstLine="750"/>
        <w:spacing w:after="0" w:line="275" w:lineRule="auto"/>
        <w:rPr>
          <w:sz w:val="20"/>
          <w:szCs w:val="20"/>
          <w:color w:val="auto"/>
        </w:rPr>
      </w:pPr>
      <w:r>
        <w:rPr>
          <w:rFonts w:ascii="Times New Roman" w:cs="Times New Roman" w:eastAsia="Times New Roman" w:hAnsi="Times New Roman"/>
          <w:sz w:val="16"/>
          <w:szCs w:val="16"/>
          <w:color w:val="auto"/>
        </w:rPr>
        <w:t>In July 2017, we initiated the ADVANCE-1 study, a Phase 2/3, randomized, double-blind, controlled, U.S. trial to evaluate the efficacy and safety of AXS-05 in patients with AD agitation. In April 2020, we announced that AXS-05 had achieved its primary endpoint and rapidly and substantially improved agitation in patients with AD in the ADVANCE study. In this trial, 366 Alzheimer’s disease patients were randomized to treatment with AXS-05 (dextromethorphan-bupropion tablet, dose escalated to 45 mg-105 mg twice daily), bupropion (dose escalated to 105 mg twice daily), or matching placebo, for 5 weeks.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00" w:firstLine="750"/>
        <w:spacing w:after="0" w:line="254" w:lineRule="auto"/>
        <w:rPr>
          <w:sz w:val="20"/>
          <w:szCs w:val="20"/>
          <w:color w:val="auto"/>
        </w:rPr>
      </w:pPr>
      <w:r>
        <w:rPr>
          <w:rFonts w:ascii="Times New Roman" w:cs="Times New Roman" w:eastAsia="Times New Roman" w:hAnsi="Times New Roman"/>
          <w:sz w:val="17"/>
          <w:szCs w:val="17"/>
          <w:color w:val="auto"/>
        </w:rPr>
        <w:t>AXS-05 met the primary endpoint by demonstrating a statistically significant mean reduction in the Cohen Mansfield Agitation Inventory (CMAI) total score compared to placebo at Week 5, with mean reductions from baseline of 15.4 points for AXS-05 and 11.5 points for placebo (p=0.010). These results represent a mean percentage reduction from baseline of 48% for AXS-05 versus 38% for placebo. AXS-05 was also superior to bupropion on the CMAI total score (p&lt;0.001), establishing component contribution.</w:t>
      </w:r>
    </w:p>
    <w:p>
      <w:pPr>
        <w:spacing w:after="0" w:line="173" w:lineRule="exact"/>
        <w:rPr>
          <w:sz w:val="20"/>
          <w:szCs w:val="20"/>
          <w:color w:val="auto"/>
        </w:rPr>
      </w:pPr>
    </w:p>
    <w:p>
      <w:pPr>
        <w:ind w:right="60" w:firstLine="750"/>
        <w:spacing w:after="0" w:line="271" w:lineRule="auto"/>
        <w:rPr>
          <w:sz w:val="20"/>
          <w:szCs w:val="20"/>
          <w:color w:val="auto"/>
        </w:rPr>
      </w:pPr>
      <w:r>
        <w:rPr>
          <w:rFonts w:ascii="Times New Roman" w:cs="Times New Roman" w:eastAsia="Times New Roman" w:hAnsi="Times New Roman"/>
          <w:sz w:val="17"/>
          <w:szCs w:val="17"/>
          <w:color w:val="auto"/>
        </w:rPr>
        <w:t>AXS-05 rapidly improved agitation symptoms. Improvement on the CMAI total score with AXS-05 was numerically superior to placebo starting at Week 2, achieving statistical significance at Week 3 (p=0.007) only one week after full dosing with AXS-05.</w:t>
      </w:r>
    </w:p>
    <w:p>
      <w:pPr>
        <w:spacing w:after="0" w:line="159"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A statistically significantly greater proportion of patients achieved a clinical response on the CMAI, defined as a 30% or greater improvement from baseline, with AXS-05 as compared to placebo (73% versus 57%, p=0.005). These results were consistent with clinicians’ global assessments of change measured using the modified Alzheimer’s Disease Cooperative Study-Clinical Global Impression of Change for Agitation (mADCS-CGIC). AXS-05 demonstrated statistically significantly greater improvement in agitation as compared to placebo on this measure (p=0.036).</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AXS-05 was well tolerated in the trial. The most commonly reported adverse events in the AXS-05 arm were somnolence (8.2% for AXS-05 versus 4.1% for bupropion and 3.2% for placebo), dizziness (6.3%, 10.2%, 3.2%, respectively), and diarrhea (4.4%, 6.1%, 4.4%,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ACCORD Study</w:t>
      </w:r>
    </w:p>
    <w:p>
      <w:pPr>
        <w:spacing w:after="0" w:line="209" w:lineRule="exact"/>
        <w:rPr>
          <w:sz w:val="20"/>
          <w:szCs w:val="20"/>
          <w:color w:val="auto"/>
        </w:rPr>
      </w:pPr>
    </w:p>
    <w:p>
      <w:pPr>
        <w:ind w:right="80" w:firstLine="750"/>
        <w:spacing w:after="0" w:line="250" w:lineRule="auto"/>
        <w:rPr>
          <w:sz w:val="20"/>
          <w:szCs w:val="20"/>
          <w:color w:val="auto"/>
        </w:rPr>
      </w:pPr>
      <w:r>
        <w:rPr>
          <w:rFonts w:ascii="Times New Roman" w:cs="Times New Roman" w:eastAsia="Times New Roman" w:hAnsi="Times New Roman"/>
          <w:sz w:val="17"/>
          <w:szCs w:val="17"/>
          <w:color w:val="auto"/>
        </w:rPr>
        <w:t>In December 2020, we announced initiation of the Phase 3 ACCORD (Assessing Clinical Outcomes in Alzheimer’s Disease Agitation) trial. ACCORD was a randomized, double-blind, multicenter, placebo-controlled, trial to evaluate the efficacy and safety of AXS-05 in patients with AD agitation. Enrolled patients first entered a 9-week, open-label stabilization period, during which they were treated with AXS-05 and monitored for a treatment response based on the CMAI. Patients who experienced a treatment response during the stabilization period were then randomized into the double-blind treatment period, in a 1:1 ratio, to continue treatment with AXS-05 or to switch to placebo, for up to 26 weeks or until a relapse of agitation occurs. The primary endpoint was time from randomization to relapse. Assessments included the CMAI, clinician- and caregiver-rated scales, and safety parameters.</w:t>
      </w:r>
    </w:p>
    <w:p>
      <w:pPr>
        <w:spacing w:after="0" w:line="180" w:lineRule="exact"/>
        <w:rPr>
          <w:sz w:val="20"/>
          <w:szCs w:val="20"/>
          <w:color w:val="auto"/>
        </w:rPr>
      </w:pPr>
    </w:p>
    <w:p>
      <w:pPr>
        <w:ind w:right="60" w:firstLine="750"/>
        <w:spacing w:after="0" w:line="250" w:lineRule="auto"/>
        <w:rPr>
          <w:sz w:val="20"/>
          <w:szCs w:val="20"/>
          <w:color w:val="auto"/>
        </w:rPr>
      </w:pPr>
      <w:r>
        <w:rPr>
          <w:rFonts w:ascii="Times New Roman" w:cs="Times New Roman" w:eastAsia="Times New Roman" w:hAnsi="Times New Roman"/>
          <w:sz w:val="17"/>
          <w:szCs w:val="17"/>
          <w:color w:val="auto"/>
        </w:rPr>
        <w:t>In November 2022, we announced that AXS-05 achieved the primary endpoint in the ACCORD Phase 3 trial, and statistically significantly delayed time to relapse of Alzheimer’s disease agitation versus placebo (p=0.014). It was also reported that AXS-05 hit key secondary endpoints including statistically significantly prevented relapse of Alzheimer’s disease agitation versus placebo (p=0.018). In addition, AXS-05 demonstrated a statistically significant improvement in Alzheimer’s disease agitation, as measured by the CMAI total score, starting at Week 1 with open-label AXS-05 (p&lt;0.001 vs baseline, all timepoints), improvement in Alzheimer’s disease agitation, assessed by the modified Alzheimer’s Disease Cooperative Study-CGIC scale, achieved by 66% of patients at 2 weeks and 86% at 5 weeks, and improvement in Alzheimer’s disease agitation, assessed by the PGI-C scale, achieved by 68% of patients at 2 weeks and 89% at 5 weeks. AXS-05 was well tolerated in the trial.</w:t>
      </w:r>
    </w:p>
    <w:p>
      <w:pPr>
        <w:spacing w:after="0" w:line="176" w:lineRule="exact"/>
        <w:rPr>
          <w:sz w:val="20"/>
          <w:szCs w:val="20"/>
          <w:color w:val="auto"/>
        </w:rPr>
      </w:pPr>
    </w:p>
    <w:p>
      <w:pPr>
        <w:ind w:right="60" w:firstLine="750"/>
        <w:spacing w:after="0" w:line="250" w:lineRule="auto"/>
        <w:rPr>
          <w:sz w:val="20"/>
          <w:szCs w:val="20"/>
          <w:color w:val="auto"/>
        </w:rPr>
      </w:pPr>
      <w:r>
        <w:rPr>
          <w:rFonts w:ascii="Times New Roman" w:cs="Times New Roman" w:eastAsia="Times New Roman" w:hAnsi="Times New Roman"/>
          <w:sz w:val="17"/>
          <w:szCs w:val="17"/>
          <w:color w:val="auto"/>
        </w:rPr>
        <w:t>The rates of adverse events observed in the double-blind period were 28.3% in the AXS-05 group and 22.2% in the placebo group. Discontinuations in the double-blind period due to adverse events were low (0% for AXS-05 and 1.9% for placebo). One serious adverse event was reported in the AXS-05 group (faecaloma), which was determined by the investigator to be not related to study medication, and 2 serious adverse events were reported in the placebo group (cardiac arrest, femur fracture). Falls were reported in 4 patients in the AXS-05 group, none of which were associated with serious adverse events and all of which were determined by the investigators to be not related to study medication, and in 2 patients in the placebo group, one of which was associated with a femur fracture. One death was reported in the placebo group. There was no evidence of cognitive decline for patients treated with AXS-05 as shown by the Mini-Mental State Examination (MMSE), a widely utilized measure of general cognitive function. Treatment with AXS-05 was not associated with sedation.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ADVANCE-2 Study</w:t>
      </w:r>
    </w:p>
    <w:p>
      <w:pPr>
        <w:spacing w:after="0" w:line="209" w:lineRule="exact"/>
        <w:rPr>
          <w:sz w:val="20"/>
          <w:szCs w:val="20"/>
          <w:color w:val="auto"/>
        </w:rPr>
      </w:pPr>
    </w:p>
    <w:p>
      <w:pPr>
        <w:ind w:right="40" w:firstLine="750"/>
        <w:spacing w:after="0" w:line="258" w:lineRule="auto"/>
        <w:rPr>
          <w:sz w:val="20"/>
          <w:szCs w:val="20"/>
          <w:color w:val="auto"/>
        </w:rPr>
      </w:pPr>
      <w:r>
        <w:rPr>
          <w:rFonts w:ascii="Times New Roman" w:cs="Times New Roman" w:eastAsia="Times New Roman" w:hAnsi="Times New Roman"/>
          <w:sz w:val="17"/>
          <w:szCs w:val="17"/>
          <w:color w:val="auto"/>
        </w:rPr>
        <w:t>In September 2022, we initiated the ADVANCE-2 study, a Phase 3, randomized, double-blind, placebo-controlled, multicenter, trial to assess the efficacy and safety of AXS-05 for the treatment of agitation associated with AD. Approximately 350 patients will be randomized in a 1:1 ratio to receive AXS-05 or placebo for 5 weeks. The primary efficacy measure is the Cohen-Mansfield Agitation Inventory (CMAI).</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Smoking Cessation</w:t>
      </w:r>
    </w:p>
    <w:p>
      <w:pPr>
        <w:spacing w:after="0" w:line="209" w:lineRule="exact"/>
        <w:rPr>
          <w:sz w:val="20"/>
          <w:szCs w:val="20"/>
          <w:color w:val="auto"/>
        </w:rPr>
      </w:pPr>
    </w:p>
    <w:p>
      <w:pPr>
        <w:ind w:right="40" w:firstLine="750"/>
        <w:spacing w:after="0" w:line="252" w:lineRule="auto"/>
        <w:rPr>
          <w:sz w:val="20"/>
          <w:szCs w:val="20"/>
          <w:color w:val="auto"/>
        </w:rPr>
      </w:pPr>
      <w:r>
        <w:rPr>
          <w:rFonts w:ascii="Times New Roman" w:cs="Times New Roman" w:eastAsia="Times New Roman" w:hAnsi="Times New Roman"/>
          <w:sz w:val="17"/>
          <w:szCs w:val="17"/>
          <w:color w:val="auto"/>
        </w:rPr>
        <w:t>We are developing AXS-05 as an aid to smoking cessation treatment. Nearly 40 million American adults smoke and around 70% report that they want to quit. Tobacco use results in approximately 500,000 premature deaths each year in the U.S., according to the Centers for Disease Control and Prevention. Smoking is the single largest cause of premature deaths worldwide accounting for an estimated 20% of all deaths in developed countries. Direct health care and lost productivity costs as a result of smoking total nearly $300 billion a year in the U.S. alone. It is estimated that only 3% to 5% of cigarette smokers who attempt to quit without assistance are successful for 6 to 12 months, and even with the currently available treatment options, relapse rates remain above 80%.</w:t>
      </w:r>
    </w:p>
    <w:p>
      <w:pPr>
        <w:spacing w:after="0" w:line="149" w:lineRule="exact"/>
        <w:rPr>
          <w:sz w:val="20"/>
          <w:szCs w:val="20"/>
          <w:color w:val="auto"/>
        </w:rPr>
      </w:pPr>
    </w:p>
    <w:p>
      <w:pPr>
        <w:ind w:right="140" w:firstLine="750"/>
        <w:spacing w:after="0" w:line="207" w:lineRule="exact"/>
        <w:rPr>
          <w:sz w:val="20"/>
          <w:szCs w:val="20"/>
          <w:color w:val="auto"/>
        </w:rPr>
      </w:pPr>
      <w:r>
        <w:rPr>
          <w:rFonts w:ascii="Times New Roman" w:cs="Times New Roman" w:eastAsia="Times New Roman" w:hAnsi="Times New Roman"/>
          <w:sz w:val="17"/>
          <w:szCs w:val="17"/>
          <w:color w:val="auto"/>
        </w:rPr>
        <w:t>In December 2017, we entered into a research collaboration agreement with Duke University to evaluate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in a Phase 2 clinical trial in smoking cessation under an Investigator Sponsored IND. In April 2018, we announced the enrollment of the first patient into a Phase 2 clinical trial of AXS-05 for smoking cessation treatment, which was being conducted under the research collaboration agreement between us and Duke University. In April 2019, we announced that AXS-05 met the prespecified primary endpoint in Phase 2 trial in smoking cessation. In November 2021, we announced we had received from the FDA positive Pre-Investigational New Drug Application, or Pre-IND, meeting written guidance on a proposed clinical developmental plan for dextromethorphan-bupropion as an aid to smoking cessation. Based on this feedback, Axsome plans to proceed to a pivotal Phase 2/3 trial in this indication.</w:t>
      </w:r>
    </w:p>
    <w:p>
      <w:pPr>
        <w:spacing w:after="0" w:line="19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AXS</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07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183" w:lineRule="exact"/>
        <w:rPr>
          <w:sz w:val="20"/>
          <w:szCs w:val="20"/>
          <w:color w:val="auto"/>
        </w:rPr>
      </w:pPr>
    </w:p>
    <w:p>
      <w:pPr>
        <w:ind w:firstLine="750"/>
        <w:spacing w:after="0" w:line="209" w:lineRule="exact"/>
        <w:rPr>
          <w:sz w:val="20"/>
          <w:szCs w:val="20"/>
          <w:color w:val="auto"/>
        </w:rPr>
      </w:pPr>
      <w:r>
        <w:rPr>
          <w:rFonts w:ascii="Times New Roman" w:cs="Times New Roman" w:eastAsia="Times New Roman" w:hAnsi="Times New Roman"/>
          <w:sz w:val="17"/>
          <w:szCs w:val="17"/>
          <w:color w:val="auto"/>
        </w:rPr>
        <w:t>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07 is novel, oral, rapidly absorbed, multi-mechanistic, investigational medicine. AXS-07 consists of MoSEIC™ meloxicam and rizatriptan. We are developing AXS-07 for the acute treatment of migraine. Meloxicam is a new molecular entity for migraine enabled by Axsome’s MoSEIC technology, which results in rapid absorption of meloxicam while maintaining a long plasma half-life. Rizatriptan is FDA approved for the acute treatment of migraine as a single agent. The distinct mechanism of action and rapid absorption of MoSEIC™ meloxicam, combined with the known efficacy of rizatriptan, is designed to provide potentially rapid, superior and consistent relief of migraine pain, with lower symptom recurrence, as compared to currently available therapies.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Migraine</w:t>
      </w:r>
    </w:p>
    <w:p>
      <w:pPr>
        <w:spacing w:after="0" w:line="209" w:lineRule="exact"/>
        <w:rPr>
          <w:sz w:val="20"/>
          <w:szCs w:val="20"/>
          <w:color w:val="auto"/>
        </w:rPr>
      </w:pPr>
    </w:p>
    <w:p>
      <w:pPr>
        <w:ind w:right="500" w:firstLine="750"/>
        <w:spacing w:after="0" w:line="258" w:lineRule="auto"/>
        <w:rPr>
          <w:sz w:val="20"/>
          <w:szCs w:val="20"/>
          <w:color w:val="auto"/>
        </w:rPr>
      </w:pPr>
      <w:r>
        <w:rPr>
          <w:rFonts w:ascii="Times New Roman" w:cs="Times New Roman" w:eastAsia="Times New Roman" w:hAnsi="Times New Roman"/>
          <w:sz w:val="17"/>
          <w:szCs w:val="17"/>
          <w:color w:val="auto"/>
        </w:rPr>
        <w:t>Migraine is a disorder characterized by recurrent attacks of pulsating, unilateral or bilateral head pain, often associated with nausea, photophobia, and phonophobia. Migraine attacks may occur with or without an aura, which is a focal neurological symptom, such as vision changes, that typically precedes other symptoms. Migraine attacks generally last from 4 to 72 hours and are often severe and disabling, requiring bed rest.</w:t>
      </w:r>
    </w:p>
    <w:p>
      <w:pPr>
        <w:spacing w:after="0" w:line="170" w:lineRule="exact"/>
        <w:rPr>
          <w:sz w:val="20"/>
          <w:szCs w:val="20"/>
          <w:color w:val="auto"/>
        </w:rPr>
      </w:pPr>
    </w:p>
    <w:p>
      <w:pPr>
        <w:ind w:right="40" w:firstLine="750"/>
        <w:spacing w:after="0" w:line="252" w:lineRule="auto"/>
        <w:rPr>
          <w:sz w:val="20"/>
          <w:szCs w:val="20"/>
          <w:color w:val="auto"/>
        </w:rPr>
      </w:pPr>
      <w:r>
        <w:rPr>
          <w:rFonts w:ascii="Times New Roman" w:cs="Times New Roman" w:eastAsia="Times New Roman" w:hAnsi="Times New Roman"/>
          <w:sz w:val="17"/>
          <w:szCs w:val="17"/>
          <w:color w:val="auto"/>
        </w:rPr>
        <w:t>Over 37 million Americans suffer from migraine according to the Centers for Disease Control, and it is the leading cause of disability among neurological disorders in the United States according to the American Migraine Foundation. It is estimated that migraine accounts for $78 billion in direct costs, such as doctor visits and medications, and indirect costs, such as missed work and lost productivity, each year in the United States. Published surveys of migraine sufferers indicate that more than 70% are not fully satisfied with their current treatment, that nearly 80% would try a new therapy, and that they desire treatments that work faster, more consistently, and result in less symptom recurrence.</w:t>
      </w:r>
    </w:p>
    <w:p>
      <w:pPr>
        <w:spacing w:after="0" w:line="175" w:lineRule="exact"/>
        <w:rPr>
          <w:sz w:val="20"/>
          <w:szCs w:val="20"/>
          <w:color w:val="auto"/>
        </w:rPr>
      </w:pPr>
    </w:p>
    <w:p>
      <w:pPr>
        <w:ind w:right="80" w:firstLine="750"/>
        <w:spacing w:after="0" w:line="268" w:lineRule="auto"/>
        <w:rPr>
          <w:sz w:val="20"/>
          <w:szCs w:val="20"/>
          <w:color w:val="auto"/>
        </w:rPr>
      </w:pPr>
      <w:r>
        <w:rPr>
          <w:rFonts w:ascii="Times New Roman" w:cs="Times New Roman" w:eastAsia="Times New Roman" w:hAnsi="Times New Roman"/>
          <w:sz w:val="16"/>
          <w:szCs w:val="16"/>
          <w:color w:val="auto"/>
        </w:rPr>
        <w:t>In February 2019, we reached agreement with the FDA under a Special Protocol Assessment (SPA) for the design, endpoints, and statistical approach of the planned MOMENTUM (Maximizing Outcomes in Treating Acute Migraine) Phase 3 trial of AXS-07 in the acute treatment of migraine. The SPA provides agreement that the overall MOMENTUM trial design (e.g., entry criteria, dose selection, endpoints) and planned analysis adequately address objectives that, if met, will support filing of an NDA of AXS-07 for the indication of acute treatment of migraine in adults with or without aura. We submitted an NDA for AXS-07 in September 2021 and received a complete response letter (“CRL”) from the FDA in April 2022. The CRL did not identify or raise any concerns about the clinical efficacy or safety data in the NDA, and the FDA did not request any new clinical trials to support the approval of AXS-07. The principal reasons given in the CRL relate to CMC considerations. We believe that the issues raised in the CRL are addressable and plan to resubmit our NDA for AXS-07 for the acute treatment of migraine.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MOMENTUM Study</w:t>
      </w:r>
    </w:p>
    <w:p>
      <w:pPr>
        <w:spacing w:after="0" w:line="209" w:lineRule="exact"/>
        <w:rPr>
          <w:sz w:val="20"/>
          <w:szCs w:val="20"/>
          <w:color w:val="auto"/>
        </w:rPr>
      </w:pPr>
    </w:p>
    <w:p>
      <w:pPr>
        <w:ind w:right="20" w:firstLine="750"/>
        <w:spacing w:after="0" w:line="271" w:lineRule="auto"/>
        <w:rPr>
          <w:sz w:val="20"/>
          <w:szCs w:val="20"/>
          <w:color w:val="auto"/>
        </w:rPr>
      </w:pPr>
      <w:r>
        <w:rPr>
          <w:rFonts w:ascii="Times New Roman" w:cs="Times New Roman" w:eastAsia="Times New Roman" w:hAnsi="Times New Roman"/>
          <w:sz w:val="17"/>
          <w:szCs w:val="17"/>
          <w:color w:val="auto"/>
        </w:rPr>
        <w:t>In March 2019, we initiated the MOMENTUM study. In December 2019, we announced that AXS-07 achieved co-primary and key secondary endpoints and significantly improved migraine pain, freedom from most bother symptom, and sustained pain freedom, in the MOMENTUM study.</w:t>
      </w:r>
    </w:p>
    <w:p>
      <w:pPr>
        <w:spacing w:after="0" w:line="159"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MOMENTUM was a randomized, double-blind, placebo- and active-controlled trial which enrolled only patients with a history of inadequate response to prior acute migraine treatments, assessed using the Migraine Treatment Optimization Questionnaire, or mTOQ-4. A total of 1,594 patients were randomized in a 2:2:2:1 ratio to AXS-07 (20 mg MoSEIC™ meloxicam-10 mg rizatriptan), rizatriptan (10 mg), MoSEIC™ meloxicam (20 mg), or placebo, to treat a single migraine attack of moderate or severe intensity. In addition to a history of inadequate response, enrolled patients exhibited a high rate of characteristics that are strongly associated with poor treatment outcomes including cutaneous allodynia (75.4%), severe migraine pain intensity (41.2%), obesity (43.7%), and morning migraine (36.6%). Rizatriptan, an active comparator in the trial, is considered to be the fastest acting oral triptan and one of the most effective medications currently available for the acute treatment of migraine.</w:t>
      </w:r>
    </w:p>
    <w:p>
      <w:pPr>
        <w:spacing w:after="0" w:line="176" w:lineRule="exact"/>
        <w:rPr>
          <w:sz w:val="20"/>
          <w:szCs w:val="20"/>
          <w:color w:val="auto"/>
        </w:rPr>
      </w:pPr>
    </w:p>
    <w:p>
      <w:pPr>
        <w:ind w:right="240" w:firstLine="750"/>
        <w:spacing w:after="0" w:line="252" w:lineRule="auto"/>
        <w:rPr>
          <w:sz w:val="20"/>
          <w:szCs w:val="20"/>
          <w:color w:val="auto"/>
        </w:rPr>
      </w:pPr>
      <w:r>
        <w:rPr>
          <w:rFonts w:ascii="Times New Roman" w:cs="Times New Roman" w:eastAsia="Times New Roman" w:hAnsi="Times New Roman"/>
          <w:sz w:val="17"/>
          <w:szCs w:val="17"/>
          <w:color w:val="auto"/>
        </w:rPr>
        <w:t>AXS-07 met the two regulatory co-primary endpoints by demonstrating, with high statistical significance, a greater percentage of patients as compared to placebo achieving pain freedom (19.9% versus 6.7%, p&lt;0.001) and absence of most bothersome symptom (36.9% versus 24.4%, p=0.002), 2 hours after dosing. Superiority of AXS-07 to rizatriptan and MoSEIC™ meloxicam (component contribution) was established as specified in the SPA, by demonstration of a greater percentage of AXS-07 patients achieving sustained pain freedom from 2 to 24 hours after dosing, compared to rizatriptan and MoSEIC™ meloxicam, as well as to placebo (16.1%, 11.2%, 8.8% and 5.3%, respectively; p=0.038, p=0.001, and p&lt;0.001, respectively versus AXS-07).</w:t>
      </w:r>
    </w:p>
    <w:p>
      <w:pPr>
        <w:spacing w:after="0" w:line="175" w:lineRule="exact"/>
        <w:rPr>
          <w:sz w:val="20"/>
          <w:szCs w:val="20"/>
          <w:color w:val="auto"/>
        </w:rPr>
      </w:pPr>
    </w:p>
    <w:p>
      <w:pPr>
        <w:ind w:right="200" w:firstLine="750"/>
        <w:spacing w:after="0" w:line="250" w:lineRule="auto"/>
        <w:rPr>
          <w:sz w:val="20"/>
          <w:szCs w:val="20"/>
          <w:color w:val="auto"/>
        </w:rPr>
      </w:pPr>
      <w:r>
        <w:rPr>
          <w:rFonts w:ascii="Times New Roman" w:cs="Times New Roman" w:eastAsia="Times New Roman" w:hAnsi="Times New Roman"/>
          <w:sz w:val="17"/>
          <w:szCs w:val="17"/>
          <w:color w:val="auto"/>
        </w:rPr>
        <w:t>AXS-07 provided substantially greater and more sustained migraine pain relief compared to placebo and rizatriptan, which translated to a significant reduction in rescue medication use for AXS-07 compared to placebo and rizatriptan. The percentage of patients experiencing sustained pain relief from 2 to 24 hours after dosing was 53.3% for AXS-07, compared to 33.5% for placebo and 43.9% for rizatriptan (p&lt;0.001, p=0.006, respectively versus AXS-07). Sustained pain relief from 2 to 48 hours was also experienced by a statistically significantly greater proportion of AXS-07 patients (46.5%), compared to placebo (31.1%) and rizatriptan (36.5%) patients (p&lt;0.001, p=0.003, respectively versus AXS-07). Rescue medication was used by 23.0% of AXS-07 patients, compared to 43.5% of placebo and 34.7% of rizatriptan patients (p&lt;0.001 for each group versus AXS-07).</w:t>
      </w:r>
    </w:p>
    <w:p>
      <w:pPr>
        <w:spacing w:after="0" w:line="180" w:lineRule="exact"/>
        <w:rPr>
          <w:sz w:val="20"/>
          <w:szCs w:val="20"/>
          <w:color w:val="auto"/>
        </w:rPr>
      </w:pPr>
    </w:p>
    <w:p>
      <w:pPr>
        <w:ind w:right="120" w:firstLine="750"/>
        <w:spacing w:after="0" w:line="252" w:lineRule="auto"/>
        <w:rPr>
          <w:sz w:val="20"/>
          <w:szCs w:val="20"/>
          <w:color w:val="auto"/>
        </w:rPr>
      </w:pPr>
      <w:r>
        <w:rPr>
          <w:rFonts w:ascii="Times New Roman" w:cs="Times New Roman" w:eastAsia="Times New Roman" w:hAnsi="Times New Roman"/>
          <w:sz w:val="17"/>
          <w:szCs w:val="17"/>
          <w:color w:val="auto"/>
        </w:rPr>
        <w:t>AXS-07 provided rapid relief of migraine pain with the percentage of patients achieving pain relief with AXS-07 being numerically greater than with rizatriptan at every time point measured starting at 15 minutes, and statistically significantly greater than with rizatriptan by 60 minutes (p=0.04). The proportions of patients experiencing pain relief 1.5 hours after dosing were 60.5% for AXS-07 compared to 52.5% for rizatriptan and 48.3% for placebo (p=0.019, p=0.004, respectively versus AXS-07). AXS-07 was statistically significantly superior to rizatriptan on several other secondary endpoints including PGI-C (p=0.022) and return to normal functioning at 24 hours (p=0.027).</w:t>
      </w:r>
    </w:p>
    <w:p>
      <w:pPr>
        <w:spacing w:after="0" w:line="175" w:lineRule="exact"/>
        <w:rPr>
          <w:sz w:val="20"/>
          <w:szCs w:val="20"/>
          <w:color w:val="auto"/>
        </w:rPr>
      </w:pPr>
    </w:p>
    <w:p>
      <w:pPr>
        <w:ind w:right="220" w:firstLine="750"/>
        <w:spacing w:after="0" w:line="271" w:lineRule="auto"/>
        <w:rPr>
          <w:sz w:val="20"/>
          <w:szCs w:val="20"/>
          <w:color w:val="auto"/>
        </w:rPr>
      </w:pPr>
      <w:r>
        <w:rPr>
          <w:rFonts w:ascii="Times New Roman" w:cs="Times New Roman" w:eastAsia="Times New Roman" w:hAnsi="Times New Roman"/>
          <w:sz w:val="17"/>
          <w:szCs w:val="17"/>
          <w:color w:val="auto"/>
        </w:rPr>
        <w:t>AXS-07 was well tolerated in the trial. The most commonly reported adverse events with AXS-07 were nausea, dizziness and somnolence, none of which occurred at a rate greater than placebo or greater than 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INTERCEPT Study</w:t>
      </w:r>
    </w:p>
    <w:p>
      <w:pPr>
        <w:spacing w:after="0" w:line="209" w:lineRule="exact"/>
        <w:rPr>
          <w:sz w:val="20"/>
          <w:szCs w:val="20"/>
          <w:color w:val="auto"/>
        </w:rPr>
      </w:pPr>
    </w:p>
    <w:p>
      <w:pPr>
        <w:ind w:right="180" w:firstLine="750"/>
        <w:spacing w:after="0" w:line="254" w:lineRule="auto"/>
        <w:rPr>
          <w:sz w:val="20"/>
          <w:szCs w:val="20"/>
          <w:color w:val="auto"/>
        </w:rPr>
      </w:pPr>
      <w:r>
        <w:rPr>
          <w:rFonts w:ascii="Times New Roman" w:cs="Times New Roman" w:eastAsia="Times New Roman" w:hAnsi="Times New Roman"/>
          <w:sz w:val="17"/>
          <w:szCs w:val="17"/>
          <w:color w:val="auto"/>
        </w:rPr>
        <w:t>In October 2019, we initiated the INTERCEPT study, a Phase 3, randomized, double-blind, multicenter, placebo-controlled trial evaluating the early treatment of migraine with AXS-07. In April 2020, we announced that AXS-07 achieved the co-primary endpoints and prevented migraine pain progression in the INTERCEPT study. In the INTERCEPT study a total of 302 patients were randomized in a 1:1 ratio to treat a single migraine attack with a single dose of AXS-07, or placebo, at the earliest sign of migraine pain, while the pain intensity was mild.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72"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AXS-07 met both of the two co-primary endpoints by demonstrating a statistically significantly greater percentage of patients as compared to placebo achieving pain freedom (32.6% versus 16.3%, p=0.002) and freedom from most bothersome symptom (43.9% versus 26.7%, p=0.003), 2 hours after dosing. AXS-07 durably relieved migraine pain with a statistically significantly greater percentage of patients as compared to placebo achieving sustained pain freedom from 2 to 24 hours after dosing (22.7% versus 12.6%, p=0.030), and from 2 to 48 hours after dosing (20.5% versus 9.6%, p=0.013). AXS-07 rapidly eliminated migraine symptoms, with numerical separation from placebo as early as 30 minutes for migraine pain freedom and most bothersome symptom freedom, achieving statistical significance for migraine pain at 90 minutes (p=0.003) and at every timepoint thereafter.</w:t>
      </w:r>
    </w:p>
    <w:p>
      <w:pPr>
        <w:spacing w:after="0" w:line="180" w:lineRule="exact"/>
        <w:rPr>
          <w:sz w:val="20"/>
          <w:szCs w:val="20"/>
          <w:color w:val="auto"/>
        </w:rPr>
      </w:pPr>
    </w:p>
    <w:p>
      <w:pPr>
        <w:ind w:right="200" w:firstLine="750"/>
        <w:spacing w:after="0" w:line="254" w:lineRule="auto"/>
        <w:rPr>
          <w:sz w:val="20"/>
          <w:szCs w:val="20"/>
          <w:color w:val="auto"/>
        </w:rPr>
      </w:pPr>
      <w:r>
        <w:rPr>
          <w:rFonts w:ascii="Times New Roman" w:cs="Times New Roman" w:eastAsia="Times New Roman" w:hAnsi="Times New Roman"/>
          <w:sz w:val="17"/>
          <w:szCs w:val="17"/>
          <w:color w:val="auto"/>
        </w:rPr>
        <w:t>A single dose of AXS-07 significantly prevented progression of migraine pain beyond mild intensity while significantly reducing the use of rescue medication. Freedom from pain progression from 2 to 24 hours after dosing was achieved by 73.5% of AXS-07 patients versus 47.4% of placebo patients (p&lt;0.001). The effect on pain progression translated to a significant reduction in the use of rescue medication, with only 15.3% of AXS-07 patients requiring rescue medication through 24 hours after dosing, versus 42.2% of placebo patients (p&lt;0.001).</w:t>
      </w:r>
    </w:p>
    <w:p>
      <w:pPr>
        <w:spacing w:after="0" w:line="173" w:lineRule="exact"/>
        <w:rPr>
          <w:sz w:val="20"/>
          <w:szCs w:val="20"/>
          <w:color w:val="auto"/>
        </w:rPr>
      </w:pPr>
    </w:p>
    <w:p>
      <w:pPr>
        <w:ind w:right="20" w:firstLine="750"/>
        <w:spacing w:after="0" w:line="258" w:lineRule="auto"/>
        <w:rPr>
          <w:sz w:val="20"/>
          <w:szCs w:val="20"/>
          <w:color w:val="auto"/>
        </w:rPr>
      </w:pPr>
      <w:r>
        <w:rPr>
          <w:rFonts w:ascii="Times New Roman" w:cs="Times New Roman" w:eastAsia="Times New Roman" w:hAnsi="Times New Roman"/>
          <w:sz w:val="17"/>
          <w:szCs w:val="17"/>
          <w:color w:val="auto"/>
        </w:rPr>
        <w:t>AXS-07 substantially and significantly reduced functional disability and demonstrated overall disease improvement. AXS-07 treatment resulted in 73.5% of patients able to perform normal activities at 24 hours compared to 47.4% of placebo patients (p&lt;0.001). On the Patient Global Impression of Change (PGI-C) scale, 52.4% of AXS-07 patients were very much or much improved compared to 27.7% of placebo patients (p&lt;0.001).</w:t>
      </w:r>
    </w:p>
    <w:p>
      <w:pPr>
        <w:spacing w:after="0" w:line="170" w:lineRule="exact"/>
        <w:rPr>
          <w:sz w:val="20"/>
          <w:szCs w:val="20"/>
          <w:color w:val="auto"/>
        </w:rPr>
      </w:pPr>
    </w:p>
    <w:p>
      <w:pPr>
        <w:ind w:right="20" w:firstLine="750"/>
        <w:spacing w:after="0" w:line="271" w:lineRule="auto"/>
        <w:rPr>
          <w:sz w:val="20"/>
          <w:szCs w:val="20"/>
          <w:color w:val="auto"/>
        </w:rPr>
      </w:pPr>
      <w:r>
        <w:rPr>
          <w:rFonts w:ascii="Times New Roman" w:cs="Times New Roman" w:eastAsia="Times New Roman" w:hAnsi="Times New Roman"/>
          <w:sz w:val="17"/>
          <w:szCs w:val="17"/>
          <w:color w:val="auto"/>
        </w:rPr>
        <w:t>AXS-07 was well tolerated in the trial. The most commonly reported adverse events with AXS-07 were somnolence, dizziness, and paresthesia, all of which occurred at a rate of less than five percent.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MOVEMENT Study</w:t>
      </w:r>
    </w:p>
    <w:p>
      <w:pPr>
        <w:spacing w:after="0" w:line="209" w:lineRule="exact"/>
        <w:rPr>
          <w:sz w:val="20"/>
          <w:szCs w:val="20"/>
          <w:color w:val="auto"/>
        </w:rPr>
      </w:pPr>
    </w:p>
    <w:p>
      <w:pPr>
        <w:ind w:right="140" w:firstLine="750"/>
        <w:spacing w:after="0" w:line="258" w:lineRule="auto"/>
        <w:rPr>
          <w:sz w:val="20"/>
          <w:szCs w:val="20"/>
          <w:color w:val="auto"/>
        </w:rPr>
      </w:pPr>
      <w:r>
        <w:rPr>
          <w:rFonts w:ascii="Times New Roman" w:cs="Times New Roman" w:eastAsia="Times New Roman" w:hAnsi="Times New Roman"/>
          <w:sz w:val="17"/>
          <w:szCs w:val="17"/>
          <w:color w:val="auto"/>
        </w:rPr>
        <w:t>In July 2019, we announced that we were enrolling the Phase 3 open-label MOVEMENT (Multimechanistic Treatment over Time of Migraine Symptoms) study in order to build a patient safety database to support the filing of an NDA for AXS-07 in the acute treatment of migraine. In December 2020, we announced positive efficacy and long-term safety results from the MOVEMENT trial of AXS-07 in the acute treatment of migraine.</w:t>
      </w:r>
    </w:p>
    <w:p>
      <w:pPr>
        <w:spacing w:after="0" w:line="170"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The MOVEMENT trial evaluated the long-term safety of AXS-07 (20 mg MoSEIC™ meloxicam-10 mg rizatriptan), dosed for up to 12 months, in patients with migraine attacks. The study enrolled patients who had completed the previous pivotal studies of AXS-07: the MOMENTUM and INTERCEPT trials. Enrolled patients were allowed to treat up to 10 migraine attacks per month during the up to 12-month period, with one dose of AXS-07 for each migraine that occurred. The safety and efficacy of AXS-07 was assessed during the trial. A total of 706 patients were enrolled. The trial was concluded once at least 300 patients had treated at least 2 migraines a month for 6 months, and approximately 100 patients had treated at least 2 migraines a month for 12 months, as pre-specified. At the time of study conclusion, 515 patients had reached at least 6 months, and 155 patients had reached at least 12 months of treatment. Over 21,000 migraine attacks were treated with AXS-07 during the trial.</w:t>
      </w:r>
    </w:p>
    <w:p>
      <w:pPr>
        <w:spacing w:after="0" w:line="176" w:lineRule="exact"/>
        <w:rPr>
          <w:sz w:val="20"/>
          <w:szCs w:val="20"/>
          <w:color w:val="auto"/>
        </w:rPr>
      </w:pPr>
    </w:p>
    <w:p>
      <w:pPr>
        <w:ind w:right="80" w:firstLine="750"/>
        <w:spacing w:after="0" w:line="254" w:lineRule="auto"/>
        <w:rPr>
          <w:sz w:val="20"/>
          <w:szCs w:val="20"/>
          <w:color w:val="auto"/>
        </w:rPr>
      </w:pPr>
      <w:r>
        <w:rPr>
          <w:rFonts w:ascii="Times New Roman" w:cs="Times New Roman" w:eastAsia="Times New Roman" w:hAnsi="Times New Roman"/>
          <w:sz w:val="17"/>
          <w:szCs w:val="17"/>
          <w:color w:val="auto"/>
        </w:rPr>
        <w:t>In the MOVEMENT trial, administration of AXS-07 resulted in rapid, and substantial relief of migraine pain and associated symptoms. Within 1 hour after dosing, 39% (range: 37-41%) of patients achieved relief of migraine pain, demonstrating the rapid onset of AXS-07. Two hours after administration of AXS-07, relief of migraine pain was achieved by 68% (range: 65-71%) of patients and pain freedom by 38% (range: 37-40%) of patients. Freedom from most bothersome symptom (photophobia, phonophobia, nausea) was achieved by 47% (range: 46-49%) of patients within 2 hours after dosing.</w:t>
      </w:r>
    </w:p>
    <w:p>
      <w:pPr>
        <w:spacing w:after="0" w:line="173"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AXS-07 durably relieved migraine pain with 85% (range: 84-86%) of patients free from rescue medication use through 24 hours, and 83% (range: 82-85%) of patients free from rescue medication use through 48 hours after a single administration of AXS-07. Rates of sustained pain relief from 2 to 24 hours and from 2 to 48 hours were 60% (range: 59-62%) and 59% (58-60%), respectively. Rates of sustained pain freedom from 2 to 24 hours and from 2 to 48 hours were 33% (range: 33-35%) and 32% (range: 32-34%), respectively.</w:t>
      </w:r>
    </w:p>
    <w:p>
      <w:pPr>
        <w:spacing w:after="0" w:line="173" w:lineRule="exact"/>
        <w:rPr>
          <w:sz w:val="20"/>
          <w:szCs w:val="20"/>
          <w:color w:val="auto"/>
        </w:rPr>
      </w:pPr>
    </w:p>
    <w:p>
      <w:pPr>
        <w:ind w:right="280" w:firstLine="750"/>
        <w:spacing w:after="0" w:line="271" w:lineRule="auto"/>
        <w:rPr>
          <w:sz w:val="20"/>
          <w:szCs w:val="20"/>
          <w:color w:val="auto"/>
        </w:rPr>
      </w:pPr>
      <w:r>
        <w:rPr>
          <w:rFonts w:ascii="Times New Roman" w:cs="Times New Roman" w:eastAsia="Times New Roman" w:hAnsi="Times New Roman"/>
          <w:sz w:val="17"/>
          <w:szCs w:val="17"/>
          <w:color w:val="auto"/>
        </w:rPr>
        <w:t>AXS-07 was well tolerated with long-term dosing. The safety profile of AXS-07 over the 12-month treatment period was consistent with that previously reported in short-term controlled trials. The most commonly reported adverse events (≥3%) were nausea, dizziness, and vomiting.</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AXS-12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09" w:lineRule="exact"/>
        <w:rPr>
          <w:sz w:val="20"/>
          <w:szCs w:val="20"/>
          <w:color w:val="auto"/>
        </w:rPr>
      </w:pPr>
    </w:p>
    <w:p>
      <w:pPr>
        <w:ind w:right="100" w:firstLine="750"/>
        <w:spacing w:after="0" w:line="271" w:lineRule="auto"/>
        <w:rPr>
          <w:sz w:val="20"/>
          <w:szCs w:val="20"/>
          <w:color w:val="auto"/>
        </w:rPr>
      </w:pPr>
      <w:r>
        <w:rPr>
          <w:rFonts w:ascii="Times New Roman" w:cs="Times New Roman" w:eastAsia="Times New Roman" w:hAnsi="Times New Roman"/>
          <w:sz w:val="17"/>
          <w:szCs w:val="17"/>
          <w:color w:val="auto"/>
        </w:rPr>
        <w:t>AXS-12, reboxetine, is a novel, oral, investigational medicine that we are initially developing for the treatment of the symptoms of narcolepsy. AXS-12 is a highly selective and potent norepinephrine reuptake inhibitor.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Narcolepsy</w:t>
      </w:r>
    </w:p>
    <w:p>
      <w:pPr>
        <w:spacing w:after="0" w:line="209" w:lineRule="exact"/>
        <w:rPr>
          <w:sz w:val="20"/>
          <w:szCs w:val="20"/>
          <w:color w:val="auto"/>
        </w:rPr>
      </w:pPr>
    </w:p>
    <w:p>
      <w:pPr>
        <w:ind w:right="80" w:firstLine="750"/>
        <w:spacing w:after="0" w:line="252" w:lineRule="auto"/>
        <w:rPr>
          <w:sz w:val="20"/>
          <w:szCs w:val="20"/>
          <w:color w:val="auto"/>
        </w:rPr>
      </w:pPr>
      <w:r>
        <w:rPr>
          <w:rFonts w:ascii="Times New Roman" w:cs="Times New Roman" w:eastAsia="Times New Roman" w:hAnsi="Times New Roman"/>
          <w:sz w:val="17"/>
          <w:szCs w:val="17"/>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 fold higher mortality rate.</w:t>
      </w:r>
    </w:p>
    <w:p>
      <w:pPr>
        <w:spacing w:after="0" w:line="175"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In October 2018, we received Orphan Drug Designation from the FDA for AXS-12 for the treatment of narcolepsy. In January 2020, we entered into an exclusive license agreement with Pfizer Inc. for Pfizer’s clinical and nonclinical data, and intellectual property for reboxetine, the active pharmaceutical ingredient in AXS-12. In September 2020, we announced the Phase 2 CONCERT study and a single Phase 3 study would be sufficient to support the filing of an NDA. In July 2021, we announced that we were notified by the FDA that the FDA has rescinded our Breakthrough Therapy Designation for our AXS-12 product candidate for the treatment of cataplexy in narcolepsy, due to the FDA approving an additional drug product for the treatment of cataplexy in narcolepsy subsequent to granting AXS-12 Breakthrough Therapy Designation.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CONCERT Study</w:t>
      </w:r>
    </w:p>
    <w:p>
      <w:pPr>
        <w:spacing w:after="0" w:line="209" w:lineRule="exact"/>
        <w:rPr>
          <w:sz w:val="20"/>
          <w:szCs w:val="20"/>
          <w:color w:val="auto"/>
        </w:rPr>
      </w:pPr>
    </w:p>
    <w:p>
      <w:pPr>
        <w:ind w:right="420" w:firstLine="750"/>
        <w:spacing w:after="0" w:line="271" w:lineRule="auto"/>
        <w:rPr>
          <w:sz w:val="20"/>
          <w:szCs w:val="20"/>
          <w:color w:val="auto"/>
        </w:rPr>
      </w:pPr>
      <w:r>
        <w:rPr>
          <w:rFonts w:ascii="Times New Roman" w:cs="Times New Roman" w:eastAsia="Times New Roman" w:hAnsi="Times New Roman"/>
          <w:sz w:val="17"/>
          <w:szCs w:val="17"/>
          <w:color w:val="auto"/>
        </w:rPr>
        <w:t>In January 2019, we initiated the CONCERT study to evaluate the efficacy and safety of AXS-12 in narcolepsy. In December 2019, we announced that AXS-12 met the prespecified primary endpoint and significantly reduced the total number of cataplexy attacks in the CONCERT trial.</w:t>
      </w:r>
    </w:p>
    <w:p>
      <w:pPr>
        <w:spacing w:after="0" w:line="159" w:lineRule="exact"/>
        <w:rPr>
          <w:sz w:val="20"/>
          <w:szCs w:val="20"/>
          <w:color w:val="auto"/>
        </w:rPr>
      </w:pPr>
    </w:p>
    <w:p>
      <w:pPr>
        <w:ind w:right="80" w:firstLine="750"/>
        <w:spacing w:after="0" w:line="258" w:lineRule="auto"/>
        <w:rPr>
          <w:sz w:val="20"/>
          <w:szCs w:val="20"/>
          <w:color w:val="auto"/>
        </w:rPr>
      </w:pPr>
      <w:r>
        <w:rPr>
          <w:rFonts w:ascii="Times New Roman" w:cs="Times New Roman" w:eastAsia="Times New Roman" w:hAnsi="Times New Roman"/>
          <w:sz w:val="17"/>
          <w:szCs w:val="17"/>
          <w:color w:val="auto"/>
        </w:rPr>
        <w:t>CONCERT was a Phase 2, randomized, double-blind, placebo-controlled, crossover, multicenter, U.S. trial in which 21 patients with a diagnosis of narcolepsy with cataplexy were all treated with orally administered AXS-12 for 2 weeks, and with placebo for 2 weeks, with the treatment periods separated by 1 week of down-titration and washout.</w:t>
      </w:r>
    </w:p>
    <w:p>
      <w:pPr>
        <w:spacing w:after="0" w:line="170" w:lineRule="exact"/>
        <w:rPr>
          <w:sz w:val="20"/>
          <w:szCs w:val="20"/>
          <w:color w:val="auto"/>
        </w:rPr>
      </w:pPr>
    </w:p>
    <w:p>
      <w:pPr>
        <w:ind w:right="100" w:firstLine="750"/>
        <w:spacing w:after="0" w:line="250" w:lineRule="auto"/>
        <w:rPr>
          <w:sz w:val="20"/>
          <w:szCs w:val="20"/>
          <w:color w:val="auto"/>
        </w:rPr>
      </w:pPr>
      <w:r>
        <w:rPr>
          <w:rFonts w:ascii="Times New Roman" w:cs="Times New Roman" w:eastAsia="Times New Roman" w:hAnsi="Times New Roman"/>
          <w:sz w:val="17"/>
          <w:szCs w:val="17"/>
          <w:color w:val="auto"/>
        </w:rPr>
        <w:t>AXS-12 met the prespecified primary endpoint by demonstrating a highly statistically significant reduction from baseline in the mean weekly number of cataplexy attacks, averaged for the 2-week treatment period, the overall treatment effect, as compared to placebo (p&lt;0.001). At Week 2, AXS-12 demonstrated a mean reduction of 14.6 cataplexy attacks per week compared to a reduction of 2.6 attacks per week for placebo (p=0.002), representing mean reductions of 48.8% and 8.6% from baseline, respectively. The proportion of patients achieving a 50% or greater reduction in the weekly number of cataplexy attacks was 76.2% for AXS-12, compared to 30.0% for placebo (p=0.003) at Week 2. The improvement in cataplexy was rapid with AXS-12 demonstrating significant benefit over placebo as early as Week 1 (p&lt;0.001).</w:t>
      </w:r>
    </w:p>
    <w:p>
      <w:pPr>
        <w:spacing w:after="0" w:line="180" w:lineRule="exact"/>
        <w:rPr>
          <w:sz w:val="20"/>
          <w:szCs w:val="20"/>
          <w:color w:val="auto"/>
        </w:rPr>
      </w:pPr>
    </w:p>
    <w:p>
      <w:pPr>
        <w:ind w:right="20" w:firstLine="750"/>
        <w:spacing w:after="0" w:line="252" w:lineRule="auto"/>
        <w:rPr>
          <w:sz w:val="20"/>
          <w:szCs w:val="20"/>
          <w:color w:val="auto"/>
        </w:rPr>
      </w:pPr>
      <w:r>
        <w:rPr>
          <w:rFonts w:ascii="Times New Roman" w:cs="Times New Roman" w:eastAsia="Times New Roman" w:hAnsi="Times New Roman"/>
          <w:sz w:val="17"/>
          <w:szCs w:val="17"/>
          <w:color w:val="auto"/>
        </w:rPr>
        <w:t>AXS-12 significantly improved EDS symptoms compared to placebo, as measured by the Epworth Sleepiness Scale, or ESS, and by the frequency of inadvertent naps. The improvement on the ESS with AXS-12 treatment was twice that observed with placebo, with reductions from baseline in the ESS score of 6.0 and 3.1, respectively for AXS-12 and placebo (p=0.003). AXS-12 treatment resulted in a 31.8% mean reduction from baseline in the average weekly number of inadvertent naps versus a 5.3% mean reduction for placebo (p&lt;0.001) at Week 2. The improvement in frequency of inadvertent naps was rapid with AXS-12 demonstrating significant benefit over placebo as early as Week 1 (p=0.038).</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AXS-12 significantly improved cognitive function compared to placebo over the 2-week treatment period as measured by the Ability to Concentrate item of the Narcolepsy Symptom Assessment Questionnaire (NSAQ), which was assessed daily (p&lt;0.001). For this assessment, patients rated their ability to concentrate on a 5-point scale (1=very good to 5=very poor). At the end of treatment, 42.9% of patients had an ability to concentrate that was “good” to “very good” with AXS-12 treatment, compared to 25.0% of patients with placebo, and 0% of patients at baseline. The improvement in the ability to concentrate was rapid with AXS-12 demonstrating significant improvement over placebo as early as Week 1 (p=0.007).</w:t>
      </w:r>
    </w:p>
    <w:p>
      <w:pPr>
        <w:spacing w:after="0" w:line="175" w:lineRule="exact"/>
        <w:rPr>
          <w:sz w:val="20"/>
          <w:szCs w:val="20"/>
          <w:color w:val="auto"/>
        </w:rPr>
      </w:pPr>
    </w:p>
    <w:p>
      <w:pPr>
        <w:ind w:right="160" w:firstLine="750"/>
        <w:spacing w:after="0" w:line="275" w:lineRule="auto"/>
        <w:rPr>
          <w:sz w:val="20"/>
          <w:szCs w:val="20"/>
          <w:color w:val="auto"/>
        </w:rPr>
      </w:pPr>
      <w:r>
        <w:rPr>
          <w:rFonts w:ascii="Times New Roman" w:cs="Times New Roman" w:eastAsia="Times New Roman" w:hAnsi="Times New Roman"/>
          <w:sz w:val="16"/>
          <w:szCs w:val="16"/>
          <w:color w:val="auto"/>
        </w:rPr>
        <w:t>AXS-12 significantly improved sleep quality, as measured by overall improvement and by number of awakenings at night, and reduced sleep-related symptoms, as compared to placebo. AXS-12 treatment resulted in 45.0% of patients reporting improved sleep quality versus 5.3% of patients with placebo (p=0.007). AXS-12 treatment resulted in 30.0% of patients reporting a reduction in the number of awakenings at night versus 5.3% of patients with placebo (p=0.044). AXS-12 treatment also resulted in greater proportions of patients with reductions in sleep paralysis episodes, and in hypnagogic hallucinations, as compared to placebo (p=ns).</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AXS-12 was well tolerated in the trial. The most commonly reported adverse events with AXS-12 treatment were anxiety, constipation, and insomnia.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SYMPHONY Study</w:t>
      </w:r>
    </w:p>
    <w:p>
      <w:pPr>
        <w:spacing w:after="0" w:line="209" w:lineRule="exact"/>
        <w:rPr>
          <w:sz w:val="20"/>
          <w:szCs w:val="20"/>
          <w:color w:val="auto"/>
        </w:rPr>
      </w:pPr>
    </w:p>
    <w:p>
      <w:pPr>
        <w:ind w:right="80" w:firstLine="750"/>
        <w:spacing w:after="0" w:line="254" w:lineRule="auto"/>
        <w:rPr>
          <w:sz w:val="20"/>
          <w:szCs w:val="20"/>
          <w:color w:val="auto"/>
        </w:rPr>
      </w:pPr>
      <w:r>
        <w:rPr>
          <w:rFonts w:ascii="Times New Roman" w:cs="Times New Roman" w:eastAsia="Times New Roman" w:hAnsi="Times New Roman"/>
          <w:sz w:val="17"/>
          <w:szCs w:val="17"/>
          <w:color w:val="auto"/>
        </w:rPr>
        <w:t>In September 2021, we enrolled the first patient in SYMPHONY (Study Evaluating a Mechanistic Approach to Treating Narcolepsy), a Phase 3, randomized, double-blind, placebo-controlled trial of AXS-12 in patients with narcolepsy. Topline results from the SYMPHONY trial are anticipated in the first half of 2023. Approximately 90 patients will be randomized in a 1:1 ratio to treatment with AXS-12 or placebo for 5 weeks. The primary endpoint will be the frequency of cataplexy attacks. Other symptoms of narcolepsy as well as safety will be assessed throughout the study.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AXS-14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AXS-14, esreboxetine, is a highly selective and potent norepinephrine reuptake inhibitor for the treatment of fibromyalgia and other conditions.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Esreboxetine, the </w:t>
      </w:r>
      <w:r>
        <w:rPr>
          <w:rFonts w:ascii="Times New Roman" w:cs="Times New Roman" w:eastAsia="Times New Roman" w:hAnsi="Times New Roman"/>
          <w:sz w:val="17"/>
          <w:szCs w:val="17"/>
          <w:i w:val="1"/>
          <w:iCs w:val="1"/>
          <w:color w:val="auto"/>
        </w:rPr>
        <w:t>SS</w:t>
      </w:r>
      <w:r>
        <w:rPr>
          <w:rFonts w:ascii="Times New Roman" w:cs="Times New Roman" w:eastAsia="Times New Roman" w:hAnsi="Times New Roman"/>
          <w:sz w:val="17"/>
          <w:szCs w:val="17"/>
          <w:color w:val="auto"/>
        </w:rPr>
        <w:t>-enantiomer of reboxetine, is more potent and selective than racemic reboxetine.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Fibromyalgia</w:t>
      </w:r>
    </w:p>
    <w:p>
      <w:pPr>
        <w:spacing w:after="0" w:line="209" w:lineRule="exact"/>
        <w:rPr>
          <w:sz w:val="20"/>
          <w:szCs w:val="20"/>
          <w:color w:val="auto"/>
        </w:rPr>
      </w:pPr>
    </w:p>
    <w:p>
      <w:pPr>
        <w:ind w:right="120" w:firstLine="750"/>
        <w:spacing w:after="0" w:line="254" w:lineRule="auto"/>
        <w:rPr>
          <w:sz w:val="20"/>
          <w:szCs w:val="20"/>
          <w:color w:val="auto"/>
        </w:rPr>
      </w:pPr>
      <w:r>
        <w:rPr>
          <w:rFonts w:ascii="Times New Roman" w:cs="Times New Roman" w:eastAsia="Times New Roman" w:hAnsi="Times New Roman"/>
          <w:sz w:val="17"/>
          <w:szCs w:val="17"/>
          <w:color w:val="auto"/>
        </w:rPr>
        <w:t>Fibromyalgia is a chronic disorder often characterized by widespread pain, fatigue, disturbed sleep, depression, and cognitive impairment. Other symptoms of this disorder can include tingling in the hands and feet and headaches. Fibromyalgia is considered to be mediated mainly in the central nervous system. Approximately 5 million Americans, 90% of whom are women, are estimated to suffer from fibromyalgia. Treatment options for fibromyalgia are limited with only three pharmacologic treatments currently approved by the FDA.</w:t>
      </w:r>
    </w:p>
    <w:p>
      <w:pPr>
        <w:spacing w:after="0" w:line="173" w:lineRule="exact"/>
        <w:rPr>
          <w:sz w:val="20"/>
          <w:szCs w:val="20"/>
          <w:color w:val="auto"/>
        </w:rPr>
      </w:pPr>
    </w:p>
    <w:p>
      <w:pPr>
        <w:ind w:right="60" w:firstLine="750"/>
        <w:spacing w:after="0" w:line="258" w:lineRule="auto"/>
        <w:rPr>
          <w:sz w:val="20"/>
          <w:szCs w:val="20"/>
          <w:color w:val="auto"/>
        </w:rPr>
      </w:pPr>
      <w:r>
        <w:rPr>
          <w:rFonts w:ascii="Times New Roman" w:cs="Times New Roman" w:eastAsia="Times New Roman" w:hAnsi="Times New Roman"/>
          <w:sz w:val="17"/>
          <w:szCs w:val="17"/>
          <w:color w:val="auto"/>
        </w:rPr>
        <w:t>In January 2020, Axsome received from Pfizer an exclusive license to develop and commercialize esreboxetine in the U.S. for fibromyalgia and all other indications. The license encompasses nonclinical and clinical data for esreboxetine including results from a positive Phase 3 and a positive Phase 2 trial of esreboxetine in the treatment of fibromyalgia conducted by Pfizer.</w:t>
      </w:r>
    </w:p>
    <w:p>
      <w:pPr>
        <w:spacing w:after="0" w:line="170" w:lineRule="exact"/>
        <w:rPr>
          <w:sz w:val="20"/>
          <w:szCs w:val="20"/>
          <w:color w:val="auto"/>
        </w:rPr>
      </w:pPr>
    </w:p>
    <w:p>
      <w:pPr>
        <w:ind w:right="20" w:firstLine="750"/>
        <w:spacing w:after="0" w:line="271" w:lineRule="auto"/>
        <w:rPr>
          <w:sz w:val="20"/>
          <w:szCs w:val="20"/>
          <w:color w:val="auto"/>
        </w:rPr>
      </w:pPr>
      <w:r>
        <w:rPr>
          <w:rFonts w:ascii="Times New Roman" w:cs="Times New Roman" w:eastAsia="Times New Roman" w:hAnsi="Times New Roman"/>
          <w:sz w:val="16"/>
          <w:szCs w:val="16"/>
          <w:color w:val="auto"/>
        </w:rPr>
        <w:t>In a Phase 3 trial conducted by Pfizer in 1,122 patients with fibromyalgia treated with esreboxetine or placebo for 14 weeks, the study met the two primary endpoints demonstrating statistically significant improvements compared to placebo in the weekly mean pain score (p&lt;0.001, p&lt;0.001, and p=0.025, for 4 mg, 8 mg and 10 mg daily doses, respectively), and the Fibromyalgia Impact Questionnaire, or FIQ, total score (p&lt;0.001, p&lt;0.001, and p=0.023, for 4 mg, 8 mg and 10 mg doses, respectively). Esreboxetine also resulted in statistically significant improvements as compared to placebo on the PGI-C scale (p=0.002, p=0.001, and p=0.007, for 4 mg, 8 mg and 10 mg doses, respectively), and in fatigue as measured using the Global Fatigue Index (p=0.001 and p=0.001, for 4 mg and 8 mg daily doses,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60" w:firstLine="750"/>
        <w:spacing w:after="0" w:line="254" w:lineRule="auto"/>
        <w:rPr>
          <w:sz w:val="20"/>
          <w:szCs w:val="20"/>
          <w:color w:val="auto"/>
        </w:rPr>
      </w:pPr>
      <w:r>
        <w:rPr>
          <w:rFonts w:ascii="Times New Roman" w:cs="Times New Roman" w:eastAsia="Times New Roman" w:hAnsi="Times New Roman"/>
          <w:sz w:val="17"/>
          <w:szCs w:val="17"/>
          <w:color w:val="auto"/>
        </w:rPr>
        <w:t>In a Phase 2 trial conducted by Pfizer in 267 patients with fibromyalgia treated with esreboxetine (dose escalated to 8 mg/day) or placebo for 8 weeks, esreboxetine met its primary endpoint demonstrating statistically significant improvements compared to placebo in the weekly mean pain score (p=0.006). The study also demonstrated statistically significant improvements in additional efficacy outcomes including the FIQ total score (p&lt;0.001), the PGIC scale (p&lt;0.001), and fatigue as measured using the Multidimensional Assessment of Fatigue scale (p&lt;0.001).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Pain and Primary Care</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We continue to own and maintain the intellectual property covering our pain and primary care assets that we are not currently developing.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 Agreements</w:t>
      </w:r>
    </w:p>
    <w:p>
      <w:pPr>
        <w:spacing w:after="0" w:line="209" w:lineRule="exact"/>
        <w:rPr>
          <w:sz w:val="20"/>
          <w:szCs w:val="20"/>
          <w:color w:val="auto"/>
        </w:rPr>
      </w:pPr>
    </w:p>
    <w:p>
      <w:pPr>
        <w:ind w:right="220" w:firstLine="750"/>
        <w:spacing w:after="0" w:line="206" w:lineRule="exact"/>
        <w:rPr>
          <w:sz w:val="20"/>
          <w:szCs w:val="20"/>
          <w:color w:val="auto"/>
        </w:rPr>
      </w:pPr>
      <w:r>
        <w:rPr>
          <w:rFonts w:ascii="Times New Roman" w:cs="Times New Roman" w:eastAsia="Times New Roman" w:hAnsi="Times New Roman"/>
          <w:sz w:val="17"/>
          <w:szCs w:val="17"/>
          <w:color w:val="auto"/>
        </w:rPr>
        <w:t>We have customary clinical and commercial supply agreements and customary agreements with third-parties to help manage our clinical trials. Our commercial agreements are generally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exclusive, and we have no material contractual obligations under such agreements, except to the extent we order supply or request services to be performed.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License Agreements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Exclusive License Agreement with Pfizer</w:t>
      </w:r>
    </w:p>
    <w:p>
      <w:pPr>
        <w:spacing w:after="0" w:line="209" w:lineRule="exact"/>
        <w:rPr>
          <w:sz w:val="20"/>
          <w:szCs w:val="20"/>
          <w:color w:val="auto"/>
        </w:rPr>
      </w:pPr>
    </w:p>
    <w:p>
      <w:pPr>
        <w:ind w:firstLine="750"/>
        <w:spacing w:after="0" w:line="263" w:lineRule="auto"/>
        <w:rPr>
          <w:sz w:val="20"/>
          <w:szCs w:val="20"/>
          <w:color w:val="auto"/>
        </w:rPr>
      </w:pPr>
      <w:r>
        <w:rPr>
          <w:rFonts w:ascii="Times New Roman" w:cs="Times New Roman" w:eastAsia="Times New Roman" w:hAnsi="Times New Roman"/>
          <w:sz w:val="16"/>
          <w:szCs w:val="16"/>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 million, based on the average closing price of our common stock for the 10 prior trading days of $97.538, in consideration for the license and rights. Pfizer also received an upfront cash payment of $3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seeking and maintaining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Exclusive License Agreements with Antecip</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 2012, we entered into three exclusive license agreements with Antecip Bioventures II LLC, or Antecip, an entity owned by our Chief Executive Officer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Chairman of the Board, Herriot Tabuteau, M.D., in which we were granted exclusive licenses to develop, manufacture, and commercialize Antecip’s patents and</w:t>
      </w:r>
    </w:p>
    <w:p>
      <w:pPr>
        <w:spacing w:after="0" w:line="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applications related to the development of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anywhere in the world for veterinary and human therapeutic and diagnostic use, and additional patents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applications that are not relevant to our current programs in development. The agreements were amended in August 2015 to update the schedule of patents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applications subject to the license agreements. Pursuant to the agreements, we are required to use commercially reasonable efforts to develop, obtain regulatory</w:t>
      </w:r>
    </w:p>
    <w:p>
      <w:pPr>
        <w:spacing w:after="0" w:line="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approval for, and commercialize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Under the terms of the agreements, we are required to pay to Antecip a royalty equal to 3.0% for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of net sales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products containing the licensed technology by us, our affiliates, or permitted sublicensees. These royalty payments are subject to reduction by an amount up to 50.0%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any required payments to third parties. Unless earlier terminated by a party for cause or by us for convenience, the agreements remain in effect on a</w:t>
      </w:r>
    </w:p>
    <w:p>
      <w:pPr>
        <w:spacing w:after="0" w:line="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product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product and country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country basis until the later to occur of (1) the applicable product is no longer covered by a valid claim in that country or (2) 10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years from the first commercial sale of the applicable product in that country. Upon expiration of the agreements with respect to a product in a country, our license grant</w:t>
      </w:r>
    </w:p>
    <w:p>
      <w:pPr>
        <w:spacing w:after="0" w:line="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for that product in that country will become a fully paid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up, royalty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perpetual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exclusive license. If Antecip terminates any of the agreements for cause, or if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exercise our right to terminate any of the agreements for convenience, the rights granted to us under such terminated agreement will revert to Antecip. Due to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sales of Auvelity in the fourth quarter of 2022, we recorded an accrual for royalty payments due to Antecip equal to 3.0% of net sales. This is considered to be 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party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Royalty Agreement with Jazz Pharmaceuticals, SK Biopharmaceuticals Co., Ltd. and Aerial Biopharma, LLC</w:t>
      </w:r>
    </w:p>
    <w:p>
      <w:pPr>
        <w:spacing w:after="0" w:line="209"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In connection with the acquisition of Sunosi,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Biopharmaceuticals Co., Ltd., or “SK”, and Aerial Biopharma, LLC, or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Pharmanovia</w:t>
      </w:r>
    </w:p>
    <w:p>
      <w:pPr>
        <w:spacing w:after="0" w:line="200" w:lineRule="exact"/>
        <w:rPr>
          <w:sz w:val="20"/>
          <w:szCs w:val="20"/>
          <w:color w:val="auto"/>
        </w:rPr>
      </w:pPr>
    </w:p>
    <w:p>
      <w:pPr>
        <w:spacing w:after="0" w:line="209" w:lineRule="exact"/>
        <w:rPr>
          <w:sz w:val="20"/>
          <w:szCs w:val="20"/>
          <w:color w:val="auto"/>
        </w:rPr>
      </w:pPr>
    </w:p>
    <w:p>
      <w:pPr>
        <w:jc w:val="both"/>
        <w:ind w:right="160" w:firstLine="750"/>
        <w:spacing w:after="0" w:line="258" w:lineRule="auto"/>
        <w:rPr>
          <w:sz w:val="20"/>
          <w:szCs w:val="20"/>
          <w:color w:val="auto"/>
        </w:rPr>
      </w:pPr>
      <w:r>
        <w:rPr>
          <w:rFonts w:ascii="Times New Roman" w:cs="Times New Roman" w:eastAsia="Times New Roman" w:hAnsi="Times New Roman"/>
          <w:sz w:val="17"/>
          <w:szCs w:val="17"/>
          <w:color w:val="auto"/>
        </w:rPr>
        <w:t>In February 2023, we announced a licensing transaction with Pharmanovia to market Sunosi in European and certain Middle East / North Africa countries. Refer to Note 18 – Subsequent Events to our consolidated financial statements included in Part IV, Exhibits and Financial Statement Schedules, of this Annual Report on Form 10-K for further detail.</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09" w:lineRule="exact"/>
        <w:rPr>
          <w:sz w:val="20"/>
          <w:szCs w:val="20"/>
          <w:color w:val="auto"/>
        </w:rPr>
      </w:pPr>
    </w:p>
    <w:p>
      <w:pPr>
        <w:ind w:right="160" w:firstLine="750"/>
        <w:spacing w:after="0" w:line="252" w:lineRule="auto"/>
        <w:rPr>
          <w:sz w:val="20"/>
          <w:szCs w:val="20"/>
          <w:color w:val="auto"/>
        </w:rPr>
      </w:pPr>
      <w:r>
        <w:rPr>
          <w:rFonts w:ascii="Times New Roman" w:cs="Times New Roman" w:eastAsia="Times New Roman" w:hAnsi="Times New Roman"/>
          <w:sz w:val="17"/>
          <w:szCs w:val="17"/>
          <w:color w:val="auto"/>
        </w:rPr>
        <w:t>We seek to protect our product candidates and our technology through a combination of patents, trade secrets, proprietary know-how, FDA and EMA exclusivity, and contractual restrictions on disclosure. Our policy is to pursue, maintain, and defend patent rights whether developed internally or licensed from third parties and to protect the proprietary position of our product candidates by, among other methods, filing U.S. and foreign patent applications related to our proprietary technology, inventions, and improvements that are important to the development of our business. U.S. patents generally have a term of 20 years from the earliest effective date of the application.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40" w:firstLine="750"/>
        <w:spacing w:after="0" w:line="248" w:lineRule="auto"/>
        <w:rPr>
          <w:sz w:val="20"/>
          <w:szCs w:val="20"/>
          <w:color w:val="auto"/>
        </w:rPr>
      </w:pPr>
      <w:r>
        <w:rPr>
          <w:rFonts w:ascii="Times New Roman" w:cs="Times New Roman" w:eastAsia="Times New Roman" w:hAnsi="Times New Roman"/>
          <w:sz w:val="17"/>
          <w:szCs w:val="17"/>
          <w:color w:val="auto"/>
        </w:rPr>
        <w:t>As of February 21, 2023, our intellectual property portfolio contains 300 issued patents and more than 400 pending applications in the United States and worldwide. More than 114 issued United States patents and more than 70 issued foreign patents covering our AXS-05 product candidate has claims covering method of treatment, pharmaceutical composition, drug delivery, and pharmacokinetics with protection extending through 2034, and 2040. More than 83 issued United States patents and more than 107 issued foreign patents covering our AXS-07 product candidate, and related compounds, have claims covering various aspects, including pharmacokinetics, pharmaceutical composition, method of delivery, and methods of use with protection extending through 2036. Five issued United States patents covering our AXS-12 product candidate with protection extending through 2039. We have pending PCT applications, as well as pending applications in Australia, Brazil, Belize, Canada, Chile, China, Colombia, Costa Rica, Ecuador, El Salvador, Europe, Guatemala, Honduras, Hong Kong, Israel, Japan, Malaysia, Mexico, Nicaragua, Panama, Peru, Singapore, South Korea, and New Zealand. We have other patent applications with claims covering the other programs in our pipeline, including those that are not relevant to our current programs in development. As with respect to Sunosi, Orange Book listed patents in the United States extend out to 2040. We also have patents in various other countries pertaining to Sunosi.</w:t>
      </w:r>
    </w:p>
    <w:p>
      <w:pPr>
        <w:spacing w:after="0" w:line="182" w:lineRule="exact"/>
        <w:rPr>
          <w:sz w:val="20"/>
          <w:szCs w:val="20"/>
          <w:color w:val="auto"/>
        </w:rPr>
      </w:pPr>
    </w:p>
    <w:p>
      <w:pPr>
        <w:ind w:firstLine="750"/>
        <w:spacing w:after="0" w:line="247" w:lineRule="auto"/>
        <w:rPr>
          <w:sz w:val="20"/>
          <w:szCs w:val="20"/>
          <w:color w:val="auto"/>
        </w:rPr>
      </w:pPr>
      <w:r>
        <w:rPr>
          <w:rFonts w:ascii="Times New Roman" w:cs="Times New Roman" w:eastAsia="Times New Roman" w:hAnsi="Times New Roman"/>
          <w:sz w:val="17"/>
          <w:szCs w:val="17"/>
          <w:color w:val="auto"/>
        </w:rPr>
        <w:t>Many pharmaceutical companies, biotechnology companies, and academic institutions are competing with us in the field of CNS disorders and filing patent applications potentially relevant to our business. In order to contend with the inevitable possibility of third-party intellectual property conflicts, from time to time we review and assess the third-party intellectual property landscape for competitive and other developments that may inform or impact our intellectual property development and commercialization strategies. With respect to third-party intellectual property, it is impossible to establish with certainty that our product candidates or discovery platform will be free of claims by third- party intellectual property holders or whether we will require licenses from such third parties.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If the third-party patent owner disagrees with our conclusion and we continue with the business activity in question, we might have patent litigation forced upon us. Alternatively, we might decide to initiate litigation in an attempt to have a court declare the third party patent invalid or not infringed by our activity. In either scenario, patent litigation typically is costly and time 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discovery platform as a result of patent infringement claims asserted against us. This could have a material adverse effect on our business. In addition to patents, we rely upon unpatented trade secrets, know how, and continuing technological innovation to develop and maintain a competitive position. We seek to protect our proprietary information, including our trade secrets and proprietary know how, by requiring our employees to execute Proprietary Information, Inventions, Non-Solicitation, and Non-Competition Agreements upon the commencement of their employment. Consultants and other advisors are required to sign consulting agreements.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Further, we require confidentiality agreements from entities that receive our confidential data or materials.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09" w:lineRule="exact"/>
        <w:rPr>
          <w:sz w:val="20"/>
          <w:szCs w:val="20"/>
          <w:color w:val="auto"/>
        </w:rPr>
      </w:pPr>
    </w:p>
    <w:p>
      <w:pPr>
        <w:ind w:right="80" w:firstLine="750"/>
        <w:spacing w:after="0" w:line="249" w:lineRule="auto"/>
        <w:rPr>
          <w:sz w:val="20"/>
          <w:szCs w:val="20"/>
          <w:color w:val="auto"/>
        </w:rPr>
      </w:pPr>
      <w:r>
        <w:rPr>
          <w:rFonts w:ascii="Times New Roman" w:cs="Times New Roman" w:eastAsia="Times New Roman" w:hAnsi="Times New Roman"/>
          <w:sz w:val="17"/>
          <w:szCs w:val="17"/>
          <w:color w:val="auto"/>
        </w:rPr>
        <w:t>We have built a commercial infrastructure in the United States to commercialize our products and will further expand that team as we plan for anticipated drug approvals of our product candidates. We believe that we have cost effectively implemented a targeted sales force required to commercialize our products. Support for this team includes sales management, internal sales support, market access, distribution support, and an internal marketing group. We may seek co-promotion partners for our sales efforts to achieve broader reach or call frequency with other United States target physicians. We believe that there are significant market opportunities for our products outside of the United States. As a result, we plan to seek strategic partnerships with third parties, which may have greater reach and resources by virtue of their size and experience in the field, for the development and commercialization of our products outside the United States. We may elect in the future to utilize strategic partners, distributors, or contract sales forces to assist in the commercialization of our products. In order to implement this infrastructure, we will have to allocate management resources and make significant financial investments including some prior to product approval.</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09" w:lineRule="exact"/>
        <w:rPr>
          <w:sz w:val="20"/>
          <w:szCs w:val="20"/>
          <w:color w:val="auto"/>
        </w:rPr>
      </w:pPr>
    </w:p>
    <w:p>
      <w:pPr>
        <w:ind w:right="60" w:firstLine="750"/>
        <w:spacing w:after="0" w:line="201" w:lineRule="exact"/>
        <w:rPr>
          <w:sz w:val="20"/>
          <w:szCs w:val="20"/>
          <w:color w:val="auto"/>
        </w:rPr>
      </w:pPr>
      <w:r>
        <w:rPr>
          <w:rFonts w:ascii="Times New Roman" w:cs="Times New Roman" w:eastAsia="Times New Roman" w:hAnsi="Times New Roman"/>
          <w:sz w:val="17"/>
          <w:szCs w:val="17"/>
          <w:color w:val="auto"/>
        </w:rPr>
        <w:t>Our industry is highly competitive and subject to rapid and significant technological change. The large size and expanding scope of the CNS markets make them attractive therapeutic areas for biopharmaceutical businesses. Our competitors include pharmaceutical, biotechnology, and specialty pharmaceutical companies. While we believe that our employees and consultants, scientific knowledge, technology, and development experience provide us with competitive advantages, we face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established research and development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early-stage companies may also prove to be significant competitors, particularly through collaborative arrangements with large and established companies. The key competitive factors affecting the success of all of our product candidates are likely to be their efficacy, safety, convenience, price, the level of branded and generic competition, and the availability of reimbursement from government and other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Patients with MDD are typically treated with a variety of anti-depressant medications. Some of these treatments include: Prozac, which is marketed by Eli Lilly and Company; Zoloft, which is marketed by Pfizer, Inc.; Trintellix, which is marketed by Takeda Pharmaceuticals America, Inc and H. Lundbeck A/S; Rexulti which is marketed by Otsuka and Lundbeck A/S; Vraylar and Viibryd, which are marketed by Abbvie; Effexor, which is marketed by Pfizer, Inc.; and Wellbutrin, which is marketed by GlaxoSmithKline. We are aware of several companies developing compounds for the treatment of depression including Relmada Therapeutics, Inc., and Sage Therapeutics, Inc. and Minerva Neurosciences. Patients with EDS have available to them a variety of medications. such was Xyrem and Xywav, which is marketed by Jazz; Wakix, which is marketed by Harmony; Provigil and Nuvigil, which are manufactured by Teva.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CNS Product Candidates</w:t>
      </w:r>
    </w:p>
    <w:p>
      <w:pPr>
        <w:spacing w:after="0" w:line="18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i w:val="1"/>
          <w:iCs w:val="1"/>
          <w:color w:val="auto"/>
        </w:rPr>
        <w:t>AXS</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05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-51435</wp:posOffset>
            </wp:positionV>
            <wp:extent cx="6096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960" cy="38100"/>
                    </a:xfrm>
                    <a:prstGeom prst="rect">
                      <a:avLst/>
                    </a:prstGeom>
                    <a:noFill/>
                  </pic:spPr>
                </pic:pic>
              </a:graphicData>
            </a:graphic>
          </wp:anchor>
        </w:drawing>
      </w:r>
    </w:p>
    <w:p>
      <w:pPr>
        <w:spacing w:after="0" w:line="211"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We are aware of other companies working to develop therapeutics for the treatment of agitation associated with AD, including Otsuka Pharmaceutical Co. Ltd., which is working to develop a combination of deuterated dextromethorphan and quinidine, and Otsuka and Lundbeck A/S, who are working on developing Rexulti for this indication. Products approved for smoking cessation include Chantix, which is marketed by Pfizer, Inc.; Zyban, which is marketed by GlaxoSmithKline; and various nicotine replacement therapies including skin patches, chewing gums, and lozenges.</w:t>
      </w:r>
    </w:p>
    <w:p>
      <w:pPr>
        <w:spacing w:after="0" w:line="14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i w:val="1"/>
          <w:iCs w:val="1"/>
          <w:color w:val="auto"/>
        </w:rPr>
        <w:t>AXS</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07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-51435</wp:posOffset>
            </wp:positionV>
            <wp:extent cx="6096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60" cy="38100"/>
                    </a:xfrm>
                    <a:prstGeom prst="rect">
                      <a:avLst/>
                    </a:prstGeom>
                    <a:noFill/>
                  </pic:spPr>
                </pic:pic>
              </a:graphicData>
            </a:graphic>
          </wp:anchor>
        </w:drawing>
      </w:r>
    </w:p>
    <w:p>
      <w:pPr>
        <w:spacing w:after="0" w:line="211" w:lineRule="exact"/>
        <w:rPr>
          <w:sz w:val="20"/>
          <w:szCs w:val="20"/>
          <w:color w:val="auto"/>
        </w:rPr>
      </w:pPr>
    </w:p>
    <w:p>
      <w:pPr>
        <w:ind w:right="80" w:firstLine="750"/>
        <w:spacing w:after="0" w:line="258" w:lineRule="auto"/>
        <w:rPr>
          <w:sz w:val="20"/>
          <w:szCs w:val="20"/>
          <w:color w:val="auto"/>
        </w:rPr>
      </w:pPr>
      <w:r>
        <w:rPr>
          <w:rFonts w:ascii="Times New Roman" w:cs="Times New Roman" w:eastAsia="Times New Roman" w:hAnsi="Times New Roman"/>
          <w:sz w:val="17"/>
          <w:szCs w:val="17"/>
          <w:color w:val="auto"/>
        </w:rPr>
        <w:t>There are a number of products approved for the acute treatment of migraine including Maxalt, which is marketed by Merck &amp; Co., Inc., Treximet, which is marketed by Pernix Therapeutics Holdings, Inc., Reyvow, which is marketed by Eli Lilly and Company; Nurtec, which is marketed by Pfizer, and Ubrelvy, which is marketed by AbbVie, and Trudhesa which is marketed by Impel.</w:t>
      </w:r>
    </w:p>
    <w:p>
      <w:pPr>
        <w:spacing w:after="0" w:line="14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i w:val="1"/>
          <w:iCs w:val="1"/>
          <w:color w:val="auto"/>
        </w:rPr>
        <w:t>AXS</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12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-51435</wp:posOffset>
            </wp:positionV>
            <wp:extent cx="6096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960" cy="38100"/>
                    </a:xfrm>
                    <a:prstGeom prst="rect">
                      <a:avLst/>
                    </a:prstGeom>
                    <a:noFill/>
                  </pic:spPr>
                </pic:pic>
              </a:graphicData>
            </a:graphic>
          </wp:anchor>
        </w:drawing>
      </w:r>
    </w:p>
    <w:p>
      <w:pPr>
        <w:spacing w:after="0" w:line="211" w:lineRule="exact"/>
        <w:rPr>
          <w:sz w:val="20"/>
          <w:szCs w:val="20"/>
          <w:color w:val="auto"/>
        </w:rPr>
      </w:pPr>
    </w:p>
    <w:p>
      <w:pPr>
        <w:ind w:right="320" w:firstLine="750"/>
        <w:spacing w:after="0" w:line="254" w:lineRule="auto"/>
        <w:rPr>
          <w:sz w:val="20"/>
          <w:szCs w:val="20"/>
          <w:color w:val="auto"/>
        </w:rPr>
      </w:pPr>
      <w:r>
        <w:rPr>
          <w:rFonts w:ascii="Times New Roman" w:cs="Times New Roman" w:eastAsia="Times New Roman" w:hAnsi="Times New Roman"/>
          <w:sz w:val="17"/>
          <w:szCs w:val="17"/>
          <w:color w:val="auto"/>
        </w:rPr>
        <w:t>Products approved to treat the symptoms of narcolepsy include Ritalin, which is marketed by Novartis Pharmaceuticals; Provigil and Nuvigil, which are both marketed by Teva Pharmaceutical Industries Ltd; Xyrem and Xywav, which are all marketed by Jazz Pharmaceuticals plc; and Wakix which is marketed by Harmony Biosciences LLC. We are aware of several companies developing compounds for the treatment of the symptoms of narcolepsy including Avadel Pharmaceuticals plc and Jazz Pharmaceuticals plc.</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AXS-14 Competition</w:t>
      </w:r>
    </w:p>
    <w:p>
      <w:pPr>
        <w:spacing w:after="0" w:line="209" w:lineRule="exact"/>
        <w:rPr>
          <w:sz w:val="20"/>
          <w:szCs w:val="20"/>
          <w:color w:val="auto"/>
        </w:rPr>
      </w:pPr>
    </w:p>
    <w:p>
      <w:pPr>
        <w:ind w:right="100" w:firstLine="750"/>
        <w:spacing w:after="0" w:line="258" w:lineRule="auto"/>
        <w:rPr>
          <w:sz w:val="20"/>
          <w:szCs w:val="20"/>
          <w:color w:val="auto"/>
        </w:rPr>
      </w:pPr>
      <w:r>
        <w:rPr>
          <w:rFonts w:ascii="Times New Roman" w:cs="Times New Roman" w:eastAsia="Times New Roman" w:hAnsi="Times New Roman"/>
          <w:sz w:val="17"/>
          <w:szCs w:val="17"/>
          <w:color w:val="auto"/>
        </w:rPr>
        <w:t>Products approved to treat fibromyalgia include Cymbalta, which is marketed by Eli Lilly and Company; Lyrica, which is marketed by Pfizer, Inc.; and Savella, which is marketed by AbbVie. We are aware of other companies working to develop therapeutics for the treatment of fibromyalgia including Astellas Pharma, Inc.; Aptinyx Inc.; Innovative Med Concepts, Inc.; Teva Pharmaceutical Industries Ltd; and Tonix Pharmaceutical Holding Corp.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209" w:lineRule="exact"/>
        <w:rPr>
          <w:sz w:val="20"/>
          <w:szCs w:val="20"/>
          <w:color w:val="auto"/>
        </w:rPr>
      </w:pPr>
    </w:p>
    <w:p>
      <w:pPr>
        <w:ind w:right="40" w:firstLine="750"/>
        <w:spacing w:after="0" w:line="250" w:lineRule="auto"/>
        <w:rPr>
          <w:sz w:val="20"/>
          <w:szCs w:val="20"/>
          <w:color w:val="auto"/>
        </w:rPr>
      </w:pPr>
      <w:r>
        <w:rPr>
          <w:rFonts w:ascii="Times New Roman" w:cs="Times New Roman" w:eastAsia="Times New Roman" w:hAnsi="Times New Roman"/>
          <w:sz w:val="17"/>
          <w:szCs w:val="17"/>
          <w:color w:val="auto"/>
        </w:rPr>
        <w:t>Manufacturing of the drug substance and drug product for our products and product candidates are done by third parties and must comply with FDA current good manufacturing practice, or cGMP, regulations. Our products and product candidates are comprised of synthetic small molecules made through a series of organic chemistry steps starting with commercially available organic chemical raw materials. We do not currently own or operate any manufacturing facilities for the clinical or commercial production of our drug candidates. We conduct manufacturing activities under individual purchase orders with independent contract manufacturing organizations, or CMOs, to supply our clinical trials. We conduct periodic quality audits of their facilities. We believe that our existing suppliers of our product and product candidate active pharmaceutical ingredients and finished products will be capable of providing sufficient quantities of each to meet our commercial and clinical trial supply needs. Other CMOs may be used in the future for clinical supplies and, subject to approval, commercial manufacturing.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 and Product Approval</w:t>
      </w:r>
    </w:p>
    <w:p>
      <w:pPr>
        <w:spacing w:after="0" w:line="209" w:lineRule="exact"/>
        <w:rPr>
          <w:sz w:val="20"/>
          <w:szCs w:val="20"/>
          <w:color w:val="auto"/>
        </w:rPr>
      </w:pPr>
    </w:p>
    <w:p>
      <w:pPr>
        <w:ind w:right="80" w:firstLine="750"/>
        <w:spacing w:after="0" w:line="248"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in other countries and supranational regions, extensively regulate, among other things, the research, development, testing, manufacture, packaging, storage, recordkeeping, labeling, advertising, promotion, distribution, adverse event reporting and pharmacovigilance, marketing, import, and export of pharmaceutical products such as those we are developing, and for which we are seeking FDA approval.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FDA Regulation</w:t>
      </w:r>
    </w:p>
    <w:p>
      <w:pPr>
        <w:spacing w:after="0" w:line="209" w:lineRule="exact"/>
        <w:rPr>
          <w:sz w:val="20"/>
          <w:szCs w:val="20"/>
          <w:color w:val="auto"/>
        </w:rPr>
      </w:pPr>
    </w:p>
    <w:p>
      <w:pPr>
        <w:ind w:right="280" w:firstLine="750"/>
        <w:spacing w:after="0" w:line="271" w:lineRule="auto"/>
        <w:rPr>
          <w:sz w:val="20"/>
          <w:szCs w:val="20"/>
          <w:color w:val="auto"/>
        </w:rPr>
      </w:pPr>
      <w:r>
        <w:rPr>
          <w:rFonts w:ascii="Times New Roman" w:cs="Times New Roman" w:eastAsia="Times New Roman" w:hAnsi="Times New Roman"/>
          <w:sz w:val="17"/>
          <w:szCs w:val="17"/>
          <w:color w:val="auto"/>
        </w:rPr>
        <w:t>In the United States, the FDA regulates drugs under the Federal Food, Drug, and Cosmetic Act, or FDCA, and its implementing regulations. The process required by the FDA before product candidates may be marketed in the United States generally involves the following:</w:t>
      </w:r>
    </w:p>
    <w:p>
      <w:pPr>
        <w:spacing w:after="0" w:line="159" w:lineRule="exact"/>
        <w:rPr>
          <w:sz w:val="20"/>
          <w:szCs w:val="20"/>
          <w:color w:val="auto"/>
        </w:rPr>
      </w:pPr>
    </w:p>
    <w:p>
      <w:pPr>
        <w:ind w:left="1120" w:right="260" w:hanging="370"/>
        <w:spacing w:after="0" w:line="271" w:lineRule="auto"/>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preclinical laboratory tests, animal studies, and formulation studies in compliance with the FDA’s Good Laboratory Practice, or GLP, regulations;</w:t>
      </w:r>
    </w:p>
    <w:p>
      <w:pPr>
        <w:spacing w:after="0" w:line="159" w:lineRule="exact"/>
        <w:rPr>
          <w:rFonts w:ascii="Times New Roman" w:cs="Times New Roman" w:eastAsia="Times New Roman" w:hAnsi="Times New Roman"/>
          <w:sz w:val="17"/>
          <w:szCs w:val="17"/>
          <w:color w:val="auto"/>
        </w:rPr>
      </w:pPr>
    </w:p>
    <w:p>
      <w:pPr>
        <w:ind w:left="1120" w:hanging="370"/>
        <w:spacing w:after="0"/>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IND which must become effective before human clinical trials may begin;</w:t>
      </w:r>
    </w:p>
    <w:p>
      <w:pPr>
        <w:spacing w:after="0" w:line="204" w:lineRule="exact"/>
        <w:rPr>
          <w:rFonts w:ascii="Times New Roman" w:cs="Times New Roman" w:eastAsia="Times New Roman" w:hAnsi="Times New Roman"/>
          <w:sz w:val="17"/>
          <w:szCs w:val="17"/>
          <w:color w:val="auto"/>
        </w:rPr>
      </w:pPr>
    </w:p>
    <w:p>
      <w:pPr>
        <w:ind w:left="1120" w:hanging="370"/>
        <w:spacing w:after="0"/>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by an independent Institutional Review Board, or IRB, for each clinical site or centrally, before each trial may be initiated;</w:t>
      </w:r>
    </w:p>
    <w:p>
      <w:pPr>
        <w:spacing w:after="0" w:line="178" w:lineRule="exact"/>
        <w:rPr>
          <w:rFonts w:ascii="Times New Roman" w:cs="Times New Roman" w:eastAsia="Times New Roman" w:hAnsi="Times New Roman"/>
          <w:sz w:val="17"/>
          <w:szCs w:val="17"/>
          <w:color w:val="auto"/>
        </w:rPr>
      </w:pPr>
    </w:p>
    <w:p>
      <w:pPr>
        <w:ind w:left="1120" w:hanging="370"/>
        <w:spacing w:after="0" w:line="221" w:lineRule="exact"/>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adequate and well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controlled human clinical trials to establish the safety and efficacy of the proposed drug candidates for its intended use, performed in accordance with current Good Clinical Practices, or GCP;</w:t>
      </w:r>
    </w:p>
    <w:p>
      <w:pPr>
        <w:spacing w:after="0" w:line="185" w:lineRule="exact"/>
        <w:rPr>
          <w:rFonts w:ascii="Times New Roman" w:cs="Times New Roman" w:eastAsia="Times New Roman" w:hAnsi="Times New Roman"/>
          <w:sz w:val="17"/>
          <w:szCs w:val="17"/>
          <w:color w:val="auto"/>
        </w:rPr>
      </w:pPr>
    </w:p>
    <w:p>
      <w:pPr>
        <w:ind w:left="1120" w:right="240" w:hanging="370"/>
        <w:spacing w:after="0" w:line="271" w:lineRule="auto"/>
        <w:tabs>
          <w:tab w:leader="none" w:pos="11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manufacturing processes in compliance with current Good Manufacturing Practices (cGMPs) to ensure the drug’s identity, strength, quality, and purity;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1120" w:hanging="370"/>
        <w:spacing w:after="0"/>
        <w:tabs>
          <w:tab w:leader="none" w:pos="11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compilation of required information and submission to the FDA of an NDA;</w:t>
      </w:r>
    </w:p>
    <w:p>
      <w:pPr>
        <w:spacing w:after="0" w:line="204" w:lineRule="exact"/>
        <w:rPr>
          <w:rFonts w:ascii="Times New Roman" w:cs="Times New Roman" w:eastAsia="Times New Roman" w:hAnsi="Times New Roman"/>
          <w:sz w:val="17"/>
          <w:szCs w:val="17"/>
          <w:color w:val="auto"/>
        </w:rPr>
      </w:pPr>
    </w:p>
    <w:p>
      <w:pPr>
        <w:ind w:left="1120" w:hanging="370"/>
        <w:spacing w:after="0"/>
        <w:tabs>
          <w:tab w:leader="none" w:pos="11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advisory committee review, if applicable;</w:t>
      </w:r>
    </w:p>
    <w:p>
      <w:pPr>
        <w:spacing w:after="0" w:line="204" w:lineRule="exact"/>
        <w:rPr>
          <w:rFonts w:ascii="Times New Roman" w:cs="Times New Roman" w:eastAsia="Times New Roman" w:hAnsi="Times New Roman"/>
          <w:sz w:val="17"/>
          <w:szCs w:val="17"/>
          <w:color w:val="auto"/>
        </w:rPr>
      </w:pPr>
    </w:p>
    <w:p>
      <w:pPr>
        <w:ind w:left="1120" w:right="340" w:hanging="370"/>
        <w:spacing w:after="0" w:line="282" w:lineRule="auto"/>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152" w:lineRule="exact"/>
        <w:rPr>
          <w:rFonts w:ascii="Times New Roman" w:cs="Times New Roman" w:eastAsia="Times New Roman" w:hAnsi="Times New Roman"/>
          <w:sz w:val="16"/>
          <w:szCs w:val="16"/>
          <w:color w:val="auto"/>
        </w:rPr>
      </w:pPr>
    </w:p>
    <w:p>
      <w:pPr>
        <w:ind w:left="1120" w:hanging="370"/>
        <w:spacing w:after="0"/>
        <w:tabs>
          <w:tab w:leader="none" w:pos="11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NDA to permit commercial marketing for particular indications for use.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Preclinical Studies and IND Submission</w:t>
      </w:r>
    </w:p>
    <w:p>
      <w:pPr>
        <w:spacing w:after="0" w:line="209" w:lineRule="exact"/>
        <w:rPr>
          <w:sz w:val="20"/>
          <w:szCs w:val="20"/>
          <w:color w:val="auto"/>
        </w:rPr>
      </w:pPr>
    </w:p>
    <w:p>
      <w:pPr>
        <w:ind w:right="200" w:firstLine="750"/>
        <w:spacing w:after="0" w:line="250" w:lineRule="auto"/>
        <w:rPr>
          <w:sz w:val="20"/>
          <w:szCs w:val="20"/>
          <w:color w:val="auto"/>
        </w:rPr>
      </w:pPr>
      <w:r>
        <w:rPr>
          <w:rFonts w:ascii="Times New Roman" w:cs="Times New Roman" w:eastAsia="Times New Roman" w:hAnsi="Times New Roman"/>
          <w:sz w:val="17"/>
          <w:szCs w:val="17"/>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Good Laboratory Practice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In the case of 505(b)(2) applications, though, some of the IND components may not be required (for example, if previously established for an approved drug which is referenced). Some preclinical testing may continue even after the IND is submitted.</w:t>
      </w:r>
    </w:p>
    <w:p>
      <w:pPr>
        <w:spacing w:after="0" w:line="150" w:lineRule="exact"/>
        <w:rPr>
          <w:sz w:val="20"/>
          <w:szCs w:val="20"/>
          <w:color w:val="auto"/>
        </w:rPr>
      </w:pPr>
    </w:p>
    <w:p>
      <w:pPr>
        <w:ind w:right="20" w:firstLine="750"/>
        <w:spacing w:after="0" w:line="211" w:lineRule="exact"/>
        <w:rPr>
          <w:sz w:val="20"/>
          <w:szCs w:val="20"/>
          <w:color w:val="auto"/>
        </w:rPr>
      </w:pPr>
      <w:r>
        <w:rPr>
          <w:rFonts w:ascii="Times New Roman" w:cs="Times New Roman" w:eastAsia="Times New Roman" w:hAnsi="Times New Roman"/>
          <w:sz w:val="17"/>
          <w:szCs w:val="17"/>
          <w:color w:val="auto"/>
        </w:rPr>
        <w:t>An IND automatically becomes effective 30 days after receipt by the FDA, unless the FDA, within the 30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Trials</w:t>
      </w:r>
    </w:p>
    <w:p>
      <w:pPr>
        <w:spacing w:after="0" w:line="209"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7"/>
          <w:szCs w:val="17"/>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178" w:lineRule="exact"/>
        <w:rPr>
          <w:sz w:val="20"/>
          <w:szCs w:val="20"/>
          <w:color w:val="auto"/>
        </w:rPr>
      </w:pPr>
    </w:p>
    <w:p>
      <w:pPr>
        <w:ind w:right="120" w:firstLine="750"/>
        <w:spacing w:after="0" w:line="271" w:lineRule="auto"/>
        <w:rPr>
          <w:sz w:val="20"/>
          <w:szCs w:val="20"/>
          <w:color w:val="auto"/>
        </w:rPr>
      </w:pPr>
      <w:r>
        <w:rPr>
          <w:rFonts w:ascii="Times New Roman" w:cs="Times New Roman" w:eastAsia="Times New Roman" w:hAnsi="Times New Roman"/>
          <w:sz w:val="17"/>
          <w:szCs w:val="17"/>
          <w:color w:val="auto"/>
        </w:rPr>
        <w:t>Information about certain clinical trials, including a description of the study and study results, must be submitted within specific timeframes to the National Institutes of Health, or NIH, for public dissemination on their clinicaltrials.gov website.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40" w:firstLine="750"/>
        <w:spacing w:after="0" w:line="252" w:lineRule="auto"/>
        <w:rPr>
          <w:sz w:val="20"/>
          <w:szCs w:val="20"/>
          <w:color w:val="auto"/>
        </w:rPr>
      </w:pPr>
      <w:r>
        <w:rPr>
          <w:rFonts w:ascii="Times New Roman" w:cs="Times New Roman" w:eastAsia="Times New Roman" w:hAnsi="Times New Roman"/>
          <w:sz w:val="17"/>
          <w:szCs w:val="17"/>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spacing w:after="0" w:line="175" w:lineRule="exact"/>
        <w:rPr>
          <w:sz w:val="20"/>
          <w:szCs w:val="20"/>
          <w:color w:val="auto"/>
        </w:rPr>
      </w:pPr>
    </w:p>
    <w:p>
      <w:pPr>
        <w:ind w:right="120" w:firstLine="750"/>
        <w:spacing w:after="0" w:line="254" w:lineRule="auto"/>
        <w:rPr>
          <w:sz w:val="20"/>
          <w:szCs w:val="20"/>
          <w:color w:val="auto"/>
        </w:rPr>
      </w:pPr>
      <w:r>
        <w:rPr>
          <w:rFonts w:ascii="Times New Roman" w:cs="Times New Roman" w:eastAsia="Times New Roman" w:hAnsi="Times New Roman"/>
          <w:sz w:val="17"/>
          <w:szCs w:val="17"/>
          <w:color w:val="auto"/>
        </w:rPr>
        <w:t>The manufacture of investigational drugs for the conduct of human clinical trials (and their active pharmaceutical ingredients)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In general, for purposes of NDA approval, human clinical trials are typically conducted in three sequential phases, which may overlap or be combined.</w:t>
      </w:r>
    </w:p>
    <w:p>
      <w:pPr>
        <w:spacing w:after="0" w:line="201" w:lineRule="exact"/>
        <w:rPr>
          <w:sz w:val="20"/>
          <w:szCs w:val="20"/>
          <w:color w:val="auto"/>
        </w:rPr>
      </w:pPr>
    </w:p>
    <w:p>
      <w:pPr>
        <w:jc w:val="both"/>
        <w:ind w:left="1120" w:right="60" w:hanging="370"/>
        <w:spacing w:after="0" w:line="207" w:lineRule="exact"/>
        <w:tabs>
          <w:tab w:leader="none" w:pos="11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Phase 1</w:t>
      </w:r>
      <w:r>
        <w:rPr>
          <w:rFonts w:ascii="Times New Roman" w:cs="Times New Roman" w:eastAsia="Times New Roman" w:hAnsi="Times New Roman"/>
          <w:sz w:val="17"/>
          <w:szCs w:val="17"/>
          <w:color w:val="auto"/>
        </w:rPr>
        <w:t>—Studies are initially conducted in healthy human volunteers or subjects with the target disease or condition and test the product candidate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safety, dosage tolerance, structure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activity relationships, mechanism of action, absorption, metabolism, distribution, and excretion. If possible, Phase 1 trials may also be used to gain an initial indication of product effectiveness.</w:t>
      </w:r>
    </w:p>
    <w:p>
      <w:pPr>
        <w:spacing w:after="0" w:line="180" w:lineRule="exact"/>
        <w:rPr>
          <w:rFonts w:ascii="Times New Roman" w:cs="Times New Roman" w:eastAsia="Times New Roman" w:hAnsi="Times New Roman"/>
          <w:sz w:val="17"/>
          <w:szCs w:val="17"/>
          <w:color w:val="auto"/>
        </w:rPr>
      </w:pPr>
    </w:p>
    <w:p>
      <w:pPr>
        <w:ind w:left="1120" w:right="540" w:hanging="370"/>
        <w:spacing w:after="0" w:line="308" w:lineRule="auto"/>
        <w:tabs>
          <w:tab w:leader="none" w:pos="1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2</w:t>
      </w:r>
      <w:r>
        <w:rPr>
          <w:rFonts w:ascii="Times New Roman" w:cs="Times New Roman" w:eastAsia="Times New Roman" w:hAnsi="Times New Roman"/>
          <w:sz w:val="16"/>
          <w:szCs w:val="16"/>
          <w:color w:val="auto"/>
        </w:rPr>
        <w:t>—Controlled studies are conducted in limited subject populations with a specified disease or condition to evaluate preliminary efficacy,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identify optimal dosages, dosage tolerance and schedule, possible adverse effects and safety risks, and expanded evidence of safety.</w:t>
      </w:r>
    </w:p>
    <w:p>
      <w:pPr>
        <w:spacing w:after="0" w:line="106" w:lineRule="exact"/>
        <w:rPr>
          <w:rFonts w:ascii="Times New Roman" w:cs="Times New Roman" w:eastAsia="Times New Roman" w:hAnsi="Times New Roman"/>
          <w:sz w:val="16"/>
          <w:szCs w:val="16"/>
          <w:color w:val="auto"/>
        </w:rPr>
      </w:pPr>
    </w:p>
    <w:p>
      <w:pPr>
        <w:jc w:val="both"/>
        <w:ind w:left="1120" w:right="340" w:hanging="370"/>
        <w:spacing w:after="0" w:line="211" w:lineRule="exact"/>
        <w:tabs>
          <w:tab w:leader="none" w:pos="11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Phase 3—</w:t>
      </w:r>
      <w:r>
        <w:rPr>
          <w:rFonts w:ascii="Times New Roman" w:cs="Times New Roman" w:eastAsia="Times New Roman" w:hAnsi="Times New Roman"/>
          <w:sz w:val="17"/>
          <w:szCs w:val="17"/>
          <w:color w:val="auto"/>
        </w:rPr>
        <w:t>These adequate and well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controlled clinical trials are undertaken in expanded subject populations, generally at geographically dispersed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clinical trial sites, to generate enough data to provide statistically significant evidence of clinical efficacy and safety of the product for approval, to establish the overall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benefit profile of the product, and to provide adequate information for the labeling of the product. Typically, two Phase 3 trials are required by the FDA for product approval.</w:t>
      </w:r>
    </w:p>
    <w:p>
      <w:pPr>
        <w:spacing w:after="0" w:line="187"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7"/>
          <w:szCs w:val="17"/>
          <w:color w:val="auto"/>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 world evidence for already approved products, and, for appropriate indications sought through supplemental marketing applications, data summaries.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82" w:lineRule="exact"/>
        <w:rPr>
          <w:sz w:val="20"/>
          <w:szCs w:val="20"/>
          <w:color w:val="auto"/>
        </w:rPr>
      </w:pPr>
    </w:p>
    <w:p>
      <w:pPr>
        <w:ind w:right="100" w:firstLine="750"/>
        <w:spacing w:after="0" w:line="254" w:lineRule="auto"/>
        <w:rPr>
          <w:sz w:val="20"/>
          <w:szCs w:val="20"/>
          <w:color w:val="auto"/>
        </w:rPr>
      </w:pPr>
      <w:r>
        <w:rPr>
          <w:rFonts w:ascii="Times New Roman" w:cs="Times New Roman" w:eastAsia="Times New Roman" w:hAnsi="Times New Roman"/>
          <w:sz w:val="17"/>
          <w:szCs w:val="17"/>
          <w:color w:val="auto"/>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173"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During the development of a new drug, a sponsor may be able to request a Special Protocol Assessment, or SPA, the purpose of which is to reach agreement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the FDA on the Phase 3 clinical trial protocol design and analysis that will form the primary basis of an efficacy claim as well as preclinical carcinogenicity trials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stability studies. An SPA may only be modified with the agreement of the FDA and the trial sponsor or if the director of the FDA reviewing division determines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a substantial scientific issue essential to determining the safety or efficacy of the drug was identified after the testing began. An SPA is intended to provide</w:t>
      </w:r>
    </w:p>
    <w:p>
      <w:pPr>
        <w:spacing w:after="0" w:line="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assurance that, in the case of clinical trials, if the agreed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upon clinical trial protocol is followed, the clinical trial endpoints are achieved, and there is a favorable</w:t>
      </w:r>
    </w:p>
    <w:p>
      <w:pPr>
        <w:spacing w:after="0" w:line="6"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benefit profile, the data may serve as the primary basis for an efficacy claim in support of an NDA. However, SPA agreements are not a guarantee of an approval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product candidate or any permissible claims about the product candidate. In particular, SPAs are not binding on the FDA if, among other reasons, previously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unrecognized public health concerns arise during the performance of the clinical trial, other new scientific concerns regarding the product candidate’s safety or efficacy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arise, or if the sponsoring company fails to comply with the agreed upon clinical trial protocol.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NDA Submission, Review by the FDA, and Marketing Approval</w:t>
      </w:r>
    </w:p>
    <w:p>
      <w:pPr>
        <w:spacing w:after="0" w:line="209" w:lineRule="exact"/>
        <w:rPr>
          <w:sz w:val="20"/>
          <w:szCs w:val="20"/>
          <w:color w:val="auto"/>
        </w:rPr>
      </w:pPr>
    </w:p>
    <w:p>
      <w:pPr>
        <w:ind w:right="40" w:firstLine="750"/>
        <w:spacing w:after="0" w:line="250" w:lineRule="auto"/>
        <w:rPr>
          <w:sz w:val="20"/>
          <w:szCs w:val="20"/>
          <w:color w:val="auto"/>
        </w:rPr>
      </w:pPr>
      <w:r>
        <w:rPr>
          <w:rFonts w:ascii="Times New Roman" w:cs="Times New Roman" w:eastAsia="Times New Roman" w:hAnsi="Times New Roman"/>
          <w:sz w:val="17"/>
          <w:szCs w:val="17"/>
          <w:color w:val="auto"/>
        </w:rPr>
        <w:t>Assuming successful completion of the required clinical and preclinical testing, the results of product development, including chemistry, manufacturing, and control (CMC)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the Prescription Drug User Fee Act, or PDUFA. User fees must be paid at the time of the first submission of the application, even if the application is being submitted on a rolling basis, and if approved, program fees must be paid on an annual basis. Product candidates that are designated as orphan drugs, which are further described below, are also not subject to application user fees unless the application includes an indication other than the orphan indication.</w:t>
      </w:r>
    </w:p>
    <w:p>
      <w:pPr>
        <w:spacing w:after="0" w:line="176" w:lineRule="exact"/>
        <w:rPr>
          <w:sz w:val="20"/>
          <w:szCs w:val="20"/>
          <w:color w:val="auto"/>
        </w:rPr>
      </w:pPr>
    </w:p>
    <w:p>
      <w:pPr>
        <w:ind w:right="20" w:firstLine="750"/>
        <w:spacing w:after="0" w:line="247" w:lineRule="auto"/>
        <w:rPr>
          <w:sz w:val="20"/>
          <w:szCs w:val="20"/>
          <w:color w:val="auto"/>
        </w:rPr>
      </w:pPr>
      <w:r>
        <w:rPr>
          <w:rFonts w:ascii="Times New Roman" w:cs="Times New Roman" w:eastAsia="Times New Roman" w:hAnsi="Times New Roman"/>
          <w:sz w:val="17"/>
          <w:szCs w:val="17"/>
          <w:color w:val="auto"/>
        </w:rPr>
        <w:t>In addition, under the Pediatric Research Equity Act, or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or PSP,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or REMS,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spacing w:after="0" w:line="184" w:lineRule="exact"/>
        <w:rPr>
          <w:sz w:val="20"/>
          <w:szCs w:val="20"/>
          <w:color w:val="auto"/>
        </w:rPr>
      </w:pPr>
    </w:p>
    <w:p>
      <w:pPr>
        <w:ind w:right="60" w:firstLine="750"/>
        <w:spacing w:after="0" w:line="209" w:lineRule="exact"/>
        <w:rPr>
          <w:sz w:val="20"/>
          <w:szCs w:val="20"/>
          <w:color w:val="auto"/>
        </w:rPr>
      </w:pPr>
      <w:r>
        <w:rPr>
          <w:rFonts w:ascii="Times New Roman" w:cs="Times New Roman" w:eastAsia="Times New Roman" w:hAnsi="Times New Roman"/>
          <w:sz w:val="17"/>
          <w:szCs w:val="17"/>
          <w:color w:val="auto"/>
        </w:rPr>
        <w:t>Once the FDA receives an application, it will determine within 60 days whether the NDA as filed is sufficiently complete to permit a substantive review (with this decision often referred to as the NDA being “accepted for filing.”).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depth substantive review of the NDA.</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60" w:firstLine="750"/>
        <w:spacing w:after="0" w:line="252" w:lineRule="auto"/>
        <w:rPr>
          <w:sz w:val="20"/>
          <w:szCs w:val="20"/>
          <w:color w:val="auto"/>
        </w:rPr>
      </w:pPr>
      <w:r>
        <w:rPr>
          <w:rFonts w:ascii="Times New Roman" w:cs="Times New Roman" w:eastAsia="Times New Roman" w:hAnsi="Times New Roman"/>
          <w:sz w:val="17"/>
          <w:szCs w:val="17"/>
          <w:color w:val="auto"/>
        </w:rPr>
        <w:t>The FDA has agreed to a set of performance goals and procedures under PDUFA to review 90% of all applications within ten months from the 60-day filing date for its initial review of a standard NDA for a New Molecular Entity, or NME. For non-NME standard applications, the FDA has set the goal of completing its review of 90% of all applications within ten months from the submission receipt date. Such deadlines are referred to as the PDUFA date. The PDUFA date is only a goal, thus, the FDA does not always meet its PDUFA goal dates. The review process and the PDUFA goal date may also be extended if the FDA requests, or the NDA sponsor otherwise provides, substantial additional information or clarification regarding the submission.</w:t>
      </w:r>
    </w:p>
    <w:p>
      <w:pPr>
        <w:spacing w:after="0" w:line="175" w:lineRule="exact"/>
        <w:rPr>
          <w:sz w:val="20"/>
          <w:szCs w:val="20"/>
          <w:color w:val="auto"/>
        </w:rPr>
      </w:pPr>
    </w:p>
    <w:p>
      <w:pPr>
        <w:ind w:right="160" w:firstLine="750"/>
        <w:spacing w:after="0" w:line="258" w:lineRule="auto"/>
        <w:rPr>
          <w:sz w:val="20"/>
          <w:szCs w:val="20"/>
          <w:color w:val="auto"/>
        </w:rPr>
      </w:pPr>
      <w:r>
        <w:rPr>
          <w:rFonts w:ascii="Times New Roman" w:cs="Times New Roman" w:eastAsia="Times New Roman" w:hAnsi="Times New Roman"/>
          <w:sz w:val="17"/>
          <w:szCs w:val="17"/>
          <w:color w:val="auto"/>
        </w:rPr>
        <w:t>The FDA may refer an application to an advisory committee for review, evaluation and recommendation as to whether the application should be approved, and applications for new molecular entities are generally discussed at advisory committee meetings unless the FDA determines that this type of consultation is not needed under the circumstances.</w:t>
      </w:r>
    </w:p>
    <w:p>
      <w:pPr>
        <w:spacing w:after="0" w:line="170" w:lineRule="exact"/>
        <w:rPr>
          <w:sz w:val="20"/>
          <w:szCs w:val="20"/>
          <w:color w:val="auto"/>
        </w:rPr>
      </w:pPr>
    </w:p>
    <w:p>
      <w:pPr>
        <w:ind w:right="80" w:firstLine="750"/>
        <w:spacing w:after="0" w:line="258" w:lineRule="auto"/>
        <w:rPr>
          <w:sz w:val="20"/>
          <w:szCs w:val="20"/>
          <w:color w:val="auto"/>
        </w:rPr>
      </w:pPr>
      <w:r>
        <w:rPr>
          <w:rFonts w:ascii="Times New Roman" w:cs="Times New Roman" w:eastAsia="Times New Roman" w:hAnsi="Times New Roman"/>
          <w:sz w:val="17"/>
          <w:szCs w:val="17"/>
          <w:color w:val="auto"/>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spacing w:after="0" w:line="170" w:lineRule="exact"/>
        <w:rPr>
          <w:sz w:val="20"/>
          <w:szCs w:val="20"/>
          <w:color w:val="auto"/>
        </w:rPr>
      </w:pPr>
    </w:p>
    <w:p>
      <w:pPr>
        <w:ind w:right="100" w:firstLine="750"/>
        <w:spacing w:after="0" w:line="203" w:lineRule="exact"/>
        <w:rPr>
          <w:sz w:val="20"/>
          <w:szCs w:val="20"/>
          <w:color w:val="auto"/>
        </w:rPr>
      </w:pPr>
      <w:r>
        <w:rPr>
          <w:rFonts w:ascii="Times New Roman" w:cs="Times New Roman" w:eastAsia="Times New Roman" w:hAnsi="Times New Roman"/>
          <w:sz w:val="16"/>
          <w:szCs w:val="16"/>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 Moreover, due to the ongoing COVID-19 pandemic, the FDA may delay Pre-Approval Inspections. Because of the global pandemic, decision-making around facility inspections by the FDA (including Pre-Approval Inspections) continues to evolve.</w:t>
      </w:r>
    </w:p>
    <w:p>
      <w:pPr>
        <w:spacing w:after="0" w:line="185" w:lineRule="exact"/>
        <w:rPr>
          <w:sz w:val="20"/>
          <w:szCs w:val="20"/>
          <w:color w:val="auto"/>
        </w:rPr>
      </w:pPr>
    </w:p>
    <w:p>
      <w:pPr>
        <w:ind w:right="160" w:firstLine="750"/>
        <w:spacing w:after="0" w:line="252" w:lineRule="auto"/>
        <w:rPr>
          <w:sz w:val="20"/>
          <w:szCs w:val="20"/>
          <w:color w:val="auto"/>
        </w:rPr>
      </w:pPr>
      <w:r>
        <w:rPr>
          <w:rFonts w:ascii="Times New Roman" w:cs="Times New Roman" w:eastAsia="Times New Roman" w:hAnsi="Times New Roman"/>
          <w:sz w:val="17"/>
          <w:szCs w:val="17"/>
          <w:color w:val="auto"/>
        </w:rPr>
        <w:t>The approval process is lengthy and difficult and involves numerous FDA personnel assigned to review different aspects of the NDA, and the FDA may refuse to approve an NDA if the applicable regulatory criteria are not satisfied or may require additional preclinical, clinical, chemistry, manufacturing, and control ("CMC"), or other data and information. Uncertainties can be presented by reviewers’ ability to exercise judgment and discretion during the review process. Even if such data and information are submitted, the FDA and may ultimately decide that the NDA does not satisfy the criteria for approval. Data obtained from clinical trials are not always conclusive and the FDA may interpret data differently than an applicant interprets the same data.</w:t>
      </w:r>
    </w:p>
    <w:p>
      <w:pPr>
        <w:spacing w:after="0" w:line="175"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7"/>
          <w:szCs w:val="17"/>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or CRL.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in its current form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(from receipt) for a Class 1 or Class 2 resubmission, respectively. For non-efficacy supplements (i.e., labeling and manufacturing supplements), CDER’s goal is to review the supplement within the same length of time (from receipt) as the initial review cycle (excluding an extension caused by a major amendment of the initial supplement).</w:t>
      </w:r>
    </w:p>
    <w:p>
      <w:pPr>
        <w:spacing w:after="0" w:line="182" w:lineRule="exact"/>
        <w:rPr>
          <w:sz w:val="20"/>
          <w:szCs w:val="20"/>
          <w:color w:val="auto"/>
        </w:rPr>
      </w:pPr>
    </w:p>
    <w:p>
      <w:pPr>
        <w:ind w:right="80" w:firstLine="750"/>
        <w:spacing w:after="0" w:line="282" w:lineRule="auto"/>
        <w:rPr>
          <w:sz w:val="20"/>
          <w:szCs w:val="20"/>
          <w:color w:val="auto"/>
        </w:rPr>
      </w:pPr>
      <w:r>
        <w:rPr>
          <w:rFonts w:ascii="Times New Roman" w:cs="Times New Roman" w:eastAsia="Times New Roman" w:hAnsi="Times New Roman"/>
          <w:sz w:val="16"/>
          <w:szCs w:val="16"/>
          <w:color w:val="auto"/>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80" w:firstLine="750"/>
        <w:spacing w:after="0" w:line="203" w:lineRule="exact"/>
        <w:rPr>
          <w:sz w:val="20"/>
          <w:szCs w:val="20"/>
          <w:color w:val="auto"/>
        </w:rPr>
      </w:pPr>
      <w:r>
        <w:rPr>
          <w:rFonts w:ascii="Times New Roman" w:cs="Times New Roman" w:eastAsia="Times New Roman" w:hAnsi="Times New Roman"/>
          <w:sz w:val="17"/>
          <w:szCs w:val="17"/>
          <w:color w:val="auto"/>
        </w:rPr>
        <w:t>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87" w:lineRule="exact"/>
        <w:rPr>
          <w:sz w:val="20"/>
          <w:szCs w:val="20"/>
          <w:color w:val="auto"/>
        </w:rPr>
      </w:pPr>
    </w:p>
    <w:p>
      <w:pPr>
        <w:ind w:firstLine="750"/>
        <w:spacing w:after="0" w:line="204" w:lineRule="exact"/>
        <w:rPr>
          <w:sz w:val="20"/>
          <w:szCs w:val="20"/>
          <w:color w:val="auto"/>
        </w:rPr>
      </w:pPr>
      <w:r>
        <w:rPr>
          <w:rFonts w:ascii="Times New Roman" w:cs="Times New Roman" w:eastAsia="Times New Roman" w:hAnsi="Times New Roman"/>
          <w:sz w:val="17"/>
          <w:szCs w:val="17"/>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and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marketing regulatory standards are not maintained or if problems occur after the product reaches the marketplace. Further, should new safety information arise, additional testing, product labeling, or FDA notification may be required.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505(b)(2) Approval Process</w:t>
      </w:r>
    </w:p>
    <w:p>
      <w:pPr>
        <w:spacing w:after="0" w:line="209" w:lineRule="exact"/>
        <w:rPr>
          <w:sz w:val="20"/>
          <w:szCs w:val="20"/>
          <w:color w:val="auto"/>
        </w:rPr>
      </w:pPr>
    </w:p>
    <w:p>
      <w:pPr>
        <w:ind w:firstLine="750"/>
        <w:spacing w:after="0" w:line="202" w:lineRule="exact"/>
        <w:rPr>
          <w:sz w:val="20"/>
          <w:szCs w:val="20"/>
          <w:color w:val="auto"/>
        </w:rPr>
      </w:pPr>
      <w:r>
        <w:rPr>
          <w:rFonts w:ascii="Times New Roman" w:cs="Times New Roman" w:eastAsia="Times New Roman" w:hAnsi="Times New Roman"/>
          <w:sz w:val="16"/>
          <w:szCs w:val="16"/>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505(b)(2) 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Orange Book Listing</w:t>
      </w:r>
    </w:p>
    <w:p>
      <w:pPr>
        <w:spacing w:after="0" w:line="209" w:lineRule="exact"/>
        <w:rPr>
          <w:sz w:val="20"/>
          <w:szCs w:val="20"/>
          <w:color w:val="auto"/>
        </w:rPr>
      </w:pPr>
    </w:p>
    <w:p>
      <w:pPr>
        <w:ind w:right="80" w:firstLine="750"/>
        <w:spacing w:after="0" w:line="202" w:lineRule="exact"/>
        <w:rPr>
          <w:sz w:val="20"/>
          <w:szCs w:val="20"/>
          <w:color w:val="auto"/>
        </w:rPr>
      </w:pPr>
      <w:r>
        <w:rPr>
          <w:rFonts w:ascii="Times New Roman" w:cs="Times New Roman" w:eastAsia="Times New Roman" w:hAnsi="Times New Roman"/>
          <w:sz w:val="17"/>
          <w:szCs w:val="17"/>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Abbreviated New Drug Application, or ANDA. An ANDA is an application for marketing of a generic drug product that has the same active ingredients, dosage form, strength, route of administration, labeling, performance characteristics, and intended use, among other things, to a previously approved product. Limited changes must be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under state substitution laws, may be substituted at the pharmacy for the reference listed drug.</w:t>
      </w:r>
    </w:p>
    <w:p>
      <w:pPr>
        <w:spacing w:after="0" w:line="189" w:lineRule="exact"/>
        <w:rPr>
          <w:sz w:val="20"/>
          <w:szCs w:val="20"/>
          <w:color w:val="auto"/>
        </w:rPr>
      </w:pPr>
    </w:p>
    <w:p>
      <w:pPr>
        <w:jc w:val="both"/>
        <w:ind w:right="120" w:firstLine="750"/>
        <w:spacing w:after="0" w:line="258" w:lineRule="auto"/>
        <w:rPr>
          <w:sz w:val="20"/>
          <w:szCs w:val="20"/>
          <w:color w:val="auto"/>
        </w:rPr>
      </w:pPr>
      <w:r>
        <w:rPr>
          <w:rFonts w:ascii="Times New Roman" w:cs="Times New Roman" w:eastAsia="Times New Roman" w:hAnsi="Times New Roman"/>
          <w:sz w:val="17"/>
          <w:szCs w:val="17"/>
          <w:color w:val="auto"/>
        </w:rPr>
        <w:t xml:space="preserve">In seeking approval for a drug through an NDA, including a 505(b)(2) NDA, applicants are required to identify to the FDA patents that contain claims that are directed to the applicant’s product and/or method(s) of use. Upon approval of an NDA, each of the identified patents is then listed in </w:t>
      </w:r>
      <w:r>
        <w:rPr>
          <w:rFonts w:ascii="Times New Roman" w:cs="Times New Roman" w:eastAsia="Times New Roman" w:hAnsi="Times New Roman"/>
          <w:sz w:val="17"/>
          <w:szCs w:val="17"/>
          <w:i w:val="1"/>
          <w:iCs w:val="1"/>
          <w:color w:val="auto"/>
        </w:rPr>
        <w:t>Approved Drug Products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Therapeutic Equivalence Evaluations</w:t>
      </w:r>
      <w:r>
        <w:rPr>
          <w:rFonts w:ascii="Times New Roman" w:cs="Times New Roman" w:eastAsia="Times New Roman" w:hAnsi="Times New Roman"/>
          <w:sz w:val="17"/>
          <w:szCs w:val="17"/>
          <w:color w:val="auto"/>
        </w:rPr>
        <w:t>, also known as the Orange Book.</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0" w:firstLine="750"/>
        <w:spacing w:after="0" w:line="249" w:lineRule="auto"/>
        <w:rPr>
          <w:sz w:val="20"/>
          <w:szCs w:val="20"/>
          <w:color w:val="auto"/>
        </w:rPr>
      </w:pPr>
      <w:r>
        <w:rPr>
          <w:rFonts w:ascii="Times New Roman" w:cs="Times New Roman" w:eastAsia="Times New Roman" w:hAnsi="Times New Roman"/>
          <w:sz w:val="17"/>
          <w:szCs w:val="17"/>
          <w:color w:val="auto"/>
        </w:rPr>
        <w:t>An applicant who files an ANDA seeking approval of a generic version of a drug listed in the Orange Book or a 505(b)(2) NDA referencing a drug listed in the Orange Book must make patent certifications to the FDA that (1) no patent information on the drug or method of use that is the subject of the application has been submitted to the FDA; (2) the patent has expired; (3) the date on which the patent has expired and approval will not be sought until after the patent expiration; or (4) in the applicant’s opinion and to the best of its knowledge, the patent is invalid, unenforceable,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claiming the referenced product have expired.</w:t>
      </w:r>
    </w:p>
    <w:p>
      <w:pPr>
        <w:spacing w:after="0" w:line="177" w:lineRule="exact"/>
        <w:rPr>
          <w:sz w:val="20"/>
          <w:szCs w:val="20"/>
          <w:color w:val="auto"/>
        </w:rPr>
      </w:pPr>
    </w:p>
    <w:p>
      <w:pPr>
        <w:ind w:firstLine="750"/>
        <w:spacing w:after="0" w:line="206" w:lineRule="exact"/>
        <w:rPr>
          <w:sz w:val="20"/>
          <w:szCs w:val="20"/>
          <w:color w:val="auto"/>
        </w:rPr>
      </w:pPr>
      <w:r>
        <w:rPr>
          <w:rFonts w:ascii="Times New Roman" w:cs="Times New Roman" w:eastAsia="Times New Roman" w:hAnsi="Times New Roman"/>
          <w:sz w:val="17"/>
          <w:szCs w:val="17"/>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automatic 30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month stay.</w:t>
      </w:r>
    </w:p>
    <w:p>
      <w:pPr>
        <w:spacing w:after="0" w:line="170" w:lineRule="exact"/>
        <w:rPr>
          <w:sz w:val="20"/>
          <w:szCs w:val="20"/>
          <w:color w:val="auto"/>
        </w:rPr>
      </w:pPr>
    </w:p>
    <w:p>
      <w:pPr>
        <w:ind w:right="60" w:firstLine="750"/>
        <w:spacing w:after="0" w:line="206" w:lineRule="exact"/>
        <w:rPr>
          <w:sz w:val="20"/>
          <w:szCs w:val="20"/>
          <w:color w:val="auto"/>
        </w:rPr>
      </w:pPr>
      <w:r>
        <w:rPr>
          <w:rFonts w:ascii="Times New Roman" w:cs="Times New Roman" w:eastAsia="Times New Roman" w:hAnsi="Times New Roman"/>
          <w:sz w:val="16"/>
          <w:szCs w:val="16"/>
          <w:color w:val="auto"/>
        </w:rPr>
        <w:t>In practice, where an ANDA or 505(b)(2) NDA applicant files a paragraph IV certification, the NDA holder or patent owners often take action to trigger the automatic 30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stay, resulting in patent litigation that may take many months or years to resolve. Thus, approval of an ANDA or 505(b)(2) application could be delayed for a significant period of time depending on the patent certification the applicant makes and the reference drug sponsor’s decision to initiate patent litigation.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Regulatory Exclusivity</w:t>
      </w:r>
    </w:p>
    <w:p>
      <w:pPr>
        <w:spacing w:after="0" w:line="209"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Regulatory exclusivity provisions under the FDCA can also delay the submission or the approval effective date of certain applications. A regulatory exclusivity can provide the holder of an approved NDA protection from new competition in the marketplace for the innovation represented by its approved drug. Five years of exclusivity are available for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 505(b)(2) NDA application by another company that contains the previously approved active moiety. An ANDA or 505(b)(2) application, however, may be submitted one year before NCE exclusivity expires if a paragraph IV certification is filed.</w:t>
      </w:r>
    </w:p>
    <w:p>
      <w:pPr>
        <w:spacing w:after="0" w:line="179" w:lineRule="exact"/>
        <w:rPr>
          <w:sz w:val="20"/>
          <w:szCs w:val="20"/>
          <w:color w:val="auto"/>
        </w:rPr>
      </w:pPr>
    </w:p>
    <w:p>
      <w:pPr>
        <w:ind w:right="40" w:firstLine="750"/>
        <w:spacing w:after="0" w:line="205" w:lineRule="exact"/>
        <w:rPr>
          <w:sz w:val="20"/>
          <w:szCs w:val="20"/>
          <w:color w:val="auto"/>
        </w:rPr>
      </w:pPr>
      <w:r>
        <w:rPr>
          <w:rFonts w:ascii="Times New Roman" w:cs="Times New Roman" w:eastAsia="Times New Roman" w:hAnsi="Times New Roman"/>
          <w:sz w:val="17"/>
          <w:szCs w:val="17"/>
          <w:color w:val="auto"/>
        </w:rPr>
        <w:t xml:space="preserve">Three years of exclusivity are available to the holder of an NDA, including a 505(b)(2) NDA, for a particular condition of approval, or change to a marketed product, such as a new formulation or indication for a drug </w:t>
      </w:r>
      <w:r>
        <w:rPr>
          <w:rFonts w:ascii="Times New Roman" w:cs="Times New Roman" w:eastAsia="Times New Roman" w:hAnsi="Times New Roman"/>
          <w:sz w:val="17"/>
          <w:szCs w:val="17"/>
          <w:color w:val="333333"/>
        </w:rPr>
        <w:t>product that contains an active moiety that has been previously approved, when the application contains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333333"/>
        </w:rPr>
        <w:t xml:space="preserve">reports of new clinical investigations, other than bioavailability studies, conducted by the sponsor that were essential to approval of the application. Changes in an approved drug product that affect its active ingredient(s), strength, dosage form, route of administration or conditions of use may be granted this exclusivity if a new clinical investigation (NCI) was essential to approval of the application containing those changes. </w:t>
      </w:r>
      <w:r>
        <w:rPr>
          <w:rFonts w:ascii="Times New Roman" w:cs="Times New Roman" w:eastAsia="Times New Roman" w:hAnsi="Times New Roman"/>
          <w:sz w:val="17"/>
          <w:szCs w:val="17"/>
          <w:color w:val="000000"/>
        </w:rPr>
        <w:t>During the NCI exclusivity period, FDA may not approve an ANDA</w:t>
      </w:r>
      <w:r>
        <w:rPr>
          <w:rFonts w:ascii="Times New Roman" w:cs="Times New Roman" w:eastAsia="Times New Roman" w:hAnsi="Times New Roman"/>
          <w:sz w:val="17"/>
          <w:szCs w:val="17"/>
          <w:color w:val="333333"/>
        </w:rPr>
        <w:t xml:space="preserve"> </w:t>
      </w:r>
      <w:r>
        <w:rPr>
          <w:rFonts w:ascii="Times New Roman" w:cs="Times New Roman" w:eastAsia="Times New Roman" w:hAnsi="Times New Roman"/>
          <w:sz w:val="17"/>
          <w:szCs w:val="17"/>
          <w:color w:val="000000"/>
        </w:rPr>
        <w:t>or 505(b)(2) NDA by another company for the condition of the new drug’s approval. NCE and NCI exclusivities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7"/>
          <w:szCs w:val="17"/>
          <w:color w:val="000000"/>
        </w:rPr>
        <w:t>‑</w:t>
      </w:r>
      <w:r>
        <w:rPr>
          <w:rFonts w:ascii="Times New Roman" w:cs="Times New Roman" w:eastAsia="Times New Roman" w:hAnsi="Times New Roman"/>
          <w:sz w:val="17"/>
          <w:szCs w:val="17"/>
          <w:color w:val="000000"/>
        </w:rPr>
        <w:t>controlled clinical trials necessary to demonstrate safety and efficacy.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100" w:firstLine="750"/>
        <w:spacing w:after="0" w:line="202" w:lineRule="exact"/>
        <w:rPr>
          <w:sz w:val="20"/>
          <w:szCs w:val="20"/>
          <w:color w:val="auto"/>
        </w:rPr>
      </w:pPr>
      <w:r>
        <w:rPr>
          <w:rFonts w:ascii="Times New Roman" w:cs="Times New Roman" w:eastAsia="Times New Roman" w:hAnsi="Times New Roman"/>
          <w:sz w:val="17"/>
          <w:szCs w:val="17"/>
          <w:color w:val="auto"/>
        </w:rPr>
        <w:t>Pediatric exclusivity is a regulatory exclusivity in the United States that provides for the attachment of an additional six months of marketing protection to the term of any existing regulatory and statutory exclusivity, including the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patent exclusivity periods described above as well as applicable patent terms. This six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month exclusivity may be granted if an NDA sponsor submits pediatric data that fairly respond to a written request from the FDA for such data. The data do not need to show the product to be effective in the pediatric population studies;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505(b)(2) 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184" w:lineRule="exact"/>
        <w:rPr>
          <w:sz w:val="20"/>
          <w:szCs w:val="20"/>
          <w:color w:val="auto"/>
        </w:rPr>
      </w:pPr>
    </w:p>
    <w:p>
      <w:pPr>
        <w:ind w:firstLine="750"/>
        <w:spacing w:after="0" w:line="205" w:lineRule="exact"/>
        <w:rPr>
          <w:sz w:val="20"/>
          <w:szCs w:val="20"/>
          <w:color w:val="auto"/>
        </w:rPr>
      </w:pPr>
      <w:r>
        <w:rPr>
          <w:rFonts w:ascii="Times New Roman" w:cs="Times New Roman" w:eastAsia="Times New Roman" w:hAnsi="Times New Roman"/>
          <w:sz w:val="17"/>
          <w:szCs w:val="17"/>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also entitles a party to financial incentives such as opportunities for grant funding towards clinical study costs, tax advantages, and application user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fee waivers.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Special FDA Expedited Review and Approval Programs</w:t>
      </w:r>
    </w:p>
    <w:p>
      <w:pPr>
        <w:spacing w:after="0" w:line="209"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7"/>
          <w:szCs w:val="17"/>
          <w:color w:val="auto"/>
        </w:rPr>
        <w:t>The FDA has various programs, including Fast Track designation, Priority Review and Breakthrough designation, which are intended to expedite or simplify the process for the development and FDA review of certain drug products that are intended for the treatment of serious or life 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73" w:lineRule="exact"/>
        <w:rPr>
          <w:sz w:val="20"/>
          <w:szCs w:val="20"/>
          <w:color w:val="auto"/>
        </w:rPr>
      </w:pPr>
    </w:p>
    <w:p>
      <w:pPr>
        <w:ind w:firstLine="750"/>
        <w:spacing w:after="0" w:line="275" w:lineRule="auto"/>
        <w:rPr>
          <w:sz w:val="20"/>
          <w:szCs w:val="20"/>
          <w:color w:val="auto"/>
        </w:rPr>
      </w:pPr>
      <w:r>
        <w:rPr>
          <w:rFonts w:ascii="Times New Roman" w:cs="Times New Roman" w:eastAsia="Times New Roman" w:hAnsi="Times New Roman"/>
          <w:sz w:val="16"/>
          <w:szCs w:val="16"/>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w:t>
      </w:r>
    </w:p>
    <w:p>
      <w:pPr>
        <w:spacing w:after="0" w:line="158"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7"/>
          <w:szCs w:val="17"/>
          <w:color w:val="auto"/>
        </w:rPr>
        <w:t>In addition, if an applicant obtains “rolling review” the FDA may accept and initiate review of sections of an NDA before the application submission is complete, although it is not guaranteed that FDA will commence review before the application submission is complete, and the timing of the review depends on a number of factors including availability of review personnel at the FDA, and competing agency priorities among other things. The applicant must provide, and the FDA must agree to a schedule for the remaining information after the initial section of the NDA.</w:t>
      </w:r>
    </w:p>
    <w:p>
      <w:pPr>
        <w:spacing w:after="0" w:line="173" w:lineRule="exact"/>
        <w:rPr>
          <w:sz w:val="20"/>
          <w:szCs w:val="20"/>
          <w:color w:val="auto"/>
        </w:rPr>
      </w:pPr>
    </w:p>
    <w:p>
      <w:pPr>
        <w:ind w:right="20" w:firstLine="750"/>
        <w:spacing w:after="0" w:line="207" w:lineRule="exact"/>
        <w:rPr>
          <w:sz w:val="20"/>
          <w:szCs w:val="20"/>
          <w:color w:val="auto"/>
        </w:rPr>
      </w:pPr>
      <w:r>
        <w:rPr>
          <w:rFonts w:ascii="Times New Roman" w:cs="Times New Roman" w:eastAsia="Times New Roman" w:hAnsi="Times New Roman"/>
          <w:sz w:val="17"/>
          <w:szCs w:val="17"/>
          <w:color w:val="auto"/>
        </w:rPr>
        <w:t>In some cases, a Fast Track product may be eligible for Accelerated Approval or Priority Review. The FDA may give a Priority Review designation to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application within six months of receipt, rather than the standard review of ten months under current PDUFA guidelines, of the 60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day filing date for NMEs and within six months of the submission receipt date for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NMEs. Products that are eligible for Fast Track designation may also be considered appropriate to receive a Priority Review.</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60" w:firstLine="750"/>
        <w:spacing w:after="0" w:line="205" w:lineRule="exact"/>
        <w:rPr>
          <w:sz w:val="20"/>
          <w:szCs w:val="20"/>
          <w:color w:val="auto"/>
        </w:rPr>
      </w:pPr>
      <w:r>
        <w:rPr>
          <w:rFonts w:ascii="Times New Roman" w:cs="Times New Roman" w:eastAsia="Times New Roman" w:hAnsi="Times New Roman"/>
          <w:sz w:val="17"/>
          <w:szCs w:val="17"/>
          <w:color w:val="auto"/>
        </w:rPr>
        <w:t>Moreover, under the provisions of the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cross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disciplinary review.</w:t>
      </w:r>
    </w:p>
    <w:p>
      <w:pPr>
        <w:spacing w:after="0" w:line="170" w:lineRule="exact"/>
        <w:rPr>
          <w:sz w:val="20"/>
          <w:szCs w:val="20"/>
          <w:color w:val="auto"/>
        </w:rPr>
      </w:pPr>
    </w:p>
    <w:p>
      <w:pPr>
        <w:ind w:right="120" w:firstLine="750"/>
        <w:spacing w:after="0" w:line="271" w:lineRule="auto"/>
        <w:rPr>
          <w:sz w:val="20"/>
          <w:szCs w:val="20"/>
          <w:color w:val="auto"/>
        </w:rPr>
      </w:pPr>
      <w:r>
        <w:rPr>
          <w:rFonts w:ascii="Times New Roman" w:cs="Times New Roman" w:eastAsia="Times New Roman" w:hAnsi="Times New Roman"/>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3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i w:val="1"/>
          <w:iCs w:val="1"/>
          <w:color w:val="auto"/>
        </w:rPr>
        <w:t>Post</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approval Requirements</w:t>
      </w:r>
    </w:p>
    <w:p>
      <w:pPr>
        <w:spacing w:after="0" w:line="231" w:lineRule="exact"/>
        <w:rPr>
          <w:sz w:val="20"/>
          <w:szCs w:val="20"/>
          <w:color w:val="auto"/>
        </w:rPr>
      </w:pPr>
    </w:p>
    <w:p>
      <w:pPr>
        <w:ind w:right="80" w:firstLine="750"/>
        <w:spacing w:after="0" w:line="271" w:lineRule="auto"/>
        <w:rPr>
          <w:sz w:val="20"/>
          <w:szCs w:val="20"/>
          <w:color w:val="auto"/>
        </w:rPr>
      </w:pPr>
      <w:r>
        <w:rPr>
          <w:rFonts w:ascii="Times New Roman" w:cs="Times New Roman" w:eastAsia="Times New Roman" w:hAnsi="Times New Roman"/>
          <w:sz w:val="16"/>
          <w:szCs w:val="16"/>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Phase 4 clinical trials, REMS, and surveillance to assess safety and effectiveness after commercialization.</w:t>
      </w:r>
    </w:p>
    <w:p>
      <w:pPr>
        <w:spacing w:after="0" w:line="162" w:lineRule="exact"/>
        <w:rPr>
          <w:sz w:val="20"/>
          <w:szCs w:val="20"/>
          <w:color w:val="auto"/>
        </w:rPr>
      </w:pPr>
    </w:p>
    <w:p>
      <w:pPr>
        <w:ind w:firstLine="750"/>
        <w:spacing w:after="0" w:line="207" w:lineRule="exact"/>
        <w:rPr>
          <w:sz w:val="20"/>
          <w:szCs w:val="20"/>
          <w:color w:val="auto"/>
        </w:rPr>
      </w:pPr>
      <w:r>
        <w:rPr>
          <w:rFonts w:ascii="Times New Roman" w:cs="Times New Roman" w:eastAsia="Times New Roman" w:hAnsi="Times New Roman"/>
          <w:sz w:val="17"/>
          <w:szCs w:val="17"/>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w:t>
      </w:r>
    </w:p>
    <w:p>
      <w:pPr>
        <w:spacing w:after="0" w:line="167" w:lineRule="exact"/>
        <w:rPr>
          <w:sz w:val="20"/>
          <w:szCs w:val="20"/>
          <w:color w:val="auto"/>
        </w:rPr>
      </w:pPr>
    </w:p>
    <w:p>
      <w:pPr>
        <w:ind w:firstLine="750"/>
        <w:spacing w:after="0" w:line="204" w:lineRule="exact"/>
        <w:rPr>
          <w:sz w:val="20"/>
          <w:szCs w:val="20"/>
          <w:color w:val="auto"/>
        </w:rPr>
      </w:pPr>
      <w:r>
        <w:rPr>
          <w:rFonts w:ascii="Times New Roman" w:cs="Times New Roman" w:eastAsia="Times New Roman" w:hAnsi="Times New Roman"/>
          <w:sz w:val="17"/>
          <w:szCs w:val="17"/>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 that the sponsor may decide to use. Accordingly, manufacturers must continue to expend time, money, and effort in the area of production and quality control to maintain cGMP compliance.</w:t>
      </w:r>
    </w:p>
    <w:p>
      <w:pPr>
        <w:spacing w:after="0" w:line="186" w:lineRule="exact"/>
        <w:rPr>
          <w:sz w:val="20"/>
          <w:szCs w:val="20"/>
          <w:color w:val="auto"/>
        </w:rPr>
      </w:pPr>
    </w:p>
    <w:p>
      <w:pPr>
        <w:jc w:val="both"/>
        <w:ind w:right="60" w:firstLine="750"/>
        <w:spacing w:after="0" w:line="268" w:lineRule="auto"/>
        <w:rPr>
          <w:sz w:val="20"/>
          <w:szCs w:val="20"/>
          <w:color w:val="auto"/>
        </w:rPr>
      </w:pPr>
      <w:r>
        <w:rPr>
          <w:rFonts w:ascii="Times New Roman" w:cs="Times New Roman" w:eastAsia="Times New Roman" w:hAnsi="Times New Roman"/>
          <w:sz w:val="16"/>
          <w:szCs w:val="16"/>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w:t>
      </w:r>
    </w:p>
    <w:p>
      <w:pPr>
        <w:spacing w:after="0" w:line="1" w:lineRule="exact"/>
        <w:rPr>
          <w:sz w:val="20"/>
          <w:szCs w:val="20"/>
          <w:color w:val="auto"/>
        </w:rPr>
      </w:pPr>
    </w:p>
    <w:p>
      <w:pPr>
        <w:ind w:right="80"/>
        <w:spacing w:after="0" w:line="200" w:lineRule="exact"/>
        <w:rPr>
          <w:sz w:val="20"/>
          <w:szCs w:val="20"/>
          <w:color w:val="auto"/>
        </w:rPr>
      </w:pPr>
      <w:r>
        <w:rPr>
          <w:rFonts w:ascii="Times New Roman" w:cs="Times New Roman" w:eastAsia="Times New Roman" w:hAnsi="Times New Roman"/>
          <w:sz w:val="17"/>
          <w:szCs w:val="17"/>
          <w:color w:val="auto"/>
        </w:rPr>
        <w:t>Pharmaceutical companies, however, are required to promote their drug products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label uses, and a company that is found to have improperly promoted off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False Claims Act exposure. Further, the FDA has not materially changed its position on off-label promotion following legal setbacks on First Amendment grounds and the DOJ has consistently asserted in FCA briefings that “speech that serves as a conduit for violations of the law is not constitutionally protected.”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Commercial products must meet the requirements of the Drug Supply Chain Security Act, or DSCSA, which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enforcement discretion on certain aspects due to the COVID-19 pandemic. The distribution of product samples continues to be regulated under the PDMA, and some states also impose regulations on drug sample distribution.</w:t>
      </w:r>
    </w:p>
    <w:p>
      <w:pPr>
        <w:spacing w:after="0" w:line="177" w:lineRule="exact"/>
        <w:rPr>
          <w:sz w:val="20"/>
          <w:szCs w:val="20"/>
          <w:color w:val="auto"/>
        </w:rPr>
      </w:pPr>
    </w:p>
    <w:p>
      <w:pPr>
        <w:ind w:firstLine="750"/>
        <w:spacing w:after="0" w:line="202" w:lineRule="exact"/>
        <w:rPr>
          <w:sz w:val="20"/>
          <w:szCs w:val="20"/>
          <w:color w:val="auto"/>
        </w:rPr>
      </w:pPr>
      <w:r>
        <w:rPr>
          <w:rFonts w:ascii="Times New Roman" w:cs="Times New Roman" w:eastAsia="Times New Roman" w:hAnsi="Times New Roman"/>
          <w:sz w:val="17"/>
          <w:szCs w:val="17"/>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Fraud and Abuse, and Transparency Laws and Regulations</w:t>
      </w:r>
    </w:p>
    <w:p>
      <w:pPr>
        <w:spacing w:after="0" w:line="209" w:lineRule="exact"/>
        <w:rPr>
          <w:sz w:val="20"/>
          <w:szCs w:val="20"/>
          <w:color w:val="auto"/>
        </w:rPr>
      </w:pPr>
    </w:p>
    <w:p>
      <w:pPr>
        <w:ind w:right="40" w:firstLine="750"/>
        <w:spacing w:after="0" w:line="206" w:lineRule="exact"/>
        <w:rPr>
          <w:sz w:val="20"/>
          <w:szCs w:val="20"/>
          <w:color w:val="auto"/>
        </w:rPr>
      </w:pPr>
      <w:r>
        <w:rPr>
          <w:rFonts w:ascii="Times New Roman" w:cs="Times New Roman" w:eastAsia="Times New Roman" w:hAnsi="Times New Roman"/>
          <w:sz w:val="16"/>
          <w:szCs w:val="16"/>
          <w:color w:val="auto"/>
        </w:rPr>
        <w:t>Our business activities, including but not limited to research, sales, promotion, marketing, distribution, medical education, sponsorships, relationships with prescribers and other referral sources are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&amp; Medicaid Services, or CMS the Office of Inspector General, or OIG, and the Health Resources and Services Administration, or HRSA, the Department of Veterans Affairs, the Department of Defense, and certain state and local governments. Our business activities must comply with numerous healthcare laws, including but not limited to,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kickback and false claims laws and regulations as well as data privacy and security laws and regulations, which are described below.</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63" w:lineRule="auto"/>
        <w:rPr>
          <w:sz w:val="20"/>
          <w:szCs w:val="20"/>
          <w:color w:val="auto"/>
        </w:rPr>
      </w:pPr>
      <w:r>
        <w:rPr>
          <w:rFonts w:ascii="Times New Roman" w:cs="Times New Roman" w:eastAsia="Times New Roman" w:hAnsi="Times New Roman"/>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 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 Kickback Statute. The safe harbors are subject to change through legislative and regulatory action, and we may decide to adjust our business practices or be subject to heightened scrutiny as a result. Instead, the legality of the arrangement will be evaluated on a case-by-case basis based on a cumulative review of all of its facts and circumstances to determine whether one purpose of an arrangement involving remuneration is to induce referrals of federal healthcare covered business. Additionally, the intent standard under the Anti-Kickback Statute provides that a person or entity need not have actual knowledge of the statute or specific intent to violate it in order to have committed a violation. In addition, a claim including items or services resulting from a violation of the federal Anti-Kickback Statute constitutes a false or fraudulent claim for purposes of the federal civil False Claims Act. Therefore, either the federal government or private citizens under the False Claims Act’s qui tam provisions (discussed further below) can bring an action under the False Claims Act for violations of the Anti-Kickback Statute, potentially exposing an alleged violator to substantial monetary damages and penalties. Certain Anti-Kickback safe harbor provisions that protect the rebates paid by drug manufacturers to third parties may also be repealed or materially revised, as contemplated in a recent regulatory proposal.</w:t>
      </w:r>
    </w:p>
    <w:p>
      <w:pPr>
        <w:spacing w:after="0" w:line="176" w:lineRule="exact"/>
        <w:rPr>
          <w:sz w:val="20"/>
          <w:szCs w:val="20"/>
          <w:color w:val="auto"/>
        </w:rPr>
      </w:pPr>
    </w:p>
    <w:p>
      <w:pPr>
        <w:ind w:right="40" w:firstLine="750"/>
        <w:spacing w:after="0" w:line="266" w:lineRule="auto"/>
        <w:rPr>
          <w:sz w:val="20"/>
          <w:szCs w:val="20"/>
          <w:color w:val="auto"/>
        </w:rPr>
      </w:pPr>
      <w:r>
        <w:rPr>
          <w:rFonts w:ascii="Times New Roman" w:cs="Times New Roman" w:eastAsia="Times New Roman" w:hAnsi="Times New Roman"/>
          <w:sz w:val="16"/>
          <w:szCs w:val="16"/>
          <w:color w:val="auto"/>
        </w:rPr>
        <w:t>The government has asserted False Claims Act liability against manufacturers by alleging that improper arrangements with ordering physicians caused them or another provider to file false claims in violation of the False Claims Act or that manufacturers’ support of patient assistance programs improperly induced beneficiaries to choose their products in violation of the Anti-Kickback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 Additionally, the federal government has pursued electronic health record (EHR) vendors and pharmaceutical manufacturers for remunerative relationships involving the EHR platform’s recommendation of particular drugs and “prompting” technology to increase prescribing of particular drugs.</w:t>
      </w:r>
    </w:p>
    <w:p>
      <w:pPr>
        <w:spacing w:after="0" w:line="167" w:lineRule="exact"/>
        <w:rPr>
          <w:sz w:val="20"/>
          <w:szCs w:val="20"/>
          <w:color w:val="auto"/>
        </w:rPr>
      </w:pPr>
    </w:p>
    <w:p>
      <w:pPr>
        <w:ind w:right="100" w:firstLine="750"/>
        <w:spacing w:after="0" w:line="254" w:lineRule="auto"/>
        <w:rPr>
          <w:sz w:val="20"/>
          <w:szCs w:val="20"/>
          <w:color w:val="auto"/>
        </w:rPr>
      </w:pPr>
      <w:r>
        <w:rPr>
          <w:rFonts w:ascii="Times New Roman" w:cs="Times New Roman" w:eastAsia="Times New Roman" w:hAnsi="Times New Roman"/>
          <w:sz w:val="17"/>
          <w:szCs w:val="17"/>
          <w:color w:val="auto"/>
        </w:rPr>
        <w:t>The ACA further created new federal requirements for reporting under the Physician Payments Sunshine Act, or the Sunshine Act, by applicable manufacturers of covered drugs, payments and other transfers of value to physicians and teaching hospitals, and ownership and investment interests held by physicians and their immediate family members. The Sunshine Act’s tracking requirement is now extended to payments and transfers of value to physician assistants, nurse practitioners, and other mid-level practitioners, with reporting requirements for these additional mid-level practitioners going into effect in 2022.</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63" w:lineRule="auto"/>
        <w:rPr>
          <w:sz w:val="20"/>
          <w:szCs w:val="20"/>
          <w:color w:val="auto"/>
        </w:rPr>
      </w:pPr>
      <w:r>
        <w:rPr>
          <w:rFonts w:ascii="Times New Roman" w:cs="Times New Roman" w:eastAsia="Times New Roman" w:hAnsi="Times New Roman"/>
          <w:sz w:val="16"/>
          <w:szCs w:val="16"/>
          <w:color w:val="auto"/>
        </w:rPr>
        <w:t>The federal civil False Claims Act, or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directly or indirectly to the U.S. government. The civil False Claims Act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Intent to deceive is not required to establish liability under the civil False Claims Act; however, a November 2017 Department of Justice memorandum now prohibits the use of subregulatory guidance documents to impose new or more stringent requirements on entities outside the Executive Branch of the federal government. Because the Department has experienced recent administration changes, it is unclear whether the new Attorney General will continue this policy.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False Claims Act lawsuits against pharmaceutical companies have increased significantly in volume and breadth, leading to several substantial civil and criminal settlements, as much as $3.0 billion, regarding certain sales practices and promoting off-label drug uses. For example, civil False Claims Act liability may be imposed for Medicare or Medicaid overpayments arising out of claims that were filed by providers but alleged to have been caused by manufacturers’ incentives, impermissible discounts, or overpayments caused by understated rebate amounts. False Claims Act enforcement may also arise from claims filed as the result of manufacturing marketing materials that contained inaccurate statements or provided certain reimbursement guidance.</w:t>
      </w:r>
    </w:p>
    <w:p>
      <w:pPr>
        <w:spacing w:after="0" w:line="172"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civil False Claims Act, requires proof of intent to submit a false claim. Similarly, the criminal healthcare fraud statutes impose criminal liability for, among other things, knowingly and willfully attempting or executing a scheme to defraud any healthcare benefit program, including private third-party payors, obtaining money or property of a benefit program by false or fraudulent means, or falsifying, concealing, or covering up a material fact or submitting a materially false statement in connection with the delivery of, or payment form healthcare benefits, items, or services. These statutes are not limited to items and services reimbursed by a governmental health care program and have been used to prosecute commercial insurance fraud as well.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360" w:firstLine="750"/>
        <w:spacing w:after="0" w:line="258" w:lineRule="auto"/>
        <w:rPr>
          <w:sz w:val="20"/>
          <w:szCs w:val="20"/>
          <w:color w:val="auto"/>
        </w:rPr>
      </w:pPr>
      <w:r>
        <w:rPr>
          <w:rFonts w:ascii="Times New Roman" w:cs="Times New Roman" w:eastAsia="Times New Roman" w:hAnsi="Times New Roman"/>
          <w:sz w:val="17"/>
          <w:szCs w:val="17"/>
          <w:color w:val="auto"/>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w:t>
      </w:r>
    </w:p>
    <w:p>
      <w:pPr>
        <w:spacing w:after="0" w:line="170" w:lineRule="exact"/>
        <w:rPr>
          <w:sz w:val="20"/>
          <w:szCs w:val="20"/>
          <w:color w:val="auto"/>
        </w:rPr>
      </w:pPr>
    </w:p>
    <w:p>
      <w:pPr>
        <w:ind w:right="140" w:firstLine="750"/>
        <w:spacing w:after="0" w:line="266" w:lineRule="auto"/>
        <w:rPr>
          <w:sz w:val="20"/>
          <w:szCs w:val="20"/>
          <w:color w:val="auto"/>
        </w:rPr>
      </w:pPr>
      <w:r>
        <w:rPr>
          <w:rFonts w:ascii="Times New Roman" w:cs="Times New Roman" w:eastAsia="Times New Roman" w:hAnsi="Times New Roman"/>
          <w:sz w:val="16"/>
          <w:szCs w:val="16"/>
          <w:color w:val="auto"/>
        </w:rPr>
        <w:t>The exclusion statute requires the exclusion of entities and individuals who have been convicted of federal-program related crimes or health care felony fraud or controlled substance charges. The statute also permits the exclusion of those that have been convicted of any form of fraud, the anti-kickback statute, for obstructing an investigation or audit, misdemeanor-controlled substance charges, those whose health care license has been revoked or suspended, and those who have filed claims for excessive charges or unnecessary services. If a company were to be excluded, its products would be ineligible for reimbursement from any federal programs, including Medicare and Medicaid, and no other entity participating in those programs would be permitted to enter into contracts with the company.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spacing w:after="0" w:line="167" w:lineRule="exact"/>
        <w:rPr>
          <w:sz w:val="20"/>
          <w:szCs w:val="20"/>
          <w:color w:val="auto"/>
        </w:rPr>
      </w:pPr>
    </w:p>
    <w:p>
      <w:pPr>
        <w:ind w:firstLine="750"/>
        <w:spacing w:after="0" w:line="271" w:lineRule="auto"/>
        <w:rPr>
          <w:sz w:val="20"/>
          <w:szCs w:val="20"/>
          <w:color w:val="auto"/>
        </w:rPr>
      </w:pPr>
      <w:r>
        <w:rPr>
          <w:rFonts w:ascii="Times New Roman" w:cs="Times New Roman" w:eastAsia="Times New Roman" w:hAnsi="Times New Roman"/>
          <w:sz w:val="17"/>
          <w:szCs w:val="17"/>
          <w:color w:val="auto"/>
        </w:rPr>
        <w:t>The compliance and enforcement landscape, and related risk, is informed by government litigation and settlement precedent, Advisory Opinions, and Special Fraud Alerts. Our approach to compliance may evolve over time in light of these types of developments.</w:t>
      </w:r>
    </w:p>
    <w:p>
      <w:pPr>
        <w:spacing w:after="0" w:line="159" w:lineRule="exact"/>
        <w:rPr>
          <w:sz w:val="20"/>
          <w:szCs w:val="20"/>
          <w:color w:val="auto"/>
        </w:rPr>
      </w:pPr>
    </w:p>
    <w:p>
      <w:pPr>
        <w:ind w:right="120" w:firstLine="750"/>
        <w:spacing w:after="0" w:line="202" w:lineRule="exact"/>
        <w:rPr>
          <w:sz w:val="20"/>
          <w:szCs w:val="20"/>
          <w:color w:val="auto"/>
        </w:rPr>
      </w:pPr>
      <w:r>
        <w:rPr>
          <w:rFonts w:ascii="Times New Roman" w:cs="Times New Roman" w:eastAsia="Times New Roman" w:hAnsi="Times New Roman"/>
          <w:sz w:val="17"/>
          <w:szCs w:val="17"/>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certain drugs. For drugs paid under Medicare Part B, manufacturers must also calculate and report their Average Sales Price, which is used to determine the Medicare Part B payment rate for the drug. Drugs that are approved under a Biologic License Application, or BLA, or an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All of these price reporting requirements create risk of submitting false information to the government and resulting potential FCA liability.</w:t>
      </w:r>
    </w:p>
    <w:p>
      <w:pPr>
        <w:spacing w:after="0" w:line="190"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Drug Pricing Program and report the ceiling price to HRSA within Department of Health and Human Services. Manufacturers can be audited by HRSA and be subjected to civil monetary penalties for knowingly and intentionally overcharging covered entities for drugs.</w:t>
      </w:r>
    </w:p>
    <w:p>
      <w:pPr>
        <w:spacing w:after="0" w:line="180" w:lineRule="exact"/>
        <w:rPr>
          <w:sz w:val="20"/>
          <w:szCs w:val="20"/>
          <w:color w:val="auto"/>
        </w:rPr>
      </w:pPr>
    </w:p>
    <w:p>
      <w:pPr>
        <w:ind w:firstLine="750"/>
        <w:spacing w:after="0" w:line="269" w:lineRule="auto"/>
        <w:rPr>
          <w:sz w:val="20"/>
          <w:szCs w:val="20"/>
          <w:color w:val="auto"/>
        </w:rPr>
      </w:pPr>
      <w:r>
        <w:rPr>
          <w:rFonts w:ascii="Times New Roman" w:cs="Times New Roman" w:eastAsia="Times New Roman" w:hAnsi="Times New Roman"/>
          <w:sz w:val="16"/>
          <w:szCs w:val="16"/>
          <w:color w:val="auto"/>
        </w:rPr>
        <w:t>The federal Health Insurance Portability and Accountability Act of 1996, or HIPAA,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60" w:firstLine="750"/>
        <w:spacing w:after="0" w:line="248" w:lineRule="auto"/>
        <w:rPr>
          <w:sz w:val="20"/>
          <w:szCs w:val="20"/>
          <w:color w:val="auto"/>
        </w:rPr>
      </w:pPr>
      <w:r>
        <w:rPr>
          <w:rFonts w:ascii="Times New Roman" w:cs="Times New Roman" w:eastAsia="Times New Roman" w:hAnsi="Times New Roman"/>
          <w:sz w:val="17"/>
          <w:szCs w:val="17"/>
          <w:color w:val="auto"/>
        </w:rPr>
        <w:t>Further, we may be subject to data privacy and security regulation by both the federal government and the states in which we conduct our business. HIPAA, as amended by the Health Information Technology for Economic and Clinical Health Act, or HITECH, and its respective implementing regulations, extended certain requirements relating to the privacy, security, and transmission of individually identifiable health information directly to business associates and HIPAA-covered entities. While we would not be a “covered entity” under HIPAA, it is possible that we may enter into a service or business arrangement that would cause us to serve as a business associate, defined as a person or organization, other than a member of a covered entity’s workforce, that performs certain functions or activities that involve the use or disclosure of protected health information on behalf of, or provides services to, a covered entity. We are not a covered entity under HIPAA but in certain limited situations, we may be considered a business associate.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spacing w:after="0" w:line="180"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Even for entities that are not deemed “covered entities” or “business associates” under HIPAA, according to the United States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spacing w:after="0" w:line="176" w:lineRule="exact"/>
        <w:rPr>
          <w:sz w:val="20"/>
          <w:szCs w:val="20"/>
          <w:color w:val="auto"/>
        </w:rPr>
      </w:pPr>
    </w:p>
    <w:p>
      <w:pPr>
        <w:jc w:val="both"/>
        <w:ind w:right="120" w:firstLine="750"/>
        <w:spacing w:after="0" w:line="258" w:lineRule="auto"/>
        <w:rPr>
          <w:sz w:val="20"/>
          <w:szCs w:val="20"/>
          <w:color w:val="auto"/>
        </w:rPr>
      </w:pPr>
      <w:r>
        <w:rPr>
          <w:rFonts w:ascii="Times New Roman" w:cs="Times New Roman" w:eastAsia="Times New Roman" w:hAnsi="Times New Roman"/>
          <w:sz w:val="17"/>
          <w:szCs w:val="17"/>
          <w:color w:val="auto"/>
        </w:rPr>
        <w:t>In addition to the laws discussed above, we may see more stringent state and federal privacy legislation in the future, as the increased cyber-attacks during the pandemic have heightened attention to data privacy and security in the U.S. and other jurisdictions. We cannot predict where new legislation might arise, the scope of such legislation, or the potential impact to our business and operations.</w:t>
      </w:r>
    </w:p>
    <w:p>
      <w:pPr>
        <w:spacing w:after="0" w:line="170" w:lineRule="exact"/>
        <w:rPr>
          <w:sz w:val="20"/>
          <w:szCs w:val="20"/>
          <w:color w:val="auto"/>
        </w:rPr>
      </w:pPr>
    </w:p>
    <w:p>
      <w:pPr>
        <w:ind w:right="40" w:firstLine="750"/>
        <w:spacing w:after="0" w:line="248" w:lineRule="auto"/>
        <w:rPr>
          <w:sz w:val="20"/>
          <w:szCs w:val="20"/>
          <w:color w:val="auto"/>
        </w:rPr>
      </w:pPr>
      <w:r>
        <w:rPr>
          <w:rFonts w:ascii="Times New Roman" w:cs="Times New Roman" w:eastAsia="Times New Roman" w:hAnsi="Times New Roman"/>
          <w:sz w:val="17"/>
          <w:szCs w:val="17"/>
          <w:color w:val="auto"/>
        </w:rPr>
        <w:t>In addition, other federal and state laws may govern the privacy and security of health and other information in certain circumstances, many of which differ from each other in significant ways and may not have the same effect, thus complicating compliance efforts. For example, California recently enacted legislation – the California Consumer Privacy Act, or CCPA, was made effective January 1, 2020, and was recently amended and expanded by the California Privacy Rights Act (CPRA) passed on November 3, 2020. While the majority of the CPRA’s substantive provisions will not take effect until January 1, 2023, the CPRA’s expansion of the “Right to Know” impacts personal information collected on or after January 1, 2022. Companies must still comply with the CCPA during the ramp up period before CPRA goes into effect. The CCPA and CPRA, among other things, create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82"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Many states have also adopted laws similar to each of the above federal laws, which may be broader in scope and apply to items or services reimbursed by any third-party payor, including commercial insurers, and some have transparency laws that require reporting price increases and related information. Certain state laws also regulate manufacturers’ use of prescriber 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regulatory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pharmaceutical companies and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176"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175" w:lineRule="exact"/>
        <w:rPr>
          <w:sz w:val="20"/>
          <w:szCs w:val="20"/>
          <w:color w:val="auto"/>
        </w:rPr>
      </w:pPr>
    </w:p>
    <w:p>
      <w:pPr>
        <w:ind w:right="120" w:firstLine="750"/>
        <w:spacing w:after="0" w:line="206" w:lineRule="exact"/>
        <w:rPr>
          <w:sz w:val="20"/>
          <w:szCs w:val="20"/>
          <w:color w:val="auto"/>
        </w:rPr>
      </w:pPr>
      <w:r>
        <w:rPr>
          <w:rFonts w:ascii="Times New Roman" w:cs="Times New Roman" w:eastAsia="Times New Roman" w:hAnsi="Times New Roman"/>
          <w:sz w:val="17"/>
          <w:szCs w:val="17"/>
          <w:color w:val="auto"/>
        </w:rPr>
        <w:t>To the extent that any of our products are sold in a foreign country, we may be subject to similar foreign laws and regulations, which may include, for instance, applicable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marketing requirements, including safety surveillance,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fraud and abuse laws, and implementation of corporate compliance programs and reporting of payments or transfers of value to healthcare professionals.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Coverage and Reimbursement Generally</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commercial success of our products depends in part on the extent to which governmental payor programs at the federal and state levels, including</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Medicare and Medicaid, private health insurers, and other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provide coverage for and establish adequate reimbursement levels for our product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candidates. Government authorities, private health insurers, and other organizations generally decide which drugs they will pay for and establish reimbursement levels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potential access restrictions. Medicare is a federally funded program managed by the Centers for Medicare and Medicaid Services, or CMS, through local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contractors that administer coverage and reimbursement for certain healthcare items and services furnished to the elderly and disabled. Medicaid is an insurance</w:t>
      </w:r>
    </w:p>
    <w:p>
      <w:pPr>
        <w:spacing w:after="0" w:line="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program for certain categories of patients whose income and assets fall below state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defined levels and who are otherwise uninsured that is both federally and state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funded and managed by each state. The federal government sets general guidelines for Medicaid and each state creates specific regulations that govern its individual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program, including supplemental rebate programs that prioritize coverage for drugs on the state Preferred Drug List. Similarly, government laws and regulations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establish the parameters for coverage of prescription drugs by Tricare, the health care program for military personnel, retirees, and related beneficiaries. Many states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also created pharmacy assistance programs for individuals who do not qualify for federal programs. In the United States, private health insurers and other</w:t>
      </w:r>
    </w:p>
    <w:p>
      <w:pPr>
        <w:spacing w:after="0" w:line="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often provide reimbursement for products and services based on the level at which the government provides reimbursement through the Medicare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Medicaid programs for such products and services.</w:t>
      </w:r>
    </w:p>
    <w:p>
      <w:pPr>
        <w:spacing w:after="0" w:line="161" w:lineRule="exact"/>
        <w:rPr>
          <w:sz w:val="20"/>
          <w:szCs w:val="20"/>
          <w:color w:val="auto"/>
        </w:rPr>
      </w:pPr>
    </w:p>
    <w:p>
      <w:pPr>
        <w:ind w:right="20" w:firstLine="750"/>
        <w:spacing w:after="0" w:line="206" w:lineRule="exact"/>
        <w:rPr>
          <w:sz w:val="20"/>
          <w:szCs w:val="20"/>
          <w:color w:val="auto"/>
        </w:rPr>
      </w:pPr>
      <w:r>
        <w:rPr>
          <w:rFonts w:ascii="Times New Roman" w:cs="Times New Roman" w:eastAsia="Times New Roman" w:hAnsi="Times New Roman"/>
          <w:sz w:val="17"/>
          <w:szCs w:val="17"/>
          <w:color w:val="auto"/>
        </w:rPr>
        <w:t>In the United States, the European Union, and other potentially significant markets for our product candidates, government authorities and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are increasingly attempting to limit or regulate the price of medical products and services, particularly for new and innovative products and therapies, which often has resulted in average selling prices lower than they would otherwise be. For example, in the United States, federal and state governments reimburse covered prescription drugs at varying rates generally below average wholesale price. Governmental and private payors may also establish certain access restrictions, such as prior approvals or evidence of failure on existing medications or therapies. These restrictions and limitations influence the purchase of healthcare services and products.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are developing increasingly sophisticated methods of controlling healthcare costs.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may limit coverage to specific drug products on an approved list, or formulary, which might not include all of the FDA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approved drug products for a particular indication.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also control costs by requiring prior authorization or imposing other dispensing restrictions before covering certain products and by broadening therapeutic classes to increase competition.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are increasingly challenging the price and examining the medical necessity and 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effectiveness of medical products and services, in addition to their safety and efficacy. Absent clinical differentiators,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may treat products as therapeutically equivalent and base formulary decisions on net cost. To lower the prescription cost, manufacturers frequently rebate a portion of the prescription price to the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0" w:firstLine="750"/>
        <w:spacing w:after="0" w:line="252" w:lineRule="auto"/>
        <w:rPr>
          <w:sz w:val="20"/>
          <w:szCs w:val="20"/>
          <w:color w:val="auto"/>
        </w:rPr>
      </w:pPr>
      <w:r>
        <w:rPr>
          <w:rFonts w:ascii="Times New Roman" w:cs="Times New Roman" w:eastAsia="Times New Roman" w:hAnsi="Times New Roman"/>
          <w:sz w:val="17"/>
          <w:szCs w:val="17"/>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75" w:lineRule="exact"/>
        <w:rPr>
          <w:sz w:val="20"/>
          <w:szCs w:val="20"/>
          <w:color w:val="auto"/>
        </w:rPr>
      </w:pPr>
    </w:p>
    <w:p>
      <w:pPr>
        <w:ind w:right="180" w:firstLine="750"/>
        <w:spacing w:after="0" w:line="254" w:lineRule="auto"/>
        <w:rPr>
          <w:sz w:val="20"/>
          <w:szCs w:val="20"/>
          <w:color w:val="auto"/>
        </w:rPr>
      </w:pPr>
      <w:r>
        <w:rPr>
          <w:rFonts w:ascii="Times New Roman" w:cs="Times New Roman" w:eastAsia="Times New Roman" w:hAnsi="Times New Roman"/>
          <w:sz w:val="17"/>
          <w:szCs w:val="17"/>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173" w:lineRule="exact"/>
        <w:rPr>
          <w:sz w:val="20"/>
          <w:szCs w:val="20"/>
          <w:color w:val="auto"/>
        </w:rPr>
      </w:pPr>
    </w:p>
    <w:p>
      <w:pPr>
        <w:ind w:firstLine="750"/>
        <w:spacing w:after="0" w:line="204" w:lineRule="exact"/>
        <w:rPr>
          <w:sz w:val="20"/>
          <w:szCs w:val="20"/>
          <w:color w:val="auto"/>
        </w:rPr>
      </w:pPr>
      <w:r>
        <w:rPr>
          <w:rFonts w:ascii="Times New Roman" w:cs="Times New Roman" w:eastAsia="Times New Roman" w:hAnsi="Times New Roman"/>
          <w:sz w:val="17"/>
          <w:szCs w:val="17"/>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and health technology assessment bodies,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w:t>
      </w:r>
    </w:p>
    <w:p>
      <w:pPr>
        <w:spacing w:after="0" w:line="143" w:lineRule="exact"/>
        <w:rPr>
          <w:sz w:val="20"/>
          <w:szCs w:val="20"/>
          <w:color w:val="auto"/>
        </w:rPr>
      </w:pPr>
    </w:p>
    <w:p>
      <w:pPr>
        <w:ind w:right="40" w:firstLine="750"/>
        <w:spacing w:after="0" w:line="221" w:lineRule="exact"/>
        <w:rPr>
          <w:sz w:val="20"/>
          <w:szCs w:val="20"/>
          <w:color w:val="auto"/>
        </w:rPr>
      </w:pPr>
      <w:r>
        <w:rPr>
          <w:rFonts w:ascii="Times New Roman" w:cs="Times New Roman" w:eastAsia="Times New Roman" w:hAnsi="Times New Roman"/>
          <w:sz w:val="16"/>
          <w:szCs w:val="16"/>
          <w:color w:val="auto"/>
        </w:rPr>
        <w:t>As a result of the above, we may need to conduct expensive pharmacoeconomic studies in order to demonstrate the medical necessity and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effectiveness of our products, in addition to the costs required to obtain the FDA and other comparable foreign regulatory authority approvals. Our product candidates may not be considered medically necessary or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 or the rebate percentages required to secure coverage may not yield an adequate margin over cost.</w:t>
      </w:r>
    </w:p>
    <w:p>
      <w:pPr>
        <w:spacing w:after="0" w:line="167" w:lineRule="exact"/>
        <w:rPr>
          <w:sz w:val="20"/>
          <w:szCs w:val="20"/>
          <w:color w:val="auto"/>
        </w:rPr>
      </w:pPr>
    </w:p>
    <w:p>
      <w:pPr>
        <w:ind w:right="20" w:firstLine="750"/>
        <w:spacing w:after="0" w:line="247" w:lineRule="auto"/>
        <w:rPr>
          <w:sz w:val="20"/>
          <w:szCs w:val="20"/>
          <w:color w:val="auto"/>
        </w:rPr>
      </w:pPr>
      <w:r>
        <w:rPr>
          <w:rFonts w:ascii="Times New Roman" w:cs="Times New Roman" w:eastAsia="Times New Roman" w:hAnsi="Times New Roman"/>
          <w:sz w:val="17"/>
          <w:szCs w:val="17"/>
          <w:color w:val="auto"/>
        </w:rPr>
        <w:t>There is often pressure to renegotiate pricing and reimbursement levels, including, in particular, in connection with changes to Medicare. Third-party payors continue to demand discounted fee structures, and the trend toward consolidation among third-party payors tends to increase their bargaining power over price structures. If third-party payors reduce their rates for our products, then our revenue and profitability may decline, and our operating margins will be reduced. Because some third-party payors rely on all or portions of Medicare payment systems to determine payment rates, changes to government healthcare programs that reduce payments under these programs may negatively impact payments from third-party payors. Our inability to maintain suitable financial arrangements with third-party payors could have a material adverse impact on our business. Additionally, the reimbursement process is complex and can involve lengthy delays. Third party payors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 party payors.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Any marketing efforts that are determined to have violated such policies could result in the denial or removal of our products from that hospital’s formulary.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Moreover, a payor’s decision to provide coverage for a drug product does not imply that an adequate reimbursement rate will be approved. Adequate</w:t>
      </w:r>
    </w:p>
    <w:p>
      <w:pPr>
        <w:spacing w:after="0" w:line="2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reimbursement may not be available to enable us to maintain price levels sufficient to realize an appropriate return on our investment in drug development.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Legislative proposals to reform healthcare or reduce costs under government insurance programs may result in lower reimbursement for our products and product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candidates or exclusion of our products and product candidates from coverage. The cost containment measures that healthcare payors and providers are instituting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healthcare reform could significantly reduce our revenues from the sale of any approved product candidates. We cannot provide any assurances that we will be able</w:t>
      </w:r>
    </w:p>
    <w:p>
      <w:pPr>
        <w:spacing w:after="0" w:line="16"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to obtain and maintain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coverage or adequate reimbursement for our product candidates in whole or in part.</w:t>
      </w:r>
    </w:p>
    <w:p>
      <w:pPr>
        <w:spacing w:after="0" w:line="188" w:lineRule="exact"/>
        <w:rPr>
          <w:sz w:val="20"/>
          <w:szCs w:val="20"/>
          <w:color w:val="auto"/>
        </w:rPr>
      </w:pPr>
    </w:p>
    <w:p>
      <w:pPr>
        <w:ind w:right="360" w:firstLine="750"/>
        <w:spacing w:after="0" w:line="258" w:lineRule="auto"/>
        <w:rPr>
          <w:sz w:val="20"/>
          <w:szCs w:val="20"/>
          <w:color w:val="auto"/>
        </w:rPr>
      </w:pPr>
      <w:r>
        <w:rPr>
          <w:rFonts w:ascii="Times New Roman" w:cs="Times New Roman" w:eastAsia="Times New Roman" w:hAnsi="Times New Roman"/>
          <w:sz w:val="17"/>
          <w:szCs w:val="17"/>
          <w:color w:val="auto"/>
        </w:rPr>
        <w:t>Pharmacy benefit managers, or PBM, rebates and pricing transparency are key areas of legislative and regulatory focus and there may be changes in the regulatory landscape that could have a significant impact on the pharmaceutical supply chain and drug pricing more generally, which could affect our business operations and prospects in unknown and material ways.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Healthcare Reform Measures</w:t>
      </w:r>
    </w:p>
    <w:p>
      <w:pPr>
        <w:spacing w:after="0" w:line="209" w:lineRule="exact"/>
        <w:rPr>
          <w:sz w:val="20"/>
          <w:szCs w:val="20"/>
          <w:color w:val="auto"/>
        </w:rPr>
      </w:pPr>
    </w:p>
    <w:p>
      <w:pPr>
        <w:ind w:right="240" w:firstLine="750"/>
        <w:spacing w:after="0" w:line="275" w:lineRule="auto"/>
        <w:rPr>
          <w:sz w:val="20"/>
          <w:szCs w:val="20"/>
          <w:color w:val="auto"/>
        </w:rPr>
      </w:pPr>
      <w:r>
        <w:rPr>
          <w:rFonts w:ascii="Times New Roman" w:cs="Times New Roman" w:eastAsia="Times New Roman" w:hAnsi="Times New Roman"/>
          <w:sz w:val="16"/>
          <w:szCs w:val="16"/>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58" w:lineRule="exact"/>
        <w:rPr>
          <w:sz w:val="20"/>
          <w:szCs w:val="20"/>
          <w:color w:val="auto"/>
        </w:rPr>
      </w:pPr>
    </w:p>
    <w:p>
      <w:pPr>
        <w:ind w:firstLine="750"/>
        <w:spacing w:after="0" w:line="202" w:lineRule="exact"/>
        <w:rPr>
          <w:sz w:val="20"/>
          <w:szCs w:val="20"/>
          <w:color w:val="auto"/>
        </w:rPr>
      </w:pPr>
      <w:r>
        <w:rPr>
          <w:rFonts w:ascii="Times New Roman" w:cs="Times New Roman" w:eastAsia="Times New Roman" w:hAnsi="Times New Roman"/>
          <w:sz w:val="17"/>
          <w:szCs w:val="17"/>
          <w:color w:val="auto"/>
        </w:rPr>
        <w:t>For example, the Medicare Prescription Drug, Improvement, and Modernization Act of 2003, or MMA, established a prescription drug benefit program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 receive marketing approval. However, Part D plans use competition for coverage to leverage manufacturer rebates. Further, the law requires manufacturers to absorb a significant percentage of the prescription price paid for NDA drugs, including 504(b)(2) drugs, during a beneficiary’s coverage gap. The Bipartisan Budget Act of 2018 permanently increased manufacturer liability for the prescription price in the coverage gap from 50% to 70% beginning in 2019, while simultaneously accelerating closure of the gap. These cost reduction initiatives and other provisions of the legislation, as well as any negotiated price discounts for our future products covered by a Part D prescription drug plan, may decrease the coverage and reimbursement rate that we receive, lower the net price realized on our sales to pharmacies, or both.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governmental payors.</w:t>
      </w:r>
    </w:p>
    <w:p>
      <w:pPr>
        <w:spacing w:after="0" w:line="184" w:lineRule="exact"/>
        <w:rPr>
          <w:sz w:val="20"/>
          <w:szCs w:val="20"/>
          <w:color w:val="auto"/>
        </w:rPr>
      </w:pPr>
    </w:p>
    <w:p>
      <w:pPr>
        <w:ind w:right="20" w:firstLine="750"/>
        <w:spacing w:after="0" w:line="202" w:lineRule="exact"/>
        <w:rPr>
          <w:sz w:val="20"/>
          <w:szCs w:val="20"/>
          <w:color w:val="auto"/>
        </w:rPr>
      </w:pPr>
      <w:r>
        <w:rPr>
          <w:rFonts w:ascii="Times New Roman" w:cs="Times New Roman" w:eastAsia="Times New Roman" w:hAnsi="Times New Roman"/>
          <w:sz w:val="17"/>
          <w:szCs w:val="17"/>
          <w:color w:val="auto"/>
        </w:rPr>
        <w:t>The ACA established the Patient-Centered Outcome Research Institute to organize and coordinate federally funded research to compare the effectiveness of different treatments for the same illness. Although the results of the comparative effectiveness studies are not intended to mandate coverage policies for public or private payors,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do not consider our product candidates to be 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64" w:lineRule="auto"/>
        <w:rPr>
          <w:sz w:val="20"/>
          <w:szCs w:val="20"/>
          <w:color w:val="auto"/>
        </w:rPr>
      </w:pPr>
      <w:r>
        <w:rPr>
          <w:rFonts w:ascii="Times New Roman" w:cs="Times New Roman" w:eastAsia="Times New Roman" w:hAnsi="Times New Roman"/>
          <w:sz w:val="16"/>
          <w:szCs w:val="16"/>
          <w:color w:val="auto"/>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 candidates.</w:t>
      </w:r>
    </w:p>
    <w:p>
      <w:pPr>
        <w:spacing w:after="0" w:line="172" w:lineRule="exact"/>
        <w:rPr>
          <w:sz w:val="20"/>
          <w:szCs w:val="20"/>
          <w:color w:val="auto"/>
        </w:rPr>
      </w:pPr>
    </w:p>
    <w:p>
      <w:pPr>
        <w:ind w:right="120" w:firstLine="750"/>
        <w:spacing w:after="0" w:line="254" w:lineRule="auto"/>
        <w:rPr>
          <w:sz w:val="20"/>
          <w:szCs w:val="20"/>
          <w:color w:val="auto"/>
        </w:rPr>
      </w:pPr>
      <w:r>
        <w:rPr>
          <w:rFonts w:ascii="Times New Roman" w:cs="Times New Roman" w:eastAsia="Times New Roman" w:hAnsi="Times New Roman"/>
          <w:sz w:val="17"/>
          <w:szCs w:val="17"/>
          <w:color w:val="auto"/>
        </w:rPr>
        <w:t>The ACA also imposed an affirmative obligation to report and repay any overpayments, including those payments that resulted from violations of the Anti-Kickback Statute, false claims act, or civil monetary penalties statute, within sixty (60) days after such overpayment has been identified. Corresponding case law imposes an obligation on entities to exercise reasonable diligence in identifying such overpayments. The failure to timely report and repay is, itself, considered to constitute a violation of the False Claims Act.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0" w:firstLine="750"/>
        <w:spacing w:after="0" w:line="246" w:lineRule="auto"/>
        <w:rPr>
          <w:sz w:val="20"/>
          <w:szCs w:val="20"/>
          <w:color w:val="auto"/>
        </w:rPr>
      </w:pPr>
      <w:r>
        <w:rPr>
          <w:rFonts w:ascii="Times New Roman" w:cs="Times New Roman" w:eastAsia="Times New Roman" w:hAnsi="Times New Roman"/>
          <w:sz w:val="17"/>
          <w:szCs w:val="17"/>
          <w:color w:val="auto"/>
        </w:rPr>
        <w:t>The cost of pharmaceuticals continues to generate substantial governmental and third-party payor interest, and pharmaceutical pricing and marketing currently received a great deal of Congressional and administrative attention. There have been numerous initiatives on the federal and state levels in the United States for comprehensive reforms affecting the payment for, the availability of, and reimbursement for, healthcare services. In particular,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 Congressional inquiries and proposed and enacted federal and state legislation have also been released and are designed to, among other things, bring more transparency to drug pricing, reduce the cost of prescription drugs under Medicare, review the relationship between pricing and manufacturer patient programs and reform government program reimbursement methodologies for drugs. Recent federal budget proposals have included measures to permit Medicare Part D plans to negotiate the price of certain drugs under Medicare Part B, to allow some states to negotiate drug prices under Medicaid, and to eliminate cost sharing for generic drugs for low-income patients. Current and future U.S. legislative healthcare reforms may result in price controls and other restrictions for any approved products, if covered, and could seriously harm our business. Drug pricing is and will remain a key bipartisan issue in the coming year. If drug pricing reform is not meaningfully addressed before the 2020 election, policies to be pursued in the future may be more aggressive, regardless of which party controls the White House. Given that drug pricing controls is a key legislative and administration priority, it is likely that additional pricing controls will be enacted and could harm our business, financial condition and results of operations. In August 2022, the Inflation Reduction Act of 2022 (IRA) was signed into law. The IRA includes several provisions that impose new manufacturer financial liability on all drugs in Medicare Part D beginning in 2025, allow the U.S. government to negotiate prices for some drugs covered under Medicare Part D beginning in 2026 and Medicare Part B beginning in 2028, and require companies to pay rebates to Medicare beginning in 2023 for drug prices that increase faster than inflation. Implementation of the IRA is expected to be carried out through upcoming actions by regulatory authorities, the outcome of which is uncertain.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states, such as California, have enacted transparency laws that require manufacturers to report drug price increases and related information. The boom in state laws targeting drug pricing is unprecedented and the requirements are not uniform from state to state, creating additional compliance and commercialization challenges for manufacturers. We further expect that the pharmaceutical industry will experience pricing pressures due to the trend toward managed healthcare, the increasing influence of managed care organizations, judicial interpretation of health care reform efforts, and additional legislative and regulatory proposals resulting in ongoing, relatively rapid changes to applicable laws and regulations. Our results of operations could be adversely affected by current and future healthcare reforms.</w:t>
      </w:r>
    </w:p>
    <w:p>
      <w:pPr>
        <w:spacing w:after="0" w:line="169" w:lineRule="exact"/>
        <w:rPr>
          <w:sz w:val="20"/>
          <w:szCs w:val="20"/>
          <w:color w:val="auto"/>
        </w:rPr>
      </w:pPr>
    </w:p>
    <w:p>
      <w:pPr>
        <w:ind w:firstLine="750"/>
        <w:spacing w:after="0" w:line="209" w:lineRule="exact"/>
        <w:rPr>
          <w:sz w:val="20"/>
          <w:szCs w:val="20"/>
          <w:color w:val="auto"/>
        </w:rPr>
      </w:pPr>
      <w:r>
        <w:rPr>
          <w:rFonts w:ascii="Times New Roman" w:cs="Times New Roman" w:eastAsia="Times New Roman" w:hAnsi="Times New Roman"/>
          <w:sz w:val="17"/>
          <w:szCs w:val="17"/>
          <w:color w:val="auto"/>
        </w:rPr>
        <w:t>Government and private payors also increasingly require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approval of coverage for new or innovative devices or drug therapies or condition coverage on unsuccessful alternative treatment before they will reimburse healthcare providers that use such therapies. For some specialty drugs, payors are conditioning payment on successful treatment measured by objective metrics. While we cannot predict whether any proposed 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85" w:lineRule="exact"/>
        <w:rPr>
          <w:sz w:val="20"/>
          <w:szCs w:val="20"/>
          <w:color w:val="auto"/>
        </w:rPr>
      </w:pPr>
    </w:p>
    <w:p>
      <w:pPr>
        <w:ind w:right="60" w:firstLine="750"/>
        <w:spacing w:after="0" w:line="254" w:lineRule="auto"/>
        <w:rPr>
          <w:sz w:val="20"/>
          <w:szCs w:val="20"/>
          <w:color w:val="auto"/>
        </w:rPr>
      </w:pPr>
      <w:r>
        <w:rPr>
          <w:rFonts w:ascii="Times New Roman" w:cs="Times New Roman" w:eastAsia="Times New Roman" w:hAnsi="Times New Roman"/>
          <w:sz w:val="17"/>
          <w:szCs w:val="17"/>
          <w:color w:val="auto"/>
        </w:rPr>
        <w:t>Congress and the former Trump Administration, from 2017 - 2020 engaged in various efforts to repeal or materially modify various aspects of ACA. The results and effects of such ongoing efforts were varied after facing judicial and Congressional challenges but could affect our business operations and prospects in unknown ways, and it is unclear how ACA and other laws ultimately will be implemented. It is also unclear how regulations and sub-regulatory policy, which fluctuate continually, may affect interpretation and implementation of the ACA and its practical effects on our business, particularly entering an election year.</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40" w:firstLine="750"/>
        <w:spacing w:after="0" w:line="266" w:lineRule="auto"/>
        <w:rPr>
          <w:sz w:val="20"/>
          <w:szCs w:val="20"/>
          <w:color w:val="auto"/>
        </w:rPr>
      </w:pPr>
      <w:r>
        <w:rPr>
          <w:rFonts w:ascii="Times New Roman" w:cs="Times New Roman" w:eastAsia="Times New Roman" w:hAnsi="Times New Roman"/>
          <w:sz w:val="16"/>
          <w:szCs w:val="16"/>
          <w:color w:val="auto"/>
        </w:rPr>
        <w:t>In the future, there may continue to be additional proposals relating to the reform of the U.S. healthcare system, some of which could further limit the prices we will be able to charge for our product candidates, or the amounts of reimbursement available for our product candidates. If future legislation were to impose direct governmental price controls or access restrictions, it could have a significant adverse impact on our business. Additionally,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Managed care organizations, as well as Medicaid and other government agencies, continue to seek price discounts. Some states have implemented, and other states are considering, measures to reduce costs of the Medicaid program, and some states are considering implementing measures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67"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Foreign Corrupt Practices Act</w:t>
      </w:r>
    </w:p>
    <w:p>
      <w:pPr>
        <w:spacing w:after="0" w:line="209" w:lineRule="exact"/>
        <w:rPr>
          <w:sz w:val="20"/>
          <w:szCs w:val="20"/>
          <w:color w:val="auto"/>
        </w:rPr>
      </w:pPr>
    </w:p>
    <w:p>
      <w:pPr>
        <w:ind w:firstLine="750"/>
        <w:spacing w:after="0" w:line="269" w:lineRule="auto"/>
        <w:rPr>
          <w:sz w:val="20"/>
          <w:szCs w:val="20"/>
          <w:color w:val="auto"/>
        </w:rPr>
      </w:pPr>
      <w:r>
        <w:rPr>
          <w:rFonts w:ascii="Times New Roman" w:cs="Times New Roman" w:eastAsia="Times New Roman" w:hAnsi="Times New Roman"/>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Regulation</w:t>
      </w:r>
    </w:p>
    <w:p>
      <w:pPr>
        <w:spacing w:after="0" w:line="209" w:lineRule="exact"/>
        <w:rPr>
          <w:sz w:val="20"/>
          <w:szCs w:val="20"/>
          <w:color w:val="auto"/>
        </w:rPr>
      </w:pPr>
    </w:p>
    <w:p>
      <w:pPr>
        <w:ind w:firstLine="750"/>
        <w:spacing w:after="0" w:line="202" w:lineRule="exact"/>
        <w:rPr>
          <w:sz w:val="20"/>
          <w:szCs w:val="20"/>
          <w:color w:val="auto"/>
        </w:rPr>
      </w:pPr>
      <w:r>
        <w:rPr>
          <w:rFonts w:ascii="Times New Roman" w:cs="Times New Roman" w:eastAsia="Times New Roman" w:hAnsi="Times New Roman"/>
          <w:sz w:val="17"/>
          <w:szCs w:val="17"/>
          <w:color w:val="auto"/>
        </w:rPr>
        <w:t>We are subject to a variety of foreign regulatory requirements regarding safety and efficacy and governing, among other things, clinical trials, marketing authorization, commercial sales, and distribution of our products. For example, in the European Union, or EU, we must obtain authorization of a clinical trial application in each member state in which we intend to conduct a clinical trial prior to the pending introduction of an EU portal for EU-wide approvals.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United States,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approval regulatory requirements, such as those regarding product manufacture, marketing, or distribution, would apply to any product that is approved outside the United States.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European Union Drug Approval Process</w:t>
      </w:r>
    </w:p>
    <w:p>
      <w:pPr>
        <w:spacing w:after="0" w:line="209" w:lineRule="exact"/>
        <w:rPr>
          <w:sz w:val="20"/>
          <w:szCs w:val="20"/>
          <w:color w:val="auto"/>
        </w:rPr>
      </w:pPr>
    </w:p>
    <w:p>
      <w:pPr>
        <w:ind w:right="420" w:firstLine="750"/>
        <w:spacing w:after="0" w:line="217" w:lineRule="exact"/>
        <w:rPr>
          <w:sz w:val="20"/>
          <w:szCs w:val="20"/>
          <w:color w:val="auto"/>
        </w:rPr>
      </w:pPr>
      <w:r>
        <w:rPr>
          <w:rFonts w:ascii="Times New Roman" w:cs="Times New Roman" w:eastAsia="Times New Roman" w:hAnsi="Times New Roman"/>
          <w:sz w:val="17"/>
          <w:szCs w:val="17"/>
          <w:color w:val="auto"/>
        </w:rPr>
        <w:t>To obtain a marketing authorization of a drug in the European Union, we may submit marketing authorization applications, or MAAs, either under the so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called centralized, decentralized, mutual recognition, or national authorization procedures.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Centralized Procedure</w:t>
      </w:r>
    </w:p>
    <w:p>
      <w:pPr>
        <w:spacing w:after="0" w:line="205" w:lineRule="exact"/>
        <w:rPr>
          <w:sz w:val="20"/>
          <w:szCs w:val="20"/>
          <w:color w:val="auto"/>
        </w:rPr>
      </w:pPr>
    </w:p>
    <w:p>
      <w:pPr>
        <w:ind w:right="60" w:firstLine="750"/>
        <w:spacing w:after="0" w:line="248" w:lineRule="auto"/>
        <w:rPr>
          <w:sz w:val="20"/>
          <w:szCs w:val="20"/>
          <w:color w:val="auto"/>
        </w:rPr>
      </w:pPr>
      <w:r>
        <w:rPr>
          <w:rFonts w:ascii="Times New Roman" w:cs="Times New Roman" w:eastAsia="Times New Roman" w:hAnsi="Times New Roman"/>
          <w:sz w:val="17"/>
          <w:szCs w:val="17"/>
          <w:color w:val="auto"/>
        </w:rPr>
        <w:t>The centralized procedure provides for the grant of a single marketing authorization following a favorable opinion by the European Medicines Agency, or EMA, which is valid in all European Union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and other immune dysfunctions.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or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clock stops.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Authorization Procedures</w:t>
      </w:r>
    </w:p>
    <w:p>
      <w:pPr>
        <w:spacing w:after="0" w:line="205" w:lineRule="exact"/>
        <w:rPr>
          <w:sz w:val="20"/>
          <w:szCs w:val="20"/>
          <w:color w:val="auto"/>
        </w:rPr>
      </w:pPr>
    </w:p>
    <w:p>
      <w:pPr>
        <w:ind w:right="540" w:firstLine="750"/>
        <w:spacing w:after="0" w:line="271" w:lineRule="auto"/>
        <w:rPr>
          <w:sz w:val="20"/>
          <w:szCs w:val="20"/>
          <w:color w:val="auto"/>
        </w:rPr>
      </w:pPr>
      <w:r>
        <w:rPr>
          <w:rFonts w:ascii="Times New Roman" w:cs="Times New Roman" w:eastAsia="Times New Roman" w:hAnsi="Times New Roman"/>
          <w:sz w:val="17"/>
          <w:szCs w:val="17"/>
          <w:color w:val="auto"/>
        </w:rPr>
        <w:t>There are also two other possible routes to authorize medicinal products in several European Union countries, which are available for investigational medicinal products that fall outside the scope of the centralized procedure:</w:t>
      </w:r>
    </w:p>
    <w:p>
      <w:pPr>
        <w:spacing w:after="0" w:line="155" w:lineRule="exact"/>
        <w:rPr>
          <w:sz w:val="20"/>
          <w:szCs w:val="20"/>
          <w:color w:val="auto"/>
        </w:rPr>
      </w:pPr>
    </w:p>
    <w:p>
      <w:pPr>
        <w:ind w:left="1120" w:hanging="370"/>
        <w:spacing w:after="0" w:line="256" w:lineRule="auto"/>
        <w:tabs>
          <w:tab w:leader="none" w:pos="11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Decentralized procedure. </w:t>
      </w:r>
      <w:r>
        <w:rPr>
          <w:rFonts w:ascii="Times New Roman" w:cs="Times New Roman" w:eastAsia="Times New Roman" w:hAnsi="Times New Roman"/>
          <w:sz w:val="17"/>
          <w:szCs w:val="17"/>
          <w:color w:val="auto"/>
        </w:rPr>
        <w:t>Using the decentralized procedure, an applicant may apply in more than one European Union country, although the applicant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must nominate one reference European Union Member State, for simultaneous authorization of medicinal products that have not yet been authorized in any European Union country and that do not fall within the mandatory scope of the centralized procedure. Failing agreement, there is a procedure for resolving disagreements between member states and ultimately an arbitration procedure before the CHMP.</w:t>
      </w:r>
    </w:p>
    <w:p>
      <w:pPr>
        <w:spacing w:after="0" w:line="166" w:lineRule="exact"/>
        <w:rPr>
          <w:rFonts w:ascii="Times New Roman" w:cs="Times New Roman" w:eastAsia="Times New Roman" w:hAnsi="Times New Roman"/>
          <w:sz w:val="17"/>
          <w:szCs w:val="17"/>
          <w:color w:val="auto"/>
        </w:rPr>
      </w:pPr>
    </w:p>
    <w:p>
      <w:pPr>
        <w:ind w:left="1120" w:right="20" w:hanging="370"/>
        <w:spacing w:after="0" w:line="277" w:lineRule="auto"/>
        <w:tabs>
          <w:tab w:leader="none" w:pos="11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Mutual recognition procedure. </w:t>
      </w:r>
      <w:r>
        <w:rPr>
          <w:rFonts w:ascii="Times New Roman" w:cs="Times New Roman" w:eastAsia="Times New Roman" w:hAnsi="Times New Roman"/>
          <w:sz w:val="16"/>
          <w:szCs w:val="16"/>
          <w:color w:val="auto"/>
        </w:rPr>
        <w:t>In the mutual recognition procedure, a medicine is first authorized in one European Union Member State, referred to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reference member state, in accordance with the national procedures of that country. Following this, further marketing authorizations can be sought from other nominated European Union countries, referred to as the concerned member states, in a procedure whereby the countries concerned agree to recognize the validity of the original, national marketing authorization. The procedure for disagreements described above similarly applies.</w:t>
      </w:r>
    </w:p>
    <w:p>
      <w:pPr>
        <w:spacing w:after="0" w:line="151" w:lineRule="exact"/>
        <w:rPr>
          <w:rFonts w:ascii="Times New Roman" w:cs="Times New Roman" w:eastAsia="Times New Roman" w:hAnsi="Times New Roman"/>
          <w:sz w:val="16"/>
          <w:szCs w:val="16"/>
          <w:color w:val="auto"/>
        </w:rPr>
      </w:pPr>
    </w:p>
    <w:p>
      <w:pPr>
        <w:ind w:left="1120" w:hanging="370"/>
        <w:spacing w:after="0" w:line="276" w:lineRule="auto"/>
        <w:tabs>
          <w:tab w:leader="none" w:pos="11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National procedures. </w:t>
      </w:r>
      <w:r>
        <w:rPr>
          <w:rFonts w:ascii="Times New Roman" w:cs="Times New Roman" w:eastAsia="Times New Roman" w:hAnsi="Times New Roman"/>
          <w:sz w:val="17"/>
          <w:szCs w:val="17"/>
          <w:color w:val="auto"/>
        </w:rPr>
        <w:t>Purely national procedures continue to be possible but are strictly limited to where the product is to be authorized in one member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 only.</w:t>
      </w:r>
    </w:p>
    <w:p>
      <w:pPr>
        <w:spacing w:after="0" w:line="155" w:lineRule="exact"/>
        <w:rPr>
          <w:sz w:val="20"/>
          <w:szCs w:val="20"/>
          <w:color w:val="auto"/>
        </w:rPr>
      </w:pPr>
    </w:p>
    <w:p>
      <w:pPr>
        <w:ind w:firstLine="750"/>
        <w:spacing w:after="0" w:line="264" w:lineRule="auto"/>
        <w:rPr>
          <w:sz w:val="20"/>
          <w:szCs w:val="20"/>
          <w:color w:val="auto"/>
        </w:rPr>
      </w:pPr>
      <w:r>
        <w:rPr>
          <w:rFonts w:ascii="Times New Roman" w:cs="Times New Roman" w:eastAsia="Times New Roman" w:hAnsi="Times New Roman"/>
          <w:sz w:val="16"/>
          <w:szCs w:val="16"/>
          <w:color w:val="auto"/>
        </w:rPr>
        <w:t>In the European Union, new products authorized for marketing, referred to as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10 years have elapsed from the initial authorization of the reference product in the European Union. The</w:t>
      </w:r>
    </w:p>
    <w:p>
      <w:pPr>
        <w:spacing w:after="0" w:line="1" w:lineRule="exact"/>
        <w:rPr>
          <w:sz w:val="20"/>
          <w:szCs w:val="20"/>
          <w:color w:val="auto"/>
        </w:rPr>
      </w:pPr>
    </w:p>
    <w:p>
      <w:pPr>
        <w:jc w:val="both"/>
        <w:ind w:right="200"/>
        <w:spacing w:after="0" w:line="202" w:lineRule="exact"/>
        <w:rPr>
          <w:sz w:val="20"/>
          <w:szCs w:val="20"/>
          <w:color w:val="auto"/>
        </w:rPr>
      </w:pPr>
      <w:r>
        <w:rPr>
          <w:rFonts w:ascii="Times New Roman" w:cs="Times New Roman" w:eastAsia="Times New Roman" w:hAnsi="Times New Roman"/>
          <w:sz w:val="17"/>
          <w:szCs w:val="17"/>
          <w:color w:val="auto"/>
        </w:rPr>
        <w:t>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09" w:lineRule="exact"/>
        <w:rPr>
          <w:sz w:val="20"/>
          <w:szCs w:val="20"/>
          <w:color w:val="auto"/>
        </w:rPr>
      </w:pPr>
    </w:p>
    <w:p>
      <w:pPr>
        <w:jc w:val="both"/>
        <w:ind w:firstLine="750"/>
        <w:spacing w:after="0" w:line="254" w:lineRule="auto"/>
        <w:rPr>
          <w:sz w:val="20"/>
          <w:szCs w:val="20"/>
          <w:color w:val="auto"/>
        </w:rPr>
      </w:pPr>
      <w:r>
        <w:rPr>
          <w:rFonts w:ascii="Times New Roman" w:cs="Times New Roman" w:eastAsia="Times New Roman" w:hAnsi="Times New Roman"/>
          <w:sz w:val="17"/>
          <w:szCs w:val="17"/>
          <w:color w:val="auto"/>
        </w:rPr>
        <w:t>Conducting research and development is central to our business model. We have invested and expect to continue to invest significant time and capital in our research and development operations. Our research and development expenses were $57.9 million, and $58.1 million for the years ended December 31, 2022 and 2021, respectively. We plan to increase our research and development expenses for the foreseeable future as we seek to complete the development of AXS-05, AXS-07, AXS-12, AXS-14 and solriamfetol.</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 and Human Capital Management</w:t>
      </w:r>
    </w:p>
    <w:p>
      <w:pPr>
        <w:spacing w:after="0" w:line="183" w:lineRule="exact"/>
        <w:rPr>
          <w:sz w:val="20"/>
          <w:szCs w:val="20"/>
          <w:color w:val="auto"/>
        </w:rPr>
      </w:pPr>
    </w:p>
    <w:p>
      <w:pPr>
        <w:ind w:firstLine="750"/>
        <w:spacing w:after="0" w:line="206" w:lineRule="exact"/>
        <w:rPr>
          <w:sz w:val="20"/>
          <w:szCs w:val="20"/>
          <w:color w:val="auto"/>
        </w:rPr>
      </w:pPr>
      <w:r>
        <w:rPr>
          <w:rFonts w:ascii="Times New Roman" w:cs="Times New Roman" w:eastAsia="Times New Roman" w:hAnsi="Times New Roman"/>
          <w:sz w:val="17"/>
          <w:szCs w:val="17"/>
          <w:color w:val="auto"/>
        </w:rPr>
        <w:t>As of February 21, 2023, we had 383 full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Most of our employees have experience with drug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took proactive steps throughout the COVID-19 pandemic to protect the health and safety of our employees.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14" w:lineRule="exact"/>
        <w:rPr>
          <w:sz w:val="20"/>
          <w:szCs w:val="20"/>
          <w:color w:val="auto"/>
        </w:rPr>
      </w:pPr>
    </w:p>
    <w:p>
      <w:pPr>
        <w:ind w:right="640" w:firstLine="750"/>
        <w:spacing w:after="0" w:line="227" w:lineRule="auto"/>
        <w:rPr>
          <w:sz w:val="20"/>
          <w:szCs w:val="20"/>
          <w:color w:val="auto"/>
        </w:rPr>
      </w:pPr>
      <w:r>
        <w:rPr>
          <w:rFonts w:ascii="Times New Roman" w:cs="Times New Roman" w:eastAsia="Times New Roman" w:hAnsi="Times New Roman"/>
          <w:sz w:val="17"/>
          <w:szCs w:val="17"/>
          <w:color w:val="auto"/>
        </w:rPr>
        <w:t>We were incorporated in Delaware in January 2012. Our offices are located at 22 Cortlandt Street, 16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New York, New York 10007, and our telephone number is (212) 332-3241.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09" w:lineRule="exact"/>
        <w:rPr>
          <w:sz w:val="20"/>
          <w:szCs w:val="20"/>
          <w:color w:val="auto"/>
        </w:rPr>
      </w:pPr>
    </w:p>
    <w:p>
      <w:pPr>
        <w:ind w:right="40" w:firstLine="750"/>
        <w:spacing w:after="0" w:line="250" w:lineRule="auto"/>
        <w:rPr>
          <w:sz w:val="20"/>
          <w:szCs w:val="20"/>
          <w:color w:val="auto"/>
        </w:rPr>
      </w:pPr>
      <w:r>
        <w:rPr>
          <w:rFonts w:ascii="Times New Roman" w:cs="Times New Roman" w:eastAsia="Times New Roman" w:hAnsi="Times New Roman"/>
          <w:sz w:val="17"/>
          <w:szCs w:val="17"/>
          <w:color w:val="auto"/>
        </w:rPr>
        <w:t>We file reports and other information with the SEC, as required by the Exchange Act. We make available free of charge through our website (http://www.axsome.com)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05" w:lineRule="exact"/>
        <w:rPr>
          <w:sz w:val="20"/>
          <w:szCs w:val="20"/>
          <w:color w:val="auto"/>
        </w:rPr>
      </w:pPr>
    </w:p>
    <w:p>
      <w:pPr>
        <w:ind w:firstLine="750"/>
        <w:spacing w:after="0" w:line="256" w:lineRule="auto"/>
        <w:rPr>
          <w:sz w:val="20"/>
          <w:szCs w:val="20"/>
          <w:color w:val="auto"/>
        </w:rPr>
      </w:pPr>
      <w:r>
        <w:rPr>
          <w:rFonts w:ascii="Times New Roman" w:cs="Times New Roman" w:eastAsia="Times New Roman" w:hAnsi="Times New Roman"/>
          <w:sz w:val="17"/>
          <w:szCs w:val="17"/>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Investors should carefully consider all of the information set forth in this Annual Report on Form 10-K, including the following risk factors, before deciding to invest in any of the Company’s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Our business is subject to a number of risks and uncertainties, including those risks discussed at length below. These risks include, among others,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w:t>
      </w:r>
    </w:p>
    <w:p>
      <w:pPr>
        <w:spacing w:after="0" w:line="184" w:lineRule="exact"/>
        <w:rPr>
          <w:sz w:val="20"/>
          <w:szCs w:val="20"/>
          <w:color w:val="auto"/>
        </w:rPr>
      </w:pPr>
    </w:p>
    <w:p>
      <w:pPr>
        <w:ind w:left="740" w:right="40" w:hanging="365"/>
        <w:spacing w:after="0" w:line="276" w:lineRule="auto"/>
        <w:tabs>
          <w:tab w:leader="none" w:pos="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50" w:lineRule="exact"/>
        <w:rPr>
          <w:rFonts w:ascii="Times New Roman" w:cs="Times New Roman" w:eastAsia="Times New Roman" w:hAnsi="Times New Roman"/>
          <w:sz w:val="15"/>
          <w:szCs w:val="15"/>
          <w:color w:val="auto"/>
        </w:rPr>
      </w:pPr>
    </w:p>
    <w:p>
      <w:pPr>
        <w:jc w:val="both"/>
        <w:ind w:left="740" w:right="160" w:hanging="365"/>
        <w:spacing w:after="0" w:line="261" w:lineRule="auto"/>
        <w:tabs>
          <w:tab w:leader="none" w:pos="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2" w:lineRule="exact"/>
        <w:rPr>
          <w:rFonts w:ascii="Times New Roman" w:cs="Times New Roman" w:eastAsia="Times New Roman" w:hAnsi="Times New Roman"/>
          <w:sz w:val="15"/>
          <w:szCs w:val="15"/>
          <w:color w:val="auto"/>
        </w:rPr>
      </w:pPr>
    </w:p>
    <w:p>
      <w:pPr>
        <w:ind w:left="740" w:right="220" w:hanging="365"/>
        <w:spacing w:after="0" w:line="261" w:lineRule="auto"/>
        <w:tabs>
          <w:tab w:leader="none" w:pos="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62"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We have a limited operating history and history of commercializing products, which may make it difficult to evaluate our business and prospects.</w:t>
      </w:r>
    </w:p>
    <w:p>
      <w:pPr>
        <w:spacing w:after="0" w:line="204" w:lineRule="exact"/>
        <w:rPr>
          <w:rFonts w:ascii="Times New Roman" w:cs="Times New Roman" w:eastAsia="Times New Roman" w:hAnsi="Times New Roman"/>
          <w:sz w:val="15"/>
          <w:szCs w:val="15"/>
          <w:color w:val="auto"/>
        </w:rPr>
      </w:pPr>
    </w:p>
    <w:p>
      <w:pPr>
        <w:ind w:left="740" w:right="180" w:hanging="365"/>
        <w:spacing w:after="0" w:line="276" w:lineRule="auto"/>
        <w:tabs>
          <w:tab w:leader="none" w:pos="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0" w:lineRule="exact"/>
        <w:rPr>
          <w:rFonts w:ascii="Times New Roman" w:cs="Times New Roman" w:eastAsia="Times New Roman" w:hAnsi="Times New Roman"/>
          <w:sz w:val="15"/>
          <w:szCs w:val="15"/>
          <w:color w:val="auto"/>
        </w:rPr>
      </w:pPr>
    </w:p>
    <w:p>
      <w:pPr>
        <w:ind w:left="740" w:right="100" w:hanging="365"/>
        <w:spacing w:after="0" w:line="285" w:lineRule="auto"/>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45" w:lineRule="exact"/>
        <w:rPr>
          <w:rFonts w:ascii="Times New Roman" w:cs="Times New Roman" w:eastAsia="Times New Roman" w:hAnsi="Times New Roman"/>
          <w:sz w:val="14"/>
          <w:szCs w:val="14"/>
          <w:color w:val="auto"/>
        </w:rPr>
      </w:pPr>
    </w:p>
    <w:p>
      <w:pPr>
        <w:ind w:left="740" w:right="120" w:hanging="365"/>
        <w:spacing w:after="0" w:line="285" w:lineRule="auto"/>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45" w:lineRule="exact"/>
        <w:rPr>
          <w:rFonts w:ascii="Times New Roman" w:cs="Times New Roman" w:eastAsia="Times New Roman" w:hAnsi="Times New Roman"/>
          <w:sz w:val="14"/>
          <w:szCs w:val="14"/>
          <w:color w:val="auto"/>
        </w:rPr>
      </w:pPr>
    </w:p>
    <w:p>
      <w:pPr>
        <w:ind w:left="740" w:right="540" w:hanging="365"/>
        <w:spacing w:after="0" w:line="276" w:lineRule="auto"/>
        <w:tabs>
          <w:tab w:leader="none" w:pos="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0" w:lineRule="exact"/>
        <w:rPr>
          <w:rFonts w:ascii="Times New Roman" w:cs="Times New Roman" w:eastAsia="Times New Roman" w:hAnsi="Times New Roman"/>
          <w:sz w:val="15"/>
          <w:szCs w:val="15"/>
          <w:color w:val="auto"/>
        </w:rPr>
      </w:pPr>
    </w:p>
    <w:p>
      <w:pPr>
        <w:ind w:left="740" w:right="560" w:hanging="365"/>
        <w:spacing w:after="0" w:line="276" w:lineRule="auto"/>
        <w:tabs>
          <w:tab w:leader="none" w:pos="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50"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If any of our products do not achieve broad market acceptance, the revenues that we generate from their sales will be limited.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left="740" w:right="360" w:hanging="365"/>
        <w:spacing w:after="0" w:line="261" w:lineRule="auto"/>
        <w:tabs>
          <w:tab w:leader="none" w:pos="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62" w:lineRule="exact"/>
        <w:rPr>
          <w:rFonts w:ascii="Times New Roman" w:cs="Times New Roman" w:eastAsia="Times New Roman" w:hAnsi="Times New Roman"/>
          <w:sz w:val="15"/>
          <w:szCs w:val="15"/>
          <w:color w:val="auto"/>
        </w:rPr>
      </w:pPr>
    </w:p>
    <w:p>
      <w:pPr>
        <w:ind w:left="740" w:right="200" w:hanging="365"/>
        <w:spacing w:after="0" w:line="261" w:lineRule="auto"/>
        <w:tabs>
          <w:tab w:leader="none" w:pos="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2" w:lineRule="exact"/>
        <w:rPr>
          <w:rFonts w:ascii="Times New Roman" w:cs="Times New Roman" w:eastAsia="Times New Roman" w:hAnsi="Times New Roman"/>
          <w:sz w:val="15"/>
          <w:szCs w:val="15"/>
          <w:color w:val="auto"/>
        </w:rPr>
      </w:pPr>
    </w:p>
    <w:p>
      <w:pPr>
        <w:ind w:left="740" w:hanging="365"/>
        <w:spacing w:after="0" w:line="253" w:lineRule="auto"/>
        <w:tabs>
          <w:tab w:leader="none" w:pos="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70" w:lineRule="exact"/>
        <w:rPr>
          <w:rFonts w:ascii="Times New Roman" w:cs="Times New Roman" w:eastAsia="Times New Roman" w:hAnsi="Times New Roman"/>
          <w:sz w:val="15"/>
          <w:szCs w:val="15"/>
          <w:color w:val="auto"/>
        </w:rPr>
      </w:pPr>
    </w:p>
    <w:p>
      <w:pPr>
        <w:ind w:left="740" w:right="360" w:hanging="365"/>
        <w:spacing w:after="0" w:line="276" w:lineRule="auto"/>
        <w:tabs>
          <w:tab w:leader="none" w:pos="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0" w:lineRule="exact"/>
        <w:rPr>
          <w:rFonts w:ascii="Times New Roman" w:cs="Times New Roman" w:eastAsia="Times New Roman" w:hAnsi="Times New Roman"/>
          <w:sz w:val="15"/>
          <w:szCs w:val="15"/>
          <w:color w:val="auto"/>
        </w:rPr>
      </w:pPr>
    </w:p>
    <w:p>
      <w:pPr>
        <w:ind w:left="740" w:right="40" w:hanging="365"/>
        <w:spacing w:after="0" w:line="308" w:lineRule="auto"/>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28" w:lineRule="exact"/>
        <w:rPr>
          <w:rFonts w:ascii="Times New Roman" w:cs="Times New Roman" w:eastAsia="Times New Roman" w:hAnsi="Times New Roman"/>
          <w:sz w:val="14"/>
          <w:szCs w:val="14"/>
          <w:color w:val="auto"/>
        </w:rPr>
      </w:pPr>
    </w:p>
    <w:p>
      <w:pPr>
        <w:ind w:left="740" w:right="120" w:hanging="365"/>
        <w:spacing w:after="0" w:line="261" w:lineRule="auto"/>
        <w:tabs>
          <w:tab w:leader="none" w:pos="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62" w:lineRule="exact"/>
        <w:rPr>
          <w:rFonts w:ascii="Times New Roman" w:cs="Times New Roman" w:eastAsia="Times New Roman" w:hAnsi="Times New Roman"/>
          <w:sz w:val="15"/>
          <w:szCs w:val="15"/>
          <w:color w:val="auto"/>
        </w:rPr>
      </w:pPr>
    </w:p>
    <w:p>
      <w:pPr>
        <w:ind w:left="740" w:right="200" w:hanging="365"/>
        <w:spacing w:after="0" w:line="261" w:lineRule="auto"/>
        <w:tabs>
          <w:tab w:leader="none" w:pos="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62" w:lineRule="exact"/>
        <w:rPr>
          <w:rFonts w:ascii="Times New Roman" w:cs="Times New Roman" w:eastAsia="Times New Roman" w:hAnsi="Times New Roman"/>
          <w:sz w:val="15"/>
          <w:szCs w:val="15"/>
          <w:color w:val="auto"/>
        </w:rPr>
      </w:pPr>
    </w:p>
    <w:p>
      <w:pPr>
        <w:ind w:left="740" w:right="400" w:hanging="365"/>
        <w:spacing w:after="0" w:line="308" w:lineRule="auto"/>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28" w:lineRule="exact"/>
        <w:rPr>
          <w:rFonts w:ascii="Times New Roman" w:cs="Times New Roman" w:eastAsia="Times New Roman" w:hAnsi="Times New Roman"/>
          <w:sz w:val="14"/>
          <w:szCs w:val="14"/>
          <w:color w:val="auto"/>
        </w:rPr>
      </w:pPr>
    </w:p>
    <w:p>
      <w:pPr>
        <w:ind w:left="740" w:right="180" w:hanging="365"/>
        <w:spacing w:after="0" w:line="308" w:lineRule="auto"/>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28" w:lineRule="exact"/>
        <w:rPr>
          <w:rFonts w:ascii="Times New Roman" w:cs="Times New Roman" w:eastAsia="Times New Roman" w:hAnsi="Times New Roman"/>
          <w:sz w:val="14"/>
          <w:szCs w:val="14"/>
          <w:color w:val="auto"/>
        </w:rPr>
      </w:pPr>
    </w:p>
    <w:p>
      <w:pPr>
        <w:ind w:left="740" w:right="60" w:hanging="365"/>
        <w:spacing w:after="0" w:line="276" w:lineRule="auto"/>
        <w:tabs>
          <w:tab w:leader="none" w:pos="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Our principal stockholders and management own a significant percentage of our stock and may be able to exert significant control over matters subject to stockholder approval.</w:t>
      </w:r>
    </w:p>
    <w:p>
      <w:pPr>
        <w:spacing w:after="0" w:line="150"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b w:val="1"/>
          <w:bCs w:val="1"/>
          <w:i w:val="1"/>
          <w:iCs w:val="1"/>
          <w:color w:val="auto"/>
        </w:rPr>
        <w:t>The use of our net operating loss carryforwards and research tax credits may be limited.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CONDITION AND CAPITAL REQUIREMENTS</w:t>
      </w:r>
    </w:p>
    <w:p>
      <w:pPr>
        <w:spacing w:after="0" w:line="205"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55"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We are a biopharmaceutical company with a limited operating history. For the last several years, we have focused our efforts primarily on developing CNS product candidates, AXS-05, AXS-07, AXS-12, and AXS-14, with the goal of achieving regulatory approval and commercialization. Since inception, we have incurred significant operating losses. Our net loss was $187.1 million for the year ended December 31, 2022. As of December 31, 2022, we had an accumulated deficit of $596.3 million. In 2022, we commenced the commercial sale of Auvelity in the United States and Sunosi in the United States and select global markets. Apart from Sunosi and Auvelity, we have no other products which have received regulatory approval.</w:t>
      </w:r>
    </w:p>
    <w:p>
      <w:pPr>
        <w:spacing w:after="0" w:line="175" w:lineRule="exact"/>
        <w:rPr>
          <w:sz w:val="20"/>
          <w:szCs w:val="20"/>
          <w:color w:val="auto"/>
        </w:rPr>
      </w:pPr>
    </w:p>
    <w:p>
      <w:pPr>
        <w:ind w:right="140" w:firstLine="750"/>
        <w:spacing w:after="0" w:line="258" w:lineRule="auto"/>
        <w:rPr>
          <w:sz w:val="20"/>
          <w:szCs w:val="20"/>
          <w:color w:val="auto"/>
        </w:rPr>
      </w:pPr>
      <w:r>
        <w:rPr>
          <w:rFonts w:ascii="Times New Roman" w:cs="Times New Roman" w:eastAsia="Times New Roman" w:hAnsi="Times New Roman"/>
          <w:sz w:val="17"/>
          <w:szCs w:val="17"/>
          <w:color w:val="auto"/>
        </w:rPr>
        <w:t>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Sunosi, Auvelity, and any other product candidate which may be approved or which we may in-license. We anticipate that our expenses will increase substantially as we:</w:t>
      </w:r>
    </w:p>
    <w:p>
      <w:pPr>
        <w:spacing w:after="0" w:line="170" w:lineRule="exact"/>
        <w:rPr>
          <w:sz w:val="20"/>
          <w:szCs w:val="20"/>
          <w:color w:val="auto"/>
        </w:rPr>
      </w:pPr>
    </w:p>
    <w:p>
      <w:pPr>
        <w:ind w:left="740" w:hanging="365"/>
        <w:spacing w:after="0"/>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seek regulatory approval for any additional product candidate;</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hire additional commercial, clinical, medical, quality, regulatory, and scientific personnel;</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add operational, financial, and management information systems and personnel;</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expand our sales, marketing, and distribution infrastructure;</w:t>
      </w:r>
    </w:p>
    <w:p>
      <w:pPr>
        <w:spacing w:after="0" w:line="204" w:lineRule="exact"/>
        <w:rPr>
          <w:rFonts w:ascii="Times New Roman" w:cs="Times New Roman" w:eastAsia="Times New Roman" w:hAnsi="Times New Roman"/>
          <w:sz w:val="15"/>
          <w:szCs w:val="15"/>
          <w:color w:val="auto"/>
        </w:rPr>
      </w:pPr>
    </w:p>
    <w:p>
      <w:pPr>
        <w:ind w:left="740" w:right="120" w:hanging="365"/>
        <w:spacing w:after="0" w:line="271" w:lineRule="auto"/>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expand external manufacturing capabilities and production to commercialize any additional products for which we may obtain regulatory approval and that we choose not to license to a third-party;</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undertake additional manufacturing activities of our product candidates to satisfy FDA requirements for marketing application submissions;</w:t>
      </w:r>
    </w:p>
    <w:p>
      <w:pPr>
        <w:spacing w:after="0" w:line="178" w:lineRule="exact"/>
        <w:rPr>
          <w:rFonts w:ascii="Times New Roman" w:cs="Times New Roman" w:eastAsia="Times New Roman" w:hAnsi="Times New Roman"/>
          <w:sz w:val="15"/>
          <w:szCs w:val="15"/>
          <w:color w:val="auto"/>
        </w:rPr>
      </w:pPr>
    </w:p>
    <w:p>
      <w:pPr>
        <w:ind w:left="740" w:hanging="365"/>
        <w:spacing w:after="0" w:line="196" w:lineRule="exact"/>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conduct our clinical trials with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AD agitation;</w:t>
      </w:r>
    </w:p>
    <w:p>
      <w:pPr>
        <w:spacing w:after="0" w:line="231"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conduct our clinical trials with AXS-12 in narcolepsy;</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continue to evaluate, plan for, and conduct, clinical trials for AXS-05 as an aid to smoking cessation treatment and other CNS disorders;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continue to evaluate, plan for, and conduct, clinical trials for Sunosi in attention-deficit/hyperactivity disorder ("ADHD");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continue to evaluate, plan for, and potentially submit an NDA for AXS-14 in fibromyalgia;</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continue to expand commercial sales of Sunosi and Auvelity;</w:t>
      </w:r>
    </w:p>
    <w:p>
      <w:pPr>
        <w:spacing w:after="0" w:line="178" w:lineRule="exact"/>
        <w:rPr>
          <w:rFonts w:ascii="Times New Roman" w:cs="Times New Roman" w:eastAsia="Times New Roman" w:hAnsi="Times New Roman"/>
          <w:sz w:val="15"/>
          <w:szCs w:val="15"/>
          <w:color w:val="auto"/>
        </w:rPr>
      </w:pPr>
    </w:p>
    <w:p>
      <w:pPr>
        <w:ind w:left="740" w:hanging="365"/>
        <w:spacing w:after="0" w:line="196" w:lineRule="exact"/>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develop,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 or acquire additional product candidates;</w:t>
      </w:r>
    </w:p>
    <w:p>
      <w:pPr>
        <w:spacing w:after="0" w:line="204" w:lineRule="exact"/>
        <w:rPr>
          <w:rFonts w:ascii="Times New Roman" w:cs="Times New Roman" w:eastAsia="Times New Roman" w:hAnsi="Times New Roman"/>
          <w:sz w:val="15"/>
          <w:szCs w:val="15"/>
          <w:color w:val="auto"/>
        </w:rPr>
      </w:pPr>
    </w:p>
    <w:p>
      <w:pPr>
        <w:ind w:left="740" w:hanging="365"/>
        <w:spacing w:after="0" w:line="196" w:lineRule="exact"/>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conduct late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stage clinical trials for any product candidates that successfully complete early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stage clinical trials;</w:t>
      </w:r>
    </w:p>
    <w:p>
      <w:pPr>
        <w:spacing w:after="0" w:line="204" w:lineRule="exact"/>
        <w:rPr>
          <w:rFonts w:ascii="Times New Roman" w:cs="Times New Roman" w:eastAsia="Times New Roman" w:hAnsi="Times New Roman"/>
          <w:sz w:val="15"/>
          <w:szCs w:val="15"/>
          <w:color w:val="auto"/>
        </w:rPr>
      </w:pPr>
    </w:p>
    <w:p>
      <w:pPr>
        <w:ind w:left="740" w:hanging="365"/>
        <w:spacing w:after="0" w:line="196" w:lineRule="exact"/>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conduct additional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clinical studies with any product candidates; and</w:t>
      </w:r>
    </w:p>
    <w:p>
      <w:pPr>
        <w:spacing w:after="0" w:line="231"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76"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73"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7"/>
          <w:szCs w:val="17"/>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69" w:lineRule="exact"/>
        <w:rPr>
          <w:sz w:val="20"/>
          <w:szCs w:val="20"/>
          <w:color w:val="auto"/>
        </w:rPr>
      </w:pPr>
    </w:p>
    <w:p>
      <w:pPr>
        <w:ind w:right="420"/>
        <w:spacing w:after="0" w:line="308" w:lineRule="auto"/>
        <w:rPr>
          <w:sz w:val="20"/>
          <w:szCs w:val="20"/>
          <w:color w:val="auto"/>
        </w:rPr>
      </w:pPr>
      <w:r>
        <w:rPr>
          <w:rFonts w:ascii="Times New Roman" w:cs="Times New Roman" w:eastAsia="Times New Roman" w:hAnsi="Times New Roman"/>
          <w:sz w:val="16"/>
          <w:szCs w:val="16"/>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32" w:lineRule="exact"/>
        <w:rPr>
          <w:sz w:val="20"/>
          <w:szCs w:val="20"/>
          <w:color w:val="auto"/>
        </w:rPr>
      </w:pPr>
    </w:p>
    <w:p>
      <w:pPr>
        <w:ind w:right="60" w:firstLine="750"/>
        <w:spacing w:after="0" w:line="217" w:lineRule="exact"/>
        <w:rPr>
          <w:sz w:val="20"/>
          <w:szCs w:val="20"/>
          <w:color w:val="auto"/>
        </w:rPr>
      </w:pPr>
      <w:r>
        <w:rPr>
          <w:rFonts w:ascii="Times New Roman" w:cs="Times New Roman" w:eastAsia="Times New Roman" w:hAnsi="Times New Roman"/>
          <w:sz w:val="16"/>
          <w:szCs w:val="16"/>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consuming, expensive, and uncertain process that takes years to complete. We may need to raise additional capital to:</w:t>
      </w:r>
    </w:p>
    <w:p>
      <w:pPr>
        <w:spacing w:after="0" w:line="167" w:lineRule="exact"/>
        <w:rPr>
          <w:sz w:val="20"/>
          <w:szCs w:val="20"/>
          <w:color w:val="auto"/>
        </w:rPr>
      </w:pPr>
    </w:p>
    <w:p>
      <w:pPr>
        <w:ind w:left="740" w:right="60" w:hanging="365"/>
        <w:spacing w:after="0" w:line="271" w:lineRule="auto"/>
        <w:tabs>
          <w:tab w:leader="none" w:pos="7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fund our future clinical trials for our current product candidates, especially if we encounter any unforeseen delays or difficulties in our planned development activities;</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fund our operations and continue to commercialize our products;</w:t>
      </w:r>
    </w:p>
    <w:p>
      <w:pPr>
        <w:spacing w:after="0" w:line="178" w:lineRule="exact"/>
        <w:rPr>
          <w:rFonts w:ascii="Times New Roman" w:cs="Times New Roman" w:eastAsia="Times New Roman" w:hAnsi="Times New Roman"/>
          <w:sz w:val="15"/>
          <w:szCs w:val="15"/>
          <w:color w:val="auto"/>
        </w:rPr>
      </w:pPr>
    </w:p>
    <w:p>
      <w:pPr>
        <w:ind w:left="740" w:hanging="365"/>
        <w:spacing w:after="0" w:line="196" w:lineRule="exact"/>
        <w:tabs>
          <w:tab w:leader="none" w:pos="7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qualify and outsource the commercial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scale manufacturing of our products under current good manufacturing practices, or cGMP;</w:t>
      </w:r>
    </w:p>
    <w:p>
      <w:pPr>
        <w:spacing w:after="0" w:line="231"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develop additional product candidates; and</w:t>
      </w:r>
    </w:p>
    <w:p>
      <w:pPr>
        <w:spacing w:after="0" w:line="178" w:lineRule="exact"/>
        <w:rPr>
          <w:rFonts w:ascii="Times New Roman" w:cs="Times New Roman" w:eastAsia="Times New Roman" w:hAnsi="Times New Roman"/>
          <w:sz w:val="15"/>
          <w:szCs w:val="15"/>
          <w:color w:val="auto"/>
        </w:rPr>
      </w:pPr>
    </w:p>
    <w:p>
      <w:pPr>
        <w:ind w:left="740" w:hanging="365"/>
        <w:spacing w:after="0" w:line="196" w:lineRule="exact"/>
        <w:tabs>
          <w:tab w:leader="none" w:pos="7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 other product candidates.</w:t>
      </w:r>
    </w:p>
    <w:p>
      <w:pPr>
        <w:spacing w:after="0" w:line="231" w:lineRule="exact"/>
        <w:rPr>
          <w:sz w:val="20"/>
          <w:szCs w:val="20"/>
          <w:color w:val="auto"/>
        </w:rPr>
      </w:pPr>
    </w:p>
    <w:p>
      <w:pPr>
        <w:ind w:right="40" w:firstLine="750"/>
        <w:spacing w:after="0" w:line="254" w:lineRule="auto"/>
        <w:rPr>
          <w:sz w:val="20"/>
          <w:szCs w:val="20"/>
          <w:color w:val="auto"/>
        </w:rPr>
      </w:pPr>
      <w:r>
        <w:rPr>
          <w:rFonts w:ascii="Times New Roman" w:cs="Times New Roman" w:eastAsia="Times New Roman" w:hAnsi="Times New Roman"/>
          <w:sz w:val="17"/>
          <w:szCs w:val="17"/>
          <w:color w:val="auto"/>
        </w:rPr>
        <w:t>We believe that our current cash, along with the remaining committed capital from the $350 million term loan facility, is sufficient to fund anticipated operations into cash flow positivity, based on the current operating plan, which includes the continued commercialization of Sunosi and Auvelity.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73" w:lineRule="exact"/>
        <w:rPr>
          <w:sz w:val="20"/>
          <w:szCs w:val="20"/>
          <w:color w:val="auto"/>
        </w:rPr>
      </w:pPr>
    </w:p>
    <w:p>
      <w:pPr>
        <w:ind w:left="740" w:hanging="365"/>
        <w:spacing w:after="0"/>
        <w:tabs>
          <w:tab w:leader="none" w:pos="7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rate of progress and costs related to the development of our product candidates, including the costs of preparing filings for regulatory approval;</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costs associated with conducting additional clinical and non-clinical studies with any of our product candidates;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hanging="365"/>
        <w:spacing w:after="0"/>
        <w:tabs>
          <w:tab w:leader="none" w:pos="7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potential for delays in our efforts to seek regulatory approval for our product candidates, and any costs associated with such delays;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costs associated with selling, marketing, and distributing our approved products;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costs of filing, prosecuting, defending, and enforcing any patent claims and other intellectual property rights associated with our product candidates;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cost and timing of manufacturing, or having third parties manufacture, sufficient supplies of our product candidates in preparation for commercialization;</w:t>
      </w:r>
    </w:p>
    <w:p>
      <w:pPr>
        <w:spacing w:after="0" w:line="216" w:lineRule="exact"/>
        <w:rPr>
          <w:rFonts w:ascii="Times New Roman" w:cs="Times New Roman" w:eastAsia="Times New Roman" w:hAnsi="Times New Roman"/>
          <w:sz w:val="14"/>
          <w:szCs w:val="14"/>
          <w:color w:val="auto"/>
        </w:rPr>
      </w:pPr>
    </w:p>
    <w:p>
      <w:pPr>
        <w:ind w:left="740" w:hanging="365"/>
        <w:spacing w:after="0"/>
        <w:tabs>
          <w:tab w:leader="none" w:pos="7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effect of competing technological and market developments;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revenues from commercial sales of our approved products;</w:t>
      </w:r>
    </w:p>
    <w:p>
      <w:pPr>
        <w:spacing w:after="0" w:line="178" w:lineRule="exact"/>
        <w:rPr>
          <w:rFonts w:ascii="Times New Roman" w:cs="Times New Roman" w:eastAsia="Times New Roman" w:hAnsi="Times New Roman"/>
          <w:sz w:val="15"/>
          <w:szCs w:val="15"/>
          <w:color w:val="auto"/>
        </w:rPr>
      </w:pPr>
    </w:p>
    <w:p>
      <w:pPr>
        <w:ind w:left="740" w:hanging="365"/>
        <w:spacing w:after="0" w:line="196" w:lineRule="exact"/>
        <w:tabs>
          <w:tab w:leader="none" w:pos="7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terms and timing of any collaborative, licensing,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promotion, or other arrangements that we may establish; and</w:t>
      </w:r>
    </w:p>
    <w:p>
      <w:pPr>
        <w:spacing w:after="0" w:line="231"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success of the commercialization of any of our current products and, if approved, any of our product candidates.</w:t>
      </w:r>
    </w:p>
    <w:p>
      <w:pPr>
        <w:spacing w:after="0" w:line="205" w:lineRule="exact"/>
        <w:rPr>
          <w:sz w:val="20"/>
          <w:szCs w:val="20"/>
          <w:color w:val="auto"/>
        </w:rPr>
      </w:pPr>
    </w:p>
    <w:p>
      <w:pPr>
        <w:ind w:right="160" w:firstLine="750"/>
        <w:spacing w:after="0" w:line="252" w:lineRule="auto"/>
        <w:rPr>
          <w:sz w:val="20"/>
          <w:szCs w:val="20"/>
          <w:color w:val="auto"/>
        </w:rPr>
      </w:pPr>
      <w:r>
        <w:rPr>
          <w:rFonts w:ascii="Times New Roman" w:cs="Times New Roman" w:eastAsia="Times New Roman" w:hAnsi="Times New Roman"/>
          <w:sz w:val="17"/>
          <w:szCs w:val="17"/>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7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55" w:lineRule="exact"/>
        <w:rPr>
          <w:sz w:val="20"/>
          <w:szCs w:val="20"/>
          <w:color w:val="auto"/>
        </w:rPr>
      </w:pPr>
    </w:p>
    <w:p>
      <w:pPr>
        <w:ind w:right="40" w:firstLine="750"/>
        <w:spacing w:after="0" w:line="249" w:lineRule="auto"/>
        <w:rPr>
          <w:sz w:val="20"/>
          <w:szCs w:val="20"/>
          <w:color w:val="auto"/>
        </w:rPr>
      </w:pPr>
      <w:r>
        <w:rPr>
          <w:rFonts w:ascii="Times New Roman" w:cs="Times New Roman" w:eastAsia="Times New Roman" w:hAnsi="Times New Roman"/>
          <w:sz w:val="17"/>
          <w:szCs w:val="17"/>
          <w:color w:val="auto"/>
        </w:rPr>
        <w:t>In September 2020, we entered into a Loan and Security Agreement, or the Loan Agreement, for a term loan,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In March 2022, we entered into a Second Amendment to the Loan Agreement that among other things, changed the terms of the Term Loan Advances (as defined in the 2020 Term Loan) upon the consummation of the Acquisition. In January 2023, we entered into a Third Amendment to the Loan Agreement that amended the terms of the Loan Agreement to, among other things, increase the size of the aggregate principal amount under the 2020 Term Loan from $300,000,000 to $350,000,000, reduce the interest rate, and extend the maturity and interest-only period of the Loan Agreement.</w:t>
      </w:r>
    </w:p>
    <w:p>
      <w:pPr>
        <w:spacing w:after="0" w:line="179" w:lineRule="exact"/>
        <w:rPr>
          <w:sz w:val="20"/>
          <w:szCs w:val="20"/>
          <w:color w:val="auto"/>
        </w:rPr>
      </w:pPr>
    </w:p>
    <w:p>
      <w:pPr>
        <w:ind w:right="340" w:firstLine="750"/>
        <w:spacing w:after="0" w:line="254" w:lineRule="auto"/>
        <w:rPr>
          <w:sz w:val="20"/>
          <w:szCs w:val="20"/>
          <w:color w:val="auto"/>
        </w:rPr>
      </w:pPr>
      <w:r>
        <w:rPr>
          <w:rFonts w:ascii="Times New Roman" w:cs="Times New Roman" w:eastAsia="Times New Roman" w:hAnsi="Times New Roman"/>
          <w:sz w:val="17"/>
          <w:szCs w:val="17"/>
          <w:color w:val="auto"/>
        </w:rPr>
        <w:t>The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65" w:lineRule="auto"/>
        <w:rPr>
          <w:sz w:val="20"/>
          <w:szCs w:val="20"/>
          <w:color w:val="auto"/>
        </w:rPr>
      </w:pPr>
      <w:r>
        <w:rPr>
          <w:rFonts w:ascii="Times New Roman" w:cs="Times New Roman" w:eastAsia="Times New Roman" w:hAnsi="Times New Roman"/>
          <w:sz w:val="16"/>
          <w:szCs w:val="16"/>
          <w:color w:val="auto"/>
        </w:rPr>
        <w:t>The covenants also include maintaining cash in an account or accounts in which the Lenders have a first priority security interest, in an aggregate amount greater than or equal to $30.0 million, plus the amount of our accounts payable under U.S generally accepted accounting principles not paid after the 180th day following the invoice for such account payable, which we refer to as the Qualified Cash A/P Account. Furthermore, beginning with the reporting period ended June 30, 2023, we are obligated to (A) ensure that at all times our market capitalization exceeds $1.5 billion, and that we maintain cash in an account in which the Lenders have a first priority security interest in an amount not less than 50% of the sum of the outstanding principal amount of the term loan advances plus the Qualified Cash A/P Amount, (B) ensure that at all times that we maintain cash in an account in which the Lenders have a first priority security interest in an amount not less than 95% of the sum of the outstanding principal amount of the term loan advances plus the Qualified Cash A/P Amount, or (C) achieve at least 60% of the net product revenue per our board of directors approved forecast solely from the sale of AXS-05, AXS-07, and Sunosi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171" w:lineRule="exact"/>
        <w:rPr>
          <w:sz w:val="20"/>
          <w:szCs w:val="20"/>
          <w:color w:val="auto"/>
        </w:rPr>
      </w:pPr>
    </w:p>
    <w:p>
      <w:pPr>
        <w:ind w:right="40" w:firstLine="750"/>
        <w:spacing w:after="0" w:line="282" w:lineRule="auto"/>
        <w:rPr>
          <w:sz w:val="20"/>
          <w:szCs w:val="20"/>
          <w:color w:val="auto"/>
        </w:rPr>
      </w:pPr>
      <w:r>
        <w:rPr>
          <w:rFonts w:ascii="Times New Roman" w:cs="Times New Roman" w:eastAsia="Times New Roman" w:hAnsi="Times New Roman"/>
          <w:sz w:val="16"/>
          <w:szCs w:val="16"/>
          <w:color w:val="auto"/>
        </w:rPr>
        <w:t>A breach of any of the covenants under the Loan Agreement could result in a default under the Term Loan. Upon the occurrence of an event of default under the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of commercializing products, which may make it difficult to evaluate our business and prospects.</w:t>
      </w:r>
    </w:p>
    <w:p>
      <w:pPr>
        <w:spacing w:after="0" w:line="209" w:lineRule="exact"/>
        <w:rPr>
          <w:sz w:val="20"/>
          <w:szCs w:val="20"/>
          <w:color w:val="auto"/>
        </w:rPr>
      </w:pPr>
    </w:p>
    <w:p>
      <w:pPr>
        <w:jc w:val="both"/>
        <w:ind w:right="120" w:firstLine="750"/>
        <w:spacing w:after="0" w:line="254" w:lineRule="auto"/>
        <w:rPr>
          <w:sz w:val="20"/>
          <w:szCs w:val="20"/>
          <w:color w:val="auto"/>
        </w:rPr>
      </w:pPr>
      <w:r>
        <w:rPr>
          <w:rFonts w:ascii="Times New Roman" w:cs="Times New Roman" w:eastAsia="Times New Roman" w:hAnsi="Times New Roman"/>
          <w:sz w:val="17"/>
          <w:szCs w:val="17"/>
          <w:color w:val="auto"/>
        </w:rPr>
        <w:t>We are an early-stage commercial company. Prior to our commercialization of Auvelity and Sunosi in 2022,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173" w:lineRule="exact"/>
        <w:rPr>
          <w:sz w:val="20"/>
          <w:szCs w:val="20"/>
          <w:color w:val="auto"/>
        </w:rPr>
      </w:pPr>
    </w:p>
    <w:p>
      <w:pPr>
        <w:ind w:right="160" w:firstLine="750"/>
        <w:spacing w:after="0" w:line="258" w:lineRule="auto"/>
        <w:rPr>
          <w:sz w:val="20"/>
          <w:szCs w:val="20"/>
          <w:color w:val="auto"/>
        </w:rPr>
      </w:pPr>
      <w:r>
        <w:rPr>
          <w:rFonts w:ascii="Times New Roman" w:cs="Times New Roman" w:eastAsia="Times New Roman" w:hAnsi="Times New Roman"/>
          <w:sz w:val="17"/>
          <w:szCs w:val="17"/>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capable of undertaking commercial activities. We may encounter unforeseen expenses, difficulties, complications and delays, and may not be successful in such a transition.</w:t>
      </w:r>
    </w:p>
    <w:p>
      <w:pPr>
        <w:spacing w:after="0" w:line="16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We are currently operating in a period of economic uncertainty and capital markets disruption, which has been significantly impacted by geopolitical instability. Our business, financial condition and results of operations could be materially adversely affected by any negative impact on the global economy and capital markets resulting from geopolitical tensions.</w:t>
      </w:r>
    </w:p>
    <w:p>
      <w:pPr>
        <w:spacing w:after="0" w:line="167" w:lineRule="exact"/>
        <w:rPr>
          <w:sz w:val="20"/>
          <w:szCs w:val="20"/>
          <w:color w:val="auto"/>
        </w:rPr>
      </w:pPr>
    </w:p>
    <w:p>
      <w:pPr>
        <w:ind w:right="160" w:firstLine="750"/>
        <w:spacing w:after="0" w:line="252" w:lineRule="auto"/>
        <w:rPr>
          <w:sz w:val="20"/>
          <w:szCs w:val="20"/>
          <w:color w:val="auto"/>
        </w:rPr>
      </w:pPr>
      <w:r>
        <w:rPr>
          <w:rFonts w:ascii="Times New Roman" w:cs="Times New Roman" w:eastAsia="Times New Roman" w:hAnsi="Times New Roman"/>
          <w:sz w:val="17"/>
          <w:szCs w:val="17"/>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75" w:lineRule="exact"/>
        <w:rPr>
          <w:sz w:val="20"/>
          <w:szCs w:val="20"/>
          <w:color w:val="auto"/>
        </w:rPr>
      </w:pPr>
    </w:p>
    <w:p>
      <w:pPr>
        <w:ind w:right="100" w:firstLine="750"/>
        <w:spacing w:after="0" w:line="254" w:lineRule="auto"/>
        <w:rPr>
          <w:sz w:val="20"/>
          <w:szCs w:val="20"/>
          <w:color w:val="auto"/>
        </w:rPr>
      </w:pPr>
      <w:r>
        <w:rPr>
          <w:rFonts w:ascii="Times New Roman" w:cs="Times New Roman" w:eastAsia="Times New Roman" w:hAnsi="Times New Roman"/>
          <w:sz w:val="17"/>
          <w:szCs w:val="17"/>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40" w:firstLine="750"/>
        <w:spacing w:after="0" w:line="254" w:lineRule="auto"/>
        <w:rPr>
          <w:sz w:val="20"/>
          <w:szCs w:val="20"/>
          <w:color w:val="auto"/>
        </w:rPr>
      </w:pPr>
      <w:r>
        <w:rPr>
          <w:rFonts w:ascii="Times New Roman" w:cs="Times New Roman" w:eastAsia="Times New Roman" w:hAnsi="Times New Roman"/>
          <w:sz w:val="17"/>
          <w:szCs w:val="17"/>
          <w:color w:val="auto"/>
        </w:rPr>
        <w:t>Furthermore, because of current geopolitical tensions, the Biden administration has recently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Any additional executive orders regarding or potential sanctions on China could materially impact our current manufacturing partners.</w:t>
      </w:r>
    </w:p>
    <w:p>
      <w:pPr>
        <w:spacing w:after="0" w:line="173"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Although our business has not been materially impacted by these geopolitical issues to date, it is impossible to predict the extent to which our operations, or those of our suppliers and manufacturers, will be impacted in the short and long term, or the ways in which the conflict may impact our business. The extent and duration of the military action, sanctions and resulting market disruptions are impossible to predict, but could be substantial. Any such disruptions may also magnify the impact of other risks described herein.</w:t>
      </w:r>
    </w:p>
    <w:p>
      <w:pPr>
        <w:spacing w:after="0" w:line="169" w:lineRule="exact"/>
        <w:rPr>
          <w:sz w:val="20"/>
          <w:szCs w:val="20"/>
          <w:color w:val="auto"/>
        </w:rPr>
      </w:pPr>
    </w:p>
    <w:p>
      <w:pPr>
        <w:ind w:right="6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Climate change or legal, regulatory or market measures to address climate change may negatively affect our business, results of operations, cash flows and prospects.</w:t>
      </w:r>
    </w:p>
    <w:p>
      <w:pPr>
        <w:spacing w:after="0" w:line="155" w:lineRule="exact"/>
        <w:rPr>
          <w:sz w:val="20"/>
          <w:szCs w:val="20"/>
          <w:color w:val="auto"/>
        </w:rPr>
      </w:pPr>
    </w:p>
    <w:p>
      <w:pPr>
        <w:ind w:right="360" w:firstLine="750"/>
        <w:spacing w:after="0" w:line="254" w:lineRule="auto"/>
        <w:rPr>
          <w:sz w:val="20"/>
          <w:szCs w:val="20"/>
          <w:color w:val="auto"/>
        </w:rPr>
      </w:pPr>
      <w:r>
        <w:rPr>
          <w:rFonts w:ascii="Times New Roman" w:cs="Times New Roman" w:eastAsia="Times New Roman" w:hAnsi="Times New Roman"/>
          <w:sz w:val="17"/>
          <w:szCs w:val="17"/>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73" w:lineRule="exact"/>
        <w:rPr>
          <w:sz w:val="20"/>
          <w:szCs w:val="20"/>
          <w:color w:val="auto"/>
        </w:rPr>
      </w:pPr>
    </w:p>
    <w:p>
      <w:pPr>
        <w:ind w:right="60" w:firstLine="750"/>
        <w:spacing w:after="0" w:line="271" w:lineRule="auto"/>
        <w:rPr>
          <w:sz w:val="20"/>
          <w:szCs w:val="20"/>
          <w:color w:val="auto"/>
        </w:rPr>
      </w:pPr>
      <w:r>
        <w:rPr>
          <w:rFonts w:ascii="Times New Roman" w:cs="Times New Roman" w:eastAsia="Times New Roman" w:hAnsi="Times New Roman"/>
          <w:sz w:val="16"/>
          <w:szCs w:val="16"/>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62" w:lineRule="exact"/>
        <w:rPr>
          <w:sz w:val="20"/>
          <w:szCs w:val="20"/>
          <w:color w:val="auto"/>
        </w:rPr>
      </w:pPr>
    </w:p>
    <w:p>
      <w:pPr>
        <w:ind w:right="60" w:firstLine="750"/>
        <w:spacing w:after="0" w:line="252" w:lineRule="auto"/>
        <w:rPr>
          <w:sz w:val="20"/>
          <w:szCs w:val="20"/>
          <w:color w:val="auto"/>
        </w:rPr>
      </w:pPr>
      <w:r>
        <w:rPr>
          <w:rFonts w:ascii="Times New Roman" w:cs="Times New Roman" w:eastAsia="Times New Roman" w:hAnsi="Times New Roman"/>
          <w:sz w:val="17"/>
          <w:szCs w:val="17"/>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THE DEVELOPMENT OF OUR PRODUCT CANDIDATES</w:t>
      </w:r>
    </w:p>
    <w:p>
      <w:pPr>
        <w:spacing w:after="0" w:line="205"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5"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We currently have two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Sunosi and Auvelity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179" w:lineRule="exact"/>
        <w:rPr>
          <w:sz w:val="20"/>
          <w:szCs w:val="20"/>
          <w:color w:val="auto"/>
        </w:rPr>
      </w:pPr>
    </w:p>
    <w:p>
      <w:pPr>
        <w:ind w:right="140" w:firstLine="750"/>
        <w:spacing w:after="0" w:line="254" w:lineRule="auto"/>
        <w:rPr>
          <w:sz w:val="20"/>
          <w:szCs w:val="20"/>
          <w:color w:val="auto"/>
        </w:rPr>
      </w:pPr>
      <w:r>
        <w:rPr>
          <w:rFonts w:ascii="Times New Roman" w:cs="Times New Roman" w:eastAsia="Times New Roman" w:hAnsi="Times New Roman"/>
          <w:sz w:val="17"/>
          <w:szCs w:val="17"/>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A Phase 3 trial with AXS-05 in AD agitation and a Phase 3 trial with AXS-12 in narcolepsy are ongoing. As a result of one or more risks discussed in this section, we cannot assure you that we will meet projected timelines related to these trials.</w:t>
      </w:r>
    </w:p>
    <w:p>
      <w:pPr>
        <w:spacing w:after="0" w:line="173"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79" w:lineRule="exact"/>
        <w:rPr>
          <w:sz w:val="20"/>
          <w:szCs w:val="20"/>
          <w:color w:val="auto"/>
        </w:rPr>
      </w:pPr>
    </w:p>
    <w:p>
      <w:pPr>
        <w:ind w:right="40" w:firstLine="750"/>
        <w:spacing w:after="0" w:line="258" w:lineRule="auto"/>
        <w:rPr>
          <w:sz w:val="20"/>
          <w:szCs w:val="20"/>
          <w:color w:val="auto"/>
        </w:rPr>
      </w:pPr>
      <w:r>
        <w:rPr>
          <w:rFonts w:ascii="Times New Roman" w:cs="Times New Roman" w:eastAsia="Times New Roman" w:hAnsi="Times New Roman"/>
          <w:sz w:val="17"/>
          <w:szCs w:val="17"/>
          <w:color w:val="auto"/>
        </w:rPr>
        <w:t>Although we submitted NDAs to the FDA for Auvelity (which was approved) and for AXS-07 for the acute treatment of migraines (which received a CRL),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70"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If approved for marketing by applicable regulatory authorities, our ability to generate revenues from our product candidates depend on our ability to:</w:t>
      </w:r>
    </w:p>
    <w:p>
      <w:pPr>
        <w:spacing w:after="0" w:line="205" w:lineRule="exact"/>
        <w:rPr>
          <w:sz w:val="20"/>
          <w:szCs w:val="20"/>
          <w:color w:val="auto"/>
        </w:rPr>
      </w:pPr>
    </w:p>
    <w:p>
      <w:pPr>
        <w:ind w:left="740" w:right="340" w:hanging="365"/>
        <w:spacing w:after="0" w:line="271" w:lineRule="auto"/>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create market demand for our product candidates through our own marketing and sales activities, and any other arrangements to promote these product candidates that we may otherwise establish;</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receive regulatory approval for claims that are necessary or desirable for successful marketing;</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hire, train, and deploy a sales force to commercialize our product candidates;</w:t>
      </w:r>
    </w:p>
    <w:p>
      <w:pPr>
        <w:spacing w:after="0" w:line="204" w:lineRule="exact"/>
        <w:rPr>
          <w:rFonts w:ascii="Times New Roman" w:cs="Times New Roman" w:eastAsia="Times New Roman" w:hAnsi="Times New Roman"/>
          <w:sz w:val="15"/>
          <w:szCs w:val="15"/>
          <w:color w:val="auto"/>
        </w:rPr>
      </w:pPr>
    </w:p>
    <w:p>
      <w:pPr>
        <w:ind w:left="740" w:hanging="365"/>
        <w:spacing w:after="0" w:line="271" w:lineRule="auto"/>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manufacture (or have manufactured by third parties) our product candidates in sufficient quantities and at acceptable quality and manufacturing cost to meet commercial demand at launch and thereafter;</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establish and maintain agreements with wholesalers, distributors, and group purchasing organizations on commercially reasonable terms;</w:t>
      </w:r>
    </w:p>
    <w:p>
      <w:pPr>
        <w:spacing w:after="0" w:line="204" w:lineRule="exact"/>
        <w:rPr>
          <w:rFonts w:ascii="Times New Roman" w:cs="Times New Roman" w:eastAsia="Times New Roman" w:hAnsi="Times New Roman"/>
          <w:sz w:val="15"/>
          <w:szCs w:val="15"/>
          <w:color w:val="auto"/>
        </w:rPr>
      </w:pPr>
    </w:p>
    <w:p>
      <w:pPr>
        <w:ind w:left="740" w:right="540" w:hanging="365"/>
        <w:spacing w:after="0" w:line="271" w:lineRule="auto"/>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create partnerships with, or offer licenses to, third parties to promote and sell our product candidates in foreign markets where we receive marketing approval;</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maintain patent and trade secret protection and regulatory exclusivity for our product candidates;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launch commercial sales of our product candidates, whether alone or in collaboration with others;</w:t>
      </w:r>
    </w:p>
    <w:p>
      <w:pPr>
        <w:spacing w:after="0" w:line="178" w:lineRule="exact"/>
        <w:rPr>
          <w:rFonts w:ascii="Times New Roman" w:cs="Times New Roman" w:eastAsia="Times New Roman" w:hAnsi="Times New Roman"/>
          <w:sz w:val="15"/>
          <w:szCs w:val="15"/>
          <w:color w:val="auto"/>
        </w:rPr>
      </w:pPr>
    </w:p>
    <w:p>
      <w:pPr>
        <w:ind w:left="740" w:hanging="365"/>
        <w:spacing w:after="0" w:line="196" w:lineRule="exact"/>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achieve market acceptance of our product candidates by patients, the medical community, and government and private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w:t>
      </w:r>
    </w:p>
    <w:p>
      <w:pPr>
        <w:spacing w:after="0" w:line="231"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achieve appropriate reimbursement for our product candidates;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effectively compete with other therapies; and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maintain a continued acceptable safety profile of our product candidates following launch.</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60"/>
          </w:cols>
          <w:pgMar w:left="320" w:top="120" w:right="4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55" w:lineRule="exact"/>
        <w:rPr>
          <w:sz w:val="20"/>
          <w:szCs w:val="20"/>
          <w:color w:val="auto"/>
        </w:rPr>
      </w:pPr>
    </w:p>
    <w:p>
      <w:pPr>
        <w:ind w:firstLine="750"/>
        <w:spacing w:after="0" w:line="247" w:lineRule="auto"/>
        <w:rPr>
          <w:sz w:val="20"/>
          <w:szCs w:val="20"/>
          <w:color w:val="auto"/>
        </w:rPr>
      </w:pPr>
      <w:r>
        <w:rPr>
          <w:rFonts w:ascii="Times New Roman" w:cs="Times New Roman" w:eastAsia="Times New Roman" w:hAnsi="Times New Roman"/>
          <w:sz w:val="17"/>
          <w:szCs w:val="17"/>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8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5" w:lineRule="exact"/>
        <w:rPr>
          <w:sz w:val="20"/>
          <w:szCs w:val="20"/>
          <w:color w:val="auto"/>
        </w:rPr>
      </w:pPr>
    </w:p>
    <w:p>
      <w:pPr>
        <w:ind w:right="40" w:firstLine="750"/>
        <w:spacing w:after="0" w:line="264" w:lineRule="auto"/>
        <w:rPr>
          <w:sz w:val="20"/>
          <w:szCs w:val="20"/>
          <w:color w:val="auto"/>
        </w:rPr>
      </w:pPr>
      <w:r>
        <w:rPr>
          <w:rFonts w:ascii="Times New Roman" w:cs="Times New Roman" w:eastAsia="Times New Roman" w:hAnsi="Times New Roman"/>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ADHD, AXS-05 for the treatment of agitation associated with AD, and smoking cessation, AXS-07 for the acute treatment of migraines,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0"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55" w:lineRule="exact"/>
        <w:rPr>
          <w:sz w:val="20"/>
          <w:szCs w:val="20"/>
          <w:color w:val="auto"/>
        </w:rPr>
      </w:pPr>
    </w:p>
    <w:p>
      <w:pPr>
        <w:ind w:right="300" w:firstLine="750"/>
        <w:spacing w:after="0" w:line="303" w:lineRule="auto"/>
        <w:rPr>
          <w:sz w:val="20"/>
          <w:szCs w:val="20"/>
          <w:color w:val="auto"/>
        </w:rPr>
      </w:pPr>
      <w:r>
        <w:rPr>
          <w:rFonts w:ascii="Times New Roman" w:cs="Times New Roman" w:eastAsia="Times New Roman" w:hAnsi="Times New Roman"/>
          <w:sz w:val="16"/>
          <w:szCs w:val="16"/>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hanging="365"/>
        <w:spacing w:after="0"/>
        <w:tabs>
          <w:tab w:leader="none" w:pos="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difficulty or inability to secure financing to fund business activities for such development;</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disruption of our business and diversion of our management’s time and attention;</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higher than expected development costs;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exposure to unknown liabilities;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difficulty in managing multiple product development programs; and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inability to successfully develop new products or clinical failure.</w:t>
      </w:r>
    </w:p>
    <w:p>
      <w:pPr>
        <w:spacing w:after="0" w:line="205" w:lineRule="exact"/>
        <w:rPr>
          <w:sz w:val="20"/>
          <w:szCs w:val="20"/>
          <w:color w:val="auto"/>
        </w:rPr>
      </w:pPr>
    </w:p>
    <w:p>
      <w:pPr>
        <w:ind w:right="100" w:firstLine="750"/>
        <w:spacing w:after="0" w:line="252" w:lineRule="auto"/>
        <w:rPr>
          <w:sz w:val="20"/>
          <w:szCs w:val="20"/>
          <w:color w:val="auto"/>
        </w:rPr>
      </w:pPr>
      <w:r>
        <w:rPr>
          <w:rFonts w:ascii="Times New Roman" w:cs="Times New Roman" w:eastAsia="Times New Roman" w:hAnsi="Times New Roman"/>
          <w:sz w:val="17"/>
          <w:szCs w:val="17"/>
          <w:color w:val="auto"/>
        </w:rPr>
        <w:t>For instance, our prior efforts have resulted in our decision not to further develop certain product candidates that, at one time, appeared to be promising. Likewise, we received a CRL from the FDA relating to the Company’s AXS-07 portfolio product in 2022 (we intend to resubmit the NDA for AXS-07).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67" w:lineRule="exact"/>
        <w:rPr>
          <w:sz w:val="20"/>
          <w:szCs w:val="20"/>
          <w:color w:val="auto"/>
        </w:rPr>
      </w:pPr>
    </w:p>
    <w:p>
      <w:pPr>
        <w:ind w:right="100" w:firstLine="750"/>
        <w:spacing w:after="0" w:line="271" w:lineRule="auto"/>
        <w:rPr>
          <w:sz w:val="20"/>
          <w:szCs w:val="20"/>
          <w:color w:val="auto"/>
        </w:rPr>
      </w:pPr>
      <w:r>
        <w:rPr>
          <w:rFonts w:ascii="Times New Roman" w:cs="Times New Roman" w:eastAsia="Times New Roman" w:hAnsi="Times New Roman"/>
          <w:sz w:val="17"/>
          <w:szCs w:val="17"/>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59"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In the United States, we currently plan to, at least initially, seek approval of some of our product candidates using the 505(b)(2) pathway. These 505(b)(2) product candidates include AXS-05 and AXS-07.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60"/>
          </w:cols>
          <w:pgMar w:left="320" w:top="120"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0" w:firstLine="750"/>
        <w:spacing w:after="0" w:line="207" w:lineRule="exact"/>
        <w:rPr>
          <w:sz w:val="20"/>
          <w:szCs w:val="20"/>
          <w:color w:val="auto"/>
        </w:rPr>
      </w:pPr>
      <w:r>
        <w:rPr>
          <w:rFonts w:ascii="Times New Roman" w:cs="Times New Roman" w:eastAsia="Times New Roman" w:hAnsi="Times New Roman"/>
          <w:sz w:val="17"/>
          <w:szCs w:val="17"/>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wide warnings. For instance, antidepressants, including Auvelity, include a class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wide black box warning regarding the increased risk of suicidal thoughts and behavior.</w:t>
      </w:r>
    </w:p>
    <w:p>
      <w:pPr>
        <w:spacing w:after="0" w:line="167" w:lineRule="exact"/>
        <w:rPr>
          <w:sz w:val="20"/>
          <w:szCs w:val="20"/>
          <w:color w:val="auto"/>
        </w:rPr>
      </w:pPr>
    </w:p>
    <w:p>
      <w:pPr>
        <w:ind w:right="60" w:firstLine="750"/>
        <w:spacing w:after="0" w:line="249" w:lineRule="auto"/>
        <w:rPr>
          <w:sz w:val="20"/>
          <w:szCs w:val="20"/>
          <w:color w:val="auto"/>
        </w:rPr>
      </w:pPr>
      <w:r>
        <w:rPr>
          <w:rFonts w:ascii="Times New Roman" w:cs="Times New Roman" w:eastAsia="Times New Roman" w:hAnsi="Times New Roman"/>
          <w:sz w:val="17"/>
          <w:szCs w:val="17"/>
          <w:color w:val="auto"/>
        </w:rPr>
        <w:t>In addition, because we plan to file certain product candidates under an NDA submitted pursuant to 505(b)(2), we will rely, at least in part, upon a reference drug and published literature. For example, we intend to rely on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 product candidate.</w:t>
      </w:r>
    </w:p>
    <w:p>
      <w:pPr>
        <w:spacing w:after="0" w:line="177" w:lineRule="exact"/>
        <w:rPr>
          <w:sz w:val="20"/>
          <w:szCs w:val="20"/>
          <w:color w:val="auto"/>
        </w:rPr>
      </w:pPr>
    </w:p>
    <w:p>
      <w:pPr>
        <w:ind w:right="140" w:firstLine="750"/>
        <w:spacing w:after="0" w:line="252" w:lineRule="auto"/>
        <w:rPr>
          <w:sz w:val="20"/>
          <w:szCs w:val="20"/>
          <w:color w:val="auto"/>
        </w:rPr>
      </w:pPr>
      <w:r>
        <w:rPr>
          <w:rFonts w:ascii="Times New Roman" w:cs="Times New Roman" w:eastAsia="Times New Roman" w:hAnsi="Times New Roman"/>
          <w:sz w:val="17"/>
          <w:szCs w:val="17"/>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75" w:lineRule="exact"/>
        <w:rPr>
          <w:sz w:val="20"/>
          <w:szCs w:val="20"/>
          <w:color w:val="auto"/>
        </w:rPr>
      </w:pPr>
    </w:p>
    <w:p>
      <w:pPr>
        <w:ind w:right="100" w:firstLine="750"/>
        <w:spacing w:after="0" w:line="252" w:lineRule="auto"/>
        <w:rPr>
          <w:sz w:val="20"/>
          <w:szCs w:val="20"/>
          <w:color w:val="auto"/>
        </w:rPr>
      </w:pPr>
      <w:r>
        <w:rPr>
          <w:rFonts w:ascii="Times New Roman" w:cs="Times New Roman" w:eastAsia="Times New Roman" w:hAnsi="Times New Roman"/>
          <w:sz w:val="17"/>
          <w:szCs w:val="17"/>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7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An NDA submitted under Section 505(b)(2) subjects us to the risk that we may be subject to a patent infringement lawsuit or regulatory actions that would delay or prevent the review or approval of our product candidates.</w:t>
      </w:r>
    </w:p>
    <w:p>
      <w:pPr>
        <w:spacing w:after="0" w:line="155"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Under the Hatch-Waxman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7"/>
          <w:szCs w:val="17"/>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7" w:lineRule="exact"/>
        <w:rPr>
          <w:sz w:val="20"/>
          <w:szCs w:val="20"/>
          <w:color w:val="auto"/>
        </w:rPr>
      </w:pPr>
    </w:p>
    <w:p>
      <w:pPr>
        <w:ind w:right="80" w:firstLine="750"/>
        <w:spacing w:after="0" w:line="249" w:lineRule="auto"/>
        <w:rPr>
          <w:sz w:val="20"/>
          <w:szCs w:val="20"/>
          <w:color w:val="auto"/>
        </w:rPr>
      </w:pPr>
      <w:r>
        <w:rPr>
          <w:rFonts w:ascii="Times New Roman" w:cs="Times New Roman" w:eastAsia="Times New Roman" w:hAnsi="Times New Roman"/>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To date, we have submitted two NDAs to the FDA and have obtained regulatory approval for one of our product candidates, Auvelity. It is possible that none of our other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77" w:lineRule="exact"/>
        <w:rPr>
          <w:sz w:val="20"/>
          <w:szCs w:val="20"/>
          <w:color w:val="auto"/>
        </w:rPr>
      </w:pPr>
    </w:p>
    <w:p>
      <w:pPr>
        <w:ind w:right="20" w:firstLine="750"/>
        <w:spacing w:after="0" w:line="202" w:lineRule="exact"/>
        <w:rPr>
          <w:sz w:val="20"/>
          <w:szCs w:val="20"/>
          <w:color w:val="auto"/>
        </w:rPr>
      </w:pPr>
      <w:r>
        <w:rPr>
          <w:rFonts w:ascii="Times New Roman" w:cs="Times New Roman" w:eastAsia="Times New Roman" w:hAnsi="Times New Roman"/>
          <w:sz w:val="17"/>
          <w:szCs w:val="17"/>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86" w:lineRule="exact"/>
        <w:rPr>
          <w:sz w:val="20"/>
          <w:szCs w:val="20"/>
          <w:color w:val="auto"/>
        </w:rPr>
      </w:pPr>
    </w:p>
    <w:p>
      <w:pPr>
        <w:jc w:val="both"/>
        <w:ind w:right="140" w:firstLine="750"/>
        <w:spacing w:after="0" w:line="206" w:lineRule="exact"/>
        <w:rPr>
          <w:sz w:val="20"/>
          <w:szCs w:val="20"/>
          <w:color w:val="auto"/>
        </w:rPr>
      </w:pPr>
      <w:r>
        <w:rPr>
          <w:rFonts w:ascii="Times New Roman" w:cs="Times New Roman" w:eastAsia="Times New Roman" w:hAnsi="Times New Roman"/>
          <w:sz w:val="16"/>
          <w:szCs w:val="16"/>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stage clinical trials.</w:t>
      </w:r>
    </w:p>
    <w:p>
      <w:pPr>
        <w:spacing w:after="0" w:line="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We may also experience numerous unforeseen events during, or as a result of, clinical trials and in the course of our preparation, submission, and review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NDA filings that could delay or prevent our ability to receive marketing approval or commercialize our product candidates, including:</w:t>
      </w:r>
    </w:p>
    <w:p>
      <w:pPr>
        <w:spacing w:after="0" w:line="188" w:lineRule="exact"/>
        <w:rPr>
          <w:sz w:val="20"/>
          <w:szCs w:val="20"/>
          <w:color w:val="auto"/>
        </w:rPr>
      </w:pPr>
    </w:p>
    <w:p>
      <w:pPr>
        <w:ind w:left="740" w:right="220" w:hanging="365"/>
        <w:spacing w:after="0" w:line="271" w:lineRule="auto"/>
        <w:tabs>
          <w:tab w:leader="none" w:pos="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regulators or IRBs may not authorize us or our investigators to commence a clinical trial or conduct a clinical trial at a prospective trial site or amend trial protocols;</w:t>
      </w:r>
    </w:p>
    <w:p>
      <w:pPr>
        <w:spacing w:after="0" w:line="159" w:lineRule="exact"/>
        <w:rPr>
          <w:rFonts w:ascii="Times New Roman" w:cs="Times New Roman" w:eastAsia="Times New Roman" w:hAnsi="Times New Roman"/>
          <w:sz w:val="15"/>
          <w:szCs w:val="15"/>
          <w:color w:val="auto"/>
        </w:rPr>
      </w:pPr>
    </w:p>
    <w:p>
      <w:pPr>
        <w:ind w:left="740" w:right="160" w:hanging="365"/>
        <w:spacing w:after="0" w:line="271" w:lineRule="auto"/>
        <w:tabs>
          <w:tab w:leader="none" w:pos="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we may experience delays in reaching, or fail to reach, agreement on acceptable clinical trial contracts or clinical trial protocols with prospective trial sites and our CROs;</w:t>
      </w:r>
    </w:p>
    <w:p>
      <w:pPr>
        <w:spacing w:after="0" w:line="159" w:lineRule="exact"/>
        <w:rPr>
          <w:rFonts w:ascii="Times New Roman" w:cs="Times New Roman" w:eastAsia="Times New Roman" w:hAnsi="Times New Roman"/>
          <w:sz w:val="15"/>
          <w:szCs w:val="15"/>
          <w:color w:val="auto"/>
        </w:rPr>
      </w:pPr>
    </w:p>
    <w:p>
      <w:pPr>
        <w:ind w:left="740" w:right="320" w:hanging="365"/>
        <w:spacing w:after="0" w:line="303" w:lineRule="auto"/>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right="440" w:hanging="365"/>
        <w:spacing w:after="0" w:line="271" w:lineRule="auto"/>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59" w:lineRule="exact"/>
        <w:rPr>
          <w:rFonts w:ascii="Times New Roman" w:cs="Times New Roman" w:eastAsia="Times New Roman" w:hAnsi="Times New Roman"/>
          <w:sz w:val="15"/>
          <w:szCs w:val="15"/>
          <w:color w:val="auto"/>
        </w:rPr>
      </w:pPr>
    </w:p>
    <w:p>
      <w:pPr>
        <w:ind w:left="740" w:right="20" w:hanging="365"/>
        <w:spacing w:after="0" w:line="271" w:lineRule="auto"/>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32" w:lineRule="exact"/>
        <w:rPr>
          <w:rFonts w:ascii="Times New Roman" w:cs="Times New Roman" w:eastAsia="Times New Roman" w:hAnsi="Times New Roman"/>
          <w:sz w:val="15"/>
          <w:szCs w:val="15"/>
          <w:color w:val="auto"/>
        </w:rPr>
      </w:pPr>
    </w:p>
    <w:p>
      <w:pPr>
        <w:ind w:left="740" w:right="420" w:hanging="365"/>
        <w:spacing w:after="0" w:line="221" w:lineRule="exact"/>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our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85" w:lineRule="exact"/>
        <w:rPr>
          <w:rFonts w:ascii="Times New Roman" w:cs="Times New Roman" w:eastAsia="Times New Roman" w:hAnsi="Times New Roman"/>
          <w:sz w:val="15"/>
          <w:szCs w:val="15"/>
          <w:color w:val="auto"/>
        </w:rPr>
      </w:pPr>
    </w:p>
    <w:p>
      <w:pPr>
        <w:ind w:left="740" w:hanging="365"/>
        <w:spacing w:after="0" w:line="254" w:lineRule="auto"/>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73"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changes in marketing approval policies during the development period rendering our data insufficient to obtain marketing approval;</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changes in or the enactment of additional statutes or regulations;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changes in regulatory review for each submitted product application;</w:t>
      </w:r>
    </w:p>
    <w:p>
      <w:pPr>
        <w:spacing w:after="0" w:line="204" w:lineRule="exact"/>
        <w:rPr>
          <w:rFonts w:ascii="Times New Roman" w:cs="Times New Roman" w:eastAsia="Times New Roman" w:hAnsi="Times New Roman"/>
          <w:sz w:val="15"/>
          <w:szCs w:val="15"/>
          <w:color w:val="auto"/>
        </w:rPr>
      </w:pPr>
    </w:p>
    <w:p>
      <w:pPr>
        <w:ind w:left="740" w:right="440" w:hanging="365"/>
        <w:spacing w:after="0" w:line="271" w:lineRule="auto"/>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59" w:lineRule="exact"/>
        <w:rPr>
          <w:rFonts w:ascii="Times New Roman" w:cs="Times New Roman" w:eastAsia="Times New Roman" w:hAnsi="Times New Roman"/>
          <w:sz w:val="15"/>
          <w:szCs w:val="15"/>
          <w:color w:val="auto"/>
        </w:rPr>
      </w:pPr>
    </w:p>
    <w:p>
      <w:pPr>
        <w:ind w:left="740" w:right="560" w:hanging="365"/>
        <w:spacing w:after="0" w:line="271" w:lineRule="auto"/>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supply or quality of our product candidates or other materials necessary to conduct clinical trials of our product candidates may be insufficient or inadequate;</w:t>
      </w:r>
    </w:p>
    <w:p>
      <w:pPr>
        <w:spacing w:after="0" w:line="159" w:lineRule="exact"/>
        <w:rPr>
          <w:rFonts w:ascii="Times New Roman" w:cs="Times New Roman" w:eastAsia="Times New Roman" w:hAnsi="Times New Roman"/>
          <w:sz w:val="15"/>
          <w:szCs w:val="15"/>
          <w:color w:val="auto"/>
        </w:rPr>
      </w:pPr>
    </w:p>
    <w:p>
      <w:pPr>
        <w:ind w:left="740" w:hanging="365"/>
        <w:spacing w:after="0" w:line="252" w:lineRule="auto"/>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Phase 2 CONCERT trial and ongoing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spacing w:after="0" w:line="17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we may fail to reach an agreement with regulators regarding the scope or design of our clinical trials;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we may have delays in adding new investigators or clinical trial sites, or we may experience a withdrawal of clinical trial sites;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we may experience delays in our clinical trials due to the ongoing COVID-19 pandemic;</w:t>
      </w:r>
    </w:p>
    <w:p>
      <w:pPr>
        <w:spacing w:after="0" w:line="204" w:lineRule="exact"/>
        <w:rPr>
          <w:rFonts w:ascii="Times New Roman" w:cs="Times New Roman" w:eastAsia="Times New Roman" w:hAnsi="Times New Roman"/>
          <w:sz w:val="15"/>
          <w:szCs w:val="15"/>
          <w:color w:val="auto"/>
        </w:rPr>
      </w:pPr>
    </w:p>
    <w:p>
      <w:pPr>
        <w:jc w:val="both"/>
        <w:ind w:left="740" w:right="80" w:hanging="365"/>
        <w:spacing w:after="0" w:line="303" w:lineRule="auto"/>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35" w:lineRule="exact"/>
        <w:rPr>
          <w:rFonts w:ascii="Times New Roman" w:cs="Times New Roman" w:eastAsia="Times New Roman" w:hAnsi="Times New Roman"/>
          <w:sz w:val="14"/>
          <w:szCs w:val="14"/>
          <w:color w:val="auto"/>
        </w:rPr>
      </w:pPr>
    </w:p>
    <w:p>
      <w:pPr>
        <w:ind w:left="740" w:hanging="365"/>
        <w:spacing w:after="0"/>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there may be regulatory questions regarding interpretations of data and results, or new information may emerge regarding our product candidates;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right="80" w:hanging="365"/>
        <w:spacing w:after="0" w:line="252" w:lineRule="auto"/>
        <w:tabs>
          <w:tab w:leader="none" w:pos="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174" w:lineRule="exact"/>
        <w:rPr>
          <w:rFonts w:ascii="Times New Roman" w:cs="Times New Roman" w:eastAsia="Times New Roman" w:hAnsi="Times New Roman"/>
          <w:sz w:val="15"/>
          <w:szCs w:val="15"/>
          <w:color w:val="auto"/>
        </w:rPr>
      </w:pPr>
    </w:p>
    <w:p>
      <w:pPr>
        <w:ind w:left="740" w:right="140" w:hanging="365"/>
        <w:spacing w:after="0" w:line="268"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w:t>
      </w:r>
    </w:p>
    <w:p>
      <w:pPr>
        <w:ind w:left="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(2) pathway, we will need to use the more time consuming and expensive NDA pathway to receive product approval;</w:t>
      </w:r>
    </w:p>
    <w:p>
      <w:pPr>
        <w:spacing w:after="0" w:line="188" w:lineRule="exact"/>
        <w:rPr>
          <w:rFonts w:ascii="Times New Roman" w:cs="Times New Roman" w:eastAsia="Times New Roman" w:hAnsi="Times New Roman"/>
          <w:sz w:val="14"/>
          <w:szCs w:val="14"/>
          <w:color w:val="auto"/>
        </w:rPr>
      </w:pPr>
    </w:p>
    <w:p>
      <w:pPr>
        <w:ind w:left="740" w:hanging="365"/>
        <w:spacing w:after="0"/>
        <w:tabs>
          <w:tab w:leader="none" w:pos="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FDA or comparable foreign regulatory authorities may not accept data from studies with clinical trial sites in foreign countries;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FDA or comparable foreign regulatory authorities may disagree with our intended indications;</w:t>
      </w:r>
    </w:p>
    <w:p>
      <w:pPr>
        <w:spacing w:after="0" w:line="204" w:lineRule="exact"/>
        <w:rPr>
          <w:rFonts w:ascii="Times New Roman" w:cs="Times New Roman" w:eastAsia="Times New Roman" w:hAnsi="Times New Roman"/>
          <w:sz w:val="15"/>
          <w:szCs w:val="15"/>
          <w:color w:val="auto"/>
        </w:rPr>
      </w:pPr>
    </w:p>
    <w:p>
      <w:pPr>
        <w:ind w:left="740" w:right="60" w:hanging="365"/>
        <w:spacing w:after="0" w:line="271" w:lineRule="auto"/>
        <w:tabs>
          <w:tab w:leader="none" w:pos="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59" w:lineRule="exact"/>
        <w:rPr>
          <w:rFonts w:ascii="Times New Roman" w:cs="Times New Roman" w:eastAsia="Times New Roman" w:hAnsi="Times New Roman"/>
          <w:sz w:val="15"/>
          <w:szCs w:val="15"/>
          <w:color w:val="auto"/>
        </w:rPr>
      </w:pPr>
    </w:p>
    <w:p>
      <w:pPr>
        <w:ind w:left="740" w:right="340" w:hanging="365"/>
        <w:spacing w:after="0" w:line="271" w:lineRule="auto"/>
        <w:tabs>
          <w:tab w:leader="none" w:pos="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in connection with the chemistry, manufacturing, and controls (CMC) data necessary for our NDA filing and approval, we will need to conduct stability studies and provide stability data to establish appropriate retest or expiration dating period;</w:t>
      </w:r>
    </w:p>
    <w:p>
      <w:pPr>
        <w:spacing w:after="0" w:line="159" w:lineRule="exact"/>
        <w:rPr>
          <w:rFonts w:ascii="Times New Roman" w:cs="Times New Roman" w:eastAsia="Times New Roman" w:hAnsi="Times New Roman"/>
          <w:sz w:val="15"/>
          <w:szCs w:val="15"/>
          <w:color w:val="auto"/>
        </w:rPr>
      </w:pPr>
    </w:p>
    <w:p>
      <w:pPr>
        <w:ind w:left="740" w:right="60" w:hanging="365"/>
        <w:spacing w:after="0" w:line="254" w:lineRule="auto"/>
        <w:tabs>
          <w:tab w:leader="none" w:pos="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Our product candidates may not demonstrate sufficient long-term stability to support an NDA filing or obtain approval, or the product shelf life may be limited by stability results;</w:t>
      </w:r>
    </w:p>
    <w:p>
      <w:pPr>
        <w:spacing w:after="0" w:line="173" w:lineRule="exact"/>
        <w:rPr>
          <w:rFonts w:ascii="Times New Roman" w:cs="Times New Roman" w:eastAsia="Times New Roman" w:hAnsi="Times New Roman"/>
          <w:sz w:val="15"/>
          <w:szCs w:val="15"/>
          <w:color w:val="auto"/>
        </w:rPr>
      </w:pPr>
    </w:p>
    <w:p>
      <w:pPr>
        <w:jc w:val="both"/>
        <w:ind w:left="740" w:right="100" w:hanging="365"/>
        <w:spacing w:after="0" w:line="303" w:lineRule="auto"/>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there may be delays in the FDA’s ability to conduct necessary Pre-Approval Inspections, or PAIs, due to the COVID-19 pandemic or for other reasons, and more generally the FDA or comparable foreign regulatory authorities may take longer than we anticipate to make a decision on our product candidates; and</w:t>
      </w:r>
    </w:p>
    <w:p>
      <w:pPr>
        <w:spacing w:after="0" w:line="135" w:lineRule="exact"/>
        <w:rPr>
          <w:rFonts w:ascii="Times New Roman" w:cs="Times New Roman" w:eastAsia="Times New Roman" w:hAnsi="Times New Roman"/>
          <w:sz w:val="14"/>
          <w:szCs w:val="14"/>
          <w:color w:val="auto"/>
        </w:rPr>
      </w:pPr>
    </w:p>
    <w:p>
      <w:pPr>
        <w:ind w:left="740" w:hanging="365"/>
        <w:spacing w:after="0" w:line="271" w:lineRule="auto"/>
        <w:tabs>
          <w:tab w:leader="none" w:pos="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we may not be able to demonstrate that a product candidate provides an advantage over current standards of care or current or future competitive therapies in development.</w:t>
      </w:r>
    </w:p>
    <w:p>
      <w:pPr>
        <w:spacing w:after="0" w:line="159" w:lineRule="exact"/>
        <w:rPr>
          <w:sz w:val="20"/>
          <w:szCs w:val="20"/>
          <w:color w:val="auto"/>
        </w:rPr>
      </w:pPr>
    </w:p>
    <w:p>
      <w:pPr>
        <w:ind w:right="40" w:firstLine="750"/>
        <w:spacing w:after="0" w:line="258" w:lineRule="auto"/>
        <w:rPr>
          <w:sz w:val="20"/>
          <w:szCs w:val="20"/>
          <w:color w:val="auto"/>
        </w:rPr>
      </w:pPr>
      <w:r>
        <w:rPr>
          <w:rFonts w:ascii="Times New Roman" w:cs="Times New Roman" w:eastAsia="Times New Roman" w:hAnsi="Times New Roman"/>
          <w:sz w:val="17"/>
          <w:szCs w:val="17"/>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70" w:lineRule="exact"/>
        <w:rPr>
          <w:sz w:val="20"/>
          <w:szCs w:val="20"/>
          <w:color w:val="auto"/>
        </w:rPr>
      </w:pPr>
    </w:p>
    <w:p>
      <w:pPr>
        <w:ind w:left="740" w:hanging="365"/>
        <w:spacing w:after="0"/>
        <w:tabs>
          <w:tab w:leader="none" w:pos="7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be delayed in obtaining marketing approval for our product candidates;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not obtain marketing approval at all;</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obtain approval for indications or patient populations that are not as broad as intended or desired or are not covered by our intellectual property;</w:t>
      </w:r>
    </w:p>
    <w:p>
      <w:pPr>
        <w:spacing w:after="0" w:line="204" w:lineRule="exact"/>
        <w:rPr>
          <w:rFonts w:ascii="Times New Roman" w:cs="Times New Roman" w:eastAsia="Times New Roman" w:hAnsi="Times New Roman"/>
          <w:sz w:val="15"/>
          <w:szCs w:val="15"/>
          <w:color w:val="auto"/>
        </w:rPr>
      </w:pPr>
    </w:p>
    <w:p>
      <w:pPr>
        <w:ind w:left="740" w:right="360" w:hanging="365"/>
        <w:spacing w:after="0" w:line="258" w:lineRule="auto"/>
        <w:tabs>
          <w:tab w:leader="none" w:pos="7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46" w:lineRule="exact"/>
        <w:rPr>
          <w:sz w:val="20"/>
          <w:szCs w:val="20"/>
          <w:color w:val="auto"/>
        </w:rPr>
      </w:pPr>
    </w:p>
    <w:p>
      <w:pPr>
        <w:ind w:left="740" w:hanging="365"/>
        <w:spacing w:after="0" w:line="196" w:lineRule="exact"/>
        <w:tabs>
          <w:tab w:leader="none" w:pos="7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be subject to additional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marketing testing and surveillance requirements, including REMS; or</w:t>
      </w:r>
    </w:p>
    <w:p>
      <w:pPr>
        <w:spacing w:after="0" w:line="231"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have the product removed from the market after obtaining marketing approval.</w:t>
      </w:r>
    </w:p>
    <w:p>
      <w:pPr>
        <w:spacing w:after="0" w:line="205"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179" w:lineRule="exact"/>
        <w:rPr>
          <w:sz w:val="20"/>
          <w:szCs w:val="20"/>
          <w:color w:val="auto"/>
        </w:rPr>
      </w:pPr>
    </w:p>
    <w:p>
      <w:pPr>
        <w:ind w:right="200" w:firstLine="750"/>
        <w:spacing w:after="0" w:line="250" w:lineRule="auto"/>
        <w:rPr>
          <w:sz w:val="20"/>
          <w:szCs w:val="20"/>
          <w:color w:val="auto"/>
        </w:rPr>
      </w:pPr>
      <w:r>
        <w:rPr>
          <w:rFonts w:ascii="Times New Roman" w:cs="Times New Roman" w:eastAsia="Times New Roman" w:hAnsi="Times New Roman"/>
          <w:sz w:val="17"/>
          <w:szCs w:val="17"/>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AXS-07, the FDA noted the need for additional CMC data.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176" w:lineRule="exact"/>
        <w:rPr>
          <w:sz w:val="20"/>
          <w:szCs w:val="20"/>
          <w:color w:val="auto"/>
        </w:rPr>
      </w:pPr>
    </w:p>
    <w:p>
      <w:pPr>
        <w:ind w:right="80" w:firstLine="750"/>
        <w:spacing w:after="0" w:line="258" w:lineRule="auto"/>
        <w:rPr>
          <w:sz w:val="20"/>
          <w:szCs w:val="20"/>
          <w:color w:val="auto"/>
        </w:rPr>
      </w:pPr>
      <w:r>
        <w:rPr>
          <w:rFonts w:ascii="Times New Roman" w:cs="Times New Roman" w:eastAsia="Times New Roman" w:hAnsi="Times New Roman"/>
          <w:sz w:val="17"/>
          <w:szCs w:val="17"/>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66" w:lineRule="exact"/>
        <w:rPr>
          <w:sz w:val="20"/>
          <w:szCs w:val="20"/>
          <w:color w:val="auto"/>
        </w:rPr>
      </w:pPr>
    </w:p>
    <w:p>
      <w:pPr>
        <w:ind w:right="62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55" w:lineRule="exact"/>
        <w:rPr>
          <w:sz w:val="20"/>
          <w:szCs w:val="20"/>
          <w:color w:val="auto"/>
        </w:rPr>
      </w:pPr>
    </w:p>
    <w:p>
      <w:pPr>
        <w:ind w:right="120" w:firstLine="750"/>
        <w:spacing w:after="0" w:line="250" w:lineRule="auto"/>
        <w:rPr>
          <w:sz w:val="20"/>
          <w:szCs w:val="20"/>
          <w:color w:val="auto"/>
        </w:rPr>
      </w:pPr>
      <w:r>
        <w:rPr>
          <w:rFonts w:ascii="Times New Roman" w:cs="Times New Roman" w:eastAsia="Times New Roman" w:hAnsi="Times New Roman"/>
          <w:sz w:val="17"/>
          <w:szCs w:val="17"/>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80" w:lineRule="exact"/>
        <w:rPr>
          <w:sz w:val="20"/>
          <w:szCs w:val="20"/>
          <w:color w:val="auto"/>
        </w:rPr>
      </w:pPr>
    </w:p>
    <w:p>
      <w:pPr>
        <w:ind w:left="740" w:right="160" w:hanging="365"/>
        <w:spacing w:after="0" w:line="271" w:lineRule="auto"/>
        <w:tabs>
          <w:tab w:leader="none" w:pos="7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our preclinical or nonclinical testing may produce inconclusive or negative safety results, which may require us to conduct additional nonclinical testing or to abandon product candidates;</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our product candidates may have unfavorable pharmacology or toxicity characteristics or suggest possible drug-drug interaction;</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our product candidates may cause undesirable side effects; and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FDA or other regulatory authorities may determine that additional safety testing is required.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60" w:firstLine="750"/>
        <w:spacing w:after="0" w:line="271" w:lineRule="auto"/>
        <w:rPr>
          <w:sz w:val="20"/>
          <w:szCs w:val="20"/>
          <w:color w:val="auto"/>
        </w:rPr>
      </w:pPr>
      <w:r>
        <w:rPr>
          <w:rFonts w:ascii="Times New Roman" w:cs="Times New Roman" w:eastAsia="Times New Roman" w:hAnsi="Times New Roman"/>
          <w:sz w:val="17"/>
          <w:szCs w:val="17"/>
          <w:color w:val="auto"/>
        </w:rPr>
        <w:t>Any such events would increase our costs and could delay or prevent our ability to commercialize our product candidates, which could adversely impact our business, financial condition and results of operation.</w:t>
      </w:r>
    </w:p>
    <w:p>
      <w:pPr>
        <w:spacing w:after="0" w:line="155"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5" w:lineRule="exact"/>
        <w:rPr>
          <w:sz w:val="20"/>
          <w:szCs w:val="20"/>
          <w:color w:val="auto"/>
        </w:rPr>
      </w:pPr>
    </w:p>
    <w:p>
      <w:pPr>
        <w:ind w:right="120" w:firstLine="750"/>
        <w:spacing w:after="0" w:line="252" w:lineRule="auto"/>
        <w:rPr>
          <w:sz w:val="20"/>
          <w:szCs w:val="20"/>
          <w:color w:val="auto"/>
        </w:rPr>
      </w:pPr>
      <w:r>
        <w:rPr>
          <w:rFonts w:ascii="Times New Roman" w:cs="Times New Roman" w:eastAsia="Times New Roman" w:hAnsi="Times New Roman"/>
          <w:sz w:val="17"/>
          <w:szCs w:val="17"/>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75" w:lineRule="exact"/>
        <w:rPr>
          <w:sz w:val="20"/>
          <w:szCs w:val="20"/>
          <w:color w:val="auto"/>
        </w:rPr>
      </w:pPr>
    </w:p>
    <w:p>
      <w:pPr>
        <w:ind w:right="20" w:firstLine="750"/>
        <w:spacing w:after="0" w:line="202" w:lineRule="exact"/>
        <w:rPr>
          <w:sz w:val="20"/>
          <w:szCs w:val="20"/>
          <w:color w:val="auto"/>
        </w:rPr>
      </w:pPr>
      <w:r>
        <w:rPr>
          <w:rFonts w:ascii="Times New Roman" w:cs="Times New Roman" w:eastAsia="Times New Roman" w:hAnsi="Times New Roman"/>
          <w:sz w:val="17"/>
          <w:szCs w:val="17"/>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87" w:lineRule="exact"/>
        <w:rPr>
          <w:sz w:val="20"/>
          <w:szCs w:val="20"/>
          <w:color w:val="auto"/>
        </w:rPr>
      </w:pPr>
    </w:p>
    <w:p>
      <w:pPr>
        <w:ind w:right="160" w:firstLine="750"/>
        <w:spacing w:after="0" w:line="206" w:lineRule="exact"/>
        <w:rPr>
          <w:sz w:val="20"/>
          <w:szCs w:val="20"/>
          <w:color w:val="auto"/>
        </w:rPr>
      </w:pPr>
      <w:r>
        <w:rPr>
          <w:rFonts w:ascii="Times New Roman" w:cs="Times New Roman" w:eastAsia="Times New Roman" w:hAnsi="Times New Roman"/>
          <w:sz w:val="17"/>
          <w:szCs w:val="17"/>
          <w:color w:val="auto"/>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containing or rizatriptan-containing products including Anjeso, Vivlodex, Mobic, and Maxalt.</w:t>
      </w:r>
    </w:p>
    <w:p>
      <w:pPr>
        <w:spacing w:after="0" w:line="170" w:lineRule="exact"/>
        <w:rPr>
          <w:sz w:val="20"/>
          <w:szCs w:val="20"/>
          <w:color w:val="auto"/>
        </w:rPr>
      </w:pPr>
    </w:p>
    <w:p>
      <w:pPr>
        <w:ind w:right="100" w:firstLine="750"/>
        <w:spacing w:after="0" w:line="252" w:lineRule="auto"/>
        <w:rPr>
          <w:sz w:val="20"/>
          <w:szCs w:val="20"/>
          <w:color w:val="auto"/>
        </w:rPr>
      </w:pPr>
      <w:r>
        <w:rPr>
          <w:rFonts w:ascii="Times New Roman" w:cs="Times New Roman" w:eastAsia="Times New Roman" w:hAnsi="Times New Roman"/>
          <w:sz w:val="17"/>
          <w:szCs w:val="17"/>
          <w:color w:val="auto"/>
        </w:rPr>
        <w:t>Based on the side effects disclosed in the EMA required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75"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Known side effects for Auvelity and Sunosi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03" w:lineRule="exact"/>
        <w:rPr>
          <w:sz w:val="20"/>
          <w:szCs w:val="20"/>
          <w:color w:val="auto"/>
        </w:rPr>
      </w:pPr>
      <w:r>
        <w:rPr>
          <w:rFonts w:ascii="Times New Roman" w:cs="Times New Roman" w:eastAsia="Times New Roman" w:hAnsi="Times New Roman"/>
          <w:sz w:val="17"/>
          <w:szCs w:val="17"/>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benefit perspective. The drug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experience delays or difficulties in the enrollment of patients in clinical trials, our receipt of necessary regulatory approvals could be delayed or prevented.</w:t>
      </w:r>
    </w:p>
    <w:p>
      <w:pPr>
        <w:spacing w:after="0" w:line="220" w:lineRule="exact"/>
        <w:rPr>
          <w:sz w:val="20"/>
          <w:szCs w:val="20"/>
          <w:color w:val="auto"/>
        </w:rPr>
      </w:pPr>
    </w:p>
    <w:p>
      <w:pPr>
        <w:jc w:val="both"/>
        <w:ind w:right="20" w:firstLine="750"/>
        <w:spacing w:after="0" w:line="254" w:lineRule="auto"/>
        <w:rPr>
          <w:sz w:val="20"/>
          <w:szCs w:val="20"/>
          <w:color w:val="auto"/>
        </w:rPr>
      </w:pPr>
      <w:r>
        <w:rPr>
          <w:rFonts w:ascii="Times New Roman" w:cs="Times New Roman" w:eastAsia="Times New Roman" w:hAnsi="Times New Roman"/>
          <w:sz w:val="17"/>
          <w:szCs w:val="17"/>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73" w:lineRule="exact"/>
        <w:rPr>
          <w:sz w:val="20"/>
          <w:szCs w:val="20"/>
          <w:color w:val="auto"/>
        </w:rPr>
      </w:pPr>
    </w:p>
    <w:p>
      <w:pPr>
        <w:ind w:left="740" w:hanging="365"/>
        <w:spacing w:after="0"/>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size and nature of the patient population;</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severity of the disease under investigation;</w:t>
      </w:r>
    </w:p>
    <w:p>
      <w:pPr>
        <w:spacing w:after="0" w:line="204" w:lineRule="exact"/>
        <w:rPr>
          <w:rFonts w:ascii="Times New Roman" w:cs="Times New Roman" w:eastAsia="Times New Roman" w:hAnsi="Times New Roman"/>
          <w:sz w:val="15"/>
          <w:szCs w:val="15"/>
          <w:color w:val="auto"/>
        </w:rPr>
      </w:pPr>
    </w:p>
    <w:p>
      <w:pPr>
        <w:ind w:left="740" w:right="100" w:hanging="365"/>
        <w:spacing w:after="0" w:line="271" w:lineRule="auto"/>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eligibility criteria for, and design of, the clinical trial in question, including factors such as frequency of required assessments, length of the study, and ongoing monitoring requirements;</w:t>
      </w:r>
    </w:p>
    <w:p>
      <w:pPr>
        <w:spacing w:after="0" w:line="159" w:lineRule="exact"/>
        <w:rPr>
          <w:rFonts w:ascii="Times New Roman" w:cs="Times New Roman" w:eastAsia="Times New Roman" w:hAnsi="Times New Roman"/>
          <w:sz w:val="15"/>
          <w:szCs w:val="15"/>
          <w:color w:val="auto"/>
        </w:rPr>
      </w:pPr>
    </w:p>
    <w:p>
      <w:pPr>
        <w:ind w:left="740" w:right="160" w:hanging="365"/>
        <w:spacing w:after="0" w:line="271" w:lineRule="auto"/>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perceived risks and benefits of the product candidate under study, including the potential advantages or disadvantages of the product candidate being studied in relation to other available therapies;</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competition in recruiting and enrolling patients in clinical trials;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efforts to facilitate timely enrollment in clinical trials;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patient referral practices of physicians;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effectiveness of publicity created by clinical trial sites regarding the trial;</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patients’ ability to comply with the specific instructions related to the trial protocol, proper documentation, and use of the drug product;</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inability to obtain or maintain patient informed consents;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risk that enrolled patients will drop out before completion;</w:t>
      </w:r>
    </w:p>
    <w:p>
      <w:pPr>
        <w:spacing w:after="0" w:line="204" w:lineRule="exact"/>
        <w:rPr>
          <w:rFonts w:ascii="Times New Roman" w:cs="Times New Roman" w:eastAsia="Times New Roman" w:hAnsi="Times New Roman"/>
          <w:sz w:val="15"/>
          <w:szCs w:val="15"/>
          <w:color w:val="auto"/>
        </w:rPr>
      </w:pPr>
    </w:p>
    <w:p>
      <w:pPr>
        <w:ind w:left="740" w:right="260" w:hanging="365"/>
        <w:spacing w:after="0" w:line="271" w:lineRule="auto"/>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ability to identify patients for enrollment and maintain a sufficient level of patient participants in our clinical studies due to the ongoing COVID-19 pandemic;</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ability to monitor patients adequately during and after treatment; and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proximity and availability of clinical trial sites for prospective patients.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080"/>
          </w:cols>
          <w:pgMar w:left="320" w:top="120"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120" w:firstLine="750"/>
        <w:spacing w:after="0" w:line="250" w:lineRule="auto"/>
        <w:rPr>
          <w:sz w:val="20"/>
          <w:szCs w:val="20"/>
          <w:color w:val="auto"/>
        </w:rPr>
      </w:pPr>
      <w:r>
        <w:rPr>
          <w:rFonts w:ascii="Times New Roman" w:cs="Times New Roman" w:eastAsia="Times New Roman" w:hAnsi="Times New Roman"/>
          <w:sz w:val="17"/>
          <w:szCs w:val="17"/>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80" w:lineRule="exact"/>
        <w:rPr>
          <w:sz w:val="20"/>
          <w:szCs w:val="20"/>
          <w:color w:val="auto"/>
        </w:rPr>
      </w:pPr>
    </w:p>
    <w:p>
      <w:pPr>
        <w:ind w:right="60" w:firstLine="750"/>
        <w:spacing w:after="0" w:line="258" w:lineRule="auto"/>
        <w:rPr>
          <w:sz w:val="20"/>
          <w:szCs w:val="20"/>
          <w:color w:val="auto"/>
        </w:rPr>
      </w:pPr>
      <w:r>
        <w:rPr>
          <w:rFonts w:ascii="Times New Roman" w:cs="Times New Roman" w:eastAsia="Times New Roman" w:hAnsi="Times New Roman"/>
          <w:sz w:val="17"/>
          <w:szCs w:val="17"/>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Development of combination product candidates may present more or different challenges than development of single agent product candidates.</w:t>
      </w:r>
    </w:p>
    <w:p>
      <w:pPr>
        <w:spacing w:after="0" w:line="209" w:lineRule="exact"/>
        <w:rPr>
          <w:sz w:val="20"/>
          <w:szCs w:val="20"/>
          <w:color w:val="auto"/>
        </w:rPr>
      </w:pPr>
    </w:p>
    <w:p>
      <w:pPr>
        <w:ind w:right="100" w:firstLine="750"/>
        <w:spacing w:after="0" w:line="250" w:lineRule="auto"/>
        <w:rPr>
          <w:sz w:val="20"/>
          <w:szCs w:val="20"/>
          <w:color w:val="auto"/>
        </w:rPr>
      </w:pPr>
      <w:r>
        <w:rPr>
          <w:rFonts w:ascii="Times New Roman" w:cs="Times New Roman" w:eastAsia="Times New Roman" w:hAnsi="Times New Roman"/>
          <w:sz w:val="17"/>
          <w:szCs w:val="17"/>
          <w:color w:val="auto"/>
        </w:rPr>
        <w:t>Certain product candidates of ours, including AXS-05 and AXS-07,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product candidate manufacturing or formulation may result in additional costs or delay.</w:t>
      </w:r>
    </w:p>
    <w:p>
      <w:pPr>
        <w:spacing w:after="0" w:line="209"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As product candidates are developed through preclinical studies to late 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obtain marketing approval in international jurisdictions would prevent our products from being marketed abroad.</w:t>
      </w:r>
    </w:p>
    <w:p>
      <w:pPr>
        <w:spacing w:after="0" w:line="183" w:lineRule="exact"/>
        <w:rPr>
          <w:sz w:val="20"/>
          <w:szCs w:val="20"/>
          <w:color w:val="auto"/>
        </w:rPr>
      </w:pPr>
    </w:p>
    <w:p>
      <w:pPr>
        <w:ind w:firstLine="750"/>
        <w:spacing w:after="0" w:line="205" w:lineRule="exact"/>
        <w:rPr>
          <w:sz w:val="20"/>
          <w:szCs w:val="20"/>
          <w:color w:val="auto"/>
        </w:rPr>
      </w:pPr>
      <w:r>
        <w:rPr>
          <w:rFonts w:ascii="Times New Roman" w:cs="Times New Roman" w:eastAsia="Times New Roman" w:hAnsi="Times New Roman"/>
          <w:sz w:val="17"/>
          <w:szCs w:val="17"/>
          <w:color w:val="auto"/>
        </w:rPr>
        <w:t>In order to market and sell our products in the European Union, or EU, and many other jurisdictions, we or our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67"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We have received a Fast Track product designation for AXS-05 for both the treatment of TRD as well as for the treatment of AD agitation, and we may seek Fast Track designation for other of our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76" w:lineRule="exact"/>
        <w:rPr>
          <w:sz w:val="20"/>
          <w:szCs w:val="20"/>
          <w:color w:val="auto"/>
        </w:rPr>
      </w:pPr>
    </w:p>
    <w:p>
      <w:pPr>
        <w:ind w:right="160" w:firstLine="750"/>
        <w:spacing w:after="0" w:line="266" w:lineRule="auto"/>
        <w:rPr>
          <w:sz w:val="20"/>
          <w:szCs w:val="20"/>
          <w:color w:val="auto"/>
        </w:rPr>
      </w:pPr>
      <w:r>
        <w:rPr>
          <w:rFonts w:ascii="Times New Roman" w:cs="Times New Roman" w:eastAsia="Times New Roman" w:hAnsi="Times New Roman"/>
          <w:sz w:val="16"/>
          <w:szCs w:val="16"/>
          <w:color w:val="auto"/>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67" w:lineRule="exact"/>
        <w:rPr>
          <w:sz w:val="20"/>
          <w:szCs w:val="20"/>
          <w:color w:val="auto"/>
        </w:rPr>
      </w:pPr>
    </w:p>
    <w:p>
      <w:pPr>
        <w:ind w:right="60" w:firstLine="750"/>
        <w:spacing w:after="0" w:line="250" w:lineRule="auto"/>
        <w:rPr>
          <w:sz w:val="20"/>
          <w:szCs w:val="20"/>
          <w:color w:val="auto"/>
        </w:rPr>
      </w:pPr>
      <w:r>
        <w:rPr>
          <w:rFonts w:ascii="Times New Roman" w:cs="Times New Roman" w:eastAsia="Times New Roman" w:hAnsi="Times New Roman"/>
          <w:sz w:val="17"/>
          <w:szCs w:val="17"/>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right="120"/>
        <w:spacing w:after="0" w:line="213" w:lineRule="exact"/>
        <w:rPr>
          <w:sz w:val="20"/>
          <w:szCs w:val="20"/>
          <w:color w:val="auto"/>
        </w:rPr>
      </w:pPr>
      <w:r>
        <w:rPr>
          <w:rFonts w:ascii="Times New Roman" w:cs="Times New Roman" w:eastAsia="Times New Roman" w:hAnsi="Times New Roman"/>
          <w:sz w:val="17"/>
          <w:szCs w:val="17"/>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1690370</wp:posOffset>
            </wp:positionH>
            <wp:positionV relativeFrom="paragraph">
              <wp:posOffset>-92075</wp:posOffset>
            </wp:positionV>
            <wp:extent cx="6096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960" cy="38100"/>
                    </a:xfrm>
                    <a:prstGeom prst="rect">
                      <a:avLst/>
                    </a:prstGeom>
                    <a:noFill/>
                  </pic:spPr>
                </pic:pic>
              </a:graphicData>
            </a:graphic>
          </wp:anchor>
        </w:drawing>
      </w:r>
    </w:p>
    <w:p>
      <w:pPr>
        <w:spacing w:after="0" w:line="147" w:lineRule="exact"/>
        <w:rPr>
          <w:sz w:val="20"/>
          <w:szCs w:val="20"/>
          <w:color w:val="auto"/>
        </w:rPr>
      </w:pPr>
    </w:p>
    <w:p>
      <w:pPr>
        <w:ind w:right="20" w:firstLine="750"/>
        <w:spacing w:after="0" w:line="203" w:lineRule="exact"/>
        <w:rPr>
          <w:sz w:val="20"/>
          <w:szCs w:val="20"/>
          <w:color w:val="auto"/>
        </w:rPr>
      </w:pPr>
      <w:r>
        <w:rPr>
          <w:rFonts w:ascii="Times New Roman" w:cs="Times New Roman" w:eastAsia="Times New Roman" w:hAnsi="Times New Roman"/>
          <w:sz w:val="16"/>
          <w:szCs w:val="16"/>
          <w:color w:val="auto"/>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label uses, and our business may be adversely affected. We further must be able to sufficiently substantiate any claims that we make for our products including claims comparing our products to other companies’ products.</w:t>
      </w:r>
    </w:p>
    <w:p>
      <w:pPr>
        <w:spacing w:after="0" w:line="185" w:lineRule="exact"/>
        <w:rPr>
          <w:sz w:val="20"/>
          <w:szCs w:val="20"/>
          <w:color w:val="auto"/>
        </w:rPr>
      </w:pPr>
    </w:p>
    <w:p>
      <w:pPr>
        <w:ind w:firstLine="750"/>
        <w:spacing w:after="0" w:line="206" w:lineRule="exact"/>
        <w:rPr>
          <w:sz w:val="20"/>
          <w:szCs w:val="20"/>
          <w:color w:val="auto"/>
        </w:rPr>
      </w:pPr>
      <w:r>
        <w:rPr>
          <w:rFonts w:ascii="Times New Roman" w:cs="Times New Roman" w:eastAsia="Times New Roman" w:hAnsi="Times New Roman"/>
          <w:sz w:val="17"/>
          <w:szCs w:val="17"/>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label use.</w:t>
      </w:r>
    </w:p>
    <w:p>
      <w:pPr>
        <w:spacing w:after="0" w:line="170" w:lineRule="exact"/>
        <w:rPr>
          <w:sz w:val="20"/>
          <w:szCs w:val="20"/>
          <w:color w:val="auto"/>
        </w:rPr>
      </w:pPr>
    </w:p>
    <w:p>
      <w:pPr>
        <w:ind w:firstLine="750"/>
        <w:spacing w:after="0" w:line="203" w:lineRule="exact"/>
        <w:rPr>
          <w:sz w:val="20"/>
          <w:szCs w:val="20"/>
          <w:color w:val="auto"/>
        </w:rPr>
      </w:pPr>
      <w:r>
        <w:rPr>
          <w:rFonts w:ascii="Times New Roman" w:cs="Times New Roman" w:eastAsia="Times New Roman" w:hAnsi="Times New Roman"/>
          <w:sz w:val="17"/>
          <w:szCs w:val="17"/>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46" w:lineRule="exact"/>
        <w:rPr>
          <w:sz w:val="20"/>
          <w:szCs w:val="20"/>
          <w:color w:val="auto"/>
        </w:rPr>
      </w:pPr>
    </w:p>
    <w:p>
      <w:pPr>
        <w:ind w:firstLine="750"/>
        <w:spacing w:after="0" w:line="202" w:lineRule="exact"/>
        <w:rPr>
          <w:sz w:val="20"/>
          <w:szCs w:val="20"/>
          <w:color w:val="auto"/>
        </w:rPr>
      </w:pPr>
      <w:r>
        <w:rPr>
          <w:rFonts w:ascii="Times New Roman" w:cs="Times New Roman" w:eastAsia="Times New Roman" w:hAnsi="Times New Roman"/>
          <w:sz w:val="17"/>
          <w:szCs w:val="17"/>
          <w:color w:val="auto"/>
        </w:rPr>
        <w:t>In the United States, engaging in the impermissible promotion of our products, following approval, for off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95" w:lineRule="exact"/>
        <w:rPr>
          <w:sz w:val="20"/>
          <w:szCs w:val="20"/>
          <w:color w:val="auto"/>
        </w:rPr>
      </w:pPr>
    </w:p>
    <w:p>
      <w:pPr>
        <w:ind w:right="220" w:firstLine="750"/>
        <w:spacing w:after="0" w:line="250" w:lineRule="auto"/>
        <w:rPr>
          <w:sz w:val="20"/>
          <w:szCs w:val="20"/>
          <w:color w:val="auto"/>
        </w:rPr>
      </w:pPr>
      <w:r>
        <w:rPr>
          <w:rFonts w:ascii="Times New Roman" w:cs="Times New Roman" w:eastAsia="Times New Roman" w:hAnsi="Times New Roman"/>
          <w:sz w:val="17"/>
          <w:szCs w:val="17"/>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67"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Our product(s) are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 approval.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jc w:val="both"/>
        <w:ind w:right="300" w:firstLine="750"/>
        <w:spacing w:after="0" w:line="258" w:lineRule="auto"/>
        <w:rPr>
          <w:sz w:val="20"/>
          <w:szCs w:val="20"/>
          <w:color w:val="auto"/>
        </w:rPr>
      </w:pPr>
      <w:r>
        <w:rPr>
          <w:rFonts w:ascii="Times New Roman" w:cs="Times New Roman" w:eastAsia="Times New Roman" w:hAnsi="Times New Roman"/>
          <w:sz w:val="17"/>
          <w:szCs w:val="17"/>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170" w:lineRule="exact"/>
        <w:rPr>
          <w:sz w:val="20"/>
          <w:szCs w:val="20"/>
          <w:color w:val="auto"/>
        </w:rPr>
      </w:pPr>
    </w:p>
    <w:p>
      <w:pPr>
        <w:jc w:val="both"/>
        <w:ind w:right="460" w:firstLine="750"/>
        <w:spacing w:after="0" w:line="258" w:lineRule="auto"/>
        <w:rPr>
          <w:sz w:val="20"/>
          <w:szCs w:val="20"/>
          <w:color w:val="auto"/>
        </w:rPr>
      </w:pPr>
      <w:r>
        <w:rPr>
          <w:rFonts w:ascii="Times New Roman" w:cs="Times New Roman" w:eastAsia="Times New Roman" w:hAnsi="Times New Roman"/>
          <w:sz w:val="17"/>
          <w:szCs w:val="17"/>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70" w:lineRule="exact"/>
        <w:rPr>
          <w:sz w:val="20"/>
          <w:szCs w:val="20"/>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restrictions on manufacturing or distribution, or marketing of such products;</w:t>
      </w:r>
    </w:p>
    <w:p>
      <w:pPr>
        <w:spacing w:after="0" w:line="204" w:lineRule="exact"/>
        <w:rPr>
          <w:rFonts w:ascii="Times New Roman" w:cs="Times New Roman" w:eastAsia="Times New Roman" w:hAnsi="Times New Roman"/>
          <w:sz w:val="15"/>
          <w:szCs w:val="15"/>
          <w:color w:val="auto"/>
        </w:rPr>
      </w:pPr>
    </w:p>
    <w:p>
      <w:pPr>
        <w:ind w:left="740" w:right="480" w:hanging="365"/>
        <w:spacing w:after="0" w:line="271" w:lineRule="auto"/>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restrictions on the labeling, including required additional warnings, such as black box warnings, contraindications, precautions, and restrictions on the approved indication or use;</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modifications to promotional pieces;</w:t>
      </w:r>
    </w:p>
    <w:p>
      <w:pPr>
        <w:spacing w:after="0" w:line="178" w:lineRule="exact"/>
        <w:rPr>
          <w:rFonts w:ascii="Times New Roman" w:cs="Times New Roman" w:eastAsia="Times New Roman" w:hAnsi="Times New Roman"/>
          <w:sz w:val="15"/>
          <w:szCs w:val="15"/>
          <w:color w:val="auto"/>
        </w:rPr>
      </w:pPr>
    </w:p>
    <w:p>
      <w:pPr>
        <w:ind w:left="740" w:hanging="365"/>
        <w:spacing w:after="0" w:line="196" w:lineRule="exact"/>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requirements to conduct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marketing studies or clinical trials; clinical holds or termination of clinical trials;</w:t>
      </w:r>
    </w:p>
    <w:p>
      <w:pPr>
        <w:spacing w:after="0" w:line="231" w:lineRule="exact"/>
        <w:rPr>
          <w:rFonts w:ascii="Times New Roman" w:cs="Times New Roman" w:eastAsia="Times New Roman" w:hAnsi="Times New Roman"/>
          <w:sz w:val="15"/>
          <w:szCs w:val="15"/>
          <w:color w:val="auto"/>
        </w:rPr>
      </w:pPr>
    </w:p>
    <w:p>
      <w:pPr>
        <w:ind w:left="740" w:hanging="365"/>
        <w:spacing w:after="0" w:line="258" w:lineRule="auto"/>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70"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changes to the way the drug is administered;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liability for harm caused to patients or subjects;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reputational harm;</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drug becoming less competitive;</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warning or untitled letters;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suspension of marketing or withdrawal of the products from the market;</w:t>
      </w:r>
    </w:p>
    <w:p>
      <w:pPr>
        <w:spacing w:after="0" w:line="204" w:lineRule="exact"/>
        <w:rPr>
          <w:rFonts w:ascii="Times New Roman" w:cs="Times New Roman" w:eastAsia="Times New Roman" w:hAnsi="Times New Roman"/>
          <w:sz w:val="15"/>
          <w:szCs w:val="15"/>
          <w:color w:val="auto"/>
        </w:rPr>
      </w:pPr>
    </w:p>
    <w:p>
      <w:pPr>
        <w:ind w:left="740" w:right="140" w:hanging="365"/>
        <w:spacing w:after="0" w:line="271" w:lineRule="auto"/>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regulatory authority issuance of safety alerts, Dear Healthcare Provider letters, press releases, or other communications containing warnings or other safety information about the drug;</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refusal to approve pending applications or supplements to approved applications that we submit;</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recall of products;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fines, damages, restitution, or disgorgement of profits or revenues;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suspension or withdrawal of marketing approvals;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refusal to permit the import or export of our products;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product seizure or detention;</w:t>
      </w:r>
    </w:p>
    <w:p>
      <w:pPr>
        <w:spacing w:after="0" w:line="204" w:lineRule="exact"/>
        <w:rPr>
          <w:rFonts w:ascii="Times New Roman" w:cs="Times New Roman" w:eastAsia="Times New Roman" w:hAnsi="Times New Roman"/>
          <w:sz w:val="15"/>
          <w:szCs w:val="15"/>
          <w:color w:val="auto"/>
        </w:rPr>
      </w:pPr>
    </w:p>
    <w:p>
      <w:pPr>
        <w:ind w:left="740" w:right="220" w:hanging="365"/>
        <w:spacing w:after="0" w:line="271" w:lineRule="auto"/>
        <w:tabs>
          <w:tab w:leader="none" w:pos="7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FDA debarment, debarment from government contracts, and refusal of future orders under existing contracts, exclusion from federal healthcare programs, consent decrees, or corporate integrity agreements; 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hanging="365"/>
        <w:spacing w:after="0"/>
        <w:tabs>
          <w:tab w:leader="none" w:pos="7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injunctions or the imposition of civil or criminal penalties, including imprisonment.</w:t>
      </w:r>
    </w:p>
    <w:p>
      <w:pPr>
        <w:spacing w:after="0" w:line="205" w:lineRule="exact"/>
        <w:rPr>
          <w:sz w:val="20"/>
          <w:szCs w:val="20"/>
          <w:color w:val="auto"/>
        </w:rPr>
      </w:pPr>
    </w:p>
    <w:p>
      <w:pPr>
        <w:jc w:val="both"/>
        <w:ind w:right="220" w:firstLine="750"/>
        <w:spacing w:after="0" w:line="254" w:lineRule="auto"/>
        <w:rPr>
          <w:sz w:val="20"/>
          <w:szCs w:val="20"/>
          <w:color w:val="auto"/>
        </w:rPr>
      </w:pPr>
      <w:r>
        <w:rPr>
          <w:rFonts w:ascii="Times New Roman" w:cs="Times New Roman" w:eastAsia="Times New Roman" w:hAnsi="Times New Roman"/>
          <w:sz w:val="17"/>
          <w:szCs w:val="17"/>
          <w:color w:val="auto"/>
        </w:rPr>
        <w:t>Any of these events could prevent us from achieving or maintaining market acceptance of the particular products,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73"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73" w:lineRule="exact"/>
        <w:rPr>
          <w:sz w:val="20"/>
          <w:szCs w:val="20"/>
          <w:color w:val="auto"/>
        </w:rPr>
      </w:pPr>
    </w:p>
    <w:p>
      <w:pPr>
        <w:ind w:right="300" w:firstLine="750"/>
        <w:spacing w:after="0" w:line="217" w:lineRule="exact"/>
        <w:rPr>
          <w:sz w:val="20"/>
          <w:szCs w:val="20"/>
          <w:color w:val="auto"/>
        </w:rPr>
      </w:pPr>
      <w:r>
        <w:rPr>
          <w:rFonts w:ascii="Times New Roman" w:cs="Times New Roman" w:eastAsia="Times New Roman" w:hAnsi="Times New Roman"/>
          <w:sz w:val="17"/>
          <w:szCs w:val="17"/>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approval regulations may have a negative effect on our operating results and financial condition.</w:t>
      </w:r>
    </w:p>
    <w:p>
      <w:pPr>
        <w:spacing w:after="0" w:line="163"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Timelines for the review of our regulatory submissions by the FDA and other regulatory agencies are subject to change and uncertainty, which may delay the potential approval of any product candidates we seek to develop or commercialize.</w:t>
      </w:r>
    </w:p>
    <w:p>
      <w:pPr>
        <w:spacing w:after="0" w:line="155" w:lineRule="exact"/>
        <w:rPr>
          <w:sz w:val="20"/>
          <w:szCs w:val="20"/>
          <w:color w:val="auto"/>
        </w:rPr>
      </w:pPr>
    </w:p>
    <w:p>
      <w:pPr>
        <w:ind w:right="260" w:firstLine="750"/>
        <w:spacing w:after="0" w:line="254" w:lineRule="auto"/>
        <w:rPr>
          <w:sz w:val="20"/>
          <w:szCs w:val="20"/>
          <w:color w:val="auto"/>
        </w:rPr>
      </w:pPr>
      <w:r>
        <w:rPr>
          <w:rFonts w:ascii="Times New Roman" w:cs="Times New Roman" w:eastAsia="Times New Roman" w:hAnsi="Times New Roman"/>
          <w:sz w:val="17"/>
          <w:szCs w:val="17"/>
          <w:color w:val="auto"/>
        </w:rPr>
        <w:t>We cannot predict the timeline for review of submissions to any regulatory authorities or when any of our product candidates will receive marketing approval, if at all. The timeline for regulatory approval can be affected by a variety of factors, including disruptive effects of the COVID-19 pandemic, budget and funding levels, agency staffing, and statutory, regulatory and policy changes. Delays or uncertainty in the timing of regulatory action in response to our submissions could adversely impact our development and commercialization efforts and our business prospects.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variety of risks associated with international operations could materially adversely affect our business.</w:t>
      </w:r>
    </w:p>
    <w:p>
      <w:pPr>
        <w:spacing w:after="0" w:line="209" w:lineRule="exact"/>
        <w:rPr>
          <w:sz w:val="20"/>
          <w:szCs w:val="20"/>
          <w:color w:val="auto"/>
        </w:rPr>
      </w:pPr>
    </w:p>
    <w:p>
      <w:pPr>
        <w:jc w:val="both"/>
        <w:ind w:right="20" w:firstLine="750"/>
        <w:spacing w:after="0" w:line="282" w:lineRule="auto"/>
        <w:rPr>
          <w:sz w:val="20"/>
          <w:szCs w:val="20"/>
          <w:color w:val="auto"/>
        </w:rPr>
      </w:pPr>
      <w:r>
        <w:rPr>
          <w:rFonts w:ascii="Times New Roman" w:cs="Times New Roman" w:eastAsia="Times New Roman" w:hAnsi="Times New Roman"/>
          <w:sz w:val="16"/>
          <w:szCs w:val="16"/>
          <w:color w:val="auto"/>
        </w:rPr>
        <w:t>We are party to agreements pursuant to which we out-license our Sunosi product outside of the United States. The Company also markets Sunosi in Canada. We may enter into agreements with third parties to market Auvelity outside the United States, Sunosi in additional territories outside the United States and our pipeline products in international markets. We expect that we will be subject to additional risks related to entering into international business relationships, including:</w:t>
      </w:r>
    </w:p>
    <w:p>
      <w:pPr>
        <w:spacing w:after="0" w:line="152" w:lineRule="exact"/>
        <w:rPr>
          <w:sz w:val="20"/>
          <w:szCs w:val="20"/>
          <w:color w:val="auto"/>
        </w:rPr>
      </w:pPr>
    </w:p>
    <w:p>
      <w:pPr>
        <w:ind w:left="740" w:hanging="365"/>
        <w:spacing w:after="0"/>
        <w:tabs>
          <w:tab w:leader="none" w:pos="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different regulatory requirements for approval of drugs in foreign countries;</w:t>
      </w:r>
    </w:p>
    <w:p>
      <w:pPr>
        <w:spacing w:after="0" w:line="178" w:lineRule="exact"/>
        <w:rPr>
          <w:rFonts w:ascii="Times New Roman" w:cs="Times New Roman" w:eastAsia="Times New Roman" w:hAnsi="Times New Roman"/>
          <w:sz w:val="15"/>
          <w:szCs w:val="15"/>
          <w:color w:val="auto"/>
        </w:rPr>
      </w:pPr>
    </w:p>
    <w:p>
      <w:pPr>
        <w:ind w:left="740" w:right="200" w:hanging="365"/>
        <w:spacing w:after="0" w:line="215" w:lineRule="exact"/>
        <w:tabs>
          <w:tab w:leader="none" w:pos="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potential for so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84" w:lineRule="exact"/>
        <w:rPr>
          <w:rFonts w:ascii="Times New Roman" w:cs="Times New Roman" w:eastAsia="Times New Roman" w:hAnsi="Times New Roman"/>
          <w:sz w:val="15"/>
          <w:szCs w:val="15"/>
          <w:color w:val="auto"/>
        </w:rPr>
      </w:pPr>
    </w:p>
    <w:p>
      <w:pPr>
        <w:ind w:left="740" w:right="280" w:hanging="365"/>
        <w:spacing w:after="0" w:line="271" w:lineRule="auto"/>
        <w:tabs>
          <w:tab w:leader="none" w:pos="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59" w:lineRule="exact"/>
        <w:rPr>
          <w:rFonts w:ascii="Times New Roman" w:cs="Times New Roman" w:eastAsia="Times New Roman" w:hAnsi="Times New Roman"/>
          <w:sz w:val="15"/>
          <w:szCs w:val="15"/>
          <w:color w:val="auto"/>
        </w:rPr>
      </w:pPr>
    </w:p>
    <w:p>
      <w:pPr>
        <w:ind w:left="740" w:right="40" w:hanging="365"/>
        <w:spacing w:after="0" w:line="271" w:lineRule="auto"/>
        <w:tabs>
          <w:tab w:leader="none" w:pos="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unexpected changes in tariffs, trade barriers, and regulatory requirements and in the health care policies of foreign jurisdictions;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economic weakness, including inflation, or political instability in particular foreign economies and markets;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hanging="365"/>
        <w:spacing w:after="0"/>
        <w:tabs>
          <w:tab w:leader="none" w:pos="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compliance with tax, employment, immigration, and labor laws for employees living or traveling abroad;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foreign taxes, including withholding of payroll taxes;</w:t>
      </w:r>
    </w:p>
    <w:p>
      <w:pPr>
        <w:spacing w:after="0" w:line="204" w:lineRule="exact"/>
        <w:rPr>
          <w:rFonts w:ascii="Times New Roman" w:cs="Times New Roman" w:eastAsia="Times New Roman" w:hAnsi="Times New Roman"/>
          <w:sz w:val="15"/>
          <w:szCs w:val="15"/>
          <w:color w:val="auto"/>
        </w:rPr>
      </w:pPr>
    </w:p>
    <w:p>
      <w:pPr>
        <w:ind w:left="740" w:right="160" w:hanging="365"/>
        <w:spacing w:after="0" w:line="271" w:lineRule="auto"/>
        <w:tabs>
          <w:tab w:leader="none" w:pos="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foreign currency fluctuations, which could result in increased operating expenses and reduced revenues, and other obligations incident to doing business in another country;</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difficulties staffing and managing foreign operations;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workforce uncertainty in countries where labor unrest is more common than in the United States and worker rights tend to be stronger;</w:t>
      </w:r>
    </w:p>
    <w:p>
      <w:pPr>
        <w:spacing w:after="0" w:line="204" w:lineRule="exact"/>
        <w:rPr>
          <w:rFonts w:ascii="Times New Roman" w:cs="Times New Roman" w:eastAsia="Times New Roman" w:hAnsi="Times New Roman"/>
          <w:sz w:val="15"/>
          <w:szCs w:val="15"/>
          <w:color w:val="auto"/>
        </w:rPr>
      </w:pPr>
    </w:p>
    <w:p>
      <w:pPr>
        <w:ind w:left="740" w:right="220" w:hanging="365"/>
        <w:spacing w:after="0" w:line="271" w:lineRule="auto"/>
        <w:tabs>
          <w:tab w:leader="none" w:pos="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costs of compliance with U.S. laws and regulations for foreign operations, including the Foreign Corrupt Practices Act or comparable foreign regulations, and the risks and costs of noncompliance;</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production shortages resulting from any events affecting raw material supply or manufacturing capabilities abroad; and</w:t>
      </w:r>
    </w:p>
    <w:p>
      <w:pPr>
        <w:spacing w:after="0" w:line="204" w:lineRule="exact"/>
        <w:rPr>
          <w:rFonts w:ascii="Times New Roman" w:cs="Times New Roman" w:eastAsia="Times New Roman" w:hAnsi="Times New Roman"/>
          <w:sz w:val="15"/>
          <w:szCs w:val="15"/>
          <w:color w:val="auto"/>
        </w:rPr>
      </w:pPr>
    </w:p>
    <w:p>
      <w:pPr>
        <w:ind w:left="740" w:hanging="365"/>
        <w:spacing w:after="0" w:line="519" w:lineRule="auto"/>
        <w:tabs>
          <w:tab w:leader="none" w:pos="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business interruptions resulting from geopolitical actions, including war and terrorism, or natural disasters including earthquakes, typhoons, floods, and fires. These and other risks associated with our international operations may materially adversely affect our ability to attain or maintain profitable operations.</w:t>
      </w:r>
    </w:p>
    <w:p>
      <w:pPr>
        <w:spacing w:after="0" w:line="1"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5" w:lineRule="exact"/>
        <w:rPr>
          <w:sz w:val="20"/>
          <w:szCs w:val="20"/>
          <w:color w:val="auto"/>
        </w:rPr>
      </w:pPr>
    </w:p>
    <w:p>
      <w:pPr>
        <w:ind w:right="140" w:firstLine="750"/>
        <w:spacing w:after="0" w:line="249" w:lineRule="auto"/>
        <w:rPr>
          <w:sz w:val="20"/>
          <w:szCs w:val="20"/>
          <w:color w:val="auto"/>
        </w:rPr>
      </w:pPr>
      <w:r>
        <w:rPr>
          <w:rFonts w:ascii="Times New Roman" w:cs="Times New Roman" w:eastAsia="Times New Roman" w:hAnsi="Times New Roman"/>
          <w:sz w:val="17"/>
          <w:szCs w:val="17"/>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COMMERCIALIZATION OF OUR PRODUCTS</w:t>
      </w:r>
    </w:p>
    <w:p>
      <w:pPr>
        <w:spacing w:after="0" w:line="205" w:lineRule="exact"/>
        <w:rPr>
          <w:sz w:val="20"/>
          <w:szCs w:val="20"/>
          <w:color w:val="auto"/>
        </w:rPr>
      </w:pPr>
    </w:p>
    <w:p>
      <w:pPr>
        <w:ind w:right="64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5"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100" w:firstLine="750"/>
        <w:spacing w:after="0" w:line="252" w:lineRule="auto"/>
        <w:rPr>
          <w:sz w:val="20"/>
          <w:szCs w:val="20"/>
          <w:color w:val="auto"/>
        </w:rPr>
      </w:pPr>
      <w:r>
        <w:rPr>
          <w:rFonts w:ascii="Times New Roman" w:cs="Times New Roman" w:eastAsia="Times New Roman" w:hAnsi="Times New Roman"/>
          <w:sz w:val="17"/>
          <w:szCs w:val="17"/>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Intra-Cellular Therapies, Inc.; Janssen; Jazz Pharmaceuticals plc; Otsuka Pharmaceutical Co. Ltd.; Pfizer Inc.; Relmada Therapeutics Inc.; Sage Therapeutics, Inc.; and Takeda Pharmaceutical Company Limited.</w:t>
      </w:r>
    </w:p>
    <w:p>
      <w:pPr>
        <w:spacing w:after="0" w:line="175" w:lineRule="exact"/>
        <w:rPr>
          <w:sz w:val="20"/>
          <w:szCs w:val="20"/>
          <w:color w:val="auto"/>
        </w:rPr>
      </w:pPr>
    </w:p>
    <w:p>
      <w:pPr>
        <w:ind w:right="60" w:firstLine="750"/>
        <w:spacing w:after="0" w:line="203" w:lineRule="exact"/>
        <w:rPr>
          <w:sz w:val="20"/>
          <w:szCs w:val="20"/>
          <w:color w:val="auto"/>
        </w:rPr>
      </w:pPr>
      <w:r>
        <w:rPr>
          <w:rFonts w:ascii="Times New Roman" w:cs="Times New Roman" w:eastAsia="Times New Roman" w:hAnsi="Times New Roman"/>
          <w:sz w:val="17"/>
          <w:szCs w:val="17"/>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84" w:lineRule="exact"/>
        <w:rPr>
          <w:sz w:val="20"/>
          <w:szCs w:val="20"/>
          <w:color w:val="auto"/>
        </w:rPr>
      </w:pPr>
    </w:p>
    <w:p>
      <w:pPr>
        <w:ind w:right="200" w:firstLine="750"/>
        <w:spacing w:after="0" w:line="252" w:lineRule="auto"/>
        <w:rPr>
          <w:sz w:val="20"/>
          <w:szCs w:val="20"/>
          <w:color w:val="auto"/>
        </w:rPr>
      </w:pPr>
      <w:r>
        <w:rPr>
          <w:rFonts w:ascii="Times New Roman" w:cs="Times New Roman" w:eastAsia="Times New Roman" w:hAnsi="Times New Roman"/>
          <w:sz w:val="17"/>
          <w:szCs w:val="17"/>
          <w:color w:val="auto"/>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75" w:lineRule="exact"/>
        <w:rPr>
          <w:sz w:val="20"/>
          <w:szCs w:val="20"/>
          <w:color w:val="auto"/>
        </w:rPr>
      </w:pPr>
    </w:p>
    <w:p>
      <w:pPr>
        <w:ind w:right="40" w:firstLine="750"/>
        <w:spacing w:after="0" w:line="250" w:lineRule="auto"/>
        <w:rPr>
          <w:sz w:val="20"/>
          <w:szCs w:val="20"/>
          <w:color w:val="auto"/>
        </w:rPr>
      </w:pPr>
      <w:r>
        <w:rPr>
          <w:rFonts w:ascii="Times New Roman" w:cs="Times New Roman" w:eastAsia="Times New Roman" w:hAnsi="Times New Roman"/>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67"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Pharmaceuticals, Inc., or Teva, providing notification to the Company that Teva has submitted an ANDA to the FDA seeking approval to manufacture, use, or sell a generic version of Auvelity.</w:t>
      </w:r>
    </w:p>
    <w:p>
      <w:pPr>
        <w:spacing w:after="0" w:line="176" w:lineRule="exact"/>
        <w:rPr>
          <w:sz w:val="20"/>
          <w:szCs w:val="20"/>
          <w:color w:val="auto"/>
        </w:rPr>
      </w:pPr>
    </w:p>
    <w:p>
      <w:pPr>
        <w:ind w:right="20" w:firstLine="750"/>
        <w:spacing w:after="0" w:line="204" w:lineRule="exact"/>
        <w:rPr>
          <w:sz w:val="20"/>
          <w:szCs w:val="20"/>
          <w:color w:val="auto"/>
        </w:rPr>
      </w:pPr>
      <w:r>
        <w:rPr>
          <w:rFonts w:ascii="Times New Roman" w:cs="Times New Roman" w:eastAsia="Times New Roman" w:hAnsi="Times New Roman"/>
          <w:sz w:val="17"/>
          <w:szCs w:val="17"/>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Thus, following the introduction of a generic drug, a significant percentage of the sales of any branded product or reference listed drug is typically lost to the generic product.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80" w:firstLine="750"/>
        <w:spacing w:after="0" w:line="258" w:lineRule="auto"/>
        <w:rPr>
          <w:sz w:val="20"/>
          <w:szCs w:val="20"/>
          <w:color w:val="auto"/>
        </w:rPr>
      </w:pPr>
      <w:r>
        <w:rPr>
          <w:rFonts w:ascii="Times New Roman" w:cs="Times New Roman" w:eastAsia="Times New Roman" w:hAnsi="Times New Roman"/>
          <w:sz w:val="17"/>
          <w:szCs w:val="17"/>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70" w:lineRule="exact"/>
        <w:rPr>
          <w:sz w:val="20"/>
          <w:szCs w:val="20"/>
          <w:color w:val="auto"/>
        </w:rPr>
      </w:pPr>
    </w:p>
    <w:p>
      <w:pPr>
        <w:ind w:right="20" w:firstLine="750"/>
        <w:spacing w:after="0" w:line="203" w:lineRule="exact"/>
        <w:rPr>
          <w:sz w:val="20"/>
          <w:szCs w:val="20"/>
          <w:color w:val="auto"/>
        </w:rPr>
      </w:pPr>
      <w:r>
        <w:rPr>
          <w:rFonts w:ascii="Times New Roman" w:cs="Times New Roman" w:eastAsia="Times New Roman" w:hAnsi="Times New Roman"/>
          <w:sz w:val="17"/>
          <w:szCs w:val="17"/>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187" w:lineRule="exact"/>
        <w:rPr>
          <w:sz w:val="20"/>
          <w:szCs w:val="20"/>
          <w:color w:val="auto"/>
        </w:rPr>
      </w:pPr>
    </w:p>
    <w:p>
      <w:pPr>
        <w:ind w:right="700" w:firstLine="750"/>
        <w:spacing w:after="0" w:line="271" w:lineRule="auto"/>
        <w:rPr>
          <w:sz w:val="20"/>
          <w:szCs w:val="20"/>
          <w:color w:val="auto"/>
        </w:rPr>
      </w:pPr>
      <w:r>
        <w:rPr>
          <w:rFonts w:ascii="Times New Roman" w:cs="Times New Roman" w:eastAsia="Times New Roman" w:hAnsi="Times New Roman"/>
          <w:sz w:val="17"/>
          <w:szCs w:val="17"/>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5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67" w:lineRule="exact"/>
        <w:rPr>
          <w:sz w:val="20"/>
          <w:szCs w:val="20"/>
          <w:color w:val="auto"/>
        </w:rPr>
      </w:pPr>
    </w:p>
    <w:p>
      <w:pPr>
        <w:ind w:right="140" w:firstLine="750"/>
        <w:spacing w:after="0" w:line="271" w:lineRule="auto"/>
        <w:rPr>
          <w:sz w:val="20"/>
          <w:szCs w:val="20"/>
          <w:color w:val="auto"/>
        </w:rPr>
      </w:pPr>
      <w:r>
        <w:rPr>
          <w:rFonts w:ascii="Times New Roman" w:cs="Times New Roman" w:eastAsia="Times New Roman" w:hAnsi="Times New Roman"/>
          <w:sz w:val="17"/>
          <w:szCs w:val="17"/>
          <w:color w:val="auto"/>
        </w:rPr>
        <w:t>AXS-12 received Orphan Drug Designation from FDA for the treatment of narcolepsy. We may also seek Orphan Drug Designation for our other products, as appropriate.</w:t>
      </w:r>
    </w:p>
    <w:p>
      <w:pPr>
        <w:spacing w:after="0" w:line="159" w:lineRule="exact"/>
        <w:rPr>
          <w:sz w:val="20"/>
          <w:szCs w:val="20"/>
          <w:color w:val="auto"/>
        </w:rPr>
      </w:pPr>
    </w:p>
    <w:p>
      <w:pPr>
        <w:ind w:right="60" w:firstLine="750"/>
        <w:spacing w:after="0" w:line="250" w:lineRule="auto"/>
        <w:rPr>
          <w:sz w:val="20"/>
          <w:szCs w:val="20"/>
          <w:color w:val="auto"/>
        </w:rPr>
      </w:pPr>
      <w:r>
        <w:rPr>
          <w:rFonts w:ascii="Times New Roman" w:cs="Times New Roman" w:eastAsia="Times New Roman" w:hAnsi="Times New Roman"/>
          <w:sz w:val="17"/>
          <w:szCs w:val="17"/>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76" w:lineRule="exact"/>
        <w:rPr>
          <w:sz w:val="20"/>
          <w:szCs w:val="20"/>
          <w:color w:val="auto"/>
        </w:rPr>
      </w:pPr>
    </w:p>
    <w:p>
      <w:pPr>
        <w:ind w:right="20" w:firstLine="750"/>
        <w:spacing w:after="0" w:line="252" w:lineRule="auto"/>
        <w:rPr>
          <w:sz w:val="20"/>
          <w:szCs w:val="20"/>
          <w:color w:val="auto"/>
        </w:rPr>
      </w:pPr>
      <w:r>
        <w:rPr>
          <w:rFonts w:ascii="Times New Roman" w:cs="Times New Roman" w:eastAsia="Times New Roman" w:hAnsi="Times New Roman"/>
          <w:sz w:val="17"/>
          <w:szCs w:val="17"/>
          <w:color w:val="auto"/>
        </w:rPr>
        <w:t>The FDA or the EMA may grant orphan exclusivity to two different sponsors for the same compound or active molecule and for the same indication. For example, if another sponsor receives FDA approval for a reboxetine containing product for the treatment of narcolepsy before we obtain FDA approval for AXS 12 for the treatment of narcolepsy, we would be prevented from launching our product in the United States for this indication for a period of at least 7 years. If another sponsor receives EMA approval for a reboxetine containing product for the treatment of narcolepsy before we EMA approval for AXS 12 for the treatment of narcolepsy, we would be prevented from launching our product in the EU for this indication for a period of at least 10 to 12 years.</w:t>
      </w:r>
    </w:p>
    <w:p>
      <w:pPr>
        <w:spacing w:after="0" w:line="175"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55" w:lineRule="exact"/>
        <w:rPr>
          <w:sz w:val="20"/>
          <w:szCs w:val="20"/>
          <w:color w:val="auto"/>
        </w:rPr>
      </w:pPr>
    </w:p>
    <w:p>
      <w:pPr>
        <w:ind w:right="100" w:firstLine="750"/>
        <w:spacing w:after="0" w:line="258" w:lineRule="auto"/>
        <w:rPr>
          <w:sz w:val="20"/>
          <w:szCs w:val="20"/>
          <w:color w:val="auto"/>
        </w:rPr>
      </w:pPr>
      <w:r>
        <w:rPr>
          <w:rFonts w:ascii="Times New Roman" w:cs="Times New Roman" w:eastAsia="Times New Roman" w:hAnsi="Times New Roman"/>
          <w:sz w:val="17"/>
          <w:szCs w:val="17"/>
          <w:color w:val="auto"/>
        </w:rPr>
        <w:t>We recently expanded our commercial infrastructure for the marketing, sale, and distribution of pharmaceutical products, which included the creation of a sales force to launch our commercial stage products throughout the United States. This requires additional compliance with a range of federal and state laws. Additionally, we currently commercialize Sunosi outside the United States. Each global market we commercialize Sunosi in has its own set of applicable laws.</w:t>
      </w:r>
    </w:p>
    <w:p>
      <w:pPr>
        <w:spacing w:after="0" w:line="170"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175" w:lineRule="exact"/>
        <w:rPr>
          <w:sz w:val="20"/>
          <w:szCs w:val="20"/>
          <w:color w:val="auto"/>
        </w:rPr>
      </w:pPr>
    </w:p>
    <w:p>
      <w:pPr>
        <w:ind w:left="740" w:hanging="365"/>
        <w:spacing w:after="0"/>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our inability to recruit, train, manage, and retain adequate numbers of effective sales and marketing personnel;</w:t>
      </w:r>
    </w:p>
    <w:p>
      <w:pPr>
        <w:spacing w:after="0" w:line="204" w:lineRule="exact"/>
        <w:rPr>
          <w:rFonts w:ascii="Times New Roman" w:cs="Times New Roman" w:eastAsia="Times New Roman" w:hAnsi="Times New Roman"/>
          <w:sz w:val="15"/>
          <w:szCs w:val="15"/>
          <w:color w:val="auto"/>
        </w:rPr>
      </w:pPr>
    </w:p>
    <w:p>
      <w:pPr>
        <w:ind w:left="740" w:right="100" w:hanging="365"/>
        <w:spacing w:after="0" w:line="271" w:lineRule="auto"/>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inability of sales personnel to obtain access to physicians or persuade adequate numbers of physicians to prescribe any of our current or future product candidates;</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inability of sales personnel to travel and/or arrange in-person meetings with physicians due to the ongoing COVID-19 pandemic;</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our inability to effectively oversee a geographically dispersed sales and marketing team;</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application of federal and state drug distribution and supply chain requirements to our business;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costs associated with training sales and marketing personnel on legal and regulatory compliance matters and monitoring their actions;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an inability to secure adequate coverage and reimbursement by government and private health plans;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clinical indications and labeled claims for which the product is approved;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limitations or warnings, including distribution or use restrictions, contained in the product’s approved labeling;</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any distribution and use restrictions imposed by the FDA or to which we agree as part of a mandatory REMS or voluntary risk management plan;</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liability for sales or marketing personnel who fail to comply with the applicable legal and regulatory requirements;</w:t>
      </w:r>
    </w:p>
    <w:p>
      <w:pPr>
        <w:spacing w:after="0" w:line="204" w:lineRule="exact"/>
        <w:rPr>
          <w:rFonts w:ascii="Times New Roman" w:cs="Times New Roman" w:eastAsia="Times New Roman" w:hAnsi="Times New Roman"/>
          <w:sz w:val="15"/>
          <w:szCs w:val="15"/>
          <w:color w:val="auto"/>
        </w:rPr>
      </w:pPr>
    </w:p>
    <w:p>
      <w:pPr>
        <w:ind w:left="740" w:right="340" w:hanging="365"/>
        <w:spacing w:after="0" w:line="271" w:lineRule="auto"/>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lack of complementary products to be offered by sales personnel, which may put us at a competitive disadvantage relative to companies with more extensive product lines; and</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unforeseen costs and expenses associated with creating an independent sales and marketing organization or engaging a contract sales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20"/>
          </w:cols>
          <w:pgMar w:left="320" w:top="120"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120" w:firstLine="750"/>
        <w:spacing w:after="0" w:line="254" w:lineRule="auto"/>
        <w:rPr>
          <w:sz w:val="20"/>
          <w:szCs w:val="20"/>
          <w:color w:val="auto"/>
        </w:rPr>
      </w:pPr>
      <w:r>
        <w:rPr>
          <w:rFonts w:ascii="Times New Roman" w:cs="Times New Roman" w:eastAsia="Times New Roman" w:hAnsi="Times New Roman"/>
          <w:sz w:val="17"/>
          <w:szCs w:val="17"/>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any of our products do not achieve broad market acceptance, the revenues that we generate from their sales will be limited.</w:t>
      </w:r>
    </w:p>
    <w:p>
      <w:pPr>
        <w:spacing w:after="0" w:line="209"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Our products, and, if approved, our product candidates, may not gain acceptance among physicians, patients, third-party payors, and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177" w:lineRule="exact"/>
        <w:rPr>
          <w:sz w:val="20"/>
          <w:szCs w:val="20"/>
          <w:color w:val="auto"/>
        </w:rPr>
      </w:pPr>
    </w:p>
    <w:p>
      <w:pPr>
        <w:ind w:right="100" w:firstLine="750"/>
        <w:spacing w:after="0" w:line="258" w:lineRule="auto"/>
        <w:rPr>
          <w:sz w:val="20"/>
          <w:szCs w:val="20"/>
          <w:color w:val="auto"/>
        </w:rPr>
      </w:pPr>
      <w:r>
        <w:rPr>
          <w:rFonts w:ascii="Times New Roman" w:cs="Times New Roman" w:eastAsia="Times New Roman" w:hAnsi="Times New Roman"/>
          <w:sz w:val="17"/>
          <w:szCs w:val="17"/>
          <w:color w:val="auto"/>
        </w:rPr>
        <w:t>Efforts to educate the medical community and third-party payors on the benefits of our products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products will depend on a number of factors, including:</w:t>
      </w:r>
    </w:p>
    <w:p>
      <w:pPr>
        <w:spacing w:after="0" w:line="170" w:lineRule="exact"/>
        <w:rPr>
          <w:sz w:val="20"/>
          <w:szCs w:val="20"/>
          <w:color w:val="auto"/>
        </w:rPr>
      </w:pPr>
    </w:p>
    <w:p>
      <w:pPr>
        <w:ind w:left="740" w:hanging="365"/>
        <w:spacing w:after="0"/>
        <w:tabs>
          <w:tab w:leader="none" w:pos="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efficacy of our products;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prevalence and severity of adverse events associated with such product;</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clinical indications for which the product is approved and the approved claims that we may make for the product;</w:t>
      </w:r>
    </w:p>
    <w:p>
      <w:pPr>
        <w:spacing w:after="0" w:line="178" w:lineRule="exact"/>
        <w:rPr>
          <w:rFonts w:ascii="Times New Roman" w:cs="Times New Roman" w:eastAsia="Times New Roman" w:hAnsi="Times New Roman"/>
          <w:sz w:val="15"/>
          <w:szCs w:val="15"/>
          <w:color w:val="auto"/>
        </w:rPr>
      </w:pPr>
    </w:p>
    <w:p>
      <w:pPr>
        <w:ind w:left="740" w:right="140" w:hanging="365"/>
        <w:spacing w:after="0" w:line="221" w:lineRule="exact"/>
        <w:tabs>
          <w:tab w:leader="none" w:pos="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limitations or warnings contained in the product’s FDA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approved labeling, including potential limitations or warnings for such product candidate, that may be more restrictive than other competitive products;</w:t>
      </w:r>
    </w:p>
    <w:p>
      <w:pPr>
        <w:spacing w:after="0" w:line="185" w:lineRule="exact"/>
        <w:rPr>
          <w:rFonts w:ascii="Times New Roman" w:cs="Times New Roman" w:eastAsia="Times New Roman" w:hAnsi="Times New Roman"/>
          <w:sz w:val="15"/>
          <w:szCs w:val="15"/>
          <w:color w:val="auto"/>
        </w:rPr>
      </w:pPr>
    </w:p>
    <w:p>
      <w:pPr>
        <w:ind w:left="740" w:right="60" w:hanging="365"/>
        <w:spacing w:after="0" w:line="271" w:lineRule="auto"/>
        <w:tabs>
          <w:tab w:leader="none" w:pos="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changes in the standard of care for the targeted indications for such product candidate, which could reduce the marketing impact of any claims that we could make following FDA approval, if obtained;</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relative convenience and ease of administration of such product;</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cost of treatment versus economic and clinical benefit in relation to alternative treatments or therapies;</w:t>
      </w:r>
    </w:p>
    <w:p>
      <w:pPr>
        <w:spacing w:after="0" w:line="204" w:lineRule="exact"/>
        <w:rPr>
          <w:rFonts w:ascii="Times New Roman" w:cs="Times New Roman" w:eastAsia="Times New Roman" w:hAnsi="Times New Roman"/>
          <w:sz w:val="15"/>
          <w:szCs w:val="15"/>
          <w:color w:val="auto"/>
        </w:rPr>
      </w:pPr>
    </w:p>
    <w:p>
      <w:pPr>
        <w:ind w:left="740" w:right="500" w:hanging="365"/>
        <w:spacing w:after="0" w:line="271" w:lineRule="auto"/>
        <w:tabs>
          <w:tab w:leader="none" w:pos="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willingness of third-party payors to prefer similar but less expensive products even if not approved for our product’s indication;</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extent and strength of our marketing and distribution of such product;</w:t>
      </w:r>
    </w:p>
    <w:p>
      <w:pPr>
        <w:spacing w:after="0" w:line="204" w:lineRule="exact"/>
        <w:rPr>
          <w:rFonts w:ascii="Times New Roman" w:cs="Times New Roman" w:eastAsia="Times New Roman" w:hAnsi="Times New Roman"/>
          <w:sz w:val="15"/>
          <w:szCs w:val="15"/>
          <w:color w:val="auto"/>
        </w:rPr>
      </w:pPr>
    </w:p>
    <w:p>
      <w:pPr>
        <w:ind w:left="740" w:right="140" w:hanging="365"/>
        <w:spacing w:after="0" w:line="271" w:lineRule="auto"/>
        <w:tabs>
          <w:tab w:leader="none" w:pos="7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safety, efficacy, and other potential advantages over, and availability of, alternative treatments already used or that may later be approved for any of our intended indications;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hanging="365"/>
        <w:spacing w:after="0" w:line="271" w:lineRule="auto"/>
        <w:tabs>
          <w:tab w:leader="none" w:pos="7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distribution and use restrictions imposed by the FDA with respect to such product or to which we agree as part of a mandatory risk evaluation and mitigation strategy or voluntary risk management plan;</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timing of market introduction of such product, as well as competitive products;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our ability to offer such product candidate for sale at competitive prices, including prices that are competitive with generic products;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willingness of the target patient population to try new therapies and of physicians to prescribe these therapies;</w:t>
      </w:r>
    </w:p>
    <w:p>
      <w:pPr>
        <w:spacing w:after="0" w:line="178" w:lineRule="exact"/>
        <w:rPr>
          <w:rFonts w:ascii="Times New Roman" w:cs="Times New Roman" w:eastAsia="Times New Roman" w:hAnsi="Times New Roman"/>
          <w:sz w:val="15"/>
          <w:szCs w:val="15"/>
          <w:color w:val="auto"/>
        </w:rPr>
      </w:pPr>
    </w:p>
    <w:p>
      <w:pPr>
        <w:ind w:left="740" w:hanging="365"/>
        <w:spacing w:after="0" w:line="196" w:lineRule="exact"/>
        <w:tabs>
          <w:tab w:leader="none" w:pos="7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extent and strength of our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 and supplier support;</w:t>
      </w:r>
    </w:p>
    <w:p>
      <w:pPr>
        <w:spacing w:after="0" w:line="231"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approval of other new products for the same indications;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adverse publicity about the product or favorable publicity about competitive products; and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potential product liability claims.</w:t>
      </w:r>
    </w:p>
    <w:p>
      <w:pPr>
        <w:spacing w:after="0" w:line="179" w:lineRule="exact"/>
        <w:rPr>
          <w:sz w:val="20"/>
          <w:szCs w:val="20"/>
          <w:color w:val="auto"/>
        </w:rPr>
      </w:pPr>
    </w:p>
    <w:p>
      <w:pPr>
        <w:ind w:right="40" w:firstLine="750"/>
        <w:spacing w:after="0" w:line="211" w:lineRule="exact"/>
        <w:rPr>
          <w:sz w:val="20"/>
          <w:szCs w:val="20"/>
          <w:color w:val="auto"/>
        </w:rPr>
      </w:pPr>
      <w:r>
        <w:rPr>
          <w:rFonts w:ascii="Times New Roman" w:cs="Times New Roman" w:eastAsia="Times New Roman" w:hAnsi="Times New Roman"/>
          <w:sz w:val="17"/>
          <w:szCs w:val="17"/>
          <w:color w:val="auto"/>
        </w:rPr>
        <w:t>Our efforts to educate the medical community and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 on the benefits of our products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payors.</w:t>
      </w:r>
    </w:p>
    <w:p>
      <w:pPr>
        <w:spacing w:after="0" w:line="167" w:lineRule="exact"/>
        <w:rPr>
          <w:sz w:val="20"/>
          <w:szCs w:val="20"/>
          <w:color w:val="auto"/>
        </w:rPr>
      </w:pPr>
    </w:p>
    <w:p>
      <w:pPr>
        <w:ind w:firstLine="750"/>
        <w:spacing w:after="0" w:line="203" w:lineRule="exact"/>
        <w:rPr>
          <w:sz w:val="20"/>
          <w:szCs w:val="20"/>
          <w:color w:val="auto"/>
        </w:rPr>
      </w:pPr>
      <w:r>
        <w:rPr>
          <w:rFonts w:ascii="Times New Roman" w:cs="Times New Roman" w:eastAsia="Times New Roman" w:hAnsi="Times New Roman"/>
          <w:sz w:val="17"/>
          <w:szCs w:val="17"/>
          <w:color w:val="auto"/>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55"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from including from:</w:t>
      </w:r>
    </w:p>
    <w:p>
      <w:pPr>
        <w:spacing w:after="0" w:line="179" w:lineRule="exact"/>
        <w:rPr>
          <w:sz w:val="20"/>
          <w:szCs w:val="20"/>
          <w:color w:val="auto"/>
        </w:rPr>
      </w:pPr>
    </w:p>
    <w:p>
      <w:pPr>
        <w:ind w:left="740" w:hanging="365"/>
        <w:spacing w:after="0"/>
        <w:tabs>
          <w:tab w:leader="none" w:pos="7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decreased demand for our products;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impairment of our business reputation or financial stability;</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costs of related litigation;</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substantial monetary awards to patients or other claimants;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diversion of management attention;</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loss of revenues;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withdrawal of clinical trial participants and potential termination of clinical trial sites or entire clinical programs;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inability to commercialize our product candidates;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significant negative media attention;</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decrease in our stock price;</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initiation of investigations and enforcement actions by regulators; and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product recalls, withdrawals, or labeling, marketing, or promotional restrictions.</w:t>
      </w:r>
    </w:p>
    <w:p>
      <w:pPr>
        <w:spacing w:after="0" w:line="205" w:lineRule="exact"/>
        <w:rPr>
          <w:sz w:val="20"/>
          <w:szCs w:val="20"/>
          <w:color w:val="auto"/>
        </w:rPr>
      </w:pPr>
    </w:p>
    <w:p>
      <w:pPr>
        <w:ind w:right="20" w:firstLine="750"/>
        <w:spacing w:after="0" w:line="269" w:lineRule="auto"/>
        <w:rPr>
          <w:sz w:val="20"/>
          <w:szCs w:val="20"/>
          <w:color w:val="auto"/>
        </w:rPr>
      </w:pPr>
      <w:r>
        <w:rPr>
          <w:rFonts w:ascii="Times New Roman" w:cs="Times New Roman" w:eastAsia="Times New Roman" w:hAnsi="Times New Roman"/>
          <w:sz w:val="16"/>
          <w:szCs w:val="16"/>
          <w:color w:val="auto"/>
        </w:rPr>
        <w:t>We have obtained limited product liability insurance coverage for our products and our clinical trials with a $10.0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67"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177"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7"/>
          <w:szCs w:val="17"/>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73" w:lineRule="exact"/>
        <w:rPr>
          <w:sz w:val="20"/>
          <w:szCs w:val="20"/>
          <w:color w:val="auto"/>
        </w:rPr>
      </w:pPr>
    </w:p>
    <w:p>
      <w:pPr>
        <w:ind w:right="40" w:firstLine="750"/>
        <w:spacing w:after="0" w:line="249" w:lineRule="auto"/>
        <w:rPr>
          <w:sz w:val="20"/>
          <w:szCs w:val="20"/>
          <w:color w:val="auto"/>
        </w:rPr>
      </w:pPr>
      <w:r>
        <w:rPr>
          <w:rFonts w:ascii="Times New Roman" w:cs="Times New Roman" w:eastAsia="Times New Roman" w:hAnsi="Times New Roman"/>
          <w:sz w:val="17"/>
          <w:szCs w:val="17"/>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which could have a material adverse effect on our business, results of operations, financial condition and growth prospects.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w:t>
      </w:r>
    </w:p>
    <w:p>
      <w:pPr>
        <w:spacing w:after="0" w:line="20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29" w:lineRule="exact"/>
        <w:rPr>
          <w:sz w:val="20"/>
          <w:szCs w:val="20"/>
          <w:color w:val="auto"/>
        </w:rPr>
      </w:pPr>
    </w:p>
    <w:p>
      <w:pPr>
        <w:ind w:right="140" w:firstLine="750"/>
        <w:spacing w:after="0" w:line="206" w:lineRule="exact"/>
        <w:rPr>
          <w:sz w:val="20"/>
          <w:szCs w:val="20"/>
          <w:color w:val="auto"/>
        </w:rPr>
      </w:pPr>
      <w:r>
        <w:rPr>
          <w:rFonts w:ascii="Times New Roman" w:cs="Times New Roman" w:eastAsia="Times New Roman" w:hAnsi="Times New Roman"/>
          <w:sz w:val="17"/>
          <w:szCs w:val="17"/>
          <w:color w:val="auto"/>
        </w:rPr>
        <w:t>We rely on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86"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56" w:lineRule="exact"/>
        <w:rPr>
          <w:sz w:val="20"/>
          <w:szCs w:val="20"/>
          <w:color w:val="auto"/>
        </w:rPr>
      </w:pPr>
    </w:p>
    <w:p>
      <w:pPr>
        <w:ind w:right="280" w:firstLine="750"/>
        <w:spacing w:after="0" w:line="209" w:lineRule="exact"/>
        <w:rPr>
          <w:sz w:val="20"/>
          <w:szCs w:val="20"/>
          <w:color w:val="auto"/>
        </w:rPr>
      </w:pPr>
      <w:r>
        <w:rPr>
          <w:rFonts w:ascii="Times New Roman" w:cs="Times New Roman" w:eastAsia="Times New Roman" w:hAnsi="Times New Roman"/>
          <w:sz w:val="17"/>
          <w:szCs w:val="17"/>
          <w:color w:val="auto"/>
        </w:rPr>
        <w:t>In addition, when we submit an NDA for review, we are required to report certain financial interests of our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85" w:lineRule="exact"/>
        <w:rPr>
          <w:sz w:val="20"/>
          <w:szCs w:val="20"/>
          <w:color w:val="auto"/>
        </w:rPr>
      </w:pPr>
    </w:p>
    <w:p>
      <w:pPr>
        <w:ind w:right="60" w:firstLine="750"/>
        <w:spacing w:after="0" w:line="252" w:lineRule="auto"/>
        <w:rPr>
          <w:sz w:val="20"/>
          <w:szCs w:val="20"/>
          <w:color w:val="auto"/>
        </w:rPr>
      </w:pPr>
      <w:r>
        <w:rPr>
          <w:rFonts w:ascii="Times New Roman" w:cs="Times New Roman" w:eastAsia="Times New Roman" w:hAnsi="Times New Roman"/>
          <w:sz w:val="17"/>
          <w:szCs w:val="17"/>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0" w:firstLine="750"/>
        <w:spacing w:after="0" w:line="248" w:lineRule="auto"/>
        <w:rPr>
          <w:sz w:val="20"/>
          <w:szCs w:val="20"/>
          <w:color w:val="auto"/>
        </w:rPr>
      </w:pPr>
      <w:r>
        <w:rPr>
          <w:rFonts w:ascii="Times New Roman" w:cs="Times New Roman" w:eastAsia="Times New Roman" w:hAnsi="Times New Roman"/>
          <w:sz w:val="17"/>
          <w:szCs w:val="17"/>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 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80"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If any of our relationships with these third parties terminates,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 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7" w:lineRule="exact"/>
        <w:rPr>
          <w:sz w:val="20"/>
          <w:szCs w:val="20"/>
          <w:color w:val="auto"/>
        </w:rPr>
      </w:pPr>
    </w:p>
    <w:p>
      <w:pPr>
        <w:ind w:right="100" w:firstLine="750"/>
        <w:spacing w:after="0" w:line="250" w:lineRule="auto"/>
        <w:rPr>
          <w:sz w:val="20"/>
          <w:szCs w:val="20"/>
          <w:color w:val="auto"/>
        </w:rPr>
      </w:pPr>
      <w:r>
        <w:rPr>
          <w:rFonts w:ascii="Times New Roman" w:cs="Times New Roman" w:eastAsia="Times New Roman" w:hAnsi="Times New Roman"/>
          <w:sz w:val="17"/>
          <w:szCs w:val="17"/>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80" w:lineRule="exact"/>
        <w:rPr>
          <w:sz w:val="20"/>
          <w:szCs w:val="20"/>
          <w:color w:val="auto"/>
        </w:rPr>
      </w:pPr>
    </w:p>
    <w:p>
      <w:pPr>
        <w:ind w:right="200" w:firstLine="750"/>
        <w:spacing w:after="0" w:line="202" w:lineRule="exact"/>
        <w:rPr>
          <w:sz w:val="20"/>
          <w:szCs w:val="20"/>
          <w:color w:val="auto"/>
        </w:rPr>
      </w:pPr>
      <w:r>
        <w:rPr>
          <w:rFonts w:ascii="Times New Roman" w:cs="Times New Roman" w:eastAsia="Times New Roman" w:hAnsi="Times New Roman"/>
          <w:sz w:val="17"/>
          <w:szCs w:val="17"/>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 may breach, terminate, or not renew these agreements.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46" w:lineRule="exact"/>
        <w:rPr>
          <w:sz w:val="20"/>
          <w:szCs w:val="20"/>
          <w:color w:val="auto"/>
        </w:rPr>
      </w:pPr>
    </w:p>
    <w:p>
      <w:pPr>
        <w:ind w:firstLine="750"/>
        <w:spacing w:after="0" w:line="206" w:lineRule="exact"/>
        <w:rPr>
          <w:sz w:val="20"/>
          <w:szCs w:val="20"/>
          <w:color w:val="auto"/>
        </w:rPr>
      </w:pPr>
      <w:r>
        <w:rPr>
          <w:rFonts w:ascii="Times New Roman" w:cs="Times New Roman" w:eastAsia="Times New Roman" w:hAnsi="Times New Roman"/>
          <w:sz w:val="17"/>
          <w:szCs w:val="17"/>
          <w:color w:val="auto"/>
        </w:rPr>
        <w:t>Any problems or delays we experience in preparing for commercial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86" w:lineRule="exact"/>
        <w:rPr>
          <w:sz w:val="20"/>
          <w:szCs w:val="20"/>
          <w:color w:val="auto"/>
        </w:rPr>
      </w:pPr>
    </w:p>
    <w:p>
      <w:pPr>
        <w:ind w:firstLine="750"/>
        <w:spacing w:after="0" w:line="202" w:lineRule="exact"/>
        <w:rPr>
          <w:sz w:val="20"/>
          <w:szCs w:val="20"/>
          <w:color w:val="auto"/>
        </w:rPr>
      </w:pPr>
      <w:r>
        <w:rPr>
          <w:rFonts w:ascii="Times New Roman" w:cs="Times New Roman" w:eastAsia="Times New Roman" w:hAnsi="Times New Roman"/>
          <w:sz w:val="17"/>
          <w:szCs w:val="17"/>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87" w:lineRule="exact"/>
        <w:rPr>
          <w:sz w:val="20"/>
          <w:szCs w:val="20"/>
          <w:color w:val="auto"/>
        </w:rPr>
      </w:pPr>
    </w:p>
    <w:p>
      <w:pPr>
        <w:ind w:firstLine="750"/>
        <w:spacing w:after="0" w:line="263" w:lineRule="auto"/>
        <w:rPr>
          <w:sz w:val="20"/>
          <w:szCs w:val="20"/>
          <w:color w:val="auto"/>
        </w:rPr>
      </w:pPr>
      <w:r>
        <w:rPr>
          <w:rFonts w:ascii="Times New Roman" w:cs="Times New Roman" w:eastAsia="Times New Roman" w:hAnsi="Times New Roman"/>
          <w:sz w:val="16"/>
          <w:szCs w:val="16"/>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176" w:lineRule="exact"/>
        <w:rPr>
          <w:sz w:val="20"/>
          <w:szCs w:val="20"/>
          <w:color w:val="auto"/>
        </w:rPr>
      </w:pPr>
    </w:p>
    <w:p>
      <w:pPr>
        <w:ind w:right="40" w:firstLine="750"/>
        <w:spacing w:after="0" w:line="258" w:lineRule="auto"/>
        <w:rPr>
          <w:sz w:val="20"/>
          <w:szCs w:val="20"/>
          <w:color w:val="auto"/>
        </w:rPr>
      </w:pPr>
      <w:r>
        <w:rPr>
          <w:rFonts w:ascii="Times New Roman" w:cs="Times New Roman" w:eastAsia="Times New Roman" w:hAnsi="Times New Roman"/>
          <w:sz w:val="17"/>
          <w:szCs w:val="17"/>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49" w:lineRule="exact"/>
        <w:rPr>
          <w:sz w:val="20"/>
          <w:szCs w:val="20"/>
          <w:color w:val="auto"/>
        </w:rPr>
      </w:pPr>
    </w:p>
    <w:p>
      <w:pPr>
        <w:ind w:right="60" w:firstLine="750"/>
        <w:spacing w:after="0" w:line="207" w:lineRule="exact"/>
        <w:rPr>
          <w:sz w:val="20"/>
          <w:szCs w:val="20"/>
          <w:color w:val="auto"/>
        </w:rPr>
      </w:pPr>
      <w:r>
        <w:rPr>
          <w:rFonts w:ascii="Times New Roman" w:cs="Times New Roman" w:eastAsia="Times New Roman" w:hAnsi="Times New Roman"/>
          <w:sz w:val="17"/>
          <w:szCs w:val="17"/>
          <w:color w:val="auto"/>
        </w:rPr>
        <w:t>We have retained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customer service, accounts receivable management, and cash collection, and, as a result, much of our inventory is stored at a single warehouse maintained by one such service provider. We substantially rely on this service provider as well as other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providers that perform services for us, including entrusting our inventories of products to their care and handling. If these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85" w:lineRule="exact"/>
        <w:rPr>
          <w:sz w:val="20"/>
          <w:szCs w:val="20"/>
          <w:color w:val="auto"/>
        </w:rPr>
      </w:pPr>
    </w:p>
    <w:p>
      <w:pPr>
        <w:ind w:firstLine="750"/>
        <w:spacing w:after="0" w:line="282" w:lineRule="auto"/>
        <w:rPr>
          <w:sz w:val="20"/>
          <w:szCs w:val="20"/>
          <w:color w:val="auto"/>
        </w:rPr>
      </w:pPr>
      <w:r>
        <w:rPr>
          <w:rFonts w:ascii="Times New Roman" w:cs="Times New Roman" w:eastAsia="Times New Roman" w:hAnsi="Times New Roman"/>
          <w:sz w:val="16"/>
          <w:szCs w:val="16"/>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52" w:lineRule="exact"/>
        <w:rPr>
          <w:sz w:val="20"/>
          <w:szCs w:val="20"/>
          <w:color w:val="auto"/>
        </w:rPr>
      </w:pPr>
    </w:p>
    <w:p>
      <w:pPr>
        <w:ind w:right="40" w:firstLine="750"/>
        <w:spacing w:after="0" w:line="258" w:lineRule="auto"/>
        <w:rPr>
          <w:sz w:val="20"/>
          <w:szCs w:val="20"/>
          <w:color w:val="auto"/>
        </w:rPr>
      </w:pPr>
      <w:r>
        <w:rPr>
          <w:rFonts w:ascii="Times New Roman" w:cs="Times New Roman" w:eastAsia="Times New Roman" w:hAnsi="Times New Roman"/>
          <w:sz w:val="17"/>
          <w:szCs w:val="17"/>
          <w:color w:val="auto"/>
        </w:rPr>
        <w:t>Additionally, if a third-party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55" w:lineRule="exact"/>
        <w:rPr>
          <w:sz w:val="20"/>
          <w:szCs w:val="20"/>
          <w:color w:val="auto"/>
        </w:rPr>
      </w:pPr>
    </w:p>
    <w:p>
      <w:pPr>
        <w:ind w:firstLine="750"/>
        <w:spacing w:after="0" w:line="265" w:lineRule="auto"/>
        <w:rPr>
          <w:sz w:val="20"/>
          <w:szCs w:val="20"/>
          <w:color w:val="auto"/>
        </w:rPr>
      </w:pPr>
      <w:r>
        <w:rPr>
          <w:rFonts w:ascii="Times New Roman" w:cs="Times New Roman" w:eastAsia="Times New Roman" w:hAnsi="Times New Roman"/>
          <w:sz w:val="16"/>
          <w:szCs w:val="16"/>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European and certain Middle East / North Africa countries.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71" w:lineRule="exact"/>
        <w:rPr>
          <w:sz w:val="20"/>
          <w:szCs w:val="20"/>
          <w:color w:val="auto"/>
        </w:rPr>
      </w:pPr>
    </w:p>
    <w:p>
      <w:pPr>
        <w:ind w:right="100" w:firstLine="750"/>
        <w:spacing w:after="0" w:line="258" w:lineRule="auto"/>
        <w:rPr>
          <w:sz w:val="20"/>
          <w:szCs w:val="20"/>
          <w:color w:val="auto"/>
        </w:rPr>
      </w:pPr>
      <w:r>
        <w:rPr>
          <w:rFonts w:ascii="Times New Roman" w:cs="Times New Roman" w:eastAsia="Times New Roman" w:hAnsi="Times New Roman"/>
          <w:sz w:val="17"/>
          <w:szCs w:val="17"/>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70" w:lineRule="exact"/>
        <w:rPr>
          <w:sz w:val="20"/>
          <w:szCs w:val="20"/>
          <w:color w:val="auto"/>
        </w:rPr>
      </w:pPr>
    </w:p>
    <w:p>
      <w:pPr>
        <w:ind w:right="160" w:firstLine="750"/>
        <w:spacing w:after="0" w:line="258" w:lineRule="auto"/>
        <w:rPr>
          <w:sz w:val="20"/>
          <w:szCs w:val="20"/>
          <w:color w:val="auto"/>
        </w:rPr>
      </w:pPr>
      <w:r>
        <w:rPr>
          <w:rFonts w:ascii="Times New Roman" w:cs="Times New Roman" w:eastAsia="Times New Roman" w:hAnsi="Times New Roman"/>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70" w:lineRule="exact"/>
        <w:rPr>
          <w:sz w:val="20"/>
          <w:szCs w:val="20"/>
          <w:color w:val="auto"/>
        </w:rPr>
      </w:pPr>
    </w:p>
    <w:p>
      <w:pPr>
        <w:ind w:left="740" w:hanging="365"/>
        <w:spacing w:after="0"/>
        <w:tabs>
          <w:tab w:leader="none" w:pos="7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collaborators may not perform their obligations as expected;</w:t>
      </w:r>
    </w:p>
    <w:p>
      <w:pPr>
        <w:spacing w:after="0" w:line="204" w:lineRule="exact"/>
        <w:rPr>
          <w:rFonts w:ascii="Times New Roman" w:cs="Times New Roman" w:eastAsia="Times New Roman" w:hAnsi="Times New Roman"/>
          <w:sz w:val="15"/>
          <w:szCs w:val="15"/>
          <w:color w:val="auto"/>
        </w:rPr>
      </w:pPr>
    </w:p>
    <w:p>
      <w:pPr>
        <w:ind w:left="740" w:right="60" w:hanging="365"/>
        <w:spacing w:after="0" w:line="258" w:lineRule="auto"/>
        <w:tabs>
          <w:tab w:leader="none" w:pos="7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0" w:lineRule="exact"/>
        <w:rPr>
          <w:rFonts w:ascii="Times New Roman" w:cs="Times New Roman" w:eastAsia="Times New Roman" w:hAnsi="Times New Roman"/>
          <w:sz w:val="15"/>
          <w:szCs w:val="15"/>
          <w:color w:val="auto"/>
        </w:rPr>
      </w:pPr>
    </w:p>
    <w:p>
      <w:pPr>
        <w:ind w:left="740" w:right="100" w:hanging="365"/>
        <w:spacing w:after="0" w:line="271" w:lineRule="auto"/>
        <w:tabs>
          <w:tab w:leader="none" w:pos="7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collaborators could fail to make timely regulatory submissions for a product candidate;</w:t>
      </w:r>
    </w:p>
    <w:p>
      <w:pPr>
        <w:spacing w:after="0" w:line="204" w:lineRule="exact"/>
        <w:rPr>
          <w:rFonts w:ascii="Times New Roman" w:cs="Times New Roman" w:eastAsia="Times New Roman" w:hAnsi="Times New Roman"/>
          <w:sz w:val="15"/>
          <w:szCs w:val="15"/>
          <w:color w:val="auto"/>
        </w:rPr>
      </w:pPr>
    </w:p>
    <w:p>
      <w:pPr>
        <w:ind w:left="740" w:right="480" w:hanging="365"/>
        <w:spacing w:after="0" w:line="271" w:lineRule="auto"/>
        <w:tabs>
          <w:tab w:leader="none" w:pos="7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collaborators may not comply with all applicable regulatory requirements or may fail to report safety data in accordance with all applicable regulatory requirements;</w:t>
      </w:r>
    </w:p>
    <w:p>
      <w:pPr>
        <w:spacing w:after="0" w:line="159" w:lineRule="exact"/>
        <w:rPr>
          <w:rFonts w:ascii="Times New Roman" w:cs="Times New Roman" w:eastAsia="Times New Roman" w:hAnsi="Times New Roman"/>
          <w:sz w:val="15"/>
          <w:szCs w:val="15"/>
          <w:color w:val="auto"/>
        </w:rPr>
      </w:pPr>
    </w:p>
    <w:p>
      <w:pPr>
        <w:ind w:left="740" w:right="20" w:hanging="365"/>
        <w:spacing w:after="0" w:line="258" w:lineRule="auto"/>
        <w:tabs>
          <w:tab w:leader="none" w:pos="7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70" w:lineRule="exact"/>
        <w:rPr>
          <w:rFonts w:ascii="Times New Roman" w:cs="Times New Roman" w:eastAsia="Times New Roman" w:hAnsi="Times New Roman"/>
          <w:sz w:val="15"/>
          <w:szCs w:val="15"/>
          <w:color w:val="auto"/>
        </w:rPr>
      </w:pPr>
    </w:p>
    <w:p>
      <w:pPr>
        <w:ind w:left="740" w:right="260" w:hanging="365"/>
        <w:spacing w:after="0" w:line="271" w:lineRule="auto"/>
        <w:tabs>
          <w:tab w:leader="none" w:pos="7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right="220" w:hanging="365"/>
        <w:spacing w:after="0" w:line="271" w:lineRule="auto"/>
        <w:tabs>
          <w:tab w:leader="none" w:pos="7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59" w:lineRule="exact"/>
        <w:rPr>
          <w:rFonts w:ascii="Times New Roman" w:cs="Times New Roman" w:eastAsia="Times New Roman" w:hAnsi="Times New Roman"/>
          <w:sz w:val="15"/>
          <w:szCs w:val="15"/>
          <w:color w:val="auto"/>
        </w:rPr>
      </w:pPr>
    </w:p>
    <w:p>
      <w:pPr>
        <w:ind w:left="740" w:right="120" w:hanging="365"/>
        <w:spacing w:after="0" w:line="258" w:lineRule="auto"/>
        <w:tabs>
          <w:tab w:leader="none" w:pos="7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70" w:lineRule="exact"/>
        <w:rPr>
          <w:rFonts w:ascii="Times New Roman" w:cs="Times New Roman" w:eastAsia="Times New Roman" w:hAnsi="Times New Roman"/>
          <w:sz w:val="15"/>
          <w:szCs w:val="15"/>
          <w:color w:val="auto"/>
        </w:rPr>
      </w:pPr>
    </w:p>
    <w:p>
      <w:pPr>
        <w:ind w:left="740" w:right="20" w:hanging="365"/>
        <w:spacing w:after="0" w:line="271" w:lineRule="auto"/>
        <w:tabs>
          <w:tab w:leader="none" w:pos="7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collaborators may infringe the intellectual property rights of third parties, which may expose us to litigation and potential liability.</w:t>
      </w:r>
    </w:p>
    <w:p>
      <w:pPr>
        <w:spacing w:after="0" w:line="205"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73" w:lineRule="exact"/>
        <w:rPr>
          <w:sz w:val="20"/>
          <w:szCs w:val="20"/>
          <w:color w:val="auto"/>
        </w:rPr>
      </w:pPr>
    </w:p>
    <w:p>
      <w:pPr>
        <w:ind w:firstLine="750"/>
        <w:spacing w:after="0" w:line="258" w:lineRule="auto"/>
        <w:rPr>
          <w:sz w:val="20"/>
          <w:szCs w:val="20"/>
          <w:color w:val="auto"/>
        </w:rPr>
      </w:pPr>
      <w:r>
        <w:rPr>
          <w:rFonts w:ascii="Times New Roman" w:cs="Times New Roman" w:eastAsia="Times New Roman" w:hAnsi="Times New Roman"/>
          <w:sz w:val="17"/>
          <w:szCs w:val="17"/>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80" w:firstLine="750"/>
        <w:spacing w:after="0" w:line="265" w:lineRule="auto"/>
        <w:rPr>
          <w:sz w:val="20"/>
          <w:szCs w:val="20"/>
          <w:color w:val="auto"/>
        </w:rPr>
      </w:pPr>
      <w:r>
        <w:rPr>
          <w:rFonts w:ascii="Times New Roman" w:cs="Times New Roman" w:eastAsia="Times New Roman" w:hAnsi="Times New Roman"/>
          <w:sz w:val="16"/>
          <w:szCs w:val="16"/>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205"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5"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Market exclusivity awarded by the FDA upon the approval of an NDA is limited in scope and duration. For example, our New Chemical Entity exclusivity for Sunosi expires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filler may be permitted to launch a generic version of either of our products following expiry of these exclusivities if our patents do not preclude a generic launch. Patent litigation is inherently uncertain, and we cannot guarantee the outcome of any such proceedings or that we would succeed in stopping the “at risk” launch of a generic version of either of our currently commercialized products during the pendency of litigation following expiry of the 30-month stay. Such a generic launch could materially impact our commercial success.</w:t>
      </w:r>
    </w:p>
    <w:p>
      <w:pPr>
        <w:spacing w:after="0" w:line="176" w:lineRule="exact"/>
        <w:rPr>
          <w:sz w:val="20"/>
          <w:szCs w:val="20"/>
          <w:color w:val="auto"/>
        </w:rPr>
      </w:pPr>
    </w:p>
    <w:p>
      <w:pPr>
        <w:ind w:right="60" w:firstLine="750"/>
        <w:spacing w:after="0" w:line="202" w:lineRule="exact"/>
        <w:rPr>
          <w:sz w:val="20"/>
          <w:szCs w:val="20"/>
          <w:color w:val="auto"/>
        </w:rPr>
      </w:pPr>
      <w:r>
        <w:rPr>
          <w:rFonts w:ascii="Times New Roman" w:cs="Times New Roman" w:eastAsia="Times New Roman" w:hAnsi="Times New Roman"/>
          <w:sz w:val="17"/>
          <w:szCs w:val="17"/>
          <w:color w:val="auto"/>
        </w:rPr>
        <w:t>We seek to protect intellectual property relating to our products and portfolio products by prosecuting patents in the United States and elsewhere. 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86" w:lineRule="exact"/>
        <w:rPr>
          <w:sz w:val="20"/>
          <w:szCs w:val="20"/>
          <w:color w:val="auto"/>
        </w:rPr>
      </w:pPr>
    </w:p>
    <w:p>
      <w:pPr>
        <w:ind w:left="740" w:hanging="365"/>
        <w:spacing w:after="0"/>
        <w:tabs>
          <w:tab w:leader="none" w:pos="7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we may not have been the first to conceive of and reduce to practice the inventions covered by each of our pending patent applications and issued patents;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hanging="365"/>
        <w:spacing w:after="0"/>
        <w:tabs>
          <w:tab w:leader="none" w:pos="7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we may not have been the first to file patent applications for these inventions;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others may independently develop similar or alternative technologies or duplicate any of our product candidates or technologies;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it is possible that none of the pending patent applications will result in issued patents;</w:t>
      </w:r>
    </w:p>
    <w:p>
      <w:pPr>
        <w:spacing w:after="0" w:line="204" w:lineRule="exact"/>
        <w:rPr>
          <w:rFonts w:ascii="Times New Roman" w:cs="Times New Roman" w:eastAsia="Times New Roman" w:hAnsi="Times New Roman"/>
          <w:sz w:val="15"/>
          <w:szCs w:val="15"/>
          <w:color w:val="auto"/>
        </w:rPr>
      </w:pPr>
    </w:p>
    <w:p>
      <w:pPr>
        <w:ind w:left="740" w:right="620" w:hanging="365"/>
        <w:spacing w:after="0" w:line="271" w:lineRule="auto"/>
        <w:tabs>
          <w:tab w:leader="none" w:pos="7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issued patents may not cover commercially viable active products, may not provide us with any competitive advantages, or may be successfully challenged by third parties;</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patents of others may have an adverse effect on our business;</w:t>
      </w:r>
    </w:p>
    <w:p>
      <w:pPr>
        <w:spacing w:after="0" w:line="204" w:lineRule="exact"/>
        <w:rPr>
          <w:rFonts w:ascii="Times New Roman" w:cs="Times New Roman" w:eastAsia="Times New Roman" w:hAnsi="Times New Roman"/>
          <w:sz w:val="15"/>
          <w:szCs w:val="15"/>
          <w:color w:val="auto"/>
        </w:rPr>
      </w:pPr>
    </w:p>
    <w:p>
      <w:pPr>
        <w:ind w:left="740" w:hanging="365"/>
        <w:spacing w:after="0" w:line="258" w:lineRule="auto"/>
        <w:tabs>
          <w:tab w:leader="none" w:pos="7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70" w:lineRule="exact"/>
        <w:rPr>
          <w:rFonts w:ascii="Times New Roman" w:cs="Times New Roman" w:eastAsia="Times New Roman" w:hAnsi="Times New Roman"/>
          <w:sz w:val="15"/>
          <w:szCs w:val="15"/>
          <w:color w:val="auto"/>
        </w:rPr>
      </w:pPr>
    </w:p>
    <w:p>
      <w:pPr>
        <w:ind w:left="740" w:right="480" w:hanging="365"/>
        <w:spacing w:after="0" w:line="258" w:lineRule="auto"/>
        <w:tabs>
          <w:tab w:leader="none" w:pos="7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70" w:lineRule="exact"/>
        <w:rPr>
          <w:rFonts w:ascii="Times New Roman" w:cs="Times New Roman" w:eastAsia="Times New Roman" w:hAnsi="Times New Roman"/>
          <w:sz w:val="15"/>
          <w:szCs w:val="15"/>
          <w:color w:val="auto"/>
        </w:rPr>
      </w:pPr>
    </w:p>
    <w:p>
      <w:pPr>
        <w:ind w:left="740" w:right="60" w:hanging="365"/>
        <w:spacing w:after="0" w:line="271" w:lineRule="auto"/>
        <w:tabs>
          <w:tab w:leader="none" w:pos="7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59" w:lineRule="exact"/>
        <w:rPr>
          <w:sz w:val="20"/>
          <w:szCs w:val="20"/>
          <w:color w:val="auto"/>
        </w:rPr>
      </w:pPr>
    </w:p>
    <w:p>
      <w:pPr>
        <w:ind w:right="100" w:firstLine="750"/>
        <w:spacing w:after="0" w:line="202" w:lineRule="exact"/>
        <w:rPr>
          <w:sz w:val="20"/>
          <w:szCs w:val="20"/>
          <w:color w:val="auto"/>
        </w:rPr>
      </w:pPr>
      <w:r>
        <w:rPr>
          <w:rFonts w:ascii="Times New Roman" w:cs="Times New Roman" w:eastAsia="Times New Roman" w:hAnsi="Times New Roman"/>
          <w:sz w:val="16"/>
          <w:szCs w:val="16"/>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82"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5"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55" w:lineRule="exact"/>
        <w:rPr>
          <w:sz w:val="20"/>
          <w:szCs w:val="20"/>
          <w:color w:val="auto"/>
        </w:rPr>
      </w:pPr>
    </w:p>
    <w:p>
      <w:pPr>
        <w:ind w:firstLine="750"/>
        <w:spacing w:after="0" w:line="202" w:lineRule="exact"/>
        <w:rPr>
          <w:sz w:val="20"/>
          <w:szCs w:val="20"/>
          <w:color w:val="auto"/>
        </w:rPr>
      </w:pPr>
      <w:r>
        <w:rPr>
          <w:rFonts w:ascii="Times New Roman" w:cs="Times New Roman" w:eastAsia="Times New Roman" w:hAnsi="Times New Roman"/>
          <w:sz w:val="17"/>
          <w:szCs w:val="17"/>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patent agencies for the patents and patent applications we own and those that we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86" w:lineRule="exact"/>
        <w:rPr>
          <w:sz w:val="20"/>
          <w:szCs w:val="20"/>
          <w:color w:val="auto"/>
        </w:rPr>
      </w:pPr>
    </w:p>
    <w:p>
      <w:pPr>
        <w:ind w:right="8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55" w:lineRule="exact"/>
        <w:rPr>
          <w:sz w:val="20"/>
          <w:szCs w:val="20"/>
          <w:color w:val="auto"/>
        </w:rPr>
      </w:pPr>
    </w:p>
    <w:p>
      <w:pPr>
        <w:ind w:right="20" w:firstLine="750"/>
        <w:spacing w:after="0" w:line="248" w:lineRule="auto"/>
        <w:rPr>
          <w:sz w:val="20"/>
          <w:szCs w:val="20"/>
          <w:color w:val="auto"/>
        </w:rPr>
      </w:pPr>
      <w:r>
        <w:rPr>
          <w:rFonts w:ascii="Times New Roman" w:cs="Times New Roman" w:eastAsia="Times New Roman" w:hAnsi="Times New Roman"/>
          <w:sz w:val="17"/>
          <w:szCs w:val="17"/>
          <w:color w:val="auto"/>
        </w:rPr>
        <w:t>Our ability to develop, manufacture, market, and sell any of our current and future products depends upon our ability to avoid infringing the proprietary rights of third parties, and our commercial success depends upon our ability, and the ability of our collaborators, to develop, manufacture, market, and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If a third-party claims that we infringe their intellectual property rights, we could face a number of issues, including:</w:t>
      </w:r>
    </w:p>
    <w:p>
      <w:pPr>
        <w:spacing w:after="0" w:line="205" w:lineRule="exact"/>
        <w:rPr>
          <w:sz w:val="20"/>
          <w:szCs w:val="20"/>
          <w:color w:val="auto"/>
        </w:rPr>
      </w:pPr>
    </w:p>
    <w:p>
      <w:pPr>
        <w:ind w:left="740" w:right="500" w:hanging="365"/>
        <w:spacing w:after="0" w:line="271" w:lineRule="auto"/>
        <w:tabs>
          <w:tab w:leader="none" w:pos="7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substantial damages for past infringement which we may have to pay if a court decides that our product infringes on a competitor’s patent;</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 court prohibiting us from selling or licensing our product unless the patent holder licenses the patent to us, which it would not be required to do;</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if a license is available from a patent holder, we may have to pay substantial royalties or grant cross licenses to our patents; and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hanging="365"/>
        <w:spacing w:after="0"/>
        <w:tabs>
          <w:tab w:leader="none" w:pos="7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redesigning our products and processes so they do not infringe, which may not be possible or could require substantial funds and time.</w:t>
      </w:r>
    </w:p>
    <w:p>
      <w:pPr>
        <w:spacing w:after="0" w:line="205" w:lineRule="exact"/>
        <w:rPr>
          <w:sz w:val="20"/>
          <w:szCs w:val="20"/>
          <w:color w:val="auto"/>
        </w:rPr>
      </w:pPr>
    </w:p>
    <w:p>
      <w:pPr>
        <w:ind w:firstLine="750"/>
        <w:spacing w:after="0" w:line="202" w:lineRule="exact"/>
        <w:rPr>
          <w:sz w:val="20"/>
          <w:szCs w:val="20"/>
          <w:color w:val="auto"/>
        </w:rPr>
      </w:pPr>
      <w:r>
        <w:rPr>
          <w:rFonts w:ascii="Times New Roman" w:cs="Times New Roman" w:eastAsia="Times New Roman" w:hAnsi="Times New Roman"/>
          <w:sz w:val="17"/>
          <w:szCs w:val="17"/>
          <w:color w:val="auto"/>
        </w:rPr>
        <w:t>If we are found to infringe a third-party’s intellectual property rights, we could be required to obtain a license from such third-party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involved in lawsuits to protect or enforce our patents or the patents of our licensors, which could be expensive, time consuming, and unsuccessful.</w:t>
      </w:r>
    </w:p>
    <w:p>
      <w:pPr>
        <w:spacing w:after="0" w:line="209" w:lineRule="exact"/>
        <w:rPr>
          <w:sz w:val="20"/>
          <w:szCs w:val="20"/>
          <w:color w:val="auto"/>
        </w:rPr>
      </w:pPr>
    </w:p>
    <w:p>
      <w:pPr>
        <w:ind w:right="20" w:firstLine="750"/>
        <w:spacing w:after="0" w:line="249" w:lineRule="auto"/>
        <w:rPr>
          <w:sz w:val="20"/>
          <w:szCs w:val="20"/>
          <w:color w:val="auto"/>
        </w:rPr>
      </w:pPr>
      <w:r>
        <w:rPr>
          <w:rFonts w:ascii="Times New Roman" w:cs="Times New Roman" w:eastAsia="Times New Roman" w:hAnsi="Times New Roman"/>
          <w:sz w:val="17"/>
          <w:szCs w:val="17"/>
          <w:color w:val="auto"/>
        </w:rPr>
        <w:t>Competitors may infringe our issued patents, our in-licensed patents, or other intellectual property that we own or in-license. Under the terms of our license agreements with Antecip, if we believe a third-party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7" w:lineRule="exact"/>
        <w:rPr>
          <w:sz w:val="20"/>
          <w:szCs w:val="20"/>
          <w:color w:val="auto"/>
        </w:rPr>
      </w:pPr>
    </w:p>
    <w:p>
      <w:pPr>
        <w:jc w:val="both"/>
        <w:ind w:right="60" w:firstLine="750"/>
        <w:spacing w:after="0" w:line="254" w:lineRule="auto"/>
        <w:rPr>
          <w:sz w:val="20"/>
          <w:szCs w:val="20"/>
          <w:color w:val="auto"/>
        </w:rPr>
      </w:pPr>
      <w:r>
        <w:rPr>
          <w:rFonts w:ascii="Times New Roman" w:cs="Times New Roman" w:eastAsia="Times New Roman" w:hAnsi="Times New Roman"/>
          <w:sz w:val="17"/>
          <w:szCs w:val="17"/>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products to market.</w:t>
      </w:r>
    </w:p>
    <w:p>
      <w:pPr>
        <w:spacing w:after="0" w:line="169"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55"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63" w:lineRule="auto"/>
        <w:rPr>
          <w:sz w:val="20"/>
          <w:szCs w:val="20"/>
          <w:color w:val="auto"/>
        </w:rPr>
      </w:pPr>
      <w:r>
        <w:rPr>
          <w:rFonts w:ascii="Times New Roman" w:cs="Times New Roman" w:eastAsia="Times New Roman" w:hAnsi="Times New Roman"/>
          <w:sz w:val="16"/>
          <w:szCs w:val="16"/>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76" w:lineRule="exact"/>
        <w:rPr>
          <w:sz w:val="20"/>
          <w:szCs w:val="20"/>
          <w:color w:val="auto"/>
        </w:rPr>
      </w:pPr>
    </w:p>
    <w:p>
      <w:pPr>
        <w:ind w:firstLine="750"/>
        <w:spacing w:after="0" w:line="201" w:lineRule="exact"/>
        <w:rPr>
          <w:sz w:val="20"/>
          <w:szCs w:val="20"/>
          <w:color w:val="auto"/>
        </w:rPr>
      </w:pPr>
      <w:r>
        <w:rPr>
          <w:rFonts w:ascii="Times New Roman" w:cs="Times New Roman" w:eastAsia="Times New Roman" w:hAnsi="Times New Roman"/>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192" w:lineRule="exact"/>
        <w:rPr>
          <w:sz w:val="20"/>
          <w:szCs w:val="20"/>
          <w:color w:val="auto"/>
        </w:rPr>
      </w:pPr>
    </w:p>
    <w:p>
      <w:pPr>
        <w:ind w:right="80" w:firstLine="750"/>
        <w:spacing w:after="0" w:line="271" w:lineRule="auto"/>
        <w:rPr>
          <w:sz w:val="20"/>
          <w:szCs w:val="20"/>
          <w:color w:val="auto"/>
        </w:rPr>
      </w:pPr>
      <w:r>
        <w:rPr>
          <w:rFonts w:ascii="Times New Roman" w:cs="Times New Roman" w:eastAsia="Times New Roman" w:hAnsi="Times New Roman"/>
          <w:sz w:val="16"/>
          <w:szCs w:val="16"/>
          <w:color w:val="auto"/>
        </w:rPr>
        <w:t>In connection with the acquisition of Sunosi, in addition to the upfront purchase price, we assumed certain liabilities in connection with the acquisition and agreed to make non-refundable, non-creditable royalty payments to Jazz Pharmaceuticals on U.S. net sales. There are no royalty payments due to Jazz Pharmaceuticals for net sales outside of the U.S. In addition, we assumed all of the commitments of Jazz Pharmaceuticals to SK Biopharmaceuticals Co., Ltd. ("SK") and Aerial Biopharma, LLC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55" w:lineRule="exact"/>
        <w:rPr>
          <w:sz w:val="20"/>
          <w:szCs w:val="20"/>
          <w:color w:val="auto"/>
        </w:rPr>
      </w:pPr>
    </w:p>
    <w:p>
      <w:pPr>
        <w:ind w:right="200" w:firstLine="750"/>
        <w:spacing w:after="0" w:line="252" w:lineRule="auto"/>
        <w:rPr>
          <w:sz w:val="20"/>
          <w:szCs w:val="20"/>
          <w:color w:val="auto"/>
        </w:rPr>
      </w:pPr>
      <w:r>
        <w:rPr>
          <w:rFonts w:ascii="Times New Roman" w:cs="Times New Roman" w:eastAsia="Times New Roman" w:hAnsi="Times New Roman"/>
          <w:sz w:val="17"/>
          <w:szCs w:val="17"/>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adequately prevent disclosure of trade secrets and other proprietary information.</w:t>
      </w:r>
    </w:p>
    <w:p>
      <w:pPr>
        <w:spacing w:after="0" w:line="183" w:lineRule="exact"/>
        <w:rPr>
          <w:sz w:val="20"/>
          <w:szCs w:val="20"/>
          <w:color w:val="auto"/>
        </w:rPr>
      </w:pPr>
    </w:p>
    <w:p>
      <w:pPr>
        <w:ind w:firstLine="750"/>
        <w:spacing w:after="0" w:line="204" w:lineRule="exact"/>
        <w:rPr>
          <w:sz w:val="20"/>
          <w:szCs w:val="20"/>
          <w:color w:val="auto"/>
        </w:rPr>
      </w:pPr>
      <w:r>
        <w:rPr>
          <w:rFonts w:ascii="Times New Roman" w:cs="Times New Roman" w:eastAsia="Times New Roman" w:hAnsi="Times New Roman"/>
          <w:sz w:val="17"/>
          <w:szCs w:val="17"/>
          <w:color w:val="auto"/>
        </w:rPr>
        <w:t>We rely on trade secrets to protect our proprietary technological advances and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or our licensors may not be able to protect our intellectual property rights throughout the world.</w:t>
      </w:r>
    </w:p>
    <w:p>
      <w:pPr>
        <w:spacing w:after="0" w:line="209" w:lineRule="exact"/>
        <w:rPr>
          <w:sz w:val="20"/>
          <w:szCs w:val="20"/>
          <w:color w:val="auto"/>
        </w:rPr>
      </w:pPr>
    </w:p>
    <w:p>
      <w:pPr>
        <w:ind w:right="120" w:firstLine="750"/>
        <w:spacing w:after="0" w:line="249" w:lineRule="auto"/>
        <w:rPr>
          <w:sz w:val="20"/>
          <w:szCs w:val="20"/>
          <w:color w:val="auto"/>
        </w:rPr>
      </w:pPr>
      <w:r>
        <w:rPr>
          <w:rFonts w:ascii="Times New Roman" w:cs="Times New Roman" w:eastAsia="Times New Roman" w:hAnsi="Times New Roman"/>
          <w:sz w:val="17"/>
          <w:szCs w:val="17"/>
          <w:color w:val="auto"/>
        </w:rPr>
        <w:t>Filing, prosecuting,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79"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AND COMPLIANCE MATTERS</w:t>
      </w:r>
    </w:p>
    <w:p>
      <w:pPr>
        <w:spacing w:after="0" w:line="20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32" w:lineRule="exact"/>
        <w:rPr>
          <w:sz w:val="20"/>
          <w:szCs w:val="20"/>
          <w:color w:val="auto"/>
        </w:rPr>
      </w:pPr>
    </w:p>
    <w:p>
      <w:pPr>
        <w:ind w:right="40" w:firstLine="750"/>
        <w:spacing w:after="0" w:line="202" w:lineRule="exact"/>
        <w:rPr>
          <w:sz w:val="20"/>
          <w:szCs w:val="20"/>
          <w:color w:val="auto"/>
        </w:rPr>
      </w:pPr>
      <w:r>
        <w:rPr>
          <w:rFonts w:ascii="Times New Roman" w:cs="Times New Roman" w:eastAsia="Times New Roman" w:hAnsi="Times New Roman"/>
          <w:sz w:val="17"/>
          <w:szCs w:val="17"/>
          <w:color w:val="auto"/>
        </w:rPr>
        <w:t>As a pharmaceutical company, we are subject to many federal and state healthcare laws, including those described in the “Business—Government Regulation and Product Approval” section of the filed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such as the federal Anti-Kickback Statute, the federal civil and criminal False Claims Act, the civil monetary penalties 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are subject to healthcare fraud and abuse laws by both the federal government and the states in which we conduct our business.</w:t>
      </w:r>
    </w:p>
    <w:p>
      <w:pPr>
        <w:spacing w:after="0" w:line="187"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enacted legislation – the California Consumer Privacy Act, or CCPA – which went into effect in January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179" w:lineRule="exact"/>
        <w:rPr>
          <w:sz w:val="20"/>
          <w:szCs w:val="20"/>
          <w:color w:val="auto"/>
        </w:rPr>
      </w:pPr>
    </w:p>
    <w:p>
      <w:pPr>
        <w:ind w:right="20" w:firstLine="750"/>
        <w:spacing w:after="0" w:line="264" w:lineRule="auto"/>
        <w:rPr>
          <w:sz w:val="20"/>
          <w:szCs w:val="20"/>
          <w:color w:val="auto"/>
        </w:rPr>
      </w:pPr>
      <w:r>
        <w:rPr>
          <w:rFonts w:ascii="Times New Roman" w:cs="Times New Roman" w:eastAsia="Times New Roman" w:hAnsi="Times New Roman"/>
          <w:sz w:val="16"/>
          <w:szCs w:val="16"/>
          <w:color w:val="auto"/>
        </w:rPr>
        <w:t>In addition, 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60" w:firstLine="750"/>
        <w:spacing w:after="0" w:line="250" w:lineRule="auto"/>
        <w:rPr>
          <w:sz w:val="20"/>
          <w:szCs w:val="20"/>
          <w:color w:val="auto"/>
        </w:rPr>
      </w:pPr>
      <w:r>
        <w:rPr>
          <w:rFonts w:ascii="Times New Roman" w:cs="Times New Roman" w:eastAsia="Times New Roman" w:hAnsi="Times New Roman"/>
          <w:sz w:val="17"/>
          <w:szCs w:val="17"/>
          <w:color w:val="auto"/>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76" w:lineRule="exact"/>
        <w:rPr>
          <w:sz w:val="20"/>
          <w:szCs w:val="20"/>
          <w:color w:val="auto"/>
        </w:rPr>
      </w:pPr>
    </w:p>
    <w:p>
      <w:pPr>
        <w:ind w:right="160" w:firstLine="750"/>
        <w:spacing w:after="0" w:line="254" w:lineRule="auto"/>
        <w:rPr>
          <w:sz w:val="20"/>
          <w:szCs w:val="20"/>
          <w:color w:val="auto"/>
        </w:rPr>
      </w:pPr>
      <w:r>
        <w:rPr>
          <w:rFonts w:ascii="Times New Roman" w:cs="Times New Roman" w:eastAsia="Times New Roman" w:hAnsi="Times New Roman"/>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67"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7"/>
          <w:szCs w:val="17"/>
          <w:color w:val="auto"/>
        </w:rPr>
        <w:t>In both domestic and foreign markets, sales of our products depends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63" w:lineRule="auto"/>
        <w:rPr>
          <w:sz w:val="20"/>
          <w:szCs w:val="20"/>
          <w:color w:val="auto"/>
        </w:rPr>
      </w:pPr>
      <w:r>
        <w:rPr>
          <w:rFonts w:ascii="Times New Roman" w:cs="Times New Roman" w:eastAsia="Times New Roman" w:hAnsi="Times New Roman"/>
          <w:sz w:val="16"/>
          <w:szCs w:val="16"/>
          <w:color w:val="auto"/>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174" w:lineRule="exact"/>
        <w:rPr>
          <w:sz w:val="20"/>
          <w:szCs w:val="20"/>
          <w:color w:val="auto"/>
        </w:rPr>
      </w:pPr>
    </w:p>
    <w:p>
      <w:pPr>
        <w:ind w:right="120" w:firstLine="750"/>
        <w:spacing w:after="0" w:line="250" w:lineRule="auto"/>
        <w:rPr>
          <w:sz w:val="20"/>
          <w:szCs w:val="20"/>
          <w:color w:val="auto"/>
        </w:rPr>
      </w:pPr>
      <w:r>
        <w:rPr>
          <w:rFonts w:ascii="Times New Roman" w:cs="Times New Roman" w:eastAsia="Times New Roman" w:hAnsi="Times New Roman"/>
          <w:sz w:val="17"/>
          <w:szCs w:val="17"/>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80" w:firstLine="750"/>
        <w:spacing w:after="0" w:line="250" w:lineRule="auto"/>
        <w:rPr>
          <w:sz w:val="20"/>
          <w:szCs w:val="20"/>
          <w:color w:val="auto"/>
        </w:rPr>
      </w:pPr>
      <w:r>
        <w:rPr>
          <w:rFonts w:ascii="Times New Roman" w:cs="Times New Roman" w:eastAsia="Times New Roman" w:hAnsi="Times New Roman"/>
          <w:sz w:val="17"/>
          <w:szCs w:val="17"/>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our products to the satisfaction of hospitals and other target customers and their third-party payors. Such studies might require us to commit a significant amount of management time and financial and other resources. Our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176"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77" w:lineRule="exact"/>
        <w:rPr>
          <w:sz w:val="20"/>
          <w:szCs w:val="20"/>
          <w:color w:val="auto"/>
        </w:rPr>
      </w:pPr>
    </w:p>
    <w:p>
      <w:pPr>
        <w:ind w:right="60" w:firstLine="750"/>
        <w:spacing w:after="0" w:line="250" w:lineRule="auto"/>
        <w:rPr>
          <w:sz w:val="20"/>
          <w:szCs w:val="20"/>
          <w:color w:val="auto"/>
        </w:rPr>
      </w:pPr>
      <w:r>
        <w:rPr>
          <w:rFonts w:ascii="Times New Roman" w:cs="Times New Roman" w:eastAsia="Times New Roman" w:hAnsi="Times New Roman"/>
          <w:sz w:val="17"/>
          <w:szCs w:val="17"/>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0"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0" w:lineRule="exact"/>
        <w:rPr>
          <w:sz w:val="20"/>
          <w:szCs w:val="20"/>
          <w:color w:val="auto"/>
        </w:rPr>
      </w:pPr>
    </w:p>
    <w:p>
      <w:pPr>
        <w:ind w:firstLine="750"/>
        <w:spacing w:after="0" w:line="269" w:lineRule="auto"/>
        <w:rPr>
          <w:sz w:val="20"/>
          <w:szCs w:val="20"/>
          <w:color w:val="auto"/>
        </w:rPr>
      </w:pPr>
      <w:r>
        <w:rPr>
          <w:rFonts w:ascii="Times New Roman" w:cs="Times New Roman" w:eastAsia="Times New Roman" w:hAnsi="Times New Roman"/>
          <w:sz w:val="16"/>
          <w:szCs w:val="16"/>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5" w:lineRule="exact"/>
        <w:rPr>
          <w:sz w:val="20"/>
          <w:szCs w:val="20"/>
          <w:color w:val="auto"/>
        </w:rPr>
      </w:pPr>
    </w:p>
    <w:p>
      <w:pPr>
        <w:ind w:right="20" w:firstLine="750"/>
        <w:spacing w:after="0" w:line="204" w:lineRule="exact"/>
        <w:rPr>
          <w:sz w:val="20"/>
          <w:szCs w:val="20"/>
          <w:color w:val="auto"/>
        </w:rPr>
      </w:pPr>
      <w:r>
        <w:rPr>
          <w:rFonts w:ascii="Times New Roman" w:cs="Times New Roman" w:eastAsia="Times New Roman" w:hAnsi="Times New Roman"/>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85" w:lineRule="exact"/>
        <w:rPr>
          <w:sz w:val="20"/>
          <w:szCs w:val="20"/>
          <w:color w:val="auto"/>
        </w:rPr>
      </w:pPr>
    </w:p>
    <w:p>
      <w:pPr>
        <w:ind w:right="20" w:firstLine="750"/>
        <w:spacing w:after="0" w:line="258" w:lineRule="auto"/>
        <w:rPr>
          <w:sz w:val="20"/>
          <w:szCs w:val="20"/>
          <w:color w:val="auto"/>
        </w:rPr>
      </w:pPr>
      <w:r>
        <w:rPr>
          <w:rFonts w:ascii="Times New Roman" w:cs="Times New Roman" w:eastAsia="Times New Roman" w:hAnsi="Times New Roman"/>
          <w:sz w:val="17"/>
          <w:szCs w:val="17"/>
          <w:color w:val="auto"/>
        </w:rPr>
        <w:t>For example, there have been numerous attempts by Congress and the former Trump Administration, through legislation and executive orders, to repeal or materially modify various aspects of ACA. In addition, there have been multiple lawsuits challenging the constitutionality of the ACA as well as various components of the ACA. After proceeding through more recent appellate challenges, in June 2021, the Supreme Court upheld the ACA.</w:t>
      </w:r>
    </w:p>
    <w:p>
      <w:pPr>
        <w:spacing w:after="0" w:line="170" w:lineRule="exact"/>
        <w:rPr>
          <w:sz w:val="20"/>
          <w:szCs w:val="20"/>
          <w:color w:val="auto"/>
        </w:rPr>
      </w:pPr>
    </w:p>
    <w:p>
      <w:pPr>
        <w:ind w:right="60" w:firstLine="750"/>
        <w:spacing w:after="0" w:line="249" w:lineRule="auto"/>
        <w:rPr>
          <w:sz w:val="20"/>
          <w:szCs w:val="20"/>
          <w:color w:val="auto"/>
        </w:rPr>
      </w:pPr>
      <w:r>
        <w:rPr>
          <w:rFonts w:ascii="Times New Roman" w:cs="Times New Roman" w:eastAsia="Times New Roman" w:hAnsi="Times New Roman"/>
          <w:sz w:val="17"/>
          <w:szCs w:val="17"/>
          <w:color w:val="auto"/>
        </w:rPr>
        <w:t>It is unclear how regulations and sub-regulatory policy, which fluctuate continually, may affect interpretation and further implementation of the ACA and its practical effects on our business. 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 Furthermore, we anticipate that the Biden Administration will issue a number of Executive Orders, which may alter the policies of the previous administration. Additionally, certain agency rules and policy statements of the prior four years may be rescinded. Further, the Biden Administration may propose substantial changes to the U.S. healthcare system, including expanding government-funded health insurance options. We are uncertain of the impact or outcome of these potential Executive Orders, rescission of rules and policy statements, or new legislation, especially any relative impact on the healthcare regulatory and policy landscape, or the impact they may have on our business.</w:t>
      </w:r>
    </w:p>
    <w:p>
      <w:pPr>
        <w:spacing w:after="0" w:line="177" w:lineRule="exact"/>
        <w:rPr>
          <w:sz w:val="20"/>
          <w:szCs w:val="20"/>
          <w:color w:val="auto"/>
        </w:rPr>
      </w:pPr>
    </w:p>
    <w:p>
      <w:pPr>
        <w:ind w:firstLine="750"/>
        <w:spacing w:after="0" w:line="247" w:lineRule="auto"/>
        <w:rPr>
          <w:sz w:val="20"/>
          <w:szCs w:val="20"/>
          <w:color w:val="auto"/>
        </w:rPr>
      </w:pPr>
      <w:r>
        <w:rPr>
          <w:rFonts w:ascii="Times New Roman" w:cs="Times New Roman" w:eastAsia="Times New Roman" w:hAnsi="Times New Roman"/>
          <w:sz w:val="17"/>
          <w:szCs w:val="17"/>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with the change in administration it is possible that President Biden may issue Executive Orders with the potential to change a number of prior executive branch actions on drug pricing. We continue to monitor the potential impact of proposals and recently enacted legislation to lower prescription drug costs at the federal and state level. For example, the Inflation Reduction Act, or the IRA, was recently signed into law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60" w:firstLine="750"/>
        <w:spacing w:after="0" w:line="252" w:lineRule="auto"/>
        <w:rPr>
          <w:sz w:val="20"/>
          <w:szCs w:val="20"/>
          <w:color w:val="auto"/>
        </w:rPr>
      </w:pPr>
      <w:r>
        <w:rPr>
          <w:rFonts w:ascii="Times New Roman" w:cs="Times New Roman" w:eastAsia="Times New Roman" w:hAnsi="Times New Roman"/>
          <w:sz w:val="17"/>
          <w:szCs w:val="17"/>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5" w:lineRule="exact"/>
        <w:rPr>
          <w:sz w:val="20"/>
          <w:szCs w:val="20"/>
          <w:color w:val="auto"/>
        </w:rPr>
      </w:pPr>
    </w:p>
    <w:p>
      <w:pPr>
        <w:ind w:firstLine="750"/>
        <w:spacing w:after="0" w:line="265" w:lineRule="auto"/>
        <w:rPr>
          <w:sz w:val="20"/>
          <w:szCs w:val="20"/>
          <w:color w:val="auto"/>
        </w:rPr>
      </w:pPr>
      <w:r>
        <w:rPr>
          <w:rFonts w:ascii="Times New Roman" w:cs="Times New Roman" w:eastAsia="Times New Roman" w:hAnsi="Times New Roman"/>
          <w:sz w:val="16"/>
          <w:szCs w:val="16"/>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it would permit certain exemptions and exclusions, and enforcement discretion on certain aspects due to the COVID-19 pandemic, although this situation may continue to evolve. The distribution of product samples continues to be regulated under the PDMA, and some states also impose regulations on drug sample distribution.</w:t>
      </w:r>
    </w:p>
    <w:p>
      <w:pPr>
        <w:spacing w:after="0" w:line="171" w:lineRule="exact"/>
        <w:rPr>
          <w:sz w:val="20"/>
          <w:szCs w:val="20"/>
          <w:color w:val="auto"/>
        </w:rPr>
      </w:pPr>
    </w:p>
    <w:p>
      <w:pPr>
        <w:jc w:val="both"/>
        <w:ind w:right="120" w:firstLine="750"/>
        <w:spacing w:after="0" w:line="258" w:lineRule="auto"/>
        <w:rPr>
          <w:sz w:val="20"/>
          <w:szCs w:val="20"/>
          <w:color w:val="auto"/>
        </w:rPr>
      </w:pPr>
      <w:r>
        <w:rPr>
          <w:rFonts w:ascii="Times New Roman" w:cs="Times New Roman" w:eastAsia="Times New Roman" w:hAnsi="Times New Roman"/>
          <w:sz w:val="17"/>
          <w:szCs w:val="17"/>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Governments outside the United States tend to impose strict price controls, which may adversely affect our revenues, if any.</w:t>
      </w:r>
    </w:p>
    <w:p>
      <w:pPr>
        <w:spacing w:after="0" w:line="209" w:lineRule="exact"/>
        <w:rPr>
          <w:sz w:val="20"/>
          <w:szCs w:val="20"/>
          <w:color w:val="auto"/>
        </w:rPr>
      </w:pPr>
    </w:p>
    <w:p>
      <w:pPr>
        <w:ind w:firstLine="750"/>
        <w:spacing w:after="0" w:line="203" w:lineRule="exact"/>
        <w:rPr>
          <w:sz w:val="20"/>
          <w:szCs w:val="20"/>
          <w:color w:val="auto"/>
        </w:rPr>
      </w:pPr>
      <w:r>
        <w:rPr>
          <w:rFonts w:ascii="Times New Roman" w:cs="Times New Roman" w:eastAsia="Times New Roman" w:hAnsi="Times New Roman"/>
          <w:sz w:val="16"/>
          <w:szCs w:val="16"/>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effectiveness of our product candidate to other available therapies. There can be no assurance that our products will be considered cost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effective by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that an adequate level of reimbursement will be available, or that the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81" w:lineRule="exact"/>
        <w:rPr>
          <w:sz w:val="20"/>
          <w:szCs w:val="20"/>
          <w:color w:val="auto"/>
        </w:rPr>
      </w:pPr>
    </w:p>
    <w:p>
      <w:pPr>
        <w:ind w:right="66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55" w:lineRule="exact"/>
        <w:rPr>
          <w:sz w:val="20"/>
          <w:szCs w:val="20"/>
          <w:color w:val="auto"/>
        </w:rPr>
      </w:pPr>
    </w:p>
    <w:p>
      <w:pPr>
        <w:ind w:right="20" w:firstLine="750"/>
        <w:spacing w:after="0" w:line="248"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54" w:lineRule="exact"/>
        <w:rPr>
          <w:sz w:val="20"/>
          <w:szCs w:val="20"/>
          <w:color w:val="auto"/>
        </w:rPr>
      </w:pPr>
    </w:p>
    <w:p>
      <w:pPr>
        <w:ind w:right="800"/>
        <w:spacing w:after="0" w:line="221" w:lineRule="exact"/>
        <w:rPr>
          <w:sz w:val="20"/>
          <w:szCs w:val="20"/>
          <w:color w:val="auto"/>
        </w:rPr>
      </w:pPr>
      <w:r>
        <w:rPr>
          <w:rFonts w:ascii="Times New Roman" w:cs="Times New Roman" w:eastAsia="Times New Roman" w:hAnsi="Times New Roman"/>
          <w:sz w:val="17"/>
          <w:szCs w:val="17"/>
          <w:b w:val="1"/>
          <w:bCs w:val="1"/>
          <w:i w:val="1"/>
          <w:iCs w:val="1"/>
          <w:color w:val="auto"/>
        </w:rPr>
        <w:t>Our third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-207645</wp:posOffset>
            </wp:positionV>
            <wp:extent cx="60960"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960" cy="38100"/>
                    </a:xfrm>
                    <a:prstGeom prst="rect">
                      <a:avLst/>
                    </a:prstGeom>
                    <a:noFill/>
                  </pic:spPr>
                </pic:pic>
              </a:graphicData>
            </a:graphic>
          </wp:anchor>
        </w:drawing>
      </w:r>
    </w:p>
    <w:p>
      <w:pPr>
        <w:spacing w:after="0" w:line="165" w:lineRule="exact"/>
        <w:rPr>
          <w:sz w:val="20"/>
          <w:szCs w:val="20"/>
          <w:color w:val="auto"/>
        </w:rPr>
      </w:pPr>
    </w:p>
    <w:p>
      <w:pPr>
        <w:ind w:right="40" w:firstLine="750"/>
        <w:spacing w:after="0" w:line="203" w:lineRule="exact"/>
        <w:rPr>
          <w:sz w:val="20"/>
          <w:szCs w:val="20"/>
          <w:color w:val="auto"/>
        </w:rPr>
      </w:pPr>
      <w:r>
        <w:rPr>
          <w:rFonts w:ascii="Times New Roman" w:cs="Times New Roman" w:eastAsia="Times New Roman" w:hAnsi="Times New Roman"/>
          <w:sz w:val="16"/>
          <w:szCs w:val="16"/>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85" w:lineRule="exact"/>
        <w:rPr>
          <w:sz w:val="20"/>
          <w:szCs w:val="20"/>
          <w:color w:val="auto"/>
        </w:rPr>
      </w:pPr>
    </w:p>
    <w:p>
      <w:pPr>
        <w:ind w:right="40" w:firstLine="750"/>
        <w:spacing w:after="0" w:line="258"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0" w:firstLine="750"/>
        <w:spacing w:after="0" w:line="258" w:lineRule="auto"/>
        <w:rPr>
          <w:sz w:val="20"/>
          <w:szCs w:val="20"/>
          <w:color w:val="auto"/>
        </w:rPr>
      </w:pPr>
      <w:r>
        <w:rPr>
          <w:rFonts w:ascii="Times New Roman" w:cs="Times New Roman" w:eastAsia="Times New Roman" w:hAnsi="Times New Roman"/>
          <w:sz w:val="17"/>
          <w:szCs w:val="17"/>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OPERATIONS</w:t>
      </w:r>
    </w:p>
    <w:p>
      <w:pPr>
        <w:spacing w:after="0" w:line="205"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29" w:lineRule="exact"/>
        <w:rPr>
          <w:sz w:val="20"/>
          <w:szCs w:val="20"/>
          <w:color w:val="auto"/>
        </w:rPr>
      </w:pPr>
    </w:p>
    <w:p>
      <w:pPr>
        <w:ind w:right="160" w:firstLine="750"/>
        <w:spacing w:after="0" w:line="207" w:lineRule="exact"/>
        <w:rPr>
          <w:sz w:val="20"/>
          <w:szCs w:val="20"/>
          <w:color w:val="auto"/>
        </w:rPr>
      </w:pPr>
      <w:r>
        <w:rPr>
          <w:rFonts w:ascii="Times New Roman" w:cs="Times New Roman" w:eastAsia="Times New Roman" w:hAnsi="Times New Roman"/>
          <w:sz w:val="17"/>
          <w:szCs w:val="17"/>
          <w:color w:val="auto"/>
        </w:rPr>
        <w:t>As of December 31, 2022, we had 373 full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186" w:lineRule="exact"/>
        <w:rPr>
          <w:sz w:val="20"/>
          <w:szCs w:val="20"/>
          <w:color w:val="auto"/>
        </w:rPr>
      </w:pPr>
    </w:p>
    <w:p>
      <w:pPr>
        <w:ind w:left="740" w:hanging="365"/>
        <w:spacing w:after="0" w:line="271" w:lineRule="auto"/>
        <w:tabs>
          <w:tab w:leader="none" w:pos="7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59" w:lineRule="exact"/>
        <w:rPr>
          <w:rFonts w:ascii="Times New Roman" w:cs="Times New Roman" w:eastAsia="Times New Roman" w:hAnsi="Times New Roman"/>
          <w:sz w:val="15"/>
          <w:szCs w:val="15"/>
          <w:color w:val="auto"/>
        </w:rPr>
      </w:pPr>
    </w:p>
    <w:p>
      <w:pPr>
        <w:ind w:left="740" w:right="200" w:hanging="365"/>
        <w:spacing w:after="0" w:line="271" w:lineRule="auto"/>
        <w:tabs>
          <w:tab w:leader="none" w:pos="7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ensure that our consultants and other service providers successfully carry out their contractual obligations, provide high quality results, and meet expected deadlines;</w:t>
      </w:r>
    </w:p>
    <w:p>
      <w:pPr>
        <w:spacing w:after="0" w:line="159"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continue to carry out our own contractual obligations to our licensors and other third parties; and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continue to improve our operational, financial, and management controls, reporting systems, and procedures.</w:t>
      </w:r>
    </w:p>
    <w:p>
      <w:pPr>
        <w:spacing w:after="0" w:line="204" w:lineRule="exact"/>
        <w:rPr>
          <w:rFonts w:ascii="Times New Roman" w:cs="Times New Roman" w:eastAsia="Times New Roman" w:hAnsi="Times New Roman"/>
          <w:sz w:val="15"/>
          <w:szCs w:val="15"/>
          <w:color w:val="auto"/>
        </w:rPr>
      </w:pPr>
    </w:p>
    <w:p>
      <w:pPr>
        <w:ind w:left="7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We may be unable to successfully implement these tasks on a larger scale and, accordingly, may not achieve our development and commercialization goals.</w:t>
      </w:r>
    </w:p>
    <w:p>
      <w:pPr>
        <w:spacing w:after="0" w:line="21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55" w:lineRule="exact"/>
        <w:rPr>
          <w:sz w:val="20"/>
          <w:szCs w:val="20"/>
          <w:color w:val="auto"/>
        </w:rPr>
      </w:pPr>
    </w:p>
    <w:p>
      <w:pPr>
        <w:ind w:right="40" w:firstLine="750"/>
        <w:spacing w:after="0" w:line="250" w:lineRule="auto"/>
        <w:rPr>
          <w:sz w:val="20"/>
          <w:szCs w:val="20"/>
          <w:color w:val="auto"/>
        </w:rPr>
      </w:pPr>
      <w:r>
        <w:rPr>
          <w:rFonts w:ascii="Times New Roman" w:cs="Times New Roman" w:eastAsia="Times New Roman" w:hAnsi="Times New Roman"/>
          <w:sz w:val="17"/>
          <w:szCs w:val="17"/>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acquire businesses or products, or form strategic alliances in the future, and we may not realize the benefits of such acquisitions or alliances.</w:t>
      </w:r>
    </w:p>
    <w:p>
      <w:pPr>
        <w:spacing w:after="0" w:line="209" w:lineRule="exact"/>
        <w:rPr>
          <w:sz w:val="20"/>
          <w:szCs w:val="20"/>
          <w:color w:val="auto"/>
        </w:rPr>
      </w:pPr>
    </w:p>
    <w:p>
      <w:pPr>
        <w:ind w:right="100" w:firstLine="750"/>
        <w:spacing w:after="0" w:line="252" w:lineRule="auto"/>
        <w:rPr>
          <w:sz w:val="20"/>
          <w:szCs w:val="20"/>
          <w:color w:val="auto"/>
        </w:rPr>
      </w:pPr>
      <w:r>
        <w:rPr>
          <w:rFonts w:ascii="Times New Roman" w:cs="Times New Roman" w:eastAsia="Times New Roman" w:hAnsi="Times New Roman"/>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manage our business effectively if we are unable to attract and retain key personnel.</w:t>
      </w:r>
    </w:p>
    <w:p>
      <w:pPr>
        <w:spacing w:after="0" w:line="209"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75"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55" w:lineRule="exact"/>
        <w:rPr>
          <w:sz w:val="20"/>
          <w:szCs w:val="20"/>
          <w:color w:val="auto"/>
        </w:rPr>
      </w:pPr>
    </w:p>
    <w:p>
      <w:pPr>
        <w:ind w:right="260" w:firstLine="750"/>
        <w:spacing w:after="0" w:line="252" w:lineRule="auto"/>
        <w:rPr>
          <w:sz w:val="20"/>
          <w:szCs w:val="20"/>
          <w:color w:val="auto"/>
        </w:rPr>
      </w:pPr>
      <w:r>
        <w:rPr>
          <w:rFonts w:ascii="Times New Roman" w:cs="Times New Roman" w:eastAsia="Times New Roman" w:hAnsi="Times New Roman"/>
          <w:sz w:val="17"/>
          <w:szCs w:val="17"/>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65" w:lineRule="auto"/>
        <w:rPr>
          <w:sz w:val="20"/>
          <w:szCs w:val="20"/>
          <w:color w:val="auto"/>
        </w:rPr>
      </w:pPr>
      <w:r>
        <w:rPr>
          <w:rFonts w:ascii="Times New Roman" w:cs="Times New Roman" w:eastAsia="Times New Roman" w:hAnsi="Times New Roman"/>
          <w:sz w:val="16"/>
          <w:szCs w:val="16"/>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71"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77" w:lineRule="exact"/>
        <w:rPr>
          <w:sz w:val="20"/>
          <w:szCs w:val="20"/>
          <w:color w:val="auto"/>
        </w:rPr>
      </w:pPr>
    </w:p>
    <w:p>
      <w:pPr>
        <w:ind w:right="100" w:firstLine="750"/>
        <w:spacing w:after="0" w:line="250" w:lineRule="auto"/>
        <w:rPr>
          <w:sz w:val="20"/>
          <w:szCs w:val="20"/>
          <w:color w:val="auto"/>
        </w:rPr>
      </w:pPr>
      <w:r>
        <w:rPr>
          <w:rFonts w:ascii="Times New Roman" w:cs="Times New Roman" w:eastAsia="Times New Roman" w:hAnsi="Times New Roman"/>
          <w:sz w:val="17"/>
          <w:szCs w:val="17"/>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the Nasdaq Global Market,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disclosure controls and procedures may not prevent or detect all errors or acts of fraud.</w:t>
      </w:r>
    </w:p>
    <w:p>
      <w:pPr>
        <w:spacing w:after="0" w:line="209" w:lineRule="exact"/>
        <w:rPr>
          <w:sz w:val="20"/>
          <w:szCs w:val="20"/>
          <w:color w:val="auto"/>
        </w:rPr>
      </w:pPr>
    </w:p>
    <w:p>
      <w:pPr>
        <w:ind w:right="20" w:firstLine="750"/>
        <w:spacing w:after="0" w:line="252" w:lineRule="auto"/>
        <w:rPr>
          <w:sz w:val="20"/>
          <w:szCs w:val="20"/>
          <w:color w:val="auto"/>
        </w:rPr>
      </w:pPr>
      <w:r>
        <w:rPr>
          <w:rFonts w:ascii="Times New Roman" w:cs="Times New Roman" w:eastAsia="Times New Roman" w:hAnsi="Times New Roman"/>
          <w:sz w:val="17"/>
          <w:szCs w:val="17"/>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75"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77" w:lineRule="exact"/>
        <w:rPr>
          <w:sz w:val="20"/>
          <w:szCs w:val="20"/>
          <w:color w:val="auto"/>
        </w:rPr>
      </w:pPr>
    </w:p>
    <w:p>
      <w:pPr>
        <w:ind w:right="200" w:firstLine="750"/>
        <w:spacing w:after="0" w:line="254" w:lineRule="auto"/>
        <w:rPr>
          <w:sz w:val="20"/>
          <w:szCs w:val="20"/>
          <w:color w:val="auto"/>
        </w:rPr>
      </w:pPr>
      <w:r>
        <w:rPr>
          <w:rFonts w:ascii="Times New Roman" w:cs="Times New Roman" w:eastAsia="Times New Roman" w:hAnsi="Times New Roman"/>
          <w:sz w:val="17"/>
          <w:szCs w:val="17"/>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operations would suffer in the event of system failures.</w:t>
      </w:r>
    </w:p>
    <w:p>
      <w:pPr>
        <w:spacing w:after="0" w:line="209" w:lineRule="exact"/>
        <w:rPr>
          <w:sz w:val="20"/>
          <w:szCs w:val="20"/>
          <w:color w:val="auto"/>
        </w:rPr>
      </w:pPr>
    </w:p>
    <w:p>
      <w:pPr>
        <w:ind w:right="20" w:firstLine="750"/>
        <w:spacing w:after="0" w:line="266" w:lineRule="auto"/>
        <w:rPr>
          <w:sz w:val="20"/>
          <w:szCs w:val="20"/>
          <w:color w:val="auto"/>
        </w:rPr>
      </w:pPr>
      <w:r>
        <w:rPr>
          <w:rFonts w:ascii="Times New Roman" w:cs="Times New Roman" w:eastAsia="Times New Roman" w:hAnsi="Times New Roman"/>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social and governance matters may impact our business and reputation.</w:t>
      </w:r>
    </w:p>
    <w:p>
      <w:pPr>
        <w:spacing w:after="0" w:line="209"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7"/>
          <w:szCs w:val="17"/>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its ESG performance, we risk negative stockholder reaction, including from proxy advisory services, as well as damage to its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its investors, customers and other stakeholders, we could experience reduced demand for its products, loss of customers, and other negative impacts on our business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common stock may not be sustained.</w:t>
      </w:r>
    </w:p>
    <w:p>
      <w:pPr>
        <w:spacing w:after="0" w:line="209" w:lineRule="exact"/>
        <w:rPr>
          <w:sz w:val="20"/>
          <w:szCs w:val="20"/>
          <w:color w:val="auto"/>
        </w:rPr>
      </w:pPr>
    </w:p>
    <w:p>
      <w:pPr>
        <w:ind w:right="100" w:firstLine="750"/>
        <w:spacing w:after="0" w:line="271" w:lineRule="auto"/>
        <w:rPr>
          <w:sz w:val="20"/>
          <w:szCs w:val="20"/>
          <w:color w:val="auto"/>
        </w:rPr>
      </w:pPr>
      <w:r>
        <w:rPr>
          <w:rFonts w:ascii="Times New Roman" w:cs="Times New Roman" w:eastAsia="Times New Roman" w:hAnsi="Times New Roman"/>
          <w:sz w:val="16"/>
          <w:szCs w:val="16"/>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highly volatile.</w:t>
      </w:r>
    </w:p>
    <w:p>
      <w:pPr>
        <w:spacing w:after="0" w:line="209"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The trading price of our common stock is likely to be highly volatile. For example, in 2019, we experienced an extraordinary level of appreciation in our stock price. Such levels of gain are unlikely to continue in the future. Throughout the course of fiscal years 2020, 2021, and 2022, we saw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73" w:lineRule="exact"/>
        <w:rPr>
          <w:sz w:val="20"/>
          <w:szCs w:val="20"/>
          <w:color w:val="auto"/>
        </w:rPr>
      </w:pPr>
    </w:p>
    <w:p>
      <w:pPr>
        <w:ind w:left="740" w:hanging="365"/>
        <w:spacing w:after="0"/>
        <w:tabs>
          <w:tab w:leader="none" w:pos="7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commercial success of our products;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delays in the commencement, enrollment, and ultimate completion, of our planned and ongoing Phase 3 clinical trials for our product candidates;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any delay or refusal on the part of the FDA in approving an NDA for any of our current and future product candidates;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operating and stock price performance of other companies that investors deem comparable to ours;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recommendations by securities analysts;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news relating to our industry as a whole and news relating to trends in our markets;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results of clinical trials of any of our current and future product candidates or those of our competitors;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actual or anticipated variations in quarterly or annual operating results;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failure to meet or exceed financial projections we provide to the public, if any;</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failure to meet or exceed the estimates and projections of the investment community, including securities analysts;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introduction of competitive products or technologies;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changes or developments in laws or regulations applicable to our product candidates;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perception of the pharmaceutical industry by the public, legislatures, regulators, and the investment community;</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general economic and market conditions and overall fluctuations in U.S. equity markets;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data or security breaches;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developments concerning our sources of manufacturing supply, warehousing, and inventory control;</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disputes or other developments relating to patents or other proprietary rights;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additions or departures of key scientific or management personnel;</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announcements of investigations or regulatory scrutiny of our operations or lawsuits filed against us;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capital commitments;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investors’ general perception of our company and our business;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announcements and expectations of additional financing efforts, including the issuance of debt, equity or convertible securities;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sales of our common stock, including sales by our directors and officers or significant stockholders;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changes in the market valuations of companies similar to us;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announcements by us or our competitors of significant acquisitions, strategic partnerships, or divestitures;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general conditions or trends in our industry; and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other factors described in this “Risk Factors” section.</w:t>
      </w:r>
    </w:p>
    <w:p>
      <w:pPr>
        <w:spacing w:after="0" w:line="205" w:lineRule="exact"/>
        <w:rPr>
          <w:sz w:val="20"/>
          <w:szCs w:val="20"/>
          <w:color w:val="auto"/>
        </w:rPr>
      </w:pPr>
    </w:p>
    <w:p>
      <w:pPr>
        <w:jc w:val="both"/>
        <w:ind w:firstLine="750"/>
        <w:spacing w:after="0" w:line="258" w:lineRule="auto"/>
        <w:rPr>
          <w:sz w:val="20"/>
          <w:szCs w:val="20"/>
          <w:color w:val="auto"/>
        </w:rPr>
      </w:pPr>
      <w:r>
        <w:rPr>
          <w:rFonts w:ascii="Times New Roman" w:cs="Times New Roman" w:eastAsia="Times New Roman" w:hAnsi="Times New Roman"/>
          <w:sz w:val="17"/>
          <w:szCs w:val="17"/>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020"/>
          </w:cols>
          <w:pgMar w:left="320" w:top="120" w:right="5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60" w:firstLine="750"/>
        <w:spacing w:after="0" w:line="258" w:lineRule="auto"/>
        <w:rPr>
          <w:sz w:val="20"/>
          <w:szCs w:val="20"/>
          <w:color w:val="auto"/>
        </w:rPr>
      </w:pPr>
      <w:r>
        <w:rPr>
          <w:rFonts w:ascii="Times New Roman" w:cs="Times New Roman" w:eastAsia="Times New Roman" w:hAnsi="Times New Roman"/>
          <w:sz w:val="17"/>
          <w:szCs w:val="17"/>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66"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5"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quarterly operating results may fluctuate significantly.</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We expect our operating results to be subject to quarterly fluctuations. Our net loss and other operating results will be affected by numerous factors,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w:t>
      </w:r>
    </w:p>
    <w:p>
      <w:pPr>
        <w:spacing w:after="0" w:line="188" w:lineRule="exact"/>
        <w:rPr>
          <w:sz w:val="20"/>
          <w:szCs w:val="20"/>
          <w:color w:val="auto"/>
        </w:rPr>
      </w:pPr>
    </w:p>
    <w:p>
      <w:pPr>
        <w:ind w:left="740" w:hanging="365"/>
        <w:spacing w:after="0"/>
        <w:tabs>
          <w:tab w:leader="none" w:pos="7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commercial success of our products;</w:t>
      </w:r>
    </w:p>
    <w:p>
      <w:pPr>
        <w:spacing w:after="0" w:line="204" w:lineRule="exact"/>
        <w:rPr>
          <w:rFonts w:ascii="Times New Roman" w:cs="Times New Roman" w:eastAsia="Times New Roman" w:hAnsi="Times New Roman"/>
          <w:sz w:val="15"/>
          <w:szCs w:val="15"/>
          <w:color w:val="auto"/>
        </w:rPr>
      </w:pPr>
    </w:p>
    <w:p>
      <w:pPr>
        <w:ind w:left="740" w:right="60" w:hanging="365"/>
        <w:spacing w:after="0" w:line="271" w:lineRule="auto"/>
        <w:tabs>
          <w:tab w:leader="none" w:pos="7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whether the FDA requires us to complete additional, unanticipated studies, tests, or other activities prior to approving any of our current and future product candidates, which may delay any such approval;</w:t>
      </w:r>
    </w:p>
    <w:p>
      <w:pPr>
        <w:spacing w:after="0" w:line="132" w:lineRule="exact"/>
        <w:rPr>
          <w:rFonts w:ascii="Times New Roman" w:cs="Times New Roman" w:eastAsia="Times New Roman" w:hAnsi="Times New Roman"/>
          <w:sz w:val="15"/>
          <w:szCs w:val="15"/>
          <w:color w:val="auto"/>
        </w:rPr>
      </w:pPr>
    </w:p>
    <w:p>
      <w:pPr>
        <w:ind w:left="740" w:right="240" w:hanging="365"/>
        <w:spacing w:after="0" w:line="221" w:lineRule="exact"/>
        <w:tabs>
          <w:tab w:leader="none" w:pos="7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our ability to identify and enter into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manufacturing arrangements capable of manufacturing any of our current or future product candidates in commercial quantities;</w:t>
      </w:r>
    </w:p>
    <w:p>
      <w:pPr>
        <w:spacing w:after="0" w:line="185"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our execution of other collaborative, licensing, or similar arrangements and the timing of payments we may make or receive under these arrangements;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variations in the level of expenses related to our future development programs;</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any product liability or intellectual property infringement lawsuit in which we may become involved;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regulatory developments affecting our current products, or the products of our competitors; and</w:t>
      </w:r>
    </w:p>
    <w:p>
      <w:pPr>
        <w:spacing w:after="0" w:line="204" w:lineRule="exact"/>
        <w:rPr>
          <w:rFonts w:ascii="Times New Roman" w:cs="Times New Roman" w:eastAsia="Times New Roman" w:hAnsi="Times New Roman"/>
          <w:sz w:val="15"/>
          <w:szCs w:val="15"/>
          <w:color w:val="auto"/>
        </w:rPr>
      </w:pPr>
    </w:p>
    <w:p>
      <w:pPr>
        <w:ind w:left="740" w:hanging="365"/>
        <w:spacing w:after="0"/>
        <w:tabs>
          <w:tab w:leader="none" w:pos="7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level of underlying demand for our products</w:t>
      </w:r>
    </w:p>
    <w:p>
      <w:pPr>
        <w:spacing w:after="0" w:line="205" w:lineRule="exact"/>
        <w:rPr>
          <w:sz w:val="20"/>
          <w:szCs w:val="20"/>
          <w:color w:val="auto"/>
        </w:rPr>
      </w:pPr>
    </w:p>
    <w:p>
      <w:pPr>
        <w:ind w:right="120" w:firstLine="750"/>
        <w:spacing w:after="0" w:line="282" w:lineRule="auto"/>
        <w:rPr>
          <w:sz w:val="20"/>
          <w:szCs w:val="20"/>
          <w:color w:val="auto"/>
        </w:rPr>
      </w:pPr>
      <w:r>
        <w:rPr>
          <w:rFonts w:ascii="Times New Roman" w:cs="Times New Roman" w:eastAsia="Times New Roman" w:hAnsi="Times New Roman"/>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60"/>
          </w:cols>
          <w:pgMar w:left="320" w:top="120" w:right="4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5" w:lineRule="exact"/>
        <w:rPr>
          <w:sz w:val="20"/>
          <w:szCs w:val="20"/>
          <w:color w:val="auto"/>
        </w:rPr>
      </w:pPr>
    </w:p>
    <w:p>
      <w:pPr>
        <w:ind w:right="20" w:firstLine="750"/>
        <w:spacing w:after="0" w:line="252" w:lineRule="auto"/>
        <w:rPr>
          <w:sz w:val="20"/>
          <w:szCs w:val="20"/>
          <w:color w:val="auto"/>
        </w:rPr>
      </w:pPr>
      <w:r>
        <w:rPr>
          <w:rFonts w:ascii="Times New Roman" w:cs="Times New Roman" w:eastAsia="Times New Roman" w:hAnsi="Times New Roman"/>
          <w:sz w:val="17"/>
          <w:szCs w:val="17"/>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5" w:lineRule="exact"/>
        <w:rPr>
          <w:sz w:val="20"/>
          <w:szCs w:val="20"/>
          <w:color w:val="auto"/>
        </w:rPr>
      </w:pPr>
    </w:p>
    <w:p>
      <w:pPr>
        <w:ind w:right="80" w:firstLine="750"/>
        <w:spacing w:after="0" w:line="269" w:lineRule="auto"/>
        <w:rPr>
          <w:sz w:val="20"/>
          <w:szCs w:val="20"/>
          <w:color w:val="auto"/>
        </w:rPr>
      </w:pPr>
      <w:r>
        <w:rPr>
          <w:rFonts w:ascii="Times New Roman" w:cs="Times New Roman" w:eastAsia="Times New Roman" w:hAnsi="Times New Roman"/>
          <w:sz w:val="16"/>
          <w:szCs w:val="16"/>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0" w:lineRule="exact"/>
        <w:rPr>
          <w:sz w:val="20"/>
          <w:szCs w:val="20"/>
          <w:color w:val="auto"/>
        </w:rPr>
      </w:pPr>
    </w:p>
    <w:p>
      <w:pPr>
        <w:ind w:right="66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principal stockholders and management own a significant percentage of our stock and may be able to exert significant control over matters subject to stockholder approval.</w:t>
      </w:r>
    </w:p>
    <w:p>
      <w:pPr>
        <w:spacing w:after="0" w:line="155"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As of February 21, 2023, our executive officers, directors, and 5% stockholders and their affiliates beneficially owned an aggregate of approximately 44%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75" w:lineRule="exact"/>
        <w:rPr>
          <w:sz w:val="20"/>
          <w:szCs w:val="20"/>
          <w:color w:val="auto"/>
        </w:rPr>
      </w:pPr>
    </w:p>
    <w:p>
      <w:pPr>
        <w:ind w:right="60" w:firstLine="750"/>
        <w:spacing w:after="0" w:line="269" w:lineRule="auto"/>
        <w:rPr>
          <w:sz w:val="20"/>
          <w:szCs w:val="20"/>
          <w:color w:val="auto"/>
        </w:rPr>
      </w:pPr>
      <w:r>
        <w:rPr>
          <w:rFonts w:ascii="Times New Roman" w:cs="Times New Roman" w:eastAsia="Times New Roman" w:hAnsi="Times New Roman"/>
          <w:sz w:val="16"/>
          <w:szCs w:val="16"/>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shares of our common stock in the public market by our existing stockholders could cause our stock price to fall.</w:t>
      </w:r>
    </w:p>
    <w:p>
      <w:pPr>
        <w:spacing w:after="0" w:line="209" w:lineRule="exact"/>
        <w:rPr>
          <w:sz w:val="20"/>
          <w:szCs w:val="20"/>
          <w:color w:val="auto"/>
        </w:rPr>
      </w:pPr>
    </w:p>
    <w:p>
      <w:pPr>
        <w:ind w:right="80" w:firstLine="750"/>
        <w:spacing w:after="0" w:line="258"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0" w:firstLine="750"/>
        <w:spacing w:after="0" w:line="252" w:lineRule="auto"/>
        <w:rPr>
          <w:sz w:val="20"/>
          <w:szCs w:val="20"/>
          <w:color w:val="auto"/>
        </w:rPr>
      </w:pPr>
      <w:r>
        <w:rPr>
          <w:rFonts w:ascii="Times New Roman" w:cs="Times New Roman" w:eastAsia="Times New Roman" w:hAnsi="Times New Roman"/>
          <w:sz w:val="17"/>
          <w:szCs w:val="17"/>
          <w:color w:val="auto"/>
        </w:rPr>
        <w:t>As of February 21, 2023, we have outstanding 43,516,501 shares of common stock and 7,417,952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35,497,000 are freely tradable. The remainder of the outstanding shares of common stock are held by our affiliates and may be considered “control securities” for purposes of Rule 144 under the Securities Act.</w:t>
      </w:r>
    </w:p>
    <w:p>
      <w:pPr>
        <w:spacing w:after="0" w:line="149" w:lineRule="exact"/>
        <w:rPr>
          <w:sz w:val="20"/>
          <w:szCs w:val="20"/>
          <w:color w:val="auto"/>
        </w:rPr>
      </w:pPr>
    </w:p>
    <w:p>
      <w:pPr>
        <w:ind w:right="120" w:firstLine="750"/>
        <w:spacing w:after="0" w:line="211" w:lineRule="exact"/>
        <w:rPr>
          <w:sz w:val="20"/>
          <w:szCs w:val="20"/>
          <w:color w:val="auto"/>
        </w:rPr>
      </w:pPr>
      <w:r>
        <w:rPr>
          <w:rFonts w:ascii="Times New Roman" w:cs="Times New Roman" w:eastAsia="Times New Roman" w:hAnsi="Times New Roman"/>
          <w:sz w:val="17"/>
          <w:szCs w:val="17"/>
          <w:color w:val="auto"/>
        </w:rPr>
        <w:t>In addition, we have filed one or more registration statements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 registering the issuance of an aggregate of 10,453,341 shares of common stock 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 will be available for sale in the public market subject to vesting arrangements and exercise of options, the lock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up agreements described above and the restrictions of Rule 144 in the case of our affiliates.</w:t>
      </w:r>
    </w:p>
    <w:p>
      <w:pPr>
        <w:spacing w:after="0" w:line="183" w:lineRule="exact"/>
        <w:rPr>
          <w:sz w:val="20"/>
          <w:szCs w:val="20"/>
          <w:color w:val="auto"/>
        </w:rPr>
      </w:pPr>
    </w:p>
    <w:p>
      <w:pPr>
        <w:ind w:right="6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55"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7"/>
          <w:szCs w:val="17"/>
          <w:color w:val="auto"/>
        </w:rPr>
        <w:t>Our management will have broad discretion in the application of the net proceeds from our capital raises, which we refer to as our Capital Raises, including the proceeds from sales pursuant to our March 2022 “at-the-market” sales agreement with SVB Securities LLC (formerly known as SVB Leerink LLC, or SVB Leerink), or SVB Securities,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80"/>
          </w:cols>
          <w:pgMar w:left="320" w:top="120"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use of our net operating loss carryforwards and research tax credits may be limited.</w:t>
      </w:r>
    </w:p>
    <w:p>
      <w:pPr>
        <w:spacing w:after="0" w:line="209" w:lineRule="exact"/>
        <w:rPr>
          <w:sz w:val="20"/>
          <w:szCs w:val="20"/>
          <w:color w:val="auto"/>
        </w:rPr>
      </w:pPr>
    </w:p>
    <w:p>
      <w:pPr>
        <w:ind w:firstLine="750"/>
        <w:spacing w:after="0" w:line="247" w:lineRule="auto"/>
        <w:rPr>
          <w:sz w:val="20"/>
          <w:szCs w:val="20"/>
          <w:color w:val="auto"/>
        </w:rPr>
      </w:pPr>
      <w:r>
        <w:rPr>
          <w:rFonts w:ascii="Times New Roman" w:cs="Times New Roman" w:eastAsia="Times New Roman" w:hAnsi="Times New Roman"/>
          <w:sz w:val="17"/>
          <w:szCs w:val="17"/>
          <w:color w:val="auto"/>
        </w:rPr>
        <w:t>Our net operating loss carryforwards and any future research and development tax credits may expire and not be used. As of December 31, 2022, we had U.S. federal net operating loss, NOL, carryforwards of approximately $458 million and foreign NOL carryforwards of $7.8 million. U.S. federal net operating loss carry forwards amounting to $60 million generated before the 2018 tax year will start expiring beginning 2032, if we have not used them prior to that time, and the net operating losses of approximately $398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Because we do not intend to pay dividends on our common stock, returns for our stockholders will be limited to any increase in the value of our stock.</w:t>
      </w:r>
    </w:p>
    <w:p>
      <w:pPr>
        <w:spacing w:after="0" w:line="209" w:lineRule="exact"/>
        <w:rPr>
          <w:sz w:val="20"/>
          <w:szCs w:val="20"/>
          <w:color w:val="auto"/>
        </w:rPr>
      </w:pPr>
    </w:p>
    <w:p>
      <w:pPr>
        <w:ind w:right="120" w:firstLine="750"/>
        <w:spacing w:after="0" w:line="275" w:lineRule="auto"/>
        <w:rPr>
          <w:sz w:val="20"/>
          <w:szCs w:val="20"/>
          <w:color w:val="auto"/>
        </w:rPr>
      </w:pPr>
      <w:r>
        <w:rPr>
          <w:rFonts w:ascii="Times New Roman" w:cs="Times New Roman" w:eastAsia="Times New Roman" w:hAnsi="Times New Roman"/>
          <w:sz w:val="16"/>
          <w:szCs w:val="16"/>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54"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5"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There are provisions in our amended and restated certificate of incorporation and amended and restated bylaws that may make it difficult for a third-party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53" w:lineRule="exact"/>
        <w:rPr>
          <w:sz w:val="20"/>
          <w:szCs w:val="20"/>
          <w:color w:val="auto"/>
        </w:rPr>
      </w:pPr>
    </w:p>
    <w:p>
      <w:pPr>
        <w:ind w:right="40" w:firstLine="750"/>
        <w:spacing w:after="0" w:line="209" w:lineRule="exact"/>
        <w:rPr>
          <w:sz w:val="20"/>
          <w:szCs w:val="20"/>
          <w:color w:val="auto"/>
        </w:rPr>
      </w:pPr>
      <w:r>
        <w:rPr>
          <w:rFonts w:ascii="Times New Roman" w:cs="Times New Roman" w:eastAsia="Times New Roman" w:hAnsi="Times New Roman"/>
          <w:sz w:val="17"/>
          <w:szCs w:val="17"/>
          <w:color w:val="auto"/>
        </w:rPr>
        <w:t>In addition, we are subject to the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7"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75" w:lineRule="exact"/>
        <w:rPr>
          <w:sz w:val="20"/>
          <w:szCs w:val="20"/>
          <w:color w:val="auto"/>
        </w:rPr>
      </w:pPr>
    </w:p>
    <w:p>
      <w:pPr>
        <w:ind w:firstLine="750"/>
        <w:spacing w:after="0" w:line="248"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78" w:lineRule="exact"/>
        <w:rPr>
          <w:sz w:val="20"/>
          <w:szCs w:val="20"/>
          <w:color w:val="auto"/>
        </w:rPr>
      </w:pPr>
    </w:p>
    <w:p>
      <w:pPr>
        <w:ind w:right="60" w:firstLine="750"/>
        <w:spacing w:after="0" w:line="254" w:lineRule="auto"/>
        <w:rPr>
          <w:sz w:val="20"/>
          <w:szCs w:val="20"/>
          <w:color w:val="auto"/>
        </w:rPr>
      </w:pPr>
      <w:r>
        <w:rPr>
          <w:rFonts w:ascii="Times New Roman" w:cs="Times New Roman" w:eastAsia="Times New Roman" w:hAnsi="Times New Roman"/>
          <w:sz w:val="17"/>
          <w:szCs w:val="17"/>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EAST\200834587.2</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None.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09" w:lineRule="exact"/>
        <w:rPr>
          <w:sz w:val="20"/>
          <w:szCs w:val="20"/>
          <w:color w:val="auto"/>
        </w:rPr>
      </w:pPr>
    </w:p>
    <w:p>
      <w:pPr>
        <w:ind w:right="220" w:firstLine="750"/>
        <w:spacing w:after="0" w:line="254" w:lineRule="auto"/>
        <w:rPr>
          <w:sz w:val="20"/>
          <w:szCs w:val="20"/>
          <w:color w:val="auto"/>
        </w:rPr>
      </w:pPr>
      <w:r>
        <w:rPr>
          <w:rFonts w:ascii="Times New Roman" w:cs="Times New Roman" w:eastAsia="Times New Roman" w:hAnsi="Times New Roman"/>
          <w:sz w:val="17"/>
          <w:szCs w:val="17"/>
          <w:color w:val="auto"/>
        </w:rPr>
        <w:t>Our corporate and executive office is located at 22 Cortlandt Street in New York, New York. We currently have a lease agreement for this office space through April 30, 2023. In February 2023, we entered into a sub-lease agreement for office space located at One World Trade Center, for our corporate and executive offices, commencing March 2023. See “Item 9B – Other Information” for additional information. We believe that our current facilities are suitable and adequate to meet our current needs.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09" w:lineRule="exact"/>
        <w:rPr>
          <w:sz w:val="20"/>
          <w:szCs w:val="20"/>
          <w:color w:val="auto"/>
        </w:rPr>
      </w:pPr>
    </w:p>
    <w:p>
      <w:pPr>
        <w:ind w:right="120" w:firstLine="750"/>
        <w:spacing w:after="0" w:line="271" w:lineRule="auto"/>
        <w:rPr>
          <w:sz w:val="20"/>
          <w:szCs w:val="20"/>
          <w:color w:val="auto"/>
        </w:rPr>
      </w:pPr>
      <w:r>
        <w:rPr>
          <w:rFonts w:ascii="Times New Roman" w:cs="Times New Roman" w:eastAsia="Times New Roman" w:hAnsi="Times New Roman"/>
          <w:sz w:val="17"/>
          <w:szCs w:val="17"/>
          <w:color w:val="auto"/>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Class Action</w:t>
      </w:r>
    </w:p>
    <w:p>
      <w:pPr>
        <w:spacing w:after="0" w:line="200" w:lineRule="exact"/>
        <w:rPr>
          <w:sz w:val="20"/>
          <w:szCs w:val="20"/>
          <w:color w:val="auto"/>
        </w:rPr>
      </w:pPr>
    </w:p>
    <w:p>
      <w:pPr>
        <w:spacing w:after="0" w:line="209" w:lineRule="exact"/>
        <w:rPr>
          <w:sz w:val="20"/>
          <w:szCs w:val="20"/>
          <w:color w:val="auto"/>
        </w:rPr>
      </w:pPr>
    </w:p>
    <w:p>
      <w:pPr>
        <w:ind w:right="40" w:firstLine="750"/>
        <w:spacing w:after="0" w:line="249" w:lineRule="auto"/>
        <w:rPr>
          <w:sz w:val="20"/>
          <w:szCs w:val="20"/>
          <w:color w:val="auto"/>
        </w:rPr>
      </w:pPr>
      <w:r>
        <w:rPr>
          <w:rFonts w:ascii="Times New Roman" w:cs="Times New Roman" w:eastAsia="Times New Roman" w:hAnsi="Times New Roman"/>
          <w:sz w:val="17"/>
          <w:szCs w:val="17"/>
          <w:color w:val="auto"/>
        </w:rPr>
        <w:t>On May 13, 2022, Evy Gru filed a putative class action complaint captioned Gru v. Axsome Therapeutics, Inc., et. al., in the U.S. District Court for the Southern District of New York against the Company and certain of its current and former officers and one director (the “Securities Class Action”). The complaint asserts claims under Sections 10(b) and 20(a) of the Securities Exchange Act of 1934, as amended, and Rule 10b-5 promulgated thereunder, and alleges, among other things, that the defendants made false statements and omissions concerning the Company’s Chemistry Manufacturing and Controls practices, and its New Drug Application with the FDA, with respect to one of its product candidates, AXS-07. The named plaintiff seeks unspecified damages, fees, interest, and costs. On August 11, 2022, the Court appointed co-lead Plaintiffs in the Gru action. On October 7, 2022, the Gru plaintiffs filed an Amended Complaint, which contains substantially similar allegations as in the initial complaint. Defendants filed their motion to dismiss the Amended Complaint on December 16, 2022, which motion remains pending before the court. One of the Co-Lead Plaintiffs, Santoshanand Thakkar, withdrew from the case on January 18,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Derivative Action</w:t>
      </w:r>
    </w:p>
    <w:p>
      <w:pPr>
        <w:spacing w:after="0" w:line="200" w:lineRule="exact"/>
        <w:rPr>
          <w:sz w:val="20"/>
          <w:szCs w:val="20"/>
          <w:color w:val="auto"/>
        </w:rPr>
      </w:pPr>
    </w:p>
    <w:p>
      <w:pPr>
        <w:spacing w:after="0" w:line="209" w:lineRule="exact"/>
        <w:rPr>
          <w:sz w:val="20"/>
          <w:szCs w:val="20"/>
          <w:color w:val="auto"/>
        </w:rPr>
      </w:pPr>
    </w:p>
    <w:p>
      <w:pPr>
        <w:ind w:firstLine="750"/>
        <w:spacing w:after="0" w:line="268" w:lineRule="auto"/>
        <w:rPr>
          <w:sz w:val="20"/>
          <w:szCs w:val="20"/>
          <w:color w:val="auto"/>
        </w:rPr>
      </w:pPr>
      <w:r>
        <w:rPr>
          <w:rFonts w:ascii="Times New Roman" w:cs="Times New Roman" w:eastAsia="Times New Roman" w:hAnsi="Times New Roman"/>
          <w:sz w:val="16"/>
          <w:szCs w:val="16"/>
          <w:color w:val="auto"/>
        </w:rPr>
        <w:t>On July 21, 2022, Daniel Engel filed a stockholder derivative complaint captioned Engel v. Herriot Tabuteau, et al., in the U.S. District Court for the Southern District of New York against the Company’s current directors, certain of the Company’s current and former officers, and the Company (as nominal defendant). On January 27, 2023, Kyle Guterba filed a stockholder derivative complaint captioned Guterba v. Tabuteau, et al., in the U.S. District Court for the Southern District of New York against the Company’s current directors, certain of the Company’s current and former officers, and the Company (as nominal defendant). The derivative complaints arise out of similar allegations as those made in the Securities Class Action. The plaintiffs assert claims for breach of fiduciary duties against all of the defendants and for contribution for violations of Section 10(b) and 21D of the Securities Exchange Act of 1934. The plaintiffs seek unspecified damages, fees, interest, and costs, as well as corporate governance changes. The Engel matter is currently stayed pending further proceedings in the Gru matter.</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5"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139"/>
          </w:cols>
          <w:pgMar w:left="320" w:top="120"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5"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Information</w:t>
      </w:r>
    </w:p>
    <w:p>
      <w:pPr>
        <w:spacing w:after="0" w:line="209" w:lineRule="exact"/>
        <w:rPr>
          <w:sz w:val="20"/>
          <w:szCs w:val="20"/>
          <w:color w:val="auto"/>
        </w:rPr>
      </w:pPr>
    </w:p>
    <w:p>
      <w:pPr>
        <w:ind w:right="160" w:firstLine="750"/>
        <w:spacing w:after="0" w:line="258" w:lineRule="auto"/>
        <w:rPr>
          <w:sz w:val="20"/>
          <w:szCs w:val="20"/>
          <w:color w:val="auto"/>
        </w:rPr>
      </w:pPr>
      <w:r>
        <w:rPr>
          <w:rFonts w:ascii="Times New Roman" w:cs="Times New Roman" w:eastAsia="Times New Roman" w:hAnsi="Times New Roman"/>
          <w:sz w:val="17"/>
          <w:szCs w:val="17"/>
          <w:color w:val="auto"/>
        </w:rPr>
        <w:t>Our common stock has been listed on the Nasdaq Global Market since March 3, 2017, under the symbol “AXSM”. Prior to that, our common stock was listed on the Nasdaq Capital Market since November 19, 2015, under the symbol “AXSM”. Prior to our initial public offering, there was no public market for our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Performance Graph</w:t>
      </w:r>
    </w:p>
    <w:p>
      <w:pPr>
        <w:spacing w:after="0" w:line="209" w:lineRule="exact"/>
        <w:rPr>
          <w:sz w:val="20"/>
          <w:szCs w:val="20"/>
          <w:color w:val="auto"/>
        </w:rPr>
      </w:pPr>
    </w:p>
    <w:p>
      <w:pPr>
        <w:ind w:firstLine="750"/>
        <w:spacing w:after="0" w:line="258" w:lineRule="auto"/>
        <w:rPr>
          <w:sz w:val="20"/>
          <w:szCs w:val="20"/>
          <w:color w:val="auto"/>
        </w:rPr>
      </w:pPr>
      <w:r>
        <w:rPr>
          <w:rFonts w:ascii="Times New Roman" w:cs="Times New Roman" w:eastAsia="Times New Roman" w:hAnsi="Times New Roman"/>
          <w:sz w:val="17"/>
          <w:szCs w:val="17"/>
          <w:color w:val="auto"/>
        </w:rPr>
        <w:t>The graph below matches AXSOME Therapeutics, Inc.'s cumulative 5-Year total shareholder return on common stock with the cumulative total returns of the NASDAQ Composite index and the NASDAQ Biotechnology index. The graph tracks the performance of a $100 investment in our common stock and in each index (with the reinvestment of all dividends) from 12/31/2017 to 12/31/2022.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134620</wp:posOffset>
            </wp:positionV>
            <wp:extent cx="4599940" cy="40278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599940" cy="402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040"/>
          </w:cols>
          <w:pgMar w:left="320" w:top="120" w:right="5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Holders</w:t>
      </w:r>
    </w:p>
    <w:p>
      <w:pPr>
        <w:spacing w:after="0" w:line="209" w:lineRule="exact"/>
        <w:rPr>
          <w:sz w:val="20"/>
          <w:szCs w:val="20"/>
          <w:color w:val="auto"/>
        </w:rPr>
      </w:pPr>
    </w:p>
    <w:p>
      <w:pPr>
        <w:ind w:right="180" w:firstLine="750"/>
        <w:spacing w:after="0" w:line="254" w:lineRule="auto"/>
        <w:rPr>
          <w:sz w:val="20"/>
          <w:szCs w:val="20"/>
          <w:color w:val="auto"/>
        </w:rPr>
      </w:pPr>
      <w:r>
        <w:rPr>
          <w:rFonts w:ascii="Times New Roman" w:cs="Times New Roman" w:eastAsia="Times New Roman" w:hAnsi="Times New Roman"/>
          <w:sz w:val="17"/>
          <w:szCs w:val="17"/>
          <w:color w:val="auto"/>
        </w:rPr>
        <w:t>The number of record holders of our common stock as of February 21, 2023, was six. This number of holders of record does not reflect the beneficial holders of our common stock who hold shares in street name through brokerage accounts or other nominees. This number of holders of record also does not include stockholders whose shares may be held in trust by other entities. The actual number of holders of our common stock is therefore greater than this number of record 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09"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and do not anticipate paying any cash dividends in the foreseeable future. Any future determination to pay dividends will be at the discretion of our board of directors, subject to applicable laws, and will depend on a number of factors, including our financial condition, results of operations, capital requirements, contractual restrictions, general business conditions, and any other factors that our board may deem relevant. In addition, the terms of our existing term loan with Hercules Capital, Inc., or Hercules, precludes us from paying cash dividends without the consent of Hercules, except under certain circumstances.</w:t>
      </w:r>
    </w:p>
    <w:p>
      <w:pPr>
        <w:spacing w:after="0" w:line="1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20"/>
          </w:cols>
          <w:pgMar w:left="320" w:top="120"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09"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The following discussion and analysis contain forward-looking statements about our plans and expectations of what may happen in the future. You should read the following discussion and analysis in conjunction with “Item 8. Financial Statements and Supplementary Data,” and our consolidated financial statements beginning on page F-1 of this report.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80" w:lineRule="exact"/>
        <w:rPr>
          <w:sz w:val="20"/>
          <w:szCs w:val="20"/>
          <w:color w:val="auto"/>
        </w:rPr>
      </w:pPr>
    </w:p>
    <w:p>
      <w:pPr>
        <w:ind w:right="40" w:firstLine="750"/>
        <w:spacing w:after="0" w:line="250" w:lineRule="auto"/>
        <w:rPr>
          <w:sz w:val="20"/>
          <w:szCs w:val="20"/>
          <w:color w:val="auto"/>
        </w:rPr>
      </w:pPr>
      <w:r>
        <w:rPr>
          <w:rFonts w:ascii="Times New Roman" w:cs="Times New Roman" w:eastAsia="Times New Roman" w:hAnsi="Times New Roman"/>
          <w:sz w:val="17"/>
          <w:szCs w:val="17"/>
          <w:color w:val="auto"/>
        </w:rPr>
        <w:t>In July 2019, the Financial Accounting Standards Board (which we refer to as “FASB”) issued Accounting Standards Update 2019-07, “Codification Updates to SEC Sections-Amendments to SEC Paragraphs Pursuant to SEC Final Rule Releases No. 33-10532, Disclosure Update and Simplification", which changes were meant to simplify certain disclosures in financial condition and results of operations, particularly by eliminating year-to-year comparisons between prior periods previously disclosed. This section of this Annual Report on Form 10-K generally discusses 2022 and 2021 items and year-to-year comparisons between 2022 and 2021. Discussions of 2020 items and year-to-year comparisons between 2021 and 2020 that are not included in this Annual Report on Form 10-K can be found in “Management’s Discussion and Analysis of Financial Condition and Results of Operations” in Part II, Item 7 of the Company’s Annual Report on Form 10-K for the fiscal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9" w:lineRule="exact"/>
        <w:rPr>
          <w:sz w:val="20"/>
          <w:szCs w:val="20"/>
          <w:color w:val="auto"/>
        </w:rPr>
      </w:pPr>
    </w:p>
    <w:p>
      <w:pPr>
        <w:ind w:firstLine="750"/>
        <w:spacing w:after="0" w:line="266" w:lineRule="auto"/>
        <w:rPr>
          <w:sz w:val="20"/>
          <w:szCs w:val="20"/>
          <w:color w:val="auto"/>
        </w:rPr>
      </w:pPr>
      <w:r>
        <w:rPr>
          <w:rFonts w:ascii="Times New Roman" w:cs="Times New Roman" w:eastAsia="Times New Roman" w:hAnsi="Times New Roman"/>
          <w:sz w:val="16"/>
          <w:szCs w:val="16"/>
          <w:color w:val="auto"/>
        </w:rPr>
        <w:t>We are a commercial-stage biopharmaceutical company developing and delivering novel therapies for central nervous system (“CNS”) conditions that have limited treatment options. By focusing on this therapeutic area, we are addressing significant and growing markets where current treatment options are limited or inadequate. The Company’s CNS portfolio includes three not yet approved product candidates, AXS-07, AXS-12, and AXS-14, which are being developed for multiple indications, and two approved products - Auvelity® (sometimes also referred to as "AXS-05") and Sunosi® - both of which are also being developed for further indications. In May 2022, the Company completed the U.S. acquisition of Sunosi from Jazz Pharmaceuticals ("Jazz") and in November 2022, the Company acquired the ex-U.S. assets of Sunosi from Jazz for certain international markets (the "Acquisition"). Sunosi is a product approved by the FDA and marketed in the U.S. to improve wakefulness in adult patients with excessive daytime sleepiness ("EDS") associated with narcolepsy or obstructive sleep apnea, and also approved in Europe in January 2020 by the European Commission. In August 2022, the Company announced the FDA approval, and in October 2022, the U.S. commercial availability, of Auvelity. Auvelity is an indication for the treatment of major depressive disorder in adults. Refer to Part I, Item 1. "Business" for a summary of our clinical programs.</w:t>
      </w:r>
    </w:p>
    <w:p>
      <w:pPr>
        <w:spacing w:after="0" w:line="167" w:lineRule="exact"/>
        <w:rPr>
          <w:sz w:val="20"/>
          <w:szCs w:val="20"/>
          <w:color w:val="auto"/>
        </w:rPr>
      </w:pPr>
    </w:p>
    <w:p>
      <w:pPr>
        <w:ind w:right="200" w:firstLine="750"/>
        <w:spacing w:after="0" w:line="254" w:lineRule="auto"/>
        <w:rPr>
          <w:sz w:val="20"/>
          <w:szCs w:val="20"/>
          <w:color w:val="auto"/>
        </w:rPr>
      </w:pPr>
      <w:r>
        <w:rPr>
          <w:rFonts w:ascii="Times New Roman" w:cs="Times New Roman" w:eastAsia="Times New Roman" w:hAnsi="Times New Roman"/>
          <w:sz w:val="17"/>
          <w:szCs w:val="17"/>
          <w:color w:val="auto"/>
        </w:rPr>
        <w:t>Since our incorporation in January 2012, our operations to date have included organizing and staffing our company, business planning, raising capital, developing our compounds, engaging in other discovery and preclinical activities, and the commercial launches of Sunosi and Auvelity. Subsequent to our IPO, we financed our operations primarily through proceeds from sales of our common stock to equity investors and debt borrowings. For a further discussion, see the section entitled “Liquidity and Capital Resources” below.</w:t>
      </w:r>
    </w:p>
    <w:p>
      <w:pPr>
        <w:spacing w:after="0" w:line="173" w:lineRule="exact"/>
        <w:rPr>
          <w:sz w:val="20"/>
          <w:szCs w:val="20"/>
          <w:color w:val="auto"/>
        </w:rPr>
      </w:pPr>
    </w:p>
    <w:p>
      <w:pPr>
        <w:ind w:right="160" w:firstLine="750"/>
        <w:spacing w:after="0" w:line="271" w:lineRule="auto"/>
        <w:rPr>
          <w:sz w:val="20"/>
          <w:szCs w:val="20"/>
          <w:color w:val="auto"/>
        </w:rPr>
      </w:pPr>
      <w:r>
        <w:rPr>
          <w:rFonts w:ascii="Times New Roman" w:cs="Times New Roman" w:eastAsia="Times New Roman" w:hAnsi="Times New Roman"/>
          <w:sz w:val="17"/>
          <w:szCs w:val="17"/>
          <w:color w:val="auto"/>
        </w:rPr>
        <w:t>Our ability to become profitable depends on our ability to generate revenue. We have recently begun commercial sales of Sunosi and Auvelity but we have limited experience with commercializing these, or any, products.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40" w:firstLine="750"/>
        <w:spacing w:after="0" w:line="249" w:lineRule="auto"/>
        <w:rPr>
          <w:sz w:val="20"/>
          <w:szCs w:val="20"/>
          <w:color w:val="auto"/>
        </w:rPr>
      </w:pPr>
      <w:r>
        <w:rPr>
          <w:rFonts w:ascii="Times New Roman" w:cs="Times New Roman" w:eastAsia="Times New Roman" w:hAnsi="Times New Roman"/>
          <w:sz w:val="17"/>
          <w:szCs w:val="17"/>
          <w:color w:val="auto"/>
        </w:rPr>
        <w:t>We have incurred significant operating and net losses since inception. We incurred net losses of $187.1 million and $130.4 million for the years ended December 31, 2022 and 2021, respectively. Our accumulated deficit as of December 31, 2022 was $596.3 million, and we expect to incur significant expenses and increasing operating losses for the foreseeable future. We expect our expenses to increase in connection with our ongoing activities, as we continue the commercialization of our on-market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Overview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sales, net</w:t>
      </w:r>
    </w:p>
    <w:p>
      <w:pPr>
        <w:spacing w:after="0" w:line="209" w:lineRule="exact"/>
        <w:rPr>
          <w:sz w:val="20"/>
          <w:szCs w:val="20"/>
          <w:color w:val="auto"/>
        </w:rPr>
      </w:pPr>
    </w:p>
    <w:p>
      <w:pPr>
        <w:ind w:right="300" w:firstLine="750"/>
        <w:spacing w:after="0" w:line="271" w:lineRule="auto"/>
        <w:rPr>
          <w:sz w:val="20"/>
          <w:szCs w:val="20"/>
          <w:color w:val="auto"/>
        </w:rPr>
      </w:pPr>
      <w:r>
        <w:rPr>
          <w:rFonts w:ascii="Times New Roman" w:cs="Times New Roman" w:eastAsia="Times New Roman" w:hAnsi="Times New Roman"/>
          <w:sz w:val="17"/>
          <w:szCs w:val="17"/>
          <w:color w:val="auto"/>
        </w:rPr>
        <w:t>Net revenues from product sales consist of Sunosi, which, subsequent to our acquisition from Jazz, we began selling in the U.S. in May 2022 and certain international markets in November 2022, and Auvelity, which was made available in October 2022.</w:t>
      </w:r>
    </w:p>
    <w:p>
      <w:pPr>
        <w:spacing w:after="0" w:line="359"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We expect that Sunosi and Auvelity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not generate revenue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product sales</w:t>
      </w:r>
    </w:p>
    <w:p>
      <w:pPr>
        <w:spacing w:after="0" w:line="209" w:lineRule="exact"/>
        <w:rPr>
          <w:sz w:val="20"/>
          <w:szCs w:val="20"/>
          <w:color w:val="auto"/>
        </w:rPr>
      </w:pPr>
    </w:p>
    <w:p>
      <w:pPr>
        <w:ind w:right="320" w:firstLine="750"/>
        <w:spacing w:after="0" w:line="271" w:lineRule="auto"/>
        <w:rPr>
          <w:sz w:val="20"/>
          <w:szCs w:val="20"/>
          <w:color w:val="auto"/>
        </w:rPr>
      </w:pPr>
      <w:r>
        <w:rPr>
          <w:rFonts w:ascii="Times New Roman" w:cs="Times New Roman" w:eastAsia="Times New Roman" w:hAnsi="Times New Roman"/>
          <w:sz w:val="17"/>
          <w:szCs w:val="17"/>
          <w:color w:val="auto"/>
        </w:rPr>
        <w:t>Cost of product sales include direct costs of formulating, manufacturing and packaging drug product, overhead costs consisting of labor, customs, stock-based compensation, shipping, outside inventory management, royalty expense, and other miscellaneous operating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83" w:lineRule="exact"/>
        <w:rPr>
          <w:sz w:val="20"/>
          <w:szCs w:val="20"/>
          <w:color w:val="auto"/>
        </w:rPr>
      </w:pPr>
    </w:p>
    <w:p>
      <w:pPr>
        <w:ind w:right="220" w:firstLine="750"/>
        <w:spacing w:after="0" w:line="215" w:lineRule="exact"/>
        <w:rPr>
          <w:sz w:val="20"/>
          <w:szCs w:val="20"/>
          <w:color w:val="auto"/>
        </w:rPr>
      </w:pPr>
      <w:r>
        <w:rPr>
          <w:rFonts w:ascii="Times New Roman" w:cs="Times New Roman" w:eastAsia="Times New Roman" w:hAnsi="Times New Roman"/>
          <w:sz w:val="17"/>
          <w:szCs w:val="17"/>
          <w:color w:val="auto"/>
        </w:rPr>
        <w:t>Research and development expenses primarily include preclinical studies, clinical trials, manufacturing costs, employee salaries and benefits,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84" w:lineRule="exact"/>
        <w:rPr>
          <w:sz w:val="20"/>
          <w:szCs w:val="20"/>
          <w:color w:val="auto"/>
        </w:rPr>
      </w:pPr>
    </w:p>
    <w:p>
      <w:pPr>
        <w:ind w:right="40" w:firstLine="750"/>
        <w:spacing w:after="0" w:line="249" w:lineRule="auto"/>
        <w:rPr>
          <w:sz w:val="20"/>
          <w:szCs w:val="20"/>
          <w:color w:val="auto"/>
        </w:rPr>
      </w:pPr>
      <w:r>
        <w:rPr>
          <w:rFonts w:ascii="Times New Roman" w:cs="Times New Roman" w:eastAsia="Times New Roman" w:hAnsi="Times New Roman"/>
          <w:sz w:val="17"/>
          <w:szCs w:val="17"/>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expenses by program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3"/>
        </w:trPr>
        <w:tc>
          <w:tcPr>
            <w:tcW w:w="7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4"/>
        </w:trPr>
        <w:tc>
          <w:tcPr>
            <w:tcW w:w="76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5"/>
                <w:szCs w:val="15"/>
                <w:color w:val="auto"/>
              </w:rPr>
            </w:pPr>
          </w:p>
        </w:tc>
      </w:tr>
      <w:tr>
        <w:trPr>
          <w:trHeight w:val="218"/>
        </w:trPr>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Sunosi</w:t>
            </w:r>
          </w:p>
        </w:tc>
        <w:tc>
          <w:tcPr>
            <w:tcW w:w="38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2,834,120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8"/>
                <w:szCs w:val="18"/>
                <w:color w:val="auto"/>
              </w:rPr>
            </w:pPr>
          </w:p>
        </w:tc>
      </w:tr>
      <w:tr>
        <w:trPr>
          <w:trHeight w:val="221"/>
        </w:trPr>
        <w:tc>
          <w:tcPr>
            <w:tcW w:w="7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AXS-05</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23,949,287</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24,525,561</w:t>
            </w:r>
          </w:p>
        </w:tc>
        <w:tc>
          <w:tcPr>
            <w:tcW w:w="160" w:type="dxa"/>
            <w:vAlign w:val="bottom"/>
          </w:tcPr>
          <w:p>
            <w:pPr>
              <w:spacing w:after="0"/>
              <w:rPr>
                <w:sz w:val="19"/>
                <w:szCs w:val="19"/>
                <w:color w:val="auto"/>
              </w:rPr>
            </w:pPr>
          </w:p>
        </w:tc>
      </w:tr>
      <w:tr>
        <w:trPr>
          <w:trHeight w:val="230"/>
        </w:trPr>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AXS-07</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9,060,693</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14,787,625</w:t>
            </w:r>
          </w:p>
        </w:tc>
        <w:tc>
          <w:tcPr>
            <w:tcW w:w="160" w:type="dxa"/>
            <w:vAlign w:val="bottom"/>
            <w:shd w:val="clear" w:color="auto" w:fill="CFF0FC"/>
          </w:tcPr>
          <w:p>
            <w:pPr>
              <w:spacing w:after="0"/>
              <w:rPr>
                <w:sz w:val="19"/>
                <w:szCs w:val="19"/>
                <w:color w:val="auto"/>
              </w:rPr>
            </w:pPr>
          </w:p>
        </w:tc>
      </w:tr>
      <w:tr>
        <w:trPr>
          <w:trHeight w:val="221"/>
        </w:trPr>
        <w:tc>
          <w:tcPr>
            <w:tcW w:w="7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AXS-12</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7,091,036</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4,862,688</w:t>
            </w:r>
          </w:p>
        </w:tc>
        <w:tc>
          <w:tcPr>
            <w:tcW w:w="160" w:type="dxa"/>
            <w:vAlign w:val="bottom"/>
          </w:tcPr>
          <w:p>
            <w:pPr>
              <w:spacing w:after="0"/>
              <w:rPr>
                <w:sz w:val="19"/>
                <w:szCs w:val="19"/>
                <w:color w:val="auto"/>
              </w:rPr>
            </w:pPr>
          </w:p>
        </w:tc>
      </w:tr>
      <w:tr>
        <w:trPr>
          <w:trHeight w:val="230"/>
        </w:trPr>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AXS-14</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2,330,131</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235,933</w:t>
            </w:r>
          </w:p>
        </w:tc>
        <w:tc>
          <w:tcPr>
            <w:tcW w:w="160" w:type="dxa"/>
            <w:vAlign w:val="bottom"/>
            <w:shd w:val="clear" w:color="auto" w:fill="CFF0FC"/>
          </w:tcPr>
          <w:p>
            <w:pPr>
              <w:spacing w:after="0"/>
              <w:rPr>
                <w:sz w:val="19"/>
                <w:szCs w:val="19"/>
                <w:color w:val="auto"/>
              </w:rPr>
            </w:pPr>
          </w:p>
        </w:tc>
      </w:tr>
      <w:tr>
        <w:trPr>
          <w:trHeight w:val="221"/>
        </w:trPr>
        <w:tc>
          <w:tcPr>
            <w:tcW w:w="7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research and development</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4,077,772</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6,192,869</w:t>
            </w:r>
          </w:p>
        </w:tc>
        <w:tc>
          <w:tcPr>
            <w:tcW w:w="160" w:type="dxa"/>
            <w:vAlign w:val="bottom"/>
          </w:tcPr>
          <w:p>
            <w:pPr>
              <w:spacing w:after="0"/>
              <w:rPr>
                <w:sz w:val="19"/>
                <w:szCs w:val="19"/>
                <w:color w:val="auto"/>
              </w:rPr>
            </w:pPr>
          </w:p>
        </w:tc>
      </w:tr>
      <w:tr>
        <w:trPr>
          <w:trHeight w:val="225"/>
        </w:trPr>
        <w:tc>
          <w:tcPr>
            <w:tcW w:w="7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8,604,408</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7,456,049</w:t>
            </w:r>
          </w:p>
        </w:tc>
        <w:tc>
          <w:tcPr>
            <w:tcW w:w="160" w:type="dxa"/>
            <w:vAlign w:val="bottom"/>
            <w:tcBorders>
              <w:bottom w:val="single" w:sz="8" w:color="CFF0FC"/>
            </w:tcBorders>
            <w:shd w:val="clear" w:color="auto" w:fill="CFF0FC"/>
          </w:tcPr>
          <w:p>
            <w:pPr>
              <w:spacing w:after="0"/>
              <w:rPr>
                <w:sz w:val="19"/>
                <w:szCs w:val="19"/>
                <w:color w:val="auto"/>
              </w:rPr>
            </w:pPr>
          </w:p>
        </w:tc>
      </w:tr>
      <w:tr>
        <w:trPr>
          <w:trHeight w:val="218"/>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57,947,447</w:t>
            </w:r>
          </w:p>
        </w:tc>
        <w:tc>
          <w:tcPr>
            <w:tcW w:w="680" w:type="dxa"/>
            <w:vAlign w:val="bottom"/>
            <w:gridSpan w:val="2"/>
          </w:tcPr>
          <w:p>
            <w:pPr>
              <w:jc w:val="right"/>
              <w:ind w:right="317"/>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58,060,725</w:t>
            </w:r>
          </w:p>
        </w:tc>
        <w:tc>
          <w:tcPr>
            <w:tcW w:w="16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-173990</wp:posOffset>
            </wp:positionV>
            <wp:extent cx="119380" cy="1746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9380" cy="174625"/>
                    </a:xfrm>
                    <a:prstGeom prst="rect">
                      <a:avLst/>
                    </a:prstGeom>
                    <a:noFill/>
                  </pic:spPr>
                </pic:pic>
              </a:graphicData>
            </a:graphic>
          </wp:anchor>
        </w:drawing>
        <w:drawing>
          <wp:anchor simplePos="0" relativeHeight="251657728" behindDoc="1" locked="0" layoutInCell="0" allowOverlap="1">
            <wp:simplePos x="0" y="0"/>
            <wp:positionH relativeFrom="column">
              <wp:posOffset>7031355</wp:posOffset>
            </wp:positionH>
            <wp:positionV relativeFrom="paragraph">
              <wp:posOffset>-173990</wp:posOffset>
            </wp:positionV>
            <wp:extent cx="111125" cy="1746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1125" cy="174625"/>
                    </a:xfrm>
                    <a:prstGeom prst="rect">
                      <a:avLst/>
                    </a:prstGeom>
                    <a:noFill/>
                  </pic:spPr>
                </pic:pic>
              </a:graphicData>
            </a:graphic>
          </wp:anchor>
        </w:drawing>
      </w:r>
    </w:p>
    <w:p>
      <w:pPr>
        <w:spacing w:after="0" w:line="189" w:lineRule="exact"/>
        <w:rPr>
          <w:sz w:val="20"/>
          <w:szCs w:val="20"/>
          <w:color w:val="auto"/>
        </w:rPr>
      </w:pPr>
    </w:p>
    <w:p>
      <w:pPr>
        <w:ind w:right="80" w:firstLine="750"/>
        <w:spacing w:after="0" w:line="271" w:lineRule="auto"/>
        <w:rPr>
          <w:sz w:val="20"/>
          <w:szCs w:val="20"/>
          <w:color w:val="auto"/>
        </w:rPr>
      </w:pPr>
      <w:r>
        <w:rPr>
          <w:rFonts w:ascii="Times New Roman" w:cs="Times New Roman" w:eastAsia="Times New Roman" w:hAnsi="Times New Roman"/>
          <w:sz w:val="17"/>
          <w:szCs w:val="17"/>
          <w:color w:val="auto"/>
        </w:rPr>
        <w:t>Other research and development expenses primarily consist of employee salaries and benefits, facilities and overhead costs. Beginning July 2021, employee salaries and benefits were allocated to specific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09" w:lineRule="exact"/>
        <w:rPr>
          <w:sz w:val="20"/>
          <w:szCs w:val="20"/>
          <w:color w:val="auto"/>
        </w:rPr>
      </w:pPr>
    </w:p>
    <w:p>
      <w:pPr>
        <w:ind w:right="140" w:firstLine="750"/>
        <w:spacing w:after="0" w:line="254" w:lineRule="auto"/>
        <w:rPr>
          <w:sz w:val="20"/>
          <w:szCs w:val="20"/>
          <w:color w:val="auto"/>
        </w:rPr>
      </w:pPr>
      <w:r>
        <w:rPr>
          <w:rFonts w:ascii="Times New Roman" w:cs="Times New Roman" w:eastAsia="Times New Roman" w:hAnsi="Times New Roman"/>
          <w:sz w:val="17"/>
          <w:szCs w:val="17"/>
          <w:color w:val="auto"/>
        </w:rPr>
        <w:t>Selling, general and administrative expenses were primarily consist of salaries and related costs for personnel in executive, commercial, finance, and operational functions, and include stock-based compensation and travel expenses. Also included in selling, general and administrative expenses are commercial costs, marketing, pre-commercialization costs, facility-related costs, insurance expense, professional fees for legal and accounting services, and patent filing and prosecution costs. Selling, general and administrative expenses are expensed when incurred.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209" w:lineRule="exact"/>
        <w:rPr>
          <w:sz w:val="20"/>
          <w:szCs w:val="20"/>
          <w:color w:val="auto"/>
        </w:rPr>
      </w:pPr>
    </w:p>
    <w:p>
      <w:pPr>
        <w:ind w:right="140" w:firstLine="750"/>
        <w:spacing w:after="0" w:line="258" w:lineRule="auto"/>
        <w:rPr>
          <w:sz w:val="20"/>
          <w:szCs w:val="20"/>
          <w:color w:val="auto"/>
        </w:rPr>
      </w:pPr>
      <w:r>
        <w:rPr>
          <w:rFonts w:ascii="Times New Roman" w:cs="Times New Roman" w:eastAsia="Times New Roman" w:hAnsi="Times New Roman"/>
          <w:sz w:val="17"/>
          <w:szCs w:val="17"/>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209" w:lineRule="exact"/>
        <w:rPr>
          <w:sz w:val="20"/>
          <w:szCs w:val="20"/>
          <w:color w:val="auto"/>
        </w:rPr>
      </w:pPr>
    </w:p>
    <w:p>
      <w:pPr>
        <w:ind w:right="60" w:firstLine="750"/>
        <w:spacing w:after="0" w:line="303" w:lineRule="auto"/>
        <w:rPr>
          <w:sz w:val="20"/>
          <w:szCs w:val="20"/>
          <w:color w:val="auto"/>
        </w:rPr>
      </w:pPr>
      <w:r>
        <w:rPr>
          <w:rFonts w:ascii="Times New Roman" w:cs="Times New Roman" w:eastAsia="Times New Roman" w:hAnsi="Times New Roman"/>
          <w:sz w:val="16"/>
          <w:szCs w:val="16"/>
          <w:color w:val="auto"/>
        </w:rPr>
        <w:t>Intangible assets are amortized using the straight-line method over their estimated period of benefit of ten years. We evaluate the recoverability of intangible assets periodically by considering events or changes in circumstances that may warrant revised estimates of useful lives or that indicate the asset may be impaired.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in contingent consideration</w:t>
      </w:r>
    </w:p>
    <w:p>
      <w:pPr>
        <w:spacing w:after="0" w:line="209" w:lineRule="exact"/>
        <w:rPr>
          <w:sz w:val="20"/>
          <w:szCs w:val="20"/>
          <w:color w:val="auto"/>
        </w:rPr>
      </w:pPr>
    </w:p>
    <w:p>
      <w:pPr>
        <w:ind w:right="160" w:firstLine="750"/>
        <w:spacing w:after="0" w:line="250" w:lineRule="auto"/>
        <w:rPr>
          <w:sz w:val="20"/>
          <w:szCs w:val="20"/>
          <w:color w:val="auto"/>
        </w:rPr>
      </w:pPr>
      <w:r>
        <w:rPr>
          <w:rFonts w:ascii="Times New Roman" w:cs="Times New Roman" w:eastAsia="Times New Roman" w:hAnsi="Times New Roman"/>
          <w:sz w:val="17"/>
          <w:szCs w:val="17"/>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our U.S. net sales of Sunosi in the current indication and a mid single-digit royalty on our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estimated future cash outflows based on future sales.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209" w:lineRule="exact"/>
        <w:rPr>
          <w:sz w:val="20"/>
          <w:szCs w:val="20"/>
          <w:color w:val="auto"/>
        </w:rPr>
      </w:pPr>
    </w:p>
    <w:p>
      <w:pPr>
        <w:ind w:right="40" w:firstLine="750"/>
        <w:spacing w:after="0" w:line="250" w:lineRule="auto"/>
        <w:rPr>
          <w:sz w:val="20"/>
          <w:szCs w:val="20"/>
          <w:color w:val="auto"/>
        </w:rPr>
      </w:pPr>
      <w:r>
        <w:rPr>
          <w:rFonts w:ascii="Times New Roman" w:cs="Times New Roman" w:eastAsia="Times New Roman" w:hAnsi="Times New Roman"/>
          <w:sz w:val="17"/>
          <w:szCs w:val="17"/>
          <w:color w:val="auto"/>
        </w:rPr>
        <w:t>This discussion and analysis of our financial condition and results of operations is based on our consolidated financial statements, which have been prepared in accordance with generally accepted accounting principles in the United States of America, or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80" w:lineRule="exact"/>
        <w:rPr>
          <w:sz w:val="20"/>
          <w:szCs w:val="20"/>
          <w:color w:val="auto"/>
        </w:rPr>
      </w:pPr>
    </w:p>
    <w:p>
      <w:pPr>
        <w:ind w:right="320" w:firstLine="750"/>
        <w:spacing w:after="0" w:line="303" w:lineRule="auto"/>
        <w:rPr>
          <w:sz w:val="20"/>
          <w:szCs w:val="20"/>
          <w:color w:val="auto"/>
        </w:rPr>
      </w:pPr>
      <w:r>
        <w:rPr>
          <w:rFonts w:ascii="Times New Roman" w:cs="Times New Roman" w:eastAsia="Times New Roman" w:hAnsi="Times New Roman"/>
          <w:sz w:val="16"/>
          <w:szCs w:val="16"/>
          <w:color w:val="auto"/>
        </w:rPr>
        <w:t>While our significant accounting policies are more fully described in Note 2 to our audited consolidated financial statements appearing elsewhere in this report, we believe the following accounting policies are critical to the judgments and estimates we use in the preparation of our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09"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Revenues from product sales are recorded at the net sales price, which includes estimates of variable consideration that result from: invoice discounts for prompt payment and distribution service fees, government rebates, Pharmacy Benefit Managers ("PBMs") and Managed Care Organization rebates, chargebacks, discounts and fees, product returns and costs of co-pay assistance programs for patients. Reserves are established for the estimates of variable consideration based on the amounts earned or to be claimed on the related sales. The reserves are classified as reductions to Accounts receivable, net or accrued expenses and other current liabilities. 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our best estimate of the amount of consideration to which the Company is entitled based on the terms of the contracts.</w:t>
      </w:r>
    </w:p>
    <w:p>
      <w:pPr>
        <w:spacing w:after="0" w:line="176"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We make significant estimates and judgments that materially affect our recognition of net product revenue. Claims by third parties for rebates, chargebacks and discounts frequently are submitted to us significantly after the related sales, potentially resulting in adjustments in the period in which the new information becomes known. We will adjust our estimates based on new information, including information regarding actual rebates, chargebacks and discounts for our products, as it becomes available.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09" w:lineRule="exact"/>
        <w:rPr>
          <w:sz w:val="20"/>
          <w:szCs w:val="20"/>
          <w:color w:val="auto"/>
        </w:rPr>
      </w:pPr>
    </w:p>
    <w:p>
      <w:pPr>
        <w:ind w:right="40" w:firstLine="750"/>
        <w:spacing w:after="0" w:line="249"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expenses consist primarily of personnel costs for our research and development employees,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09"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Goodwill is deemed to have an indefinite life and therefore not amortized. We test the carrying amounts of goodwill for recoverability on an annual basis or more frequently if events or changes in circumstances indicate that the asset might be impaired. We perform a one-step test in its evaluation of the carrying value of goodwill if qualitative factors determine it is necessary to complete a goodwill impairment test. In the evaluation,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our consolidated statements of operations. As of December 31, 2022, the Company has determined that it has one reporting unit. The Company has not identified any events or changes in circumstances that indicate the existence of potential impairment of goodwill during the year ended December 31,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209"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7"/>
          <w:szCs w:val="17"/>
          <w:color w:val="auto"/>
        </w:rPr>
        <w:t>Intangible assets are amortized using the straight-line method over their estimated period of benefit of ten years. We evaluate the recoverability of intangible assets periodically by considering events or changes in circumstances that may warrant revised estimates of useful lives or that indicate the asset may be impaired. We have not identified any events or changes in circumstances that indicate the existence of potential impairment of intangible assets during the year ended December 31,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Consideration</w:t>
      </w:r>
    </w:p>
    <w:p>
      <w:pPr>
        <w:spacing w:after="0" w:line="209" w:lineRule="exact"/>
        <w:rPr>
          <w:sz w:val="20"/>
          <w:szCs w:val="20"/>
          <w:color w:val="auto"/>
        </w:rPr>
      </w:pPr>
    </w:p>
    <w:p>
      <w:pPr>
        <w:ind w:right="60" w:firstLine="750"/>
        <w:spacing w:after="0" w:line="250" w:lineRule="auto"/>
        <w:rPr>
          <w:sz w:val="20"/>
          <w:szCs w:val="20"/>
          <w:color w:val="auto"/>
        </w:rPr>
      </w:pPr>
      <w:r>
        <w:rPr>
          <w:rFonts w:ascii="Times New Roman" w:cs="Times New Roman" w:eastAsia="Times New Roman" w:hAnsi="Times New Roman"/>
          <w:sz w:val="17"/>
          <w:szCs w:val="17"/>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 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We estimate the fair value of the contingent consideration as of the acquisition date and reporting periods thereafter using the estimated future cash outflows based on future sales.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09"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0" w:lineRule="exact"/>
        <w:rPr>
          <w:sz w:val="20"/>
          <w:szCs w:val="20"/>
          <w:color w:val="auto"/>
        </w:rPr>
      </w:pPr>
    </w:p>
    <w:p>
      <w:pPr>
        <w:jc w:val="both"/>
        <w:ind w:right="120" w:firstLine="750"/>
        <w:spacing w:after="0" w:line="282" w:lineRule="auto"/>
        <w:rPr>
          <w:sz w:val="20"/>
          <w:szCs w:val="20"/>
          <w:color w:val="auto"/>
        </w:rPr>
      </w:pPr>
      <w:r>
        <w:rPr>
          <w:rFonts w:ascii="Times New Roman" w:cs="Times New Roman" w:eastAsia="Times New Roman" w:hAnsi="Times New Roman"/>
          <w:sz w:val="16"/>
          <w:szCs w:val="16"/>
          <w:color w:val="auto"/>
        </w:rPr>
        <w:t>We recognize the tax benefit from an uncertain tax position only if it is more likely than not to be sustained upon examination based on the technical merits of the position as well as consideration of the available facts and circumstances. When uncertain tax positions exist, we recognize the tax benefit of tax positions to the extent that the benefit will more likely than not be realized. As of December 31, 2022, we do not believe any material uncertain tax positions are present.</w:t>
      </w:r>
    </w:p>
    <w:p>
      <w:pPr>
        <w:spacing w:after="0" w:line="152" w:lineRule="exact"/>
        <w:rPr>
          <w:sz w:val="20"/>
          <w:szCs w:val="20"/>
          <w:color w:val="auto"/>
        </w:rPr>
      </w:pPr>
    </w:p>
    <w:p>
      <w:pPr>
        <w:jc w:val="both"/>
        <w:ind w:right="100" w:firstLine="750"/>
        <w:spacing w:after="0" w:line="258" w:lineRule="auto"/>
        <w:rPr>
          <w:sz w:val="20"/>
          <w:szCs w:val="20"/>
          <w:color w:val="auto"/>
        </w:rPr>
      </w:pPr>
      <w:r>
        <w:rPr>
          <w:rFonts w:ascii="Times New Roman" w:cs="Times New Roman" w:eastAsia="Times New Roman" w:hAnsi="Times New Roman"/>
          <w:sz w:val="17"/>
          <w:szCs w:val="17"/>
          <w:color w:val="auto"/>
        </w:rPr>
        <w:t>As of December 31, 2022, we had U.S. federal net operating loss, or NOL carryforwards of approximately $458 million and foreign NOL carryforwads of $7.8 million. U.S. federal NOLs amounting to $60 million generated before the 2018 tax year will start expiring beginning 2032, and the NOLs of approximately $398 million generated in 2018 and later have an indefinite carryforward period.</w:t>
      </w:r>
    </w:p>
    <w:p>
      <w:pPr>
        <w:spacing w:after="0" w:line="170" w:lineRule="exact"/>
        <w:rPr>
          <w:sz w:val="20"/>
          <w:szCs w:val="20"/>
          <w:color w:val="auto"/>
        </w:rPr>
      </w:pPr>
    </w:p>
    <w:p>
      <w:pPr>
        <w:ind w:right="20" w:firstLine="750"/>
        <w:spacing w:after="0" w:line="258" w:lineRule="auto"/>
        <w:rPr>
          <w:sz w:val="20"/>
          <w:szCs w:val="20"/>
          <w:color w:val="auto"/>
        </w:rPr>
      </w:pPr>
      <w:r>
        <w:rPr>
          <w:rFonts w:ascii="Times New Roman" w:cs="Times New Roman" w:eastAsia="Times New Roman" w:hAnsi="Times New Roman"/>
          <w:sz w:val="17"/>
          <w:szCs w:val="17"/>
          <w:color w:val="auto"/>
        </w:rPr>
        <w:t>Utilization of the NOLs may be subject to a substantial annual limitation due to ownership change limitations provided by the Internal Revenue Code of 1986, as amended. The annual limitation for net operating losses incurred before the 2018 tax year may result in expiration before we can use them. We have recorded a valuation allowance on all of our deferred tax assets.</w:t>
      </w:r>
    </w:p>
    <w:p>
      <w:pPr>
        <w:spacing w:after="0" w:line="14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i w:val="1"/>
          <w:iCs w:val="1"/>
          <w:color w:val="auto"/>
        </w:rPr>
        <w:t>Stock</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-51435</wp:posOffset>
            </wp:positionV>
            <wp:extent cx="6096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960" cy="38100"/>
                    </a:xfrm>
                    <a:prstGeom prst="rect">
                      <a:avLst/>
                    </a:prstGeom>
                    <a:noFill/>
                  </pic:spPr>
                </pic:pic>
              </a:graphicData>
            </a:graphic>
          </wp:anchor>
        </w:drawing>
      </w:r>
    </w:p>
    <w:p>
      <w:pPr>
        <w:spacing w:after="0" w:line="185" w:lineRule="exact"/>
        <w:rPr>
          <w:sz w:val="20"/>
          <w:szCs w:val="20"/>
          <w:color w:val="auto"/>
        </w:rPr>
      </w:pPr>
    </w:p>
    <w:p>
      <w:pPr>
        <w:ind w:firstLine="750"/>
        <w:spacing w:after="0" w:line="207" w:lineRule="exact"/>
        <w:rPr>
          <w:sz w:val="20"/>
          <w:szCs w:val="20"/>
          <w:color w:val="auto"/>
        </w:rPr>
      </w:pPr>
      <w:r>
        <w:rPr>
          <w:rFonts w:ascii="Times New Roman" w:cs="Times New Roman" w:eastAsia="Times New Roman" w:hAnsi="Times New Roman"/>
          <w:sz w:val="16"/>
          <w:szCs w:val="16"/>
          <w:color w:val="auto"/>
        </w:rPr>
        <w:t>For issued stock options, we estimate the grant date fair value of each option using the Black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Scholes option pricing model. The Black-Scholes model takes into account the expected volatility of our common stock, the risk-free interest rate, the estimated life of the option, the closing market price of our common stock, expected dividend yield and the exercise price. The estimates utilized in the Black-Scholes calculation involve inherent uncertainties and the application of management judgment. In addition, we recognize expense for equity award forfeitures as they occur. For awards subject to service-based vesting conditions, we recognize stock-based compensation expense on a straight-line basis over the requisite service period, which is generally the vesting term. For awards subject to performance-based vesting conditions, we recognize stock-based compensation expense using the accelerated attribution method when it is probable that the performance condition will be achieved. The expense related to the stock-based compensation is recorded within the financial statement line item the grantee’s cash compensation is recorded in.</w:t>
      </w:r>
    </w:p>
    <w:p>
      <w:pPr>
        <w:spacing w:after="0" w:line="184" w:lineRule="exact"/>
        <w:rPr>
          <w:sz w:val="20"/>
          <w:szCs w:val="20"/>
          <w:color w:val="auto"/>
        </w:rPr>
      </w:pPr>
    </w:p>
    <w:p>
      <w:pPr>
        <w:ind w:right="60" w:firstLine="750"/>
        <w:spacing w:after="0" w:line="271" w:lineRule="auto"/>
        <w:rPr>
          <w:sz w:val="20"/>
          <w:szCs w:val="20"/>
          <w:color w:val="auto"/>
        </w:rPr>
      </w:pPr>
      <w:r>
        <w:rPr>
          <w:rFonts w:ascii="Times New Roman" w:cs="Times New Roman" w:eastAsia="Times New Roman" w:hAnsi="Times New Roman"/>
          <w:sz w:val="17"/>
          <w:szCs w:val="17"/>
          <w:color w:val="auto"/>
        </w:rPr>
        <w:t>Our policy upon exercise of stock options is that shares will be issued as new shares drawing on our 2015 Omnibus Incentive Compensation Plan share pool that was adopted by the stockholders in November 2015.</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2022 and 2021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55"/>
        </w:trPr>
        <w:tc>
          <w:tcPr>
            <w:tcW w:w="75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3"/>
                <w:szCs w:val="13"/>
                <w:color w:val="auto"/>
              </w:rPr>
            </w:pPr>
          </w:p>
        </w:tc>
      </w:tr>
      <w:tr>
        <w:trPr>
          <w:trHeight w:val="218"/>
        </w:trPr>
        <w:tc>
          <w:tcPr>
            <w:tcW w:w="7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5"/>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r>
      <w:tr>
        <w:trPr>
          <w:trHeight w:val="221"/>
        </w:trPr>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Product sales, net</w:t>
            </w: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50,037,106</w:t>
            </w:r>
          </w:p>
        </w:tc>
        <w:tc>
          <w:tcPr>
            <w:tcW w:w="560" w:type="dxa"/>
            <w:vAlign w:val="bottom"/>
            <w:gridSpan w:val="2"/>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r>
      <w:tr>
        <w:trPr>
          <w:trHeight w:val="221"/>
        </w:trPr>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Cost of product sales (excluding amortization and depreciation)</w:t>
            </w:r>
          </w:p>
        </w:tc>
        <w:tc>
          <w:tcPr>
            <w:tcW w:w="38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5,197,595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57,947,447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58,060,725</w:t>
            </w:r>
          </w:p>
        </w:tc>
        <w:tc>
          <w:tcPr>
            <w:tcW w:w="160" w:type="dxa"/>
            <w:vAlign w:val="bottom"/>
            <w:shd w:val="clear" w:color="auto" w:fill="CFF0FC"/>
          </w:tcPr>
          <w:p>
            <w:pPr>
              <w:spacing w:after="0"/>
              <w:rPr>
                <w:sz w:val="19"/>
                <w:szCs w:val="19"/>
                <w:color w:val="auto"/>
              </w:rPr>
            </w:pPr>
          </w:p>
        </w:tc>
      </w:tr>
      <w:tr>
        <w:trPr>
          <w:trHeight w:val="221"/>
        </w:trPr>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8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159,253,663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66,646,205</w:t>
            </w:r>
          </w:p>
        </w:tc>
        <w:tc>
          <w:tcPr>
            <w:tcW w:w="160" w:type="dxa"/>
            <w:vAlign w:val="bottom"/>
          </w:tcPr>
          <w:p>
            <w:pPr>
              <w:spacing w:after="0"/>
              <w:rPr>
                <w:sz w:val="19"/>
                <w:szCs w:val="19"/>
                <w:color w:val="auto"/>
              </w:rPr>
            </w:pPr>
          </w:p>
        </w:tc>
      </w:tr>
      <w:tr>
        <w:trPr>
          <w:trHeight w:val="230"/>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Loss in fair value of contingent consideration</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3,298,230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38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4,139,228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229,836,163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124,706,930</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41"/>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(179,799,057 )</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(124,706,930 )</w:t>
            </w:r>
          </w:p>
        </w:tc>
        <w:tc>
          <w:tcPr>
            <w:tcW w:w="160" w:type="dxa"/>
            <w:vAlign w:val="bottom"/>
          </w:tcPr>
          <w:p>
            <w:pPr>
              <w:spacing w:after="0"/>
              <w:rPr>
                <w:sz w:val="20"/>
                <w:szCs w:val="20"/>
                <w:color w:val="auto"/>
              </w:rPr>
            </w:pPr>
          </w:p>
        </w:tc>
      </w:tr>
      <w:tr>
        <w:trPr>
          <w:trHeight w:val="25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(7,334,596 )</w:t>
            </w:r>
          </w:p>
        </w:tc>
        <w:tc>
          <w:tcPr>
            <w:tcW w:w="20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(5,696,062 )</w:t>
            </w:r>
          </w:p>
        </w:tc>
        <w:tc>
          <w:tcPr>
            <w:tcW w:w="160" w:type="dxa"/>
            <w:vAlign w:val="bottom"/>
            <w:shd w:val="clear" w:color="auto" w:fill="CFF0FC"/>
          </w:tcPr>
          <w:p>
            <w:pPr>
              <w:spacing w:after="0"/>
              <w:rPr>
                <w:sz w:val="22"/>
                <w:szCs w:val="22"/>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(187,133,653 )</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(130,402,992 )</w:t>
            </w:r>
          </w:p>
        </w:tc>
        <w:tc>
          <w:tcPr>
            <w:tcW w:w="16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380" w:type="dxa"/>
            <w:vAlign w:val="bottom"/>
            <w:tcBorders>
              <w:top w:val="single" w:sz="8" w:color="auto"/>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(4.60 )</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(3.47 )</w:t>
            </w:r>
          </w:p>
        </w:tc>
        <w:tc>
          <w:tcPr>
            <w:tcW w:w="160" w:type="dxa"/>
            <w:vAlign w:val="bottom"/>
            <w:tcBorders>
              <w:bottom w:val="single" w:sz="8" w:color="CFF0FC"/>
            </w:tcBorders>
            <w:shd w:val="clear" w:color="auto" w:fill="CFF0FC"/>
          </w:tcPr>
          <w:p>
            <w:pPr>
              <w:spacing w:after="0"/>
              <w:rPr>
                <w:sz w:val="21"/>
                <w:szCs w:val="21"/>
                <w:color w:val="auto"/>
              </w:rPr>
            </w:pPr>
          </w:p>
        </w:tc>
      </w:tr>
      <w:tr>
        <w:trPr>
          <w:trHeight w:val="203"/>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basic and diluted</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rPr>
              <w:t>40,655,941</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37,618,599</w:t>
            </w:r>
          </w:p>
        </w:tc>
        <w:tc>
          <w:tcPr>
            <w:tcW w:w="160" w:type="dxa"/>
            <w:vAlign w:val="bottom"/>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-833755</wp:posOffset>
            </wp:positionV>
            <wp:extent cx="119380" cy="1670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9380" cy="167005"/>
                    </a:xfrm>
                    <a:prstGeom prst="rect">
                      <a:avLst/>
                    </a:prstGeom>
                    <a:noFill/>
                  </pic:spPr>
                </pic:pic>
              </a:graphicData>
            </a:graphic>
          </wp:anchor>
        </w:drawing>
        <w:drawing>
          <wp:anchor simplePos="0" relativeHeight="251657728" behindDoc="1" locked="0" layoutInCell="0" allowOverlap="1">
            <wp:simplePos x="0" y="0"/>
            <wp:positionH relativeFrom="column">
              <wp:posOffset>7031355</wp:posOffset>
            </wp:positionH>
            <wp:positionV relativeFrom="paragraph">
              <wp:posOffset>-833755</wp:posOffset>
            </wp:positionV>
            <wp:extent cx="111125" cy="1670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16700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-189865</wp:posOffset>
            </wp:positionV>
            <wp:extent cx="1271270" cy="1905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1270" cy="190500"/>
                    </a:xfrm>
                    <a:prstGeom prst="rect">
                      <a:avLst/>
                    </a:prstGeom>
                    <a:noFill/>
                  </pic:spPr>
                </pic:pic>
              </a:graphicData>
            </a:graphic>
          </wp:anchor>
        </w:drawing>
      </w:r>
    </w:p>
    <w:p>
      <w:pPr>
        <w:spacing w:after="0" w:line="185" w:lineRule="exact"/>
        <w:rPr>
          <w:sz w:val="20"/>
          <w:szCs w:val="20"/>
          <w:color w:val="auto"/>
        </w:rPr>
      </w:pPr>
    </w:p>
    <w:p>
      <w:pPr>
        <w:ind w:right="120" w:firstLine="750"/>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Product sales, net. </w:t>
      </w:r>
      <w:r>
        <w:rPr>
          <w:rFonts w:ascii="Times New Roman" w:cs="Times New Roman" w:eastAsia="Times New Roman" w:hAnsi="Times New Roman"/>
          <w:sz w:val="16"/>
          <w:szCs w:val="16"/>
          <w:color w:val="auto"/>
        </w:rPr>
        <w:t>Auvelity was launched on October 19, 2022 and had U.S. net sales of $5.2 million for the year ended December 31, 2022. No Auvelity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were reported by Axsome for the 2021 comparable period reflecting the timing of the Auvelity approval and launch. Additionally, we began selling Sunosi in the U.S. in May 2022 and in certain international markets in November 2022, and recorded net sales of $44.8 million for the year ended December 31, 2022, which included $0.9 million in ex-U.S. market net sales. No Sunosi sales were reported by us for the 2021 comparable periods, reflecting the acquisition of Sunosi.</w:t>
      </w:r>
    </w:p>
    <w:p>
      <w:pPr>
        <w:spacing w:after="0" w:line="152" w:lineRule="exact"/>
        <w:rPr>
          <w:sz w:val="20"/>
          <w:szCs w:val="20"/>
          <w:color w:val="auto"/>
        </w:rPr>
      </w:pPr>
    </w:p>
    <w:p>
      <w:pPr>
        <w:ind w:firstLine="75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Cost of product sales. </w:t>
      </w:r>
      <w:r>
        <w:rPr>
          <w:rFonts w:ascii="Times New Roman" w:cs="Times New Roman" w:eastAsia="Times New Roman" w:hAnsi="Times New Roman"/>
          <w:sz w:val="17"/>
          <w:szCs w:val="17"/>
          <w:color w:val="auto"/>
        </w:rPr>
        <w:t>Total cost of product sales was $5.2 million for the year ended December 31, 2022 compared to none for the 2021 comparable periods,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reflecting the acquisition of Sunosi and launch of Auvelity.</w:t>
      </w:r>
    </w:p>
    <w:p>
      <w:pPr>
        <w:spacing w:after="0" w:line="151" w:lineRule="exact"/>
        <w:rPr>
          <w:sz w:val="20"/>
          <w:szCs w:val="20"/>
          <w:color w:val="auto"/>
        </w:rPr>
      </w:pPr>
    </w:p>
    <w:p>
      <w:pPr>
        <w:ind w:right="260" w:firstLine="75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Expenses. </w:t>
      </w:r>
      <w:r>
        <w:rPr>
          <w:rFonts w:ascii="Times New Roman" w:cs="Times New Roman" w:eastAsia="Times New Roman" w:hAnsi="Times New Roman"/>
          <w:sz w:val="17"/>
          <w:szCs w:val="17"/>
          <w:color w:val="auto"/>
        </w:rPr>
        <w:t>Our research and development expenses for the year ended December 31, 2022, were $57.9 million,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$58.1 million for the year ended December 31, 2021, a decrease of $0.2 million. See "Research and Development" section in the "Overview" section above for more further information.</w:t>
      </w:r>
    </w:p>
    <w:p>
      <w:pPr>
        <w:spacing w:after="0" w:line="163" w:lineRule="exact"/>
        <w:rPr>
          <w:sz w:val="20"/>
          <w:szCs w:val="20"/>
          <w:color w:val="auto"/>
        </w:rPr>
      </w:pPr>
    </w:p>
    <w:p>
      <w:pPr>
        <w:jc w:val="both"/>
        <w:ind w:right="100" w:firstLine="75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selling, general and administrative expenses for the year ended December 31, 2022, were $159.3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$66.6 million for the year ended December 31, 2021, an increase of $92.7 million.</w:t>
      </w:r>
    </w:p>
    <w:p>
      <w:pPr>
        <w:spacing w:after="0" w:line="151" w:lineRule="exact"/>
        <w:rPr>
          <w:sz w:val="20"/>
          <w:szCs w:val="20"/>
          <w:color w:val="auto"/>
        </w:rPr>
      </w:pPr>
    </w:p>
    <w:p>
      <w:pPr>
        <w:ind w:right="140" w:firstLine="75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Loss in Fair Value of Contingent Consideration. </w:t>
      </w:r>
      <w:r>
        <w:rPr>
          <w:rFonts w:ascii="Times New Roman" w:cs="Times New Roman" w:eastAsia="Times New Roman" w:hAnsi="Times New Roman"/>
          <w:sz w:val="17"/>
          <w:szCs w:val="17"/>
          <w:color w:val="auto"/>
        </w:rPr>
        <w:t>The change in fair value of contingent consideration was primarily due to the change in discount rates due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market changes.</w:t>
      </w:r>
    </w:p>
    <w:p>
      <w:pPr>
        <w:spacing w:after="0" w:line="151" w:lineRule="exact"/>
        <w:rPr>
          <w:sz w:val="20"/>
          <w:szCs w:val="20"/>
          <w:color w:val="auto"/>
        </w:rPr>
      </w:pPr>
    </w:p>
    <w:p>
      <w:pPr>
        <w:ind w:right="400" w:firstLine="75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Intangible asset amortization. </w:t>
      </w:r>
      <w:r>
        <w:rPr>
          <w:rFonts w:ascii="Times New Roman" w:cs="Times New Roman" w:eastAsia="Times New Roman" w:hAnsi="Times New Roman"/>
          <w:sz w:val="17"/>
          <w:szCs w:val="17"/>
          <w:color w:val="auto"/>
        </w:rPr>
        <w:t>As part of the Sunosi acquisition preliminary purchase price allocation, we determined the identifiable intangible asset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developed technology. We amortize the intangible asset over its useful life of 10 years.</w:t>
      </w:r>
    </w:p>
    <w:p>
      <w:pPr>
        <w:spacing w:after="0" w:line="151" w:lineRule="exact"/>
        <w:rPr>
          <w:sz w:val="20"/>
          <w:szCs w:val="20"/>
          <w:color w:val="auto"/>
        </w:rPr>
      </w:pPr>
    </w:p>
    <w:p>
      <w:pPr>
        <w:jc w:val="both"/>
        <w:ind w:right="100" w:firstLine="75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Interest expense, net. </w:t>
      </w:r>
      <w:r>
        <w:rPr>
          <w:rFonts w:ascii="Times New Roman" w:cs="Times New Roman" w:eastAsia="Times New Roman" w:hAnsi="Times New Roman"/>
          <w:sz w:val="17"/>
          <w:szCs w:val="17"/>
          <w:color w:val="auto"/>
        </w:rPr>
        <w:t>Interest expense, net for the year ended December 31, 2022, was $7.3 million, compared to $5.7 million for the year ended December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31, 2021, an increase of $1.6 million. The increase is mainly due to a higher debt balance compared to the prior comparable period due to the execution of the Second Amendment to the 2020 Term Loan in May 2022.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9" w:lineRule="exact"/>
        <w:rPr>
          <w:sz w:val="20"/>
          <w:szCs w:val="20"/>
          <w:color w:val="auto"/>
        </w:rPr>
      </w:pPr>
    </w:p>
    <w:p>
      <w:pPr>
        <w:ind w:right="260" w:firstLine="750"/>
        <w:spacing w:after="0" w:line="271" w:lineRule="auto"/>
        <w:rPr>
          <w:sz w:val="20"/>
          <w:szCs w:val="20"/>
          <w:color w:val="auto"/>
        </w:rPr>
      </w:pPr>
      <w:r>
        <w:rPr>
          <w:rFonts w:ascii="Times New Roman" w:cs="Times New Roman" w:eastAsia="Times New Roman" w:hAnsi="Times New Roman"/>
          <w:sz w:val="17"/>
          <w:szCs w:val="17"/>
          <w:color w:val="auto"/>
        </w:rPr>
        <w:t>Since our inception through December 31, 2022, we have financed our operations primarily through equity offerings, debt borrowings and proceeds from product sales. See discussion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w:t>
      </w:r>
    </w:p>
    <w:p>
      <w:pPr>
        <w:spacing w:after="0" w:line="209" w:lineRule="exact"/>
        <w:rPr>
          <w:sz w:val="20"/>
          <w:szCs w:val="20"/>
          <w:color w:val="auto"/>
        </w:rPr>
      </w:pPr>
    </w:p>
    <w:p>
      <w:pPr>
        <w:ind w:right="60" w:firstLine="750"/>
        <w:spacing w:after="0" w:line="252" w:lineRule="auto"/>
        <w:rPr>
          <w:sz w:val="20"/>
          <w:szCs w:val="20"/>
          <w:color w:val="auto"/>
        </w:rPr>
      </w:pPr>
      <w:r>
        <w:rPr>
          <w:rFonts w:ascii="Times New Roman" w:cs="Times New Roman" w:eastAsia="Times New Roman" w:hAnsi="Times New Roman"/>
          <w:sz w:val="17"/>
          <w:szCs w:val="17"/>
          <w:color w:val="auto"/>
        </w:rPr>
        <w:t>On December 2, 2022, we filed an automatic shelf registration statement with the SEC for the issuance of common stock, preferred stock, warrants, rights, debt securities and units up to an unlimited amount, which we refer to as the 2022 Shelf Registration Statement. It was declared effective by the SEC upon filing. In the future, we may conduct additional offerings of one or more of these securities utilizing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75" w:lineRule="exact"/>
        <w:rPr>
          <w:sz w:val="20"/>
          <w:szCs w:val="20"/>
          <w:color w:val="auto"/>
        </w:rPr>
      </w:pPr>
    </w:p>
    <w:p>
      <w:pPr>
        <w:jc w:val="both"/>
        <w:ind w:right="20" w:firstLine="750"/>
        <w:spacing w:after="0" w:line="254" w:lineRule="auto"/>
        <w:rPr>
          <w:sz w:val="20"/>
          <w:szCs w:val="20"/>
          <w:color w:val="auto"/>
        </w:rPr>
      </w:pPr>
      <w:r>
        <w:rPr>
          <w:rFonts w:ascii="Times New Roman" w:cs="Times New Roman" w:eastAsia="Times New Roman" w:hAnsi="Times New Roman"/>
          <w:sz w:val="17"/>
          <w:szCs w:val="17"/>
          <w:color w:val="auto"/>
        </w:rPr>
        <w:t>In December 2019, we entered into a sales agreement, or the December 2019 Sales Agreement, with SVB Leerink, pursuant to which we may sell up to $80 million in shares of our common stock from time to time through SVB Leerink, acting as our sales agent, in one or more at-the-market offerings utilizing the automatic shelf registration statement we previously filed with the SEC on December 5, 2019, which we refer to as the 2019 Shelf Registration Statement. SVB Leerink is entitled to receive a commission of 3.0% of the gross proceeds for any shares sold under the December 2019 Sales Agreement.</w:t>
      </w:r>
    </w:p>
    <w:p>
      <w:pPr>
        <w:spacing w:after="0" w:line="173" w:lineRule="exact"/>
        <w:rPr>
          <w:sz w:val="20"/>
          <w:szCs w:val="20"/>
          <w:color w:val="auto"/>
        </w:rPr>
      </w:pPr>
    </w:p>
    <w:p>
      <w:pPr>
        <w:ind w:right="260" w:firstLine="750"/>
        <w:spacing w:after="0" w:line="252" w:lineRule="auto"/>
        <w:rPr>
          <w:sz w:val="20"/>
          <w:szCs w:val="20"/>
          <w:color w:val="auto"/>
        </w:rPr>
      </w:pPr>
      <w:r>
        <w:rPr>
          <w:rFonts w:ascii="Times New Roman" w:cs="Times New Roman" w:eastAsia="Times New Roman" w:hAnsi="Times New Roman"/>
          <w:sz w:val="17"/>
          <w:szCs w:val="17"/>
          <w:color w:val="auto"/>
        </w:rPr>
        <w:t>In March 2022, we entered into a sales agreement, or the March 2022 Sales Agreement, with SVB Securities, pursuant to which we may sell up to $200 million in shares of our common stock from time to time through SVB Securities, acting as our sales agent, in one or more at-the-market offerings utilizing the 2019 Shelf Registration Statement. SVB Securities is entitled to receive a commission of up to 3.0% of the gross proceeds for any shares sold under the March 2022 Sales Agreement. The March 2022 Sales Agreement supersedes the December 2019 Sales Agreement, by and between the Company and SVB Securities. The Company exhausted sales of its shares of the Company’s common stock under its prior at-the-market offering program.</w:t>
      </w:r>
    </w:p>
    <w:p>
      <w:pPr>
        <w:spacing w:after="0" w:line="175" w:lineRule="exact"/>
        <w:rPr>
          <w:sz w:val="20"/>
          <w:szCs w:val="20"/>
          <w:color w:val="auto"/>
        </w:rPr>
      </w:pPr>
    </w:p>
    <w:p>
      <w:pPr>
        <w:ind w:right="100" w:firstLine="750"/>
        <w:spacing w:after="0" w:line="258" w:lineRule="auto"/>
        <w:rPr>
          <w:sz w:val="20"/>
          <w:szCs w:val="20"/>
          <w:color w:val="auto"/>
        </w:rPr>
      </w:pPr>
      <w:r>
        <w:rPr>
          <w:rFonts w:ascii="Times New Roman" w:cs="Times New Roman" w:eastAsia="Times New Roman" w:hAnsi="Times New Roman"/>
          <w:sz w:val="17"/>
          <w:szCs w:val="17"/>
          <w:color w:val="auto"/>
        </w:rPr>
        <w:t>In August 2022, we filed a prospectus supplement to the 2019 Shelf Registration Statement for the issuance and sale, if any, of up to an additional $250 million in shares of our common stock under the March 2022 Sales Agreement. We will pay SVB Securities a commission of up to 3.0% of the gross sales proceeds of any shares sold through SVB Securities, acting as sales agent, under the March 2022 Sales Agreement.</w:t>
      </w:r>
    </w:p>
    <w:p>
      <w:pPr>
        <w:spacing w:after="0" w:line="170"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In December 2022, in connection with the 2022 Shelf Registration Statement, we filed a new sales agreement prospectus to replace the prior prospectus supplement filed in August 2022 associated with the expired 2019 Shelf Registration Statement. The new sales agreement prospectus covered the issuance and sale by us of up to the same $250 million of our common stock that may be issued and sold from time to time through SVB Securities, as our sales agent, under the March 2022 Sales Agreement.</w:t>
      </w:r>
    </w:p>
    <w:p>
      <w:pPr>
        <w:spacing w:after="0" w:line="173" w:lineRule="exact"/>
        <w:rPr>
          <w:sz w:val="20"/>
          <w:szCs w:val="20"/>
          <w:color w:val="auto"/>
        </w:rPr>
      </w:pPr>
    </w:p>
    <w:p>
      <w:pPr>
        <w:ind w:right="200" w:firstLine="750"/>
        <w:spacing w:after="0" w:line="271" w:lineRule="auto"/>
        <w:rPr>
          <w:sz w:val="20"/>
          <w:szCs w:val="20"/>
          <w:color w:val="auto"/>
        </w:rPr>
      </w:pPr>
      <w:r>
        <w:rPr>
          <w:rFonts w:ascii="Times New Roman" w:cs="Times New Roman" w:eastAsia="Times New Roman" w:hAnsi="Times New Roman"/>
          <w:sz w:val="17"/>
          <w:szCs w:val="17"/>
          <w:color w:val="auto"/>
        </w:rPr>
        <w:t>Under the December 2019 Sales Agreement and March 2022 Sales Agreement, for the year ended December 31, 2022, we received approximately $238.8 million in gross proceeds through the sale of 5,167,973 shares, of which net proceeds were approximately $231.8 million.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w:t>
      </w:r>
    </w:p>
    <w:p>
      <w:pPr>
        <w:spacing w:after="0" w:line="209"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In March 2022, we entered into a Second Amendment to the Loan Agreement with Hercules. The Second Amendment amends the terms of that certain Loan and Security Agreement, dated as of September 25, 2020, by and among us, Hercules and the Lenders (as amended by that certain First Amendment to Loan and Security Agreement, dated as of October 14, 2021, and as further amended by the Second Amendment). In connection with the Second Amendment, the parties also clarified certain terms of the Warrant Agreement previously issued to Hercules. The Second Amendment was effective upon the closing of the Acquisition on May 9, 2022. See “Contractual Obligations and Commitments - March 2022 Second Amendment to the Loan and Security Agreement – Hercules'” section below for more information.</w:t>
      </w:r>
    </w:p>
    <w:p>
      <w:pPr>
        <w:spacing w:after="0" w:line="180" w:lineRule="exact"/>
        <w:rPr>
          <w:sz w:val="20"/>
          <w:szCs w:val="20"/>
          <w:color w:val="auto"/>
        </w:rPr>
      </w:pPr>
    </w:p>
    <w:p>
      <w:pPr>
        <w:ind w:right="140" w:firstLine="750"/>
        <w:spacing w:after="0" w:line="250" w:lineRule="auto"/>
        <w:rPr>
          <w:sz w:val="20"/>
          <w:szCs w:val="20"/>
          <w:color w:val="auto"/>
        </w:rPr>
      </w:pPr>
      <w:r>
        <w:rPr>
          <w:rFonts w:ascii="Times New Roman" w:cs="Times New Roman" w:eastAsia="Times New Roman" w:hAnsi="Times New Roman"/>
          <w:sz w:val="17"/>
          <w:szCs w:val="17"/>
          <w:color w:val="auto"/>
        </w:rPr>
        <w:t>In January 2023, we entered into a Third Amendment to the Loan Agreement with Hercules. The Third Amendment amends the terms of that certain Loan and Security Agreement, dated as of September 25, 2020, by and among us, Hercules and the Lenders (as amended by that certain First Amendment to Loan and Security Agreement, dated as of October 14, 2021, and as further amended by the Second Amendment to Loan and Security Agreement, dated as of March 27, 2022). The Third Amendment, among other things, increased the size of the aggregate principal amount of the 2020 Term Loan from $300,000,000 to $350,000,000, reduced the interest rate, and extended the maturity and interest-only period of the Loan Agreement. See “Contractual Obligations and Commitments - January 2023 Third Amendment to the Loan and Security Agreement – Hercules” section below for more information.</w:t>
      </w:r>
    </w:p>
    <w:p>
      <w:pPr>
        <w:spacing w:after="0" w:line="180" w:lineRule="exact"/>
        <w:rPr>
          <w:sz w:val="20"/>
          <w:szCs w:val="20"/>
          <w:color w:val="auto"/>
        </w:rPr>
      </w:pPr>
    </w:p>
    <w:p>
      <w:pPr>
        <w:jc w:val="both"/>
        <w:ind w:firstLine="750"/>
        <w:spacing w:after="0" w:line="258" w:lineRule="auto"/>
        <w:rPr>
          <w:sz w:val="20"/>
          <w:szCs w:val="20"/>
          <w:color w:val="auto"/>
        </w:rPr>
      </w:pPr>
      <w:r>
        <w:rPr>
          <w:rFonts w:ascii="Times New Roman" w:cs="Times New Roman" w:eastAsia="Times New Roman" w:hAnsi="Times New Roman"/>
          <w:sz w:val="17"/>
          <w:szCs w:val="17"/>
          <w:color w:val="auto"/>
        </w:rPr>
        <w:t>In the future, we may conduct additional offerings of one or more of the securities covered by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70" w:lineRule="exact"/>
        <w:rPr>
          <w:sz w:val="20"/>
          <w:szCs w:val="20"/>
          <w:color w:val="auto"/>
        </w:rPr>
      </w:pPr>
    </w:p>
    <w:p>
      <w:pPr>
        <w:ind w:right="160" w:firstLine="750"/>
        <w:spacing w:after="0" w:line="275" w:lineRule="auto"/>
        <w:rPr>
          <w:sz w:val="20"/>
          <w:szCs w:val="20"/>
          <w:color w:val="auto"/>
        </w:rPr>
      </w:pPr>
      <w:r>
        <w:rPr>
          <w:rFonts w:ascii="Times New Roman" w:cs="Times New Roman" w:eastAsia="Times New Roman" w:hAnsi="Times New Roman"/>
          <w:sz w:val="16"/>
          <w:szCs w:val="16"/>
          <w:color w:val="auto"/>
        </w:rPr>
        <w:t>We believe that our current cash, along with the remaining committed capital from the $350 million term loan facility, is sufficient to fund anticipated operations into cash flow positivity, based on the current operating plan, which includes the continued commercialization of Sunosi and Auvelity.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following table summarizes our primary sources and uses of cash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7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3"/>
                <w:szCs w:val="13"/>
                <w:color w:val="auto"/>
              </w:rPr>
            </w:pPr>
          </w:p>
        </w:tc>
      </w:tr>
      <w:tr>
        <w:trPr>
          <w:trHeight w:val="21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7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activities</w:t>
            </w: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(116,510,798 )</w:t>
            </w:r>
          </w:p>
        </w:tc>
        <w:tc>
          <w:tcPr>
            <w:tcW w:w="620" w:type="dxa"/>
            <w:vAlign w:val="bottom"/>
          </w:tcPr>
          <w:p>
            <w:pPr>
              <w:jc w:val="right"/>
              <w:ind w:right="45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(108,225,764 )</w:t>
            </w:r>
          </w:p>
        </w:tc>
      </w:tr>
      <w:tr>
        <w:trPr>
          <w:trHeight w:val="230"/>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Investing activities</w:t>
            </w: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(53,702,109 )</w:t>
            </w:r>
          </w:p>
        </w:tc>
        <w:tc>
          <w:tcPr>
            <w:tcW w:w="6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(307,549 )</w:t>
            </w:r>
          </w:p>
        </w:tc>
      </w:tr>
      <w:tr>
        <w:trPr>
          <w:trHeight w:val="221"/>
        </w:trPr>
        <w:tc>
          <w:tcPr>
            <w:tcW w:w="7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Financing activities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284,582,008</w:t>
            </w:r>
          </w:p>
        </w:tc>
        <w:tc>
          <w:tcPr>
            <w:tcW w:w="3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11,129,714</w:t>
            </w:r>
          </w:p>
        </w:tc>
        <w:tc>
          <w:tcPr>
            <w:tcW w:w="100" w:type="dxa"/>
            <w:vAlign w:val="bottom"/>
          </w:tcPr>
          <w:p>
            <w:pPr>
              <w:spacing w:after="0"/>
              <w:rPr>
                <w:sz w:val="19"/>
                <w:szCs w:val="19"/>
                <w:color w:val="auto"/>
              </w:rPr>
            </w:pPr>
          </w:p>
        </w:tc>
      </w:tr>
      <w:tr>
        <w:trPr>
          <w:trHeight w:val="25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w:t>
            </w:r>
          </w:p>
        </w:tc>
        <w:tc>
          <w:tcPr>
            <w:tcW w:w="38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114,369,101</w:t>
            </w:r>
          </w:p>
        </w:tc>
        <w:tc>
          <w:tcPr>
            <w:tcW w:w="30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4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(97,403,599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-23495</wp:posOffset>
            </wp:positionV>
            <wp:extent cx="717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717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-23495</wp:posOffset>
            </wp:positionV>
            <wp:extent cx="635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3500"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-7620</wp:posOffset>
            </wp:positionV>
            <wp:extent cx="63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3500" cy="8255"/>
                    </a:xfrm>
                    <a:prstGeom prst="rect">
                      <a:avLst/>
                    </a:prstGeom>
                    <a:noFill/>
                  </pic:spPr>
                </pic:pic>
              </a:graphicData>
            </a:graphic>
          </wp:anchor>
        </w:drawing>
      </w:r>
    </w:p>
    <w:p>
      <w:pPr>
        <w:spacing w:after="0" w:line="160" w:lineRule="exact"/>
        <w:rPr>
          <w:sz w:val="20"/>
          <w:szCs w:val="20"/>
          <w:color w:val="auto"/>
        </w:rPr>
      </w:pPr>
    </w:p>
    <w:p>
      <w:pPr>
        <w:ind w:right="80" w:firstLine="75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Net cash used in operating activities for the year ended December 31, 2022, was $116.5 million as compared to $108.2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ended December 31, 2021. The increase of $8.3 million in net cash used was mainly due to commercialization activities.</w:t>
      </w:r>
    </w:p>
    <w:p>
      <w:pPr>
        <w:spacing w:after="0" w:line="151" w:lineRule="exact"/>
        <w:rPr>
          <w:sz w:val="20"/>
          <w:szCs w:val="20"/>
          <w:color w:val="auto"/>
        </w:rPr>
      </w:pPr>
    </w:p>
    <w:p>
      <w:pPr>
        <w:ind w:right="380" w:firstLine="75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Cash used in investing activities for the year ended December 31, 2022 was $53.7 million as compared to $0.3 million for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December 31, 2021. The increase was primarily due to the Sunosi acquisition for $53.0 million.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right="80" w:firstLine="750"/>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Net cash provided by financing activities for the year ended December 31, 2022, was $284.6 million, which included net proceeds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sale of common stock through our December 2019 and March 2022 Sales Agreement with SVB Securities of $231.8 million, net proceeds from Tranche 1B related to the Second Amendment of the Loan and Security Agreement with Hercules of $45.0 million along with the purchase of 152,487 shares of our common stock for a total consideration of $5.0 million by Hercules, and proceeds from the issuance of common stock upon exercise of employee stock options of $6.3 million, offset by payment of contingent consideration and tax withholdings on stock awards for a total of $3.0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Funding requirements</w:t>
      </w:r>
    </w:p>
    <w:p>
      <w:pPr>
        <w:spacing w:after="0" w:line="209" w:lineRule="exact"/>
        <w:rPr>
          <w:sz w:val="20"/>
          <w:szCs w:val="20"/>
          <w:color w:val="auto"/>
        </w:rPr>
      </w:pPr>
    </w:p>
    <w:p>
      <w:pPr>
        <w:jc w:val="both"/>
        <w:ind w:right="100" w:firstLine="750"/>
        <w:spacing w:after="0" w:line="258" w:lineRule="auto"/>
        <w:rPr>
          <w:sz w:val="20"/>
          <w:szCs w:val="20"/>
          <w:color w:val="auto"/>
        </w:rPr>
      </w:pPr>
      <w:r>
        <w:rPr>
          <w:rFonts w:ascii="Times New Roman" w:cs="Times New Roman" w:eastAsia="Times New Roman" w:hAnsi="Times New Roman"/>
          <w:sz w:val="17"/>
          <w:szCs w:val="17"/>
          <w:color w:val="auto"/>
        </w:rPr>
        <w:t>We have not achieved profitability since our inception, and we expect to continue to incur significant losses for the foreseeable future. We expect our losses to decrease over time if we are able to successfully commercialize Auvelity and Sunosi. We are subject to all of the risks pertinent to the development of new product candidates, and we may encounter unforeseen expenses, difficulties, complications, delays, and other unknown factors that may harm our business.</w:t>
      </w:r>
    </w:p>
    <w:p>
      <w:pPr>
        <w:spacing w:after="0" w:line="170"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75" w:lineRule="exact"/>
        <w:rPr>
          <w:sz w:val="20"/>
          <w:szCs w:val="20"/>
          <w:color w:val="auto"/>
        </w:rPr>
      </w:pPr>
    </w:p>
    <w:p>
      <w:pPr>
        <w:ind w:left="740" w:hanging="365"/>
        <w:spacing w:after="0"/>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our products;</w:t>
      </w:r>
    </w:p>
    <w:p>
      <w:pPr>
        <w:spacing w:after="0" w:line="2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rate of progress, results, and cost of our clinical studies and other related activities;</w:t>
      </w:r>
    </w:p>
    <w:p>
      <w:pPr>
        <w:spacing w:after="0" w:line="2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collaborative agreements for the development and commercialization of our product candidates;</w:t>
      </w:r>
    </w:p>
    <w:p>
      <w:pPr>
        <w:spacing w:after="0" w:line="2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development requirements of any other product candidates that we pursue;</w:t>
      </w:r>
    </w:p>
    <w:p>
      <w:pPr>
        <w:spacing w:after="0" w:line="2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reviews of our product candidates;</w:t>
      </w:r>
    </w:p>
    <w:p>
      <w:pPr>
        <w:spacing w:after="0" w:line="204" w:lineRule="exact"/>
        <w:rPr>
          <w:rFonts w:ascii="Times New Roman" w:cs="Times New Roman" w:eastAsia="Times New Roman" w:hAnsi="Times New Roman"/>
          <w:sz w:val="17"/>
          <w:szCs w:val="17"/>
          <w:color w:val="auto"/>
        </w:rPr>
      </w:pPr>
    </w:p>
    <w:p>
      <w:pPr>
        <w:ind w:left="740" w:right="460" w:hanging="365"/>
        <w:spacing w:after="0" w:line="271" w:lineRule="auto"/>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159"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product liability or other lawsuits related to our product candidates;</w:t>
      </w:r>
    </w:p>
    <w:p>
      <w:pPr>
        <w:spacing w:after="0" w:line="2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expenses needed to attract and retain skilled personnel;</w:t>
      </w:r>
    </w:p>
    <w:p>
      <w:pPr>
        <w:spacing w:after="0" w:line="2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and administrative expenses related to being a public company;</w:t>
      </w:r>
    </w:p>
    <w:p>
      <w:pPr>
        <w:spacing w:after="0" w:line="204" w:lineRule="exact"/>
        <w:rPr>
          <w:rFonts w:ascii="Times New Roman" w:cs="Times New Roman" w:eastAsia="Times New Roman" w:hAnsi="Times New Roman"/>
          <w:sz w:val="17"/>
          <w:szCs w:val="17"/>
          <w:color w:val="auto"/>
        </w:rPr>
      </w:pPr>
    </w:p>
    <w:p>
      <w:pPr>
        <w:ind w:left="740" w:hanging="365"/>
        <w:spacing w:after="0"/>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 if any, received from commercial sales of our product candidates for which we receive marketing approval; and</w:t>
      </w:r>
    </w:p>
    <w:p>
      <w:pPr>
        <w:spacing w:after="0" w:line="204" w:lineRule="exact"/>
        <w:rPr>
          <w:rFonts w:ascii="Times New Roman" w:cs="Times New Roman" w:eastAsia="Times New Roman" w:hAnsi="Times New Roman"/>
          <w:sz w:val="17"/>
          <w:szCs w:val="17"/>
          <w:color w:val="auto"/>
        </w:rPr>
      </w:pPr>
    </w:p>
    <w:p>
      <w:pPr>
        <w:ind w:left="740" w:right="340" w:hanging="365"/>
        <w:spacing w:after="0" w:line="217" w:lineRule="exact"/>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claims.</w:t>
      </w:r>
    </w:p>
    <w:p>
      <w:pPr>
        <w:spacing w:after="0" w:line="167"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see “Risk Factors” for additional risks associated with our substantial capital requirements.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following is a summary of our contractual obligations as of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rPr>
              <w:t>More than</w:t>
            </w:r>
          </w:p>
        </w:tc>
      </w:tr>
      <w:tr>
        <w:trPr>
          <w:trHeight w:val="174"/>
        </w:trPr>
        <w:tc>
          <w:tcPr>
            <w:tcW w:w="3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1 - 3 years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3 - 5 years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rPr>
              <w:t>5 years</w:t>
            </w:r>
          </w:p>
        </w:tc>
      </w:tr>
      <w:tr>
        <w:trPr>
          <w:trHeight w:val="218"/>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30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133,947,600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rPr>
              <w:t>10,306,181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7"/>
                <w:szCs w:val="17"/>
                <w:color w:val="auto"/>
              </w:rPr>
              <w:t>43,329,631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80,311,788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commitments</w:t>
            </w: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427,875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7"/>
                <w:szCs w:val="17"/>
                <w:color w:val="auto"/>
              </w:rPr>
              <w:t>427,875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contractual obligations</w:t>
            </w:r>
          </w:p>
        </w:tc>
        <w:tc>
          <w:tcPr>
            <w:tcW w:w="30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134,375,475</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7"/>
                <w:szCs w:val="17"/>
                <w:color w:val="auto"/>
              </w:rPr>
              <w:t>10,734,056</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7"/>
                <w:szCs w:val="17"/>
                <w:color w:val="auto"/>
              </w:rPr>
              <w:t>43,329,631</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80,311,788</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3440430</wp:posOffset>
            </wp:positionH>
            <wp:positionV relativeFrom="paragraph">
              <wp:posOffset>-23495</wp:posOffset>
            </wp:positionV>
            <wp:extent cx="793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-7620</wp:posOffset>
            </wp:positionV>
            <wp:extent cx="793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-23495</wp:posOffset>
            </wp:positionV>
            <wp:extent cx="793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-7620</wp:posOffset>
            </wp:positionV>
            <wp:extent cx="793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-23495</wp:posOffset>
            </wp:positionV>
            <wp:extent cx="7937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-7620</wp:posOffset>
            </wp:positionV>
            <wp:extent cx="793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6252845</wp:posOffset>
            </wp:positionH>
            <wp:positionV relativeFrom="paragraph">
              <wp:posOffset>-23495</wp:posOffset>
            </wp:positionV>
            <wp:extent cx="717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6252845</wp:posOffset>
            </wp:positionH>
            <wp:positionV relativeFrom="paragraph">
              <wp:posOffset>-7620</wp:posOffset>
            </wp:positionV>
            <wp:extent cx="717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5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License agreement with Pfizer</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In January 2020, we entered into a license agreement with Pfizer. Under the terms of our exclusive license agreement with Pfizer, Pfizer received 82,019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having a value of $8.0 million, based on the average closing price of the Company’s common stock for the 10 prior trading days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$97.538, in consideration for the license and rights. Pfizer also received an upfront cash payment of $3.0 million and will also receive up to $323 million upon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achievement of certain regulatory and sales milestones, and tiered mid-single to low double-digit royalties on future sales. Pfizer will also have a right of first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negotiation on any potential future strategic transactions involving AXS-12 and AXS-14. For a more detailed description of these agreements, please see “Business—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License Agreements.”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License agreements with Antecip Bioventures</w:t>
      </w:r>
    </w:p>
    <w:p>
      <w:pPr>
        <w:spacing w:after="0" w:line="209"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For a more detailed description of these agreements, please see “Business—Material License Agreements.” Due to the commercial launch of Auvelity in the fourth quarter of 2022, we recorded an accrual for royalty payments due to Antecip equal to 3.0% of net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March 2022 Second Amendment to the Loan and Security Agreement – Hercules</w:t>
      </w:r>
    </w:p>
    <w:p>
      <w:pPr>
        <w:spacing w:after="0" w:line="209" w:lineRule="exact"/>
        <w:rPr>
          <w:sz w:val="20"/>
          <w:szCs w:val="20"/>
          <w:color w:val="auto"/>
        </w:rPr>
      </w:pPr>
    </w:p>
    <w:p>
      <w:pPr>
        <w:ind w:right="40" w:firstLine="750"/>
        <w:spacing w:after="0" w:line="252" w:lineRule="auto"/>
        <w:rPr>
          <w:sz w:val="20"/>
          <w:szCs w:val="20"/>
          <w:color w:val="auto"/>
        </w:rPr>
      </w:pPr>
      <w:r>
        <w:rPr>
          <w:rFonts w:ascii="Times New Roman" w:cs="Times New Roman" w:eastAsia="Times New Roman" w:hAnsi="Times New Roman"/>
          <w:sz w:val="17"/>
          <w:szCs w:val="17"/>
          <w:color w:val="auto"/>
        </w:rPr>
        <w:t>In March 2022, we entered into a Second Amendment to Loan and Security Agreement with Hercules Capital, Inc. The Second Amendment amends the terms of that certain Loan and Security Agreement, dated as of September 25, 2020, by and among us, Hercules and the Lenders (as amended by that certain First Amendment to Loan and Security Agreement, dated as of October 14, 2021, and as further amended by the Second Amendment). In connection with the Second Amendment, the parties also clarified certain terms of the Warrant Agreement previously issued to Hercules. The Second Amendment was effective upon the closing of the Acquisition on May 9, 2022.</w:t>
      </w:r>
    </w:p>
    <w:p>
      <w:pPr>
        <w:spacing w:after="0" w:line="175" w:lineRule="exact"/>
        <w:rPr>
          <w:sz w:val="20"/>
          <w:szCs w:val="20"/>
          <w:color w:val="auto"/>
        </w:rPr>
      </w:pPr>
    </w:p>
    <w:p>
      <w:pPr>
        <w:ind w:right="20" w:firstLine="750"/>
        <w:spacing w:after="0" w:line="248" w:lineRule="auto"/>
        <w:rPr>
          <w:sz w:val="20"/>
          <w:szCs w:val="20"/>
          <w:color w:val="auto"/>
        </w:rPr>
      </w:pPr>
      <w:r>
        <w:rPr>
          <w:rFonts w:ascii="Times New Roman" w:cs="Times New Roman" w:eastAsia="Times New Roman" w:hAnsi="Times New Roman"/>
          <w:sz w:val="17"/>
          <w:szCs w:val="17"/>
          <w:color w:val="auto"/>
        </w:rPr>
        <w:t>The Second Amendment changed the Term Loan Advance (as defined in the Loan Agreement) amounts and dates available under Tranche 1 through Tranche 5, including increasing the Tranche 1 Advance (as defined in the Loan Agreement) from $60.0 million to $95.0 million, changing the Tranche 2 Advances (as defined in the Loan Agreement) from two sub-tranches of $50.0 million each to three sub-tranches of $35.0 million, $35.0 million and $30.0 million, respectively, changing the Tranche 3 Advance (as defined in the Loan Agreement) from one tranche of $20.0 million to two sub-tranches of $15.0 million and $5.0 million, respectively, decreasing the Tranche 4 Advance (as defined in the Loan Agreement) from $55.0 million to $50.0 million, and decreasing the Tranche 5 Advance (as defined in the Loan Agreement) from $75.0 million to $35.0 million; (iii) modified the interest rate (a floating rate based on the greater of (a) 8.95% or (b) US WSJ Prime + 5.70%) to not exceed 10.70%; and (iv) changed the minimum cash requirement of the Company from $15,000,000 (plus certain accounts payable amounts) to $40,000,000 (plus certain accounts payable amounts), provided that upon U.S. Food and Drug Administration (the “FDA”) approval of the Company’s AXS-05 product candidate for the treatment of major depressive disorder, the minimum cash requirement shall be $25.0 million (plus certain accounts payable amounts). The $40.0 million threshold decreased to $25.0 million upon achievement of the AXS-05 milestone.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January 2023 Third Amendment to the Loan and Security Agreement – Hercules</w:t>
      </w:r>
    </w:p>
    <w:p>
      <w:pPr>
        <w:spacing w:after="0" w:line="209" w:lineRule="exact"/>
        <w:rPr>
          <w:sz w:val="20"/>
          <w:szCs w:val="20"/>
          <w:color w:val="auto"/>
        </w:rPr>
      </w:pPr>
    </w:p>
    <w:p>
      <w:pPr>
        <w:ind w:right="100" w:firstLine="750"/>
        <w:spacing w:after="0" w:line="282" w:lineRule="auto"/>
        <w:rPr>
          <w:sz w:val="20"/>
          <w:szCs w:val="20"/>
          <w:color w:val="auto"/>
        </w:rPr>
      </w:pPr>
      <w:r>
        <w:rPr>
          <w:rFonts w:ascii="Times New Roman" w:cs="Times New Roman" w:eastAsia="Times New Roman" w:hAnsi="Times New Roman"/>
          <w:sz w:val="16"/>
          <w:szCs w:val="16"/>
          <w:color w:val="auto"/>
        </w:rPr>
        <w:t>In January 2023, we entered into a Third Amendment to the Loan Agreement with Hercules. The Third Amendment amends the terms of that certain Loan and Security Agreement, dated as of September 25, 2020, by and among us, Hercules and the Lenders (as amended by that certain First Amendment to Loan and Security Agreement, dated as of October 14, 2021, and as further amended by the Second Amendment to Loan and Security Agreement, dated as of March 27, 2022).</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Third Amendment amended the terms of the Loan Agreement to, among other things, (i) extend the maturity date to January 1, 2028, unless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meets certain revenue targets as described in the Loan Agreement, in which case the Company can extend the maturity date to January 1, 2029; (ii) increase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aggregate principal amount under the Loan Agreement from $300,000,000 to $350,000,000; (iii) subject to the terms and conditions in the Loan Agreement, change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Term Loan Advance amounts and dates available under the Tranche 1 Advance (as defined in the Loan Agreement) through Tranche 5 Advance (as defined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 Agreement), including increasing the Tranche 1 Advance from one tranche of $95,000,000 to five sub-tranches of $95,000,000, $55,000,000, $30,000,000,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$35,000,000 and $35,000,000, respectively, changing the Tranche 2 Advance (as defined in the Loan Agreement) from three sub-tranches of $35,000,000, $35,000,000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$30,000,000 to one tranche of $25,000,000, changing the Tranche 3 Advance (as defined in the Loan Agreement) from two sub-tranches of $15,000,000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$5,000,000 to one tranche of $75,000,000, and removing the Tranche 4 Advance (as defined in the Loan Agreement) and Tranche 5 Advance entirely; (iv) revise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rate applicable to extensions of credit under the Loan Agreement to equal the greater of 9.95% per annum or the prime rate plus 2.20% per annum, (v) increase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minimum cash requirement of the Company to $30,000,000; and (vi) require the Company to pay a facility fee equal to 0.75% of the amount of principal actually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funded pursuant to the Tranche 1B Advance (as defined in the Loan Agreement), Tranche 1C Advance (as defined in the Term Loan), Tranche 1D Advance (as defined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Loan Agreement), Tranche 1E Advance (as defined in the Term Loan), Tranche 2 Advance and Tranche 3 Advance.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Royalty Agreements</w:t>
      </w:r>
    </w:p>
    <w:p>
      <w:pPr>
        <w:spacing w:after="0" w:line="209"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On March 25, 2022, the Company entered into an Asset Purchase Agreement (the “Purchase Agreement”) with Jazz, pursuant to which the Company was to acquire commercial and development rights with respect Sunosi from Jazz (the “Acquisition”) in certain U.S. and ex-U.S. markets. Pursuant to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75" w:lineRule="exact"/>
        <w:rPr>
          <w:sz w:val="20"/>
          <w:szCs w:val="20"/>
          <w:color w:val="auto"/>
        </w:rPr>
      </w:pPr>
    </w:p>
    <w:p>
      <w:pPr>
        <w:ind w:right="240" w:firstLine="750"/>
        <w:spacing w:after="0" w:line="254" w:lineRule="auto"/>
        <w:rPr>
          <w:sz w:val="20"/>
          <w:szCs w:val="20"/>
          <w:color w:val="auto"/>
        </w:rPr>
      </w:pPr>
      <w:r>
        <w:rPr>
          <w:rFonts w:ascii="Times New Roman" w:cs="Times New Roman" w:eastAsia="Times New Roman" w:hAnsi="Times New Roman"/>
          <w:sz w:val="17"/>
          <w:szCs w:val="17"/>
          <w:color w:val="auto"/>
        </w:rPr>
        <w:t>At the initial closing, we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 million based on revenue milestones and $1 million based on development milestones.</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100" w:firstLine="750"/>
        <w:spacing w:after="0" w:line="264" w:lineRule="auto"/>
        <w:rPr>
          <w:sz w:val="20"/>
          <w:szCs w:val="20"/>
          <w:color w:val="auto"/>
        </w:rPr>
      </w:pPr>
      <w:r>
        <w:rPr>
          <w:rFonts w:ascii="Times New Roman" w:cs="Times New Roman" w:eastAsia="Times New Roman" w:hAnsi="Times New Roman"/>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anywhere in the world for veterinary and human therapeutic and diagnostic use, and additional patents and applications that are not relevant to our current programs in development.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 by product and country by 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 exclusive license. If Antecip terminates any of the agreements for cause, or if we exercise our right to terminate any of the agreements for convenience, the rights granted to us under such terminated agreement will revert to Antecip. Due to the commercial launch of Auvelity in the fourth quarter of 2022, we recorded an accrual for royalty payments due to Antecip equal to 3.0% of net sales.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License Agreement with Pharmanovia</w:t>
      </w:r>
    </w:p>
    <w:p>
      <w:pPr>
        <w:spacing w:after="0" w:line="209"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On February 21, 2023, Axsome Malta Ltd., a Malta limited company (“Axsome Malta”), a wholly-owned subsidiary of the Company, entered into a License Agreement (the “License Agreement”) with Atnahs Pharma UK Limited (Pharmanovia), a company organized and existing under the laws of England and Wales (the “Licensee”), pursuant to which Axsome Malta will license certain Licensed Intellectual Property (as defined in the License Agreement) to the Licensee and grant an exclusive license to Licensee in the Territory (as defined in the License Agreement and which includes Europe and certain countries in the Middle East and Africa) for use of the Licensed Intellectual property for the development and commercialization of the Company’s Licensed Products (as defined in the License Agreement and which includes the Company’s product Sunosi).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Shelf Registration Statement</w:t>
      </w:r>
    </w:p>
    <w:p>
      <w:pPr>
        <w:spacing w:after="0" w:line="209" w:lineRule="exact"/>
        <w:rPr>
          <w:sz w:val="20"/>
          <w:szCs w:val="20"/>
          <w:color w:val="auto"/>
        </w:rPr>
      </w:pPr>
    </w:p>
    <w:p>
      <w:pPr>
        <w:ind w:right="40" w:firstLine="750"/>
        <w:spacing w:after="0" w:line="254" w:lineRule="auto"/>
        <w:rPr>
          <w:sz w:val="20"/>
          <w:szCs w:val="20"/>
          <w:color w:val="auto"/>
        </w:rPr>
      </w:pPr>
      <w:r>
        <w:rPr>
          <w:rFonts w:ascii="Times New Roman" w:cs="Times New Roman" w:eastAsia="Times New Roman" w:hAnsi="Times New Roman"/>
          <w:sz w:val="17"/>
          <w:szCs w:val="17"/>
          <w:color w:val="auto"/>
        </w:rPr>
        <w:t>On December 2, 2022, we filed a Form S-3ASR (File No. 333-235372) with the SEC, or the 2022 Shelf Registration Statement, for the issuance of common stock, preferred stock, warrants, rights, debt securities and units, which became effective immediately upon filing. At the time any of the securities covered by the 2022 Shelf Registration Statement are offered for sale, a prospectus supplement will be prepared and filed with the SEC containing specific information about the terms of any such offering.</w:t>
      </w:r>
    </w:p>
    <w:p>
      <w:pPr>
        <w:spacing w:after="0" w:line="14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Off</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Balance Sheet Arrangements</w:t>
      </w:r>
    </w:p>
    <w:p>
      <w:pPr>
        <w:spacing w:after="0" w:line="205" w:lineRule="exact"/>
        <w:rPr>
          <w:sz w:val="20"/>
          <w:szCs w:val="20"/>
          <w:color w:val="auto"/>
        </w:rPr>
      </w:pPr>
    </w:p>
    <w:p>
      <w:pPr>
        <w:ind w:left="740"/>
        <w:spacing w:after="0" w:line="184" w:lineRule="exact"/>
        <w:rPr>
          <w:sz w:val="20"/>
          <w:szCs w:val="20"/>
          <w:color w:val="auto"/>
        </w:rPr>
      </w:pPr>
      <w:r>
        <w:rPr>
          <w:rFonts w:ascii="Times New Roman" w:cs="Times New Roman" w:eastAsia="Times New Roman" w:hAnsi="Times New Roman"/>
          <w:sz w:val="16"/>
          <w:szCs w:val="16"/>
          <w:color w:val="auto"/>
        </w:rPr>
        <w:t>We did not have during the periods presented, and we do not currently have, any off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balance sheet arrangements, as defined by applicable SEC regulations.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9" w:lineRule="exact"/>
        <w:rPr>
          <w:sz w:val="20"/>
          <w:szCs w:val="20"/>
          <w:color w:val="auto"/>
        </w:rPr>
      </w:pPr>
    </w:p>
    <w:p>
      <w:pPr>
        <w:ind w:firstLine="750"/>
        <w:spacing w:after="0" w:line="271" w:lineRule="auto"/>
        <w:rPr>
          <w:sz w:val="20"/>
          <w:szCs w:val="20"/>
          <w:color w:val="auto"/>
        </w:rPr>
      </w:pPr>
      <w:r>
        <w:rPr>
          <w:rFonts w:ascii="Times New Roman" w:cs="Times New Roman" w:eastAsia="Times New Roman" w:hAnsi="Times New Roman"/>
          <w:sz w:val="17"/>
          <w:szCs w:val="17"/>
          <w:color w:val="auto"/>
        </w:rPr>
        <w:t>Refer to Note 2 – Summary of Significant Accounting Policies to our consolidated financial statements included in Part IV, Exhibits and Financial Statement Schedules, of this Annual Report on Form 10-K for a discussion of recently issued accounting pronouncements.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 ABOUT MARKET RISK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09" w:lineRule="exact"/>
        <w:rPr>
          <w:sz w:val="20"/>
          <w:szCs w:val="20"/>
          <w:color w:val="auto"/>
        </w:rPr>
      </w:pPr>
    </w:p>
    <w:p>
      <w:pPr>
        <w:ind w:firstLine="750"/>
        <w:spacing w:after="0" w:line="203" w:lineRule="exact"/>
        <w:rPr>
          <w:sz w:val="20"/>
          <w:szCs w:val="20"/>
          <w:color w:val="auto"/>
        </w:rPr>
      </w:pPr>
      <w:r>
        <w:rPr>
          <w:rFonts w:ascii="Times New Roman" w:cs="Times New Roman" w:eastAsia="Times New Roman" w:hAnsi="Times New Roman"/>
          <w:sz w:val="17"/>
          <w:szCs w:val="17"/>
          <w:color w:val="auto"/>
        </w:rPr>
        <w:t>We are exposed to market risks in the ordinary course of our business. These market risks are principally limited to interest rate fluctuations. We had cash of $200.8 million as of December 31, 2022.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nature of our investment portfolio and debt agreement,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209"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We contract with vendors and third-party manufactures located in Europe and certain invoices are denominated in foreign currencies.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We do not believe a 10% change in these currencies on December 31, 2022, would have had a material effect on our results of operations or financial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Inflation Risk</w:t>
      </w:r>
    </w:p>
    <w:p>
      <w:pPr>
        <w:spacing w:after="0" w:line="209" w:lineRule="exact"/>
        <w:rPr>
          <w:sz w:val="20"/>
          <w:szCs w:val="20"/>
          <w:color w:val="auto"/>
        </w:rPr>
      </w:pPr>
    </w:p>
    <w:p>
      <w:pPr>
        <w:ind w:right="500" w:firstLine="750"/>
        <w:spacing w:after="0" w:line="271" w:lineRule="auto"/>
        <w:rPr>
          <w:sz w:val="20"/>
          <w:szCs w:val="20"/>
          <w:color w:val="auto"/>
        </w:rPr>
      </w:pPr>
      <w:r>
        <w:rPr>
          <w:rFonts w:ascii="Times New Roman" w:cs="Times New Roman" w:eastAsia="Times New Roman" w:hAnsi="Times New Roman"/>
          <w:sz w:val="17"/>
          <w:szCs w:val="17"/>
          <w:color w:val="auto"/>
        </w:rPr>
        <w:t>Inflation generally affects us by increasing our cost of labor and pricing of contracts. We do not believe that inflation has had a material effect on our business, financial condition, or results of operations during the year ended December 31,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Our consolidated financial statements and the notes thereto, included in Part IV, Item 15(a), part 1, are incorporated by reference into this Item 8.</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80"/>
          </w:cols>
          <w:pgMar w:left="320" w:top="120" w:right="3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DISCLOSURE.</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None.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05"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Our management, with the participation of our principal executive officer and principal financial officer,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evaluated the effectiveness of our disclosure controls and procedures as of December 31, 2022.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in the reports that it files or submits under the Exchange Act is accumulated and communicated to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principal executive officer and principal financial officer concluded that, as of such date, our disclosure controls and procedures were effective.</w:t>
      </w:r>
    </w:p>
    <w:p>
      <w:pPr>
        <w:spacing w:after="0" w:line="174" w:lineRule="exact"/>
        <w:rPr>
          <w:sz w:val="20"/>
          <w:szCs w:val="20"/>
          <w:color w:val="auto"/>
        </w:rPr>
      </w:pPr>
    </w:p>
    <w:p>
      <w:pPr>
        <w:ind w:right="180" w:firstLine="750"/>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Management’s Annual Report on Internal Controls over Financial Reporting. </w:t>
      </w:r>
      <w:r>
        <w:rPr>
          <w:rFonts w:ascii="Times New Roman" w:cs="Times New Roman" w:eastAsia="Times New Roman" w:hAnsi="Times New Roman"/>
          <w:sz w:val="17"/>
          <w:szCs w:val="17"/>
          <w:color w:val="auto"/>
        </w:rPr>
        <w:t>Our management is responsible for establishing and maintaining adequate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internal controls over financial reporting (as defined in Rule 13a-15(f) or Rule 15d-15(f) under the Exchange Act). Our management assessed the effectiveness of our internal controls over financial reporting as of December 31, 2022. In making this assessment, our management used the criteria established in Internal Control – Integrated Framework (2013) issued by the Committee of Sponsoring Organizations of the Treadway Commission, or COSO Framework. Our management has concluded that, as of December 31, 2022, our internal control over financial reporting was effective based on these criteria.</w:t>
      </w:r>
    </w:p>
    <w:p>
      <w:pPr>
        <w:spacing w:after="0" w:line="175" w:lineRule="exact"/>
        <w:rPr>
          <w:sz w:val="20"/>
          <w:szCs w:val="20"/>
          <w:color w:val="auto"/>
        </w:rPr>
      </w:pPr>
    </w:p>
    <w:p>
      <w:pPr>
        <w:ind w:right="60" w:firstLine="750"/>
        <w:spacing w:after="0" w:line="271" w:lineRule="auto"/>
        <w:rPr>
          <w:sz w:val="20"/>
          <w:szCs w:val="20"/>
          <w:color w:val="auto"/>
        </w:rPr>
      </w:pPr>
      <w:r>
        <w:rPr>
          <w:rFonts w:ascii="Times New Roman" w:cs="Times New Roman" w:eastAsia="Times New Roman" w:hAnsi="Times New Roman"/>
          <w:sz w:val="17"/>
          <w:szCs w:val="17"/>
          <w:color w:val="auto"/>
        </w:rPr>
        <w:t>The independent registered public accounting firm, Ernst &amp; Young LLP, has issued an attestation report on our internal control over financial reporting. The report on the audit of internal control over financial reporting is included in this Annual Report on Form 10 K.</w:t>
      </w:r>
    </w:p>
    <w:p>
      <w:pPr>
        <w:spacing w:after="0" w:line="155" w:lineRule="exact"/>
        <w:rPr>
          <w:sz w:val="20"/>
          <w:szCs w:val="20"/>
          <w:color w:val="auto"/>
        </w:rPr>
      </w:pPr>
    </w:p>
    <w:p>
      <w:pPr>
        <w:ind w:right="40" w:firstLine="750"/>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Inherent Limitations on Effectiveness of Controls. </w:t>
      </w:r>
      <w:r>
        <w:rPr>
          <w:rFonts w:ascii="Times New Roman" w:cs="Times New Roman" w:eastAsia="Times New Roman" w:hAnsi="Times New Roman"/>
          <w:sz w:val="17"/>
          <w:szCs w:val="17"/>
          <w:color w:val="auto"/>
        </w:rPr>
        <w:t>Our management, including our principal executive officer and principal financial officer, does not expect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our internal controls over financial reporting and procedures will prevent all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71" w:lineRule="exact"/>
        <w:rPr>
          <w:sz w:val="20"/>
          <w:szCs w:val="20"/>
          <w:color w:val="auto"/>
        </w:rPr>
      </w:pPr>
    </w:p>
    <w:p>
      <w:pPr>
        <w:ind w:right="260" w:firstLine="75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Controls over Financial Reporting. </w:t>
      </w:r>
      <w:r>
        <w:rPr>
          <w:rFonts w:ascii="Times New Roman" w:cs="Times New Roman" w:eastAsia="Times New Roman" w:hAnsi="Times New Roman"/>
          <w:sz w:val="17"/>
          <w:szCs w:val="17"/>
          <w:color w:val="auto"/>
        </w:rPr>
        <w:t>During the year ended December 31, 2022, other than continuing changes to our internal control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process resulting from acquisition of Sunosi and commercialization of Auvelity, there have been no changes in internal controls over financial reporting that have materially affected, or are reasonably likely to materially affect, our internal control over financial reporting.</w:t>
      </w:r>
    </w:p>
    <w:p>
      <w:pPr>
        <w:spacing w:after="0" w:line="167" w:lineRule="exact"/>
        <w:rPr>
          <w:sz w:val="20"/>
          <w:szCs w:val="20"/>
          <w:color w:val="auto"/>
        </w:rPr>
      </w:pPr>
    </w:p>
    <w:p>
      <w:pPr>
        <w:ind w:right="360" w:firstLine="750"/>
        <w:spacing w:after="0" w:line="271" w:lineRule="auto"/>
        <w:rPr>
          <w:sz w:val="20"/>
          <w:szCs w:val="20"/>
          <w:color w:val="auto"/>
        </w:rPr>
      </w:pPr>
      <w:r>
        <w:rPr>
          <w:rFonts w:ascii="Times New Roman" w:cs="Times New Roman" w:eastAsia="Times New Roman" w:hAnsi="Times New Roman"/>
          <w:sz w:val="17"/>
          <w:szCs w:val="17"/>
          <w:color w:val="auto"/>
        </w:rPr>
        <w:t>Except as described in the previous paragraph, there has been no change in our internal controls over financial reporting that occurred during the period covered by this report that has materially affected, or is reasonably likely to materially affect, our internal control over financial reporting.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09" w:lineRule="exact"/>
        <w:rPr>
          <w:sz w:val="20"/>
          <w:szCs w:val="20"/>
          <w:color w:val="auto"/>
        </w:rPr>
      </w:pPr>
    </w:p>
    <w:p>
      <w:pPr>
        <w:ind w:right="80" w:firstLine="750"/>
        <w:spacing w:after="0" w:line="250" w:lineRule="auto"/>
        <w:rPr>
          <w:sz w:val="20"/>
          <w:szCs w:val="20"/>
          <w:color w:val="auto"/>
        </w:rPr>
      </w:pPr>
      <w:r>
        <w:rPr>
          <w:rFonts w:ascii="Times New Roman" w:cs="Times New Roman" w:eastAsia="Times New Roman" w:hAnsi="Times New Roman"/>
          <w:sz w:val="17"/>
          <w:szCs w:val="17"/>
          <w:color w:val="auto"/>
        </w:rPr>
        <w:t>On February 21, 2023, the Company entered into a sublease agreement (the “Sublease”) with Advance Magazine Publishers Inc. (d/b/a Condé Nast) to sublease approximately 48,000 rentable square feet of office space located at One World Trade Center, New York, NY. The term of the Sublease is for a period of ten years commencing on the date that is the later to occur of (A) the full execution and delivery of the Sublease by both Condé Nast and the Company, (B) the date Condé Nast receives Prime Landlord’s (as defined in the Sublease) written consent to the Sublease and (C) the date on which Conde Nast’s Work (as defined in the Sublease) is deemed to have been substantially completed and Condé Nast has delivered the Premises (as defined in the Sublease) to the Company in the Premises Condition (as defined in the Sublease).</w:t>
      </w:r>
    </w:p>
    <w:p>
      <w:pPr>
        <w:spacing w:after="0" w:line="180" w:lineRule="exact"/>
        <w:rPr>
          <w:sz w:val="20"/>
          <w:szCs w:val="20"/>
          <w:color w:val="auto"/>
        </w:rPr>
      </w:pPr>
    </w:p>
    <w:p>
      <w:pPr>
        <w:ind w:right="20" w:firstLine="750"/>
        <w:spacing w:after="0" w:line="271" w:lineRule="auto"/>
        <w:rPr>
          <w:sz w:val="20"/>
          <w:szCs w:val="20"/>
          <w:color w:val="auto"/>
        </w:rPr>
      </w:pPr>
      <w:r>
        <w:rPr>
          <w:rFonts w:ascii="Times New Roman" w:cs="Times New Roman" w:eastAsia="Times New Roman" w:hAnsi="Times New Roman"/>
          <w:sz w:val="17"/>
          <w:szCs w:val="17"/>
          <w:color w:val="auto"/>
        </w:rPr>
        <w:t>Under the Sublease, the Company’s fixed rent obligation for the first five years is at the rate of $2,521,272 per annum, payable in equal monthly installments of $210,106, and for the next five years, at the rate of $2,763,702 per annum, payable in equal monthly installments of $230,308.</w:t>
      </w:r>
    </w:p>
    <w:p>
      <w:pPr>
        <w:spacing w:after="0" w:line="159" w:lineRule="exact"/>
        <w:rPr>
          <w:sz w:val="20"/>
          <w:szCs w:val="20"/>
          <w:color w:val="auto"/>
        </w:rPr>
      </w:pPr>
    </w:p>
    <w:p>
      <w:pPr>
        <w:ind w:right="40" w:firstLine="750"/>
        <w:spacing w:after="0" w:line="271" w:lineRule="auto"/>
        <w:rPr>
          <w:sz w:val="20"/>
          <w:szCs w:val="20"/>
          <w:color w:val="auto"/>
        </w:rPr>
      </w:pPr>
      <w:r>
        <w:rPr>
          <w:rFonts w:ascii="Times New Roman" w:cs="Times New Roman" w:eastAsia="Times New Roman" w:hAnsi="Times New Roman"/>
          <w:sz w:val="17"/>
          <w:szCs w:val="17"/>
          <w:color w:val="auto"/>
        </w:rPr>
        <w:t>The Company expects this new leased facility to serve as its new corporate headquarters following the expiration of its current leased facility at 22 Cortlandt St, New York, NY in April 2023.</w:t>
      </w:r>
    </w:p>
    <w:p>
      <w:pPr>
        <w:spacing w:after="0" w:line="159" w:lineRule="exact"/>
        <w:rPr>
          <w:sz w:val="20"/>
          <w:szCs w:val="20"/>
          <w:color w:val="auto"/>
        </w:rPr>
      </w:pPr>
    </w:p>
    <w:p>
      <w:pPr>
        <w:ind w:firstLine="750"/>
        <w:spacing w:after="0" w:line="271" w:lineRule="auto"/>
        <w:rPr>
          <w:sz w:val="20"/>
          <w:szCs w:val="20"/>
          <w:color w:val="auto"/>
        </w:rPr>
      </w:pPr>
      <w:r>
        <w:rPr>
          <w:rFonts w:ascii="Times New Roman" w:cs="Times New Roman" w:eastAsia="Times New Roman" w:hAnsi="Times New Roman"/>
          <w:sz w:val="17"/>
          <w:szCs w:val="17"/>
          <w:color w:val="auto"/>
        </w:rPr>
        <w:t>The foregoing description of the Sublease does not purport to be complete and is qualified in its entirety by reference to the complete terms and conditions of the Lease to be filed as an exhibit to the Company’s next periodic report filed with the SEC.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 THAT PREVENT INSPECTIONS</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None.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09" w:lineRule="exact"/>
        <w:rPr>
          <w:sz w:val="20"/>
          <w:szCs w:val="20"/>
          <w:color w:val="auto"/>
        </w:rPr>
      </w:pPr>
    </w:p>
    <w:p>
      <w:pPr>
        <w:ind w:firstLine="750"/>
        <w:spacing w:after="0" w:line="271"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from our Proxy Statement for our 2023 Annual Meeting of Stockholders or will be included in an amendment to this Annual Report on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09" w:lineRule="exact"/>
        <w:rPr>
          <w:sz w:val="20"/>
          <w:szCs w:val="20"/>
          <w:color w:val="auto"/>
        </w:rPr>
      </w:pPr>
    </w:p>
    <w:p>
      <w:pPr>
        <w:ind w:firstLine="750"/>
        <w:spacing w:after="0" w:line="271"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from our Proxy Statement for our 2023 Annual Meeting of Stockholders or will be included in an amendment to this Annual Report on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09" w:lineRule="exact"/>
        <w:rPr>
          <w:sz w:val="20"/>
          <w:szCs w:val="20"/>
          <w:color w:val="auto"/>
        </w:rPr>
      </w:pPr>
    </w:p>
    <w:p>
      <w:pPr>
        <w:ind w:firstLine="750"/>
        <w:spacing w:after="0" w:line="271"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from our Proxy Statement for our 2023 Annual Meeting of Stockholders or will be included in an amendment to this Annual Report on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09" w:lineRule="exact"/>
        <w:rPr>
          <w:sz w:val="20"/>
          <w:szCs w:val="20"/>
          <w:color w:val="auto"/>
        </w:rPr>
      </w:pPr>
    </w:p>
    <w:p>
      <w:pPr>
        <w:ind w:firstLine="750"/>
        <w:spacing w:after="0" w:line="271"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from our Proxy Statement for our 2023 Annual Meeting of Stockholders or will be included in an amendment to this Annual Report on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09" w:lineRule="exact"/>
        <w:rPr>
          <w:sz w:val="20"/>
          <w:szCs w:val="20"/>
          <w:color w:val="auto"/>
        </w:rPr>
      </w:pPr>
    </w:p>
    <w:p>
      <w:pPr>
        <w:ind w:firstLine="750"/>
        <w:spacing w:after="0" w:line="271"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from our Proxy Statement for our 2023 Annual Meeting of Stockholders or will be included in an amendment to this Annual Report on Form 10-K.</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05" w:lineRule="exact"/>
        <w:rPr>
          <w:sz w:val="20"/>
          <w:szCs w:val="20"/>
          <w:color w:val="auto"/>
        </w:rPr>
      </w:pPr>
    </w:p>
    <w:p>
      <w:pPr>
        <w:ind w:left="800" w:hanging="550"/>
        <w:spacing w:after="0"/>
        <w:tabs>
          <w:tab w:leader="none" w:pos="80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6"/>
          <w:szCs w:val="16"/>
          <w:b w:val="1"/>
          <w:bCs w:val="1"/>
          <w:color w:val="auto"/>
        </w:rPr>
        <w:t>Consolidated Financial Statements</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following consolidated financial statements of Axsome Therapeutics, Inc. are filed as part of this report.</w:t>
      </w:r>
    </w:p>
    <w:p>
      <w:pPr>
        <w:spacing w:after="0" w:line="200" w:lineRule="exact"/>
        <w:rPr>
          <w:sz w:val="20"/>
          <w:szCs w:val="20"/>
          <w:color w:val="auto"/>
        </w:rPr>
      </w:pPr>
    </w:p>
    <w:p>
      <w:pPr>
        <w:spacing w:after="0" w:line="251"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058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Contents</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120" w:type="dxa"/>
            <w:vAlign w:val="bottom"/>
          </w:tcPr>
          <w:p>
            <w:pPr>
              <w:spacing w:after="0"/>
              <w:rPr>
                <w:sz w:val="17"/>
                <w:szCs w:val="17"/>
                <w:color w:val="auto"/>
              </w:rPr>
            </w:pPr>
          </w:p>
        </w:tc>
      </w:tr>
      <w:tr>
        <w:trPr>
          <w:trHeight w:val="343"/>
        </w:trPr>
        <w:tc>
          <w:tcPr>
            <w:tcW w:w="105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Reports of Independent Registered Public Accounting Firm (PCAOB ID: 42)</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2"/>
              </w:rPr>
              <w:t>F-1</w:t>
            </w:r>
          </w:p>
        </w:tc>
      </w:tr>
      <w:tr>
        <w:trPr>
          <w:trHeight w:val="20"/>
        </w:trPr>
        <w:tc>
          <w:tcPr>
            <w:tcW w:w="20" w:type="dxa"/>
            <w:vAlign w:val="bottom"/>
          </w:tcPr>
          <w:p>
            <w:pPr>
              <w:spacing w:after="0" w:line="20" w:lineRule="exact"/>
              <w:rPr>
                <w:sz w:val="1"/>
                <w:szCs w:val="1"/>
                <w:color w:val="auto"/>
              </w:rPr>
            </w:pPr>
          </w:p>
        </w:tc>
        <w:tc>
          <w:tcPr>
            <w:tcW w:w="31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43"/>
        </w:trPr>
        <w:tc>
          <w:tcPr>
            <w:tcW w:w="105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2022 and 2021</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2"/>
              </w:rPr>
              <w:t>F-5</w:t>
            </w:r>
          </w:p>
        </w:tc>
      </w:tr>
      <w:tr>
        <w:trPr>
          <w:trHeight w:val="20"/>
        </w:trPr>
        <w:tc>
          <w:tcPr>
            <w:tcW w:w="20" w:type="dxa"/>
            <w:vAlign w:val="bottom"/>
            <w:shd w:val="clear" w:color="auto" w:fill="0000EE"/>
          </w:tcPr>
          <w:p>
            <w:pPr>
              <w:spacing w:after="0" w:line="20" w:lineRule="exact"/>
              <w:rPr>
                <w:sz w:val="1"/>
                <w:szCs w:val="1"/>
                <w:color w:val="auto"/>
              </w:rPr>
            </w:pPr>
          </w:p>
        </w:tc>
        <w:tc>
          <w:tcPr>
            <w:tcW w:w="31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43"/>
        </w:trPr>
        <w:tc>
          <w:tcPr>
            <w:tcW w:w="105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December 31, 2022, 2021, and 2020</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2"/>
              </w:rPr>
              <w:t>F-6</w:t>
            </w:r>
          </w:p>
        </w:tc>
      </w:tr>
      <w:tr>
        <w:trPr>
          <w:trHeight w:val="20"/>
        </w:trPr>
        <w:tc>
          <w:tcPr>
            <w:tcW w:w="20" w:type="dxa"/>
            <w:vAlign w:val="bottom"/>
            <w:shd w:val="clear" w:color="auto" w:fill="0000EE"/>
          </w:tcPr>
          <w:p>
            <w:pPr>
              <w:spacing w:after="0" w:line="20" w:lineRule="exact"/>
              <w:rPr>
                <w:sz w:val="1"/>
                <w:szCs w:val="1"/>
                <w:color w:val="auto"/>
              </w:rPr>
            </w:pPr>
          </w:p>
        </w:tc>
        <w:tc>
          <w:tcPr>
            <w:tcW w:w="31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43"/>
        </w:trPr>
        <w:tc>
          <w:tcPr>
            <w:tcW w:w="105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December 31, 2022, 2021, and 2020</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2"/>
              </w:rPr>
              <w:t>F-7</w:t>
            </w:r>
          </w:p>
        </w:tc>
      </w:tr>
      <w:tr>
        <w:trPr>
          <w:trHeight w:val="20"/>
        </w:trPr>
        <w:tc>
          <w:tcPr>
            <w:tcW w:w="20" w:type="dxa"/>
            <w:vAlign w:val="bottom"/>
            <w:shd w:val="clear" w:color="auto" w:fill="0000EE"/>
          </w:tcPr>
          <w:p>
            <w:pPr>
              <w:spacing w:after="0" w:line="20" w:lineRule="exact"/>
              <w:rPr>
                <w:sz w:val="1"/>
                <w:szCs w:val="1"/>
                <w:color w:val="auto"/>
              </w:rPr>
            </w:pPr>
          </w:p>
        </w:tc>
        <w:tc>
          <w:tcPr>
            <w:tcW w:w="3180" w:type="dxa"/>
            <w:vAlign w:val="bottom"/>
            <w:tcBorders>
              <w:right w:val="single" w:sz="8" w:color="0000FF"/>
            </w:tcBorders>
            <w:shd w:val="clear" w:color="auto" w:fill="0000FF"/>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43"/>
        </w:trPr>
        <w:tc>
          <w:tcPr>
            <w:tcW w:w="105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2022, 2021, and 2020</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2"/>
              </w:rPr>
              <w:t>F-8</w:t>
            </w:r>
          </w:p>
        </w:tc>
      </w:tr>
      <w:tr>
        <w:trPr>
          <w:trHeight w:val="20"/>
        </w:trPr>
        <w:tc>
          <w:tcPr>
            <w:tcW w:w="20" w:type="dxa"/>
            <w:vAlign w:val="bottom"/>
            <w:shd w:val="clear" w:color="auto" w:fill="0000EE"/>
          </w:tcPr>
          <w:p>
            <w:pPr>
              <w:spacing w:after="0" w:line="20" w:lineRule="exact"/>
              <w:rPr>
                <w:sz w:val="1"/>
                <w:szCs w:val="1"/>
                <w:color w:val="auto"/>
              </w:rPr>
            </w:pPr>
          </w:p>
        </w:tc>
        <w:tc>
          <w:tcPr>
            <w:tcW w:w="3180" w:type="dxa"/>
            <w:vAlign w:val="bottom"/>
            <w:tcBorders>
              <w:right w:val="single" w:sz="8" w:color="0000FF"/>
            </w:tcBorders>
            <w:shd w:val="clear" w:color="auto" w:fill="0000FF"/>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43"/>
        </w:trPr>
        <w:tc>
          <w:tcPr>
            <w:tcW w:w="105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the Consolidated Financial Statements</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2"/>
              </w:rPr>
              <w:t>F-9</w:t>
            </w:r>
          </w:p>
        </w:tc>
      </w:tr>
      <w:tr>
        <w:trPr>
          <w:trHeight w:val="20"/>
        </w:trPr>
        <w:tc>
          <w:tcPr>
            <w:tcW w:w="20" w:type="dxa"/>
            <w:vAlign w:val="bottom"/>
            <w:shd w:val="clear" w:color="auto" w:fill="0000EE"/>
          </w:tcPr>
          <w:p>
            <w:pPr>
              <w:spacing w:after="0" w:line="20" w:lineRule="exact"/>
              <w:rPr>
                <w:sz w:val="1"/>
                <w:szCs w:val="1"/>
                <w:color w:val="auto"/>
              </w:rPr>
            </w:pPr>
          </w:p>
        </w:tc>
        <w:tc>
          <w:tcPr>
            <w:tcW w:w="318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5" w:lineRule="exact"/>
        <w:rPr>
          <w:sz w:val="20"/>
          <w:szCs w:val="20"/>
          <w:color w:val="auto"/>
        </w:rPr>
      </w:pPr>
    </w:p>
    <w:p>
      <w:pPr>
        <w:ind w:left="740"/>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2.</w:t>
        <w:tab/>
        <w:t>Consolidated Financial Statement Schedules</w:t>
      </w:r>
    </w:p>
    <w:p>
      <w:pPr>
        <w:spacing w:after="0" w:line="209" w:lineRule="exact"/>
        <w:rPr>
          <w:sz w:val="20"/>
          <w:szCs w:val="20"/>
          <w:color w:val="auto"/>
        </w:rPr>
      </w:pPr>
    </w:p>
    <w:p>
      <w:pPr>
        <w:ind w:right="40" w:firstLine="750"/>
        <w:spacing w:after="0" w:line="258" w:lineRule="auto"/>
        <w:rPr>
          <w:sz w:val="20"/>
          <w:szCs w:val="20"/>
          <w:color w:val="auto"/>
        </w:rPr>
      </w:pPr>
      <w:r>
        <w:rPr>
          <w:rFonts w:ascii="Times New Roman" w:cs="Times New Roman" w:eastAsia="Times New Roman" w:hAnsi="Times New Roman"/>
          <w:sz w:val="17"/>
          <w:szCs w:val="17"/>
          <w:color w:val="auto"/>
        </w:rPr>
        <w:t>The financial statement schedule entitled “Schedule II – Valuation and Qualifying Accounts” has been omitted since the information required is included in the consolidated financial statements and notes thereto. Other schedules are omitted because they are not applicable, or the required information is shown in the Financial Statements or notes thereto.</w:t>
      </w:r>
    </w:p>
    <w:p>
      <w:pPr>
        <w:spacing w:after="0" w:line="166" w:lineRule="exact"/>
        <w:rPr>
          <w:sz w:val="20"/>
          <w:szCs w:val="20"/>
          <w:color w:val="auto"/>
        </w:rPr>
      </w:pPr>
    </w:p>
    <w:p>
      <w:pPr>
        <w:ind w:left="1080" w:hanging="330"/>
        <w:spacing w:after="0"/>
        <w:tabs>
          <w:tab w:leader="none" w:pos="108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Exhibits</w:t>
      </w:r>
    </w:p>
    <w:p>
      <w:pPr>
        <w:spacing w:after="0" w:line="20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The list of exhibits filed with this report is set forth in the Exhibit Index following the signature page and is incorporated herein by reference.</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60"/>
          </w:cols>
          <w:pgMar w:left="320" w:top="120" w:right="4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60" w:type="dxa"/>
            <w:vAlign w:val="bottom"/>
          </w:tcPr>
          <w:p>
            <w:pPr>
              <w:spacing w:after="0"/>
              <w:rPr>
                <w:sz w:val="14"/>
                <w:szCs w:val="14"/>
                <w:color w:val="auto"/>
              </w:rPr>
            </w:pPr>
          </w:p>
        </w:tc>
      </w:tr>
      <w:tr>
        <w:trPr>
          <w:trHeight w:val="193"/>
        </w:trPr>
        <w:tc>
          <w:tcPr>
            <w:tcW w:w="60" w:type="dxa"/>
            <w:vAlign w:val="bottom"/>
          </w:tcPr>
          <w:p>
            <w:pPr>
              <w:spacing w:after="0"/>
              <w:rPr>
                <w:sz w:val="16"/>
                <w:szCs w:val="16"/>
                <w:color w:val="auto"/>
              </w:rPr>
            </w:pPr>
          </w:p>
        </w:tc>
        <w:tc>
          <w:tcPr>
            <w:tcW w:w="3980" w:type="dxa"/>
            <w:vAlign w:val="bottom"/>
            <w:tcBorders>
              <w:bottom w:val="single" w:sz="8" w:color="0000FF"/>
            </w:tcBorders>
            <w:gridSpan w:val="2"/>
          </w:tcPr>
          <w:p>
            <w:pPr>
              <w:spacing w:after="0" w:line="193" w:lineRule="exact"/>
              <w:rPr>
                <w:sz w:val="20"/>
                <w:szCs w:val="20"/>
                <w:color w:val="auto"/>
              </w:rPr>
            </w:pPr>
            <w:r>
              <w:rPr>
                <w:rFonts w:ascii="Times New Roman" w:cs="Times New Roman" w:eastAsia="Times New Roman" w:hAnsi="Times New Roman"/>
                <w:sz w:val="17"/>
                <w:szCs w:val="17"/>
                <w:color w:val="0000FF"/>
                <w:w w:val="97"/>
              </w:rPr>
              <w:t>Reports of Independent Registered Public Accounting Firm</w:t>
            </w:r>
          </w:p>
        </w:tc>
        <w:tc>
          <w:tcPr>
            <w:tcW w:w="6260" w:type="dxa"/>
            <w:vAlign w:val="bottom"/>
            <w:gridSpan w:val="6"/>
          </w:tcPr>
          <w:p>
            <w:pPr>
              <w:spacing w:after="0"/>
              <w:rPr>
                <w:sz w:val="16"/>
                <w:szCs w:val="16"/>
                <w:color w:val="auto"/>
              </w:rPr>
            </w:pPr>
          </w:p>
        </w:tc>
        <w:tc>
          <w:tcPr>
            <w:tcW w:w="940" w:type="dxa"/>
            <w:vAlign w:val="bottom"/>
            <w:gridSpan w:val="2"/>
          </w:tcPr>
          <w:p>
            <w:pPr>
              <w:ind w:left="660"/>
              <w:spacing w:after="0" w:line="193" w:lineRule="exact"/>
              <w:rPr>
                <w:sz w:val="20"/>
                <w:szCs w:val="20"/>
                <w:color w:val="auto"/>
              </w:rPr>
            </w:pPr>
            <w:r>
              <w:rPr>
                <w:rFonts w:ascii="Times New Roman" w:cs="Times New Roman" w:eastAsia="Times New Roman" w:hAnsi="Times New Roman"/>
                <w:sz w:val="17"/>
                <w:szCs w:val="17"/>
                <w:color w:val="auto"/>
              </w:rPr>
              <w:t>F-1</w:t>
            </w:r>
          </w:p>
        </w:tc>
      </w:tr>
      <w:tr>
        <w:trPr>
          <w:trHeight w:val="205"/>
        </w:trPr>
        <w:tc>
          <w:tcPr>
            <w:tcW w:w="60" w:type="dxa"/>
            <w:vAlign w:val="bottom"/>
          </w:tcPr>
          <w:p>
            <w:pPr>
              <w:spacing w:after="0"/>
              <w:rPr>
                <w:sz w:val="17"/>
                <w:szCs w:val="17"/>
                <w:color w:val="auto"/>
              </w:rPr>
            </w:pPr>
          </w:p>
        </w:tc>
        <w:tc>
          <w:tcPr>
            <w:tcW w:w="102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2022 and 2021</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F-5</w:t>
            </w:r>
          </w:p>
        </w:tc>
      </w:tr>
      <w:tr>
        <w:trPr>
          <w:trHeight w:val="20"/>
        </w:trPr>
        <w:tc>
          <w:tcPr>
            <w:tcW w:w="6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05"/>
        </w:trPr>
        <w:tc>
          <w:tcPr>
            <w:tcW w:w="60" w:type="dxa"/>
            <w:vAlign w:val="bottom"/>
          </w:tcPr>
          <w:p>
            <w:pPr>
              <w:spacing w:after="0"/>
              <w:rPr>
                <w:sz w:val="17"/>
                <w:szCs w:val="17"/>
                <w:color w:val="auto"/>
              </w:rPr>
            </w:pPr>
          </w:p>
        </w:tc>
        <w:tc>
          <w:tcPr>
            <w:tcW w:w="6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7"/>
              </w:rPr>
              <w:t>Consolidated Statements of Operations for the years ended December 31, 2022, 2021, and 2020</w:t>
            </w:r>
          </w:p>
        </w:tc>
        <w:tc>
          <w:tcPr>
            <w:tcW w:w="20" w:type="dxa"/>
            <w:vAlign w:val="bottom"/>
            <w:tcBorders>
              <w:bottom w:val="single" w:sz="8" w:color="0000EE"/>
            </w:tcBorders>
          </w:tcPr>
          <w:p>
            <w:pPr>
              <w:spacing w:after="0"/>
              <w:rPr>
                <w:sz w:val="17"/>
                <w:szCs w:val="17"/>
                <w:color w:val="auto"/>
              </w:rPr>
            </w:pPr>
          </w:p>
        </w:tc>
        <w:tc>
          <w:tcPr>
            <w:tcW w:w="3820" w:type="dxa"/>
            <w:vAlign w:val="bottom"/>
            <w:gridSpan w:val="3"/>
          </w:tcPr>
          <w:p>
            <w:pPr>
              <w:spacing w:after="0"/>
              <w:rPr>
                <w:sz w:val="17"/>
                <w:szCs w:val="17"/>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F-6</w:t>
            </w:r>
          </w:p>
        </w:tc>
      </w:tr>
      <w:tr>
        <w:trPr>
          <w:trHeight w:val="205"/>
        </w:trPr>
        <w:tc>
          <w:tcPr>
            <w:tcW w:w="60" w:type="dxa"/>
            <w:vAlign w:val="bottom"/>
          </w:tcPr>
          <w:p>
            <w:pPr>
              <w:spacing w:after="0"/>
              <w:rPr>
                <w:sz w:val="17"/>
                <w:szCs w:val="17"/>
                <w:color w:val="auto"/>
              </w:rPr>
            </w:pPr>
          </w:p>
        </w:tc>
        <w:tc>
          <w:tcPr>
            <w:tcW w:w="7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7"/>
              </w:rPr>
              <w:t>Consolidated Statements of Stockholders’ Equity for the years ended December 31, 2022, 2021, and 2020</w:t>
            </w:r>
          </w:p>
        </w:tc>
        <w:tc>
          <w:tcPr>
            <w:tcW w:w="3160" w:type="dxa"/>
            <w:vAlign w:val="bottom"/>
          </w:tcPr>
          <w:p>
            <w:pPr>
              <w:spacing w:after="0"/>
              <w:rPr>
                <w:sz w:val="17"/>
                <w:szCs w:val="17"/>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F-7</w:t>
            </w:r>
          </w:p>
        </w:tc>
      </w:tr>
      <w:tr>
        <w:trPr>
          <w:trHeight w:val="205"/>
        </w:trPr>
        <w:tc>
          <w:tcPr>
            <w:tcW w:w="60" w:type="dxa"/>
            <w:vAlign w:val="bottom"/>
          </w:tcPr>
          <w:p>
            <w:pPr>
              <w:spacing w:after="0"/>
              <w:rPr>
                <w:sz w:val="17"/>
                <w:szCs w:val="17"/>
                <w:color w:val="auto"/>
              </w:rPr>
            </w:pPr>
          </w:p>
        </w:tc>
        <w:tc>
          <w:tcPr>
            <w:tcW w:w="102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2022, 2021, and 2020</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F-8</w:t>
            </w:r>
          </w:p>
        </w:tc>
      </w:tr>
      <w:tr>
        <w:trPr>
          <w:trHeight w:val="205"/>
        </w:trPr>
        <w:tc>
          <w:tcPr>
            <w:tcW w:w="60" w:type="dxa"/>
            <w:vAlign w:val="bottom"/>
          </w:tcPr>
          <w:p>
            <w:pPr>
              <w:spacing w:after="0"/>
              <w:rPr>
                <w:sz w:val="17"/>
                <w:szCs w:val="17"/>
                <w:color w:val="auto"/>
              </w:rPr>
            </w:pPr>
          </w:p>
        </w:tc>
        <w:tc>
          <w:tcPr>
            <w:tcW w:w="29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7"/>
              </w:rPr>
              <w:t>Notes to Consolidated Financial Statements</w:t>
            </w:r>
          </w:p>
        </w:tc>
        <w:tc>
          <w:tcPr>
            <w:tcW w:w="3520" w:type="dxa"/>
            <w:vAlign w:val="bottom"/>
            <w:tcBorders>
              <w:top w:val="single" w:sz="8" w:color="0000FF"/>
            </w:tcBorders>
            <w:gridSpan w:val="5"/>
          </w:tcPr>
          <w:p>
            <w:pPr>
              <w:spacing w:after="0"/>
              <w:rPr>
                <w:sz w:val="17"/>
                <w:szCs w:val="17"/>
                <w:color w:val="auto"/>
              </w:rPr>
            </w:pPr>
          </w:p>
        </w:tc>
        <w:tc>
          <w:tcPr>
            <w:tcW w:w="3800" w:type="dxa"/>
            <w:vAlign w:val="bottom"/>
            <w:gridSpan w:val="2"/>
          </w:tcPr>
          <w:p>
            <w:pPr>
              <w:spacing w:after="0"/>
              <w:rPr>
                <w:sz w:val="17"/>
                <w:szCs w:val="17"/>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F-9</w:t>
            </w:r>
          </w:p>
        </w:tc>
      </w:tr>
      <w:tr>
        <w:trPr>
          <w:trHeight w:val="631"/>
        </w:trPr>
        <w:tc>
          <w:tcPr>
            <w:tcW w:w="646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color w:val="auto"/>
              </w:rPr>
              <w:t>127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6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ind w:right="3520" w:firstLine="3537"/>
        <w:spacing w:after="0" w:line="370"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Shareholders and the Board of Directors of Axsome Therapeutics, Inc. </w:t>
      </w:r>
      <w:r>
        <w:rPr>
          <w:rFonts w:ascii="Times New Roman" w:cs="Times New Roman" w:eastAsia="Times New Roman" w:hAnsi="Times New Roman"/>
          <w:sz w:val="17"/>
          <w:szCs w:val="17"/>
          <w:b w:val="1"/>
          <w:bCs w:val="1"/>
          <w:color w:val="auto"/>
        </w:rPr>
        <w:t>Opinion on the Financial Statements</w:t>
      </w:r>
    </w:p>
    <w:p>
      <w:pPr>
        <w:spacing w:after="0" w:line="1"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Axsome Therapeutics, Inc. (the “Company”) as of December 31, 2022 and 2021, the related consolidated statements of operations,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27, 2023 expressed an unqualified opinion thereon.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0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09"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4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w w:val="98"/>
              </w:rPr>
              <w:t>Valuation of developed technology intangible asset acquired in a business combination and fair value of contingent consideration liability</w:t>
            </w:r>
          </w:p>
        </w:tc>
      </w:tr>
      <w:tr>
        <w:trPr>
          <w:trHeight w:val="305"/>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Description of</w:t>
            </w:r>
          </w:p>
        </w:tc>
        <w:tc>
          <w:tcPr>
            <w:tcW w:w="9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On May 9, 2022, the Company completed the acquisition of Sunosi from Jazz Pharmaceuticals (the “Acquisition”) in U.S. markets. The</w:t>
            </w:r>
          </w:p>
        </w:tc>
      </w:tr>
      <w:tr>
        <w:trPr>
          <w:trHeight w:val="204"/>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the Matter</w:t>
            </w:r>
          </w:p>
        </w:tc>
        <w:tc>
          <w:tcPr>
            <w:tcW w:w="9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Company accounted for the acquisition as a business combination using the acquisition method of accounting for total consideration of</w:t>
            </w:r>
          </w:p>
        </w:tc>
      </w:tr>
      <w:tr>
        <w:trPr>
          <w:trHeight w:val="200"/>
        </w:trPr>
        <w:tc>
          <w:tcPr>
            <w:tcW w:w="1340" w:type="dxa"/>
            <w:vAlign w:val="bottom"/>
          </w:tcPr>
          <w:p>
            <w:pPr>
              <w:spacing w:after="0"/>
              <w:rPr>
                <w:sz w:val="17"/>
                <w:szCs w:val="17"/>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9"/>
              </w:rPr>
              <w:t>approximately $89.1 million, which included cash consideration of $53 million and contingent consideration of approximately $36.1 million</w:t>
            </w:r>
          </w:p>
        </w:tc>
      </w:tr>
      <w:tr>
        <w:trPr>
          <w:trHeight w:val="200"/>
        </w:trPr>
        <w:tc>
          <w:tcPr>
            <w:tcW w:w="1340" w:type="dxa"/>
            <w:vAlign w:val="bottom"/>
          </w:tcPr>
          <w:p>
            <w:pPr>
              <w:spacing w:after="0"/>
              <w:rPr>
                <w:sz w:val="17"/>
                <w:szCs w:val="17"/>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8"/>
              </w:rPr>
              <w:t>as disclosed in Note 3 to the consolidated financial statements. The purchase price was allocated to the assets acquired and liabilities assumed</w:t>
            </w:r>
          </w:p>
        </w:tc>
      </w:tr>
      <w:tr>
        <w:trPr>
          <w:trHeight w:val="217"/>
        </w:trPr>
        <w:tc>
          <w:tcPr>
            <w:tcW w:w="134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using the fair values determined by management as of the acquisition date.</w:t>
            </w:r>
          </w:p>
        </w:tc>
      </w:tr>
      <w:tr>
        <w:trPr>
          <w:trHeight w:val="525"/>
        </w:trPr>
        <w:tc>
          <w:tcPr>
            <w:tcW w:w="1340" w:type="dxa"/>
            <w:vAlign w:val="bottom"/>
          </w:tcPr>
          <w:p>
            <w:pPr>
              <w:spacing w:after="0"/>
              <w:rPr>
                <w:sz w:val="24"/>
                <w:szCs w:val="24"/>
                <w:color w:val="auto"/>
              </w:rPr>
            </w:pPr>
          </w:p>
        </w:tc>
        <w:tc>
          <w:tcPr>
            <w:tcW w:w="9900" w:type="dxa"/>
            <w:vAlign w:val="bottom"/>
          </w:tcPr>
          <w:p>
            <w:pPr>
              <w:ind w:left="4160"/>
              <w:spacing w:after="0"/>
              <w:rPr>
                <w:sz w:val="20"/>
                <w:szCs w:val="20"/>
                <w:color w:val="auto"/>
              </w:rPr>
            </w:pPr>
            <w:r>
              <w:rPr>
                <w:rFonts w:ascii="Times New Roman" w:cs="Times New Roman" w:eastAsia="Times New Roman" w:hAnsi="Times New Roman"/>
                <w:sz w:val="17"/>
                <w:szCs w:val="17"/>
                <w:color w:val="auto"/>
              </w:rPr>
              <w:t>F-1</w:t>
            </w:r>
          </w:p>
        </w:tc>
      </w:tr>
      <w:tr>
        <w:trPr>
          <w:trHeight w:val="105"/>
        </w:trPr>
        <w:tc>
          <w:tcPr>
            <w:tcW w:w="1340" w:type="dxa"/>
            <w:vAlign w:val="bottom"/>
            <w:tcBorders>
              <w:bottom w:val="single" w:sz="8" w:color="9A9A9A"/>
            </w:tcBorders>
          </w:tcPr>
          <w:p>
            <w:pPr>
              <w:spacing w:after="0"/>
              <w:rPr>
                <w:sz w:val="9"/>
                <w:szCs w:val="9"/>
                <w:color w:val="auto"/>
              </w:rPr>
            </w:pPr>
          </w:p>
        </w:tc>
        <w:tc>
          <w:tcPr>
            <w:tcW w:w="9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49"/>
        </w:trPr>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9580" w:type="dxa"/>
            <w:vAlign w:val="bottom"/>
          </w:tcPr>
          <w:p>
            <w:pPr>
              <w:spacing w:after="0"/>
              <w:rPr>
                <w:sz w:val="12"/>
                <w:szCs w:val="12"/>
                <w:color w:val="auto"/>
              </w:rPr>
            </w:pPr>
          </w:p>
        </w:tc>
      </w:tr>
      <w:tr>
        <w:trPr>
          <w:trHeight w:val="276"/>
        </w:trPr>
        <w:tc>
          <w:tcPr>
            <w:tcW w:w="9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Auditing the Company’s valuation for the acquired intangible asset required complex auditor judgment due to the significant estimation</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9"/>
              </w:rPr>
              <w:t>uncertainty in determining the fair value of the developed technology of $63.8 million. The fair value estimate for the developed technology</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was sensitive to changes in significant underlying assumptions, including revenue growth rates, earnings before interest and tax (EBIT)</w:t>
            </w:r>
          </w:p>
        </w:tc>
      </w:tr>
      <w:tr>
        <w:trPr>
          <w:trHeight w:val="217"/>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7"/>
              </w:rPr>
              <w:t>margin and discount rate. These significant assumptions are forward-looking and could be affected by future economic and market conditions.</w:t>
            </w:r>
          </w:p>
        </w:tc>
      </w:tr>
      <w:tr>
        <w:trPr>
          <w:trHeight w:val="296"/>
        </w:trPr>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Similarly, auditing the valuation of the contingent consideration liability was complex and highly judgmental due to the significant estimation</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required in determining the fair value. In particular, the fair value estimate was sensitive to significant assumptions such as revenue growth</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9"/>
              </w:rPr>
              <w:t>rates and the revenue required metric risk premium rate. These significant assumptions are forward-looking and could be affected by future</w:t>
            </w:r>
          </w:p>
        </w:tc>
      </w:tr>
      <w:tr>
        <w:trPr>
          <w:trHeight w:val="217"/>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economic and market conditions.</w:t>
            </w:r>
          </w:p>
        </w:tc>
      </w:tr>
      <w:tr>
        <w:trPr>
          <w:trHeight w:val="305"/>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w w:val="99"/>
              </w:rPr>
              <w:t>How We Addressed the</w:t>
            </w: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We obtained an understanding, evaluated the design and tested the operating effectiveness of the controls over the Company’s accounting for</w:t>
            </w:r>
          </w:p>
        </w:tc>
      </w:tr>
      <w:tr>
        <w:trPr>
          <w:trHeight w:val="204"/>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Matter in Our Audit</w:t>
            </w: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9"/>
              </w:rPr>
              <w:t>the acquisition. For example, we tested controls over management's review of the valuation of the developed technology intangible asset and</w:t>
            </w:r>
          </w:p>
        </w:tc>
      </w:tr>
      <w:tr>
        <w:trPr>
          <w:trHeight w:val="217"/>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contingent consideration, including management’s review of the significant assumptions used in the valuation models.</w:t>
            </w:r>
          </w:p>
        </w:tc>
      </w:tr>
      <w:tr>
        <w:trPr>
          <w:trHeight w:val="296"/>
        </w:trPr>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 test the estimated fair value of the developed technology and contingent consideration liability, our audit procedures included, among</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others, testing the significant assumptions described above, and testing the completeness and accuracy of the underlying data used by the</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Company. We compared the revenue growth rates, and EBIT margin to historical results of the acquired business and current industry and</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market trends. We also performed sensitivity analyses of these significant assumptions to evaluate the change in fair value resulting from</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changes in the assumptions. In addition, we involved internal valuation specialists to assist in evaluating the discount rate and the revenue</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required metric risk premium used in the fair value estimates. To evaluate the discount rate and the revenue required metric risk premium, we</w:t>
            </w:r>
          </w:p>
        </w:tc>
      </w:tr>
      <w:tr>
        <w:trPr>
          <w:trHeight w:val="217"/>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independently developed a range of estimates and compared our estimates to those used by management.</w:t>
            </w:r>
          </w:p>
        </w:tc>
      </w:tr>
      <w:tr>
        <w:trPr>
          <w:trHeight w:val="325"/>
        </w:trPr>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Reserve for variable consideration for commercial managed care</w:t>
            </w:r>
          </w:p>
        </w:tc>
      </w:tr>
      <w:tr>
        <w:trPr>
          <w:trHeight w:val="305"/>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Description of</w:t>
            </w: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9"/>
              </w:rPr>
              <w:t>As more fully disclosed in Note 2 to the consolidated financial statements, the Company reserves for variable consideration to determine net</w:t>
            </w:r>
          </w:p>
        </w:tc>
      </w:tr>
      <w:tr>
        <w:trPr>
          <w:trHeight w:val="204"/>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the Matter</w:t>
            </w: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product sales. The rebates reserve related to commercial managed care involve the use of significant assumptions and judgments in the</w:t>
            </w:r>
          </w:p>
        </w:tc>
      </w:tr>
      <w:tr>
        <w:trPr>
          <w:trHeight w:val="217"/>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calculation.</w:t>
            </w:r>
          </w:p>
        </w:tc>
      </w:tr>
      <w:tr>
        <w:trPr>
          <w:trHeight w:val="296"/>
        </w:trPr>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9"/>
              </w:rPr>
              <w:t>Given the complexity involved in determining the significant assumptions used in calculating the commercial managed care rebate reserves,</w:t>
            </w:r>
          </w:p>
        </w:tc>
      </w:tr>
      <w:tr>
        <w:trPr>
          <w:trHeight w:val="217"/>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auditing these estimates involved especially subjective judgment.</w:t>
            </w:r>
          </w:p>
        </w:tc>
      </w:tr>
      <w:tr>
        <w:trPr>
          <w:trHeight w:val="305"/>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w w:val="99"/>
              </w:rPr>
              <w:t>How We Addressed the</w:t>
            </w: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process of</w:t>
            </w:r>
          </w:p>
        </w:tc>
      </w:tr>
      <w:tr>
        <w:trPr>
          <w:trHeight w:val="204"/>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Matter in Our Audit</w:t>
            </w: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recording rebates related to commercial managed care. For example, we tested management’s controls related to the identification and</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assessment of the terms and conditions of agreements and the completeness and accuracy of data utilized in the controls, and the calculations</w:t>
            </w:r>
          </w:p>
        </w:tc>
      </w:tr>
      <w:tr>
        <w:trPr>
          <w:trHeight w:val="217"/>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supporting management’s estimates.</w:t>
            </w:r>
          </w:p>
        </w:tc>
      </w:tr>
      <w:tr>
        <w:trPr>
          <w:trHeight w:val="296"/>
        </w:trPr>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 test the Company’s rebates related to commercial managed care, our audit procedures included, among others, understanding the</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9"/>
              </w:rPr>
              <w:t>methodology and assumptions applied by the Company to determine the accrual. We obtained management’s calculations for the respective</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7"/>
              </w:rPr>
              <w:t>estimates and tested management’s key inputs used in the determination of accrued rebates related to commercial managed care. For example,</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we reviewed the customer segment utilization mix data, current contract prices, claims submission time lags and inventory levels in the</w:t>
            </w:r>
          </w:p>
        </w:tc>
      </w:tr>
      <w:tr>
        <w:trPr>
          <w:trHeight w:val="200"/>
        </w:trPr>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distribution channel. We assessed subsequent events to determine whether there was new information that would require adjustment to the</w:t>
            </w:r>
          </w:p>
        </w:tc>
      </w:tr>
      <w:tr>
        <w:trPr>
          <w:trHeight w:val="217"/>
        </w:trPr>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initial accruals, evaluated trends in actual sales and accrued rebate balances, and agreed rates to the underlying contract terms.</w:t>
            </w:r>
          </w:p>
        </w:tc>
      </w:tr>
      <w:tr>
        <w:trPr>
          <w:trHeight w:val="325"/>
        </w:trPr>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Ernst &amp; Young LLP</w:t>
            </w:r>
          </w:p>
        </w:tc>
        <w:tc>
          <w:tcPr>
            <w:tcW w:w="9580" w:type="dxa"/>
            <w:vAlign w:val="bottom"/>
          </w:tcPr>
          <w:p>
            <w:pPr>
              <w:spacing w:after="0"/>
              <w:rPr>
                <w:sz w:val="24"/>
                <w:szCs w:val="24"/>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2023</w:t>
      </w:r>
    </w:p>
    <w:p>
      <w:pPr>
        <w:spacing w:after="0" w:line="205"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139"/>
          </w:cols>
          <w:pgMar w:left="320" w:top="120"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ind w:right="3520" w:firstLine="3537"/>
        <w:spacing w:after="0" w:line="370"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Shareholders and the Board of Directors of Axsome Therapeutics, Inc. </w:t>
      </w:r>
      <w:r>
        <w:rPr>
          <w:rFonts w:ascii="Times New Roman" w:cs="Times New Roman" w:eastAsia="Times New Roman" w:hAnsi="Times New Roman"/>
          <w:sz w:val="17"/>
          <w:szCs w:val="17"/>
          <w:b w:val="1"/>
          <w:bCs w:val="1"/>
          <w:color w:val="auto"/>
        </w:rPr>
        <w:t>Opinion on Internal Control Over Financial Reporting</w:t>
      </w:r>
    </w:p>
    <w:p>
      <w:pPr>
        <w:spacing w:after="0" w:line="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7"/>
          <w:szCs w:val="17"/>
          <w:color w:val="auto"/>
        </w:rPr>
        <w:t>We have audited Axsome Therapeutics, Inc.’s internal control over financial reporting as of December 31, 2022, based on criteria established in Internal Control— Integrated Framework issued by the Committee of Sponsoring Organizations of the Treadway Commission (2013 framework), (the COSO criteria). In our opinion, Axsome Therapeutics, Inc’s (the Company) maintained, in all material respects, effective internal control over financial reporting as of December 31, 2022, based on the COSO criteria.</w:t>
      </w:r>
    </w:p>
    <w:p>
      <w:pPr>
        <w:spacing w:after="0" w:line="73"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2022 and 2021, the related consolidated statements of operations, stockholders’ equity and cash flows for each of the three years in the period ended December 31, 2022, and the related notes and our report dated February 27, 2023 expressed an unqualified opinion thereon.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0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43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ind w:right="398"/>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7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5"/>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2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200,841,955</w:t>
            </w:r>
          </w:p>
        </w:tc>
        <w:tc>
          <w:tcPr>
            <w:tcW w:w="4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86,472,854</w:t>
            </w:r>
          </w:p>
        </w:tc>
      </w:tr>
      <w:tr>
        <w:trPr>
          <w:trHeight w:val="221"/>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receivables, net</w:t>
            </w:r>
          </w:p>
        </w:tc>
        <w:tc>
          <w:tcPr>
            <w:tcW w:w="240" w:type="dxa"/>
            <w:vAlign w:val="bottom"/>
          </w:tcPr>
          <w:p>
            <w:pPr>
              <w:spacing w:after="0"/>
              <w:rPr>
                <w:sz w:val="19"/>
                <w:szCs w:val="19"/>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37,698,868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7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Inventories, net</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4,319,921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2,780,665</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45,286</w:t>
            </w:r>
          </w:p>
        </w:tc>
      </w:tr>
      <w:tr>
        <w:trPr>
          <w:trHeight w:val="22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245,641,409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86,518,140</w:t>
            </w: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 net</w:t>
            </w:r>
          </w:p>
        </w:tc>
        <w:tc>
          <w:tcPr>
            <w:tcW w:w="240" w:type="dxa"/>
            <w:vAlign w:val="bottom"/>
          </w:tcPr>
          <w:p>
            <w:pPr>
              <w:spacing w:after="0"/>
              <w:rPr>
                <w:sz w:val="19"/>
                <w:szCs w:val="19"/>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722,515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283,846</w:t>
            </w:r>
          </w:p>
        </w:tc>
      </w:tr>
      <w:tr>
        <w:trPr>
          <w:trHeight w:val="23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Right-of-use asset - operating lease</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420,298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660,162</w:t>
            </w: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tcPr>
          <w:p>
            <w:pPr>
              <w:spacing w:after="0"/>
              <w:rPr>
                <w:sz w:val="19"/>
                <w:szCs w:val="19"/>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10,310,000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Intangible asset, net</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59,660,772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inventory and other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14,721,101</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322,910</w:t>
            </w:r>
          </w:p>
        </w:tc>
      </w:tr>
      <w:tr>
        <w:trPr>
          <w:trHeight w:val="25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331,476,095</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87,785,058</w:t>
            </w:r>
          </w:p>
        </w:tc>
      </w:tr>
      <w:tr>
        <w:trPr>
          <w:trHeight w:val="205"/>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1"/>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38,605,312</w:t>
            </w:r>
          </w:p>
        </w:tc>
        <w:tc>
          <w:tcPr>
            <w:tcW w:w="42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13,149,329</w:t>
            </w:r>
          </w:p>
        </w:tc>
      </w:tr>
      <w:tr>
        <w:trPr>
          <w:trHeight w:val="230"/>
        </w:trPr>
        <w:tc>
          <w:tcPr>
            <w:tcW w:w="7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51,630,813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9,295,180</w:t>
            </w:r>
          </w:p>
        </w:tc>
      </w:tr>
      <w:tr>
        <w:trPr>
          <w:trHeight w:val="221"/>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liability, current portion</w:t>
            </w:r>
          </w:p>
        </w:tc>
        <w:tc>
          <w:tcPr>
            <w:tcW w:w="240" w:type="dxa"/>
            <w:vAlign w:val="bottom"/>
          </w:tcPr>
          <w:p>
            <w:pPr>
              <w:spacing w:after="0"/>
              <w:rPr>
                <w:sz w:val="19"/>
                <w:szCs w:val="19"/>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424,673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620,675</w:t>
            </w:r>
          </w:p>
        </w:tc>
      </w:tr>
      <w:tr>
        <w:trPr>
          <w:trHeight w:val="225"/>
        </w:trPr>
        <w:tc>
          <w:tcPr>
            <w:tcW w:w="7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Contingent consideration, current</w:t>
            </w: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5,900,000</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96,560,798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23,065,184</w:t>
            </w:r>
          </w:p>
        </w:tc>
      </w:tr>
      <w:tr>
        <w:trPr>
          <w:trHeight w:val="23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Contingent consideration, non-current</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31,100,000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 payable, long-term</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94,258,888</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49,089,522</w:t>
            </w:r>
          </w:p>
        </w:tc>
      </w:tr>
      <w:tr>
        <w:trPr>
          <w:trHeight w:val="22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221,919,686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72,154,706</w:t>
            </w: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Preferred stock, $0.0001 par value per share (10,000,000 shares authorized, none issued and outstanding at</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December 31, 2022 and December 31, 2021, respectively)</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 $0.0001 par value per share (150,000,000 shares authorized, 43,498,617 and 37,816,794 shares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issued and outstanding at December 31, 2022 and December 31, 2021, respectively)</w:t>
            </w:r>
          </w:p>
        </w:tc>
        <w:tc>
          <w:tcPr>
            <w:tcW w:w="240" w:type="dxa"/>
            <w:vAlign w:val="bottom"/>
          </w:tcPr>
          <w:p>
            <w:pPr>
              <w:spacing w:after="0"/>
              <w:rPr>
                <w:sz w:val="19"/>
                <w:szCs w:val="19"/>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4,350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3,782</w:t>
            </w:r>
          </w:p>
        </w:tc>
      </w:tr>
      <w:tr>
        <w:trPr>
          <w:trHeight w:val="23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705,884,795</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424,825,655</w:t>
            </w: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(596,332,736 )</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(409,199,085 )</w:t>
            </w:r>
          </w:p>
        </w:tc>
      </w:tr>
      <w:tr>
        <w:trPr>
          <w:trHeight w:val="21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109,556,409</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15,630,352</w:t>
            </w:r>
          </w:p>
        </w:tc>
      </w:tr>
      <w:tr>
        <w:trPr>
          <w:trHeight w:val="218"/>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331,476,095</w:t>
            </w:r>
          </w:p>
        </w:tc>
        <w:tc>
          <w:tcPr>
            <w:tcW w:w="42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87,785,058</w:t>
            </w:r>
          </w:p>
        </w:tc>
      </w:tr>
      <w:tr>
        <w:trPr>
          <w:trHeight w:val="20"/>
        </w:trPr>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5966460</wp:posOffset>
            </wp:positionH>
            <wp:positionV relativeFrom="paragraph">
              <wp:posOffset>-2764155</wp:posOffset>
            </wp:positionV>
            <wp:extent cx="119380" cy="1670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9380" cy="167005"/>
                    </a:xfrm>
                    <a:prstGeom prst="rect">
                      <a:avLst/>
                    </a:prstGeom>
                    <a:noFill/>
                  </pic:spPr>
                </pic:pic>
              </a:graphicData>
            </a:graphic>
          </wp:anchor>
        </w:drawing>
        <w:drawing>
          <wp:anchor simplePos="0" relativeHeight="251657728" behindDoc="1" locked="0" layoutInCell="0" allowOverlap="1">
            <wp:simplePos x="0" y="0"/>
            <wp:positionH relativeFrom="column">
              <wp:posOffset>5966460</wp:posOffset>
            </wp:positionH>
            <wp:positionV relativeFrom="paragraph">
              <wp:posOffset>-1882140</wp:posOffset>
            </wp:positionV>
            <wp:extent cx="119380" cy="1511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9380" cy="151130"/>
                    </a:xfrm>
                    <a:prstGeom prst="rect">
                      <a:avLst/>
                    </a:prstGeom>
                    <a:noFill/>
                  </pic:spPr>
                </pic:pic>
              </a:graphicData>
            </a:graphic>
          </wp:anchor>
        </w:drawing>
        <w:drawing>
          <wp:anchor simplePos="0" relativeHeight="251657728" behindDoc="1" locked="0" layoutInCell="0" allowOverlap="1">
            <wp:simplePos x="0" y="0"/>
            <wp:positionH relativeFrom="column">
              <wp:posOffset>5966460</wp:posOffset>
            </wp:positionH>
            <wp:positionV relativeFrom="paragraph">
              <wp:posOffset>-173990</wp:posOffset>
            </wp:positionV>
            <wp:extent cx="119380" cy="1746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9380" cy="174625"/>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65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r>
      <w:tr>
        <w:trPr>
          <w:trHeight w:val="218"/>
        </w:trPr>
        <w:tc>
          <w:tcPr>
            <w:tcW w:w="6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Product sales, net</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50,037,106</w:t>
            </w:r>
          </w:p>
        </w:tc>
        <w:tc>
          <w:tcPr>
            <w:tcW w:w="140" w:type="dxa"/>
            <w:vAlign w:val="bottom"/>
          </w:tcPr>
          <w:p>
            <w:pPr>
              <w:spacing w:after="0"/>
              <w:rPr>
                <w:sz w:val="19"/>
                <w:szCs w:val="19"/>
                <w:color w:val="auto"/>
              </w:rPr>
            </w:pPr>
          </w:p>
        </w:tc>
        <w:tc>
          <w:tcPr>
            <w:tcW w:w="40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02"/>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Cost of product sales (excluding amortization and depreciation)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5,197,595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02"/>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57,947,447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58,060,725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70,244,579</w:t>
            </w:r>
          </w:p>
        </w:tc>
        <w:tc>
          <w:tcPr>
            <w:tcW w:w="100" w:type="dxa"/>
            <w:vAlign w:val="bottom"/>
            <w:shd w:val="clear" w:color="auto" w:fill="CFF0FC"/>
          </w:tcPr>
          <w:p>
            <w:pPr>
              <w:spacing w:after="0"/>
              <w:rPr>
                <w:sz w:val="19"/>
                <w:szCs w:val="19"/>
                <w:color w:val="auto"/>
              </w:rPr>
            </w:pPr>
          </w:p>
        </w:tc>
      </w:tr>
      <w:tr>
        <w:trPr>
          <w:trHeight w:val="221"/>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159,253,661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66,646,205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28,896,749</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Loss in fair value of contingent consideration</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3,298,230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4,139,228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02"/>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229,836,161</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124,706,930</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99,141,328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8"/>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(179,799,055 )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22"/>
              <w:spacing w:after="0"/>
              <w:rPr>
                <w:sz w:val="20"/>
                <w:szCs w:val="20"/>
                <w:color w:val="auto"/>
              </w:rPr>
            </w:pPr>
            <w:r>
              <w:rPr>
                <w:rFonts w:ascii="Times New Roman" w:cs="Times New Roman" w:eastAsia="Times New Roman" w:hAnsi="Times New Roman"/>
                <w:sz w:val="17"/>
                <w:szCs w:val="17"/>
                <w:color w:val="auto"/>
              </w:rPr>
              <w:t>(124,706,930 )</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(99,141,328 )</w:t>
            </w:r>
          </w:p>
        </w:tc>
      </w:tr>
      <w:tr>
        <w:trPr>
          <w:trHeight w:val="255"/>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(7,334,596 )</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7"/>
                <w:szCs w:val="17"/>
                <w:color w:val="auto"/>
              </w:rPr>
              <w:t>(5,696,062 )</w:t>
            </w:r>
          </w:p>
        </w:tc>
        <w:tc>
          <w:tcPr>
            <w:tcW w:w="2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(2,565,838 )</w:t>
            </w:r>
          </w:p>
        </w:tc>
      </w:tr>
      <w:tr>
        <w:trPr>
          <w:trHeight w:val="244"/>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credit</w:t>
            </w:r>
          </w:p>
        </w:tc>
        <w:tc>
          <w:tcPr>
            <w:tcW w:w="280" w:type="dxa"/>
            <w:vAlign w:val="bottom"/>
          </w:tcPr>
          <w:p>
            <w:pPr>
              <w:spacing w:after="0"/>
              <w:rPr>
                <w:sz w:val="21"/>
                <w:szCs w:val="21"/>
                <w:color w:val="auto"/>
              </w:rPr>
            </w:pPr>
          </w:p>
        </w:tc>
        <w:tc>
          <w:tcPr>
            <w:tcW w:w="122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202"/>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53,578</w:t>
            </w:r>
          </w:p>
        </w:tc>
        <w:tc>
          <w:tcPr>
            <w:tcW w:w="100" w:type="dxa"/>
            <w:vAlign w:val="bottom"/>
          </w:tcPr>
          <w:p>
            <w:pPr>
              <w:spacing w:after="0"/>
              <w:rPr>
                <w:sz w:val="21"/>
                <w:szCs w:val="21"/>
                <w:color w:val="auto"/>
              </w:rPr>
            </w:pPr>
          </w:p>
        </w:tc>
      </w:tr>
      <w:tr>
        <w:trPr>
          <w:trHeight w:val="238"/>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(1,247,012 )</w:t>
            </w:r>
          </w:p>
        </w:tc>
      </w:tr>
      <w:tr>
        <w:trPr>
          <w:trHeight w:val="20"/>
        </w:trPr>
        <w:tc>
          <w:tcPr>
            <w:tcW w:w="65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0"/>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(187,133,651 )</w:t>
            </w:r>
          </w:p>
        </w:tc>
        <w:tc>
          <w:tcPr>
            <w:tcW w:w="40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22"/>
              <w:spacing w:after="0"/>
              <w:rPr>
                <w:sz w:val="20"/>
                <w:szCs w:val="20"/>
                <w:color w:val="auto"/>
              </w:rPr>
            </w:pPr>
            <w:r>
              <w:rPr>
                <w:rFonts w:ascii="Times New Roman" w:cs="Times New Roman" w:eastAsia="Times New Roman" w:hAnsi="Times New Roman"/>
                <w:sz w:val="17"/>
                <w:szCs w:val="17"/>
                <w:color w:val="auto"/>
              </w:rPr>
              <w:t>(130,402,992 )</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(102,900,600 )</w:t>
            </w:r>
          </w:p>
        </w:tc>
      </w:tr>
      <w:tr>
        <w:trPr>
          <w:trHeight w:val="20"/>
        </w:trPr>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28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26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basic and diluted</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40,655,941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37,618,599</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37,206,928</w:t>
            </w:r>
          </w:p>
        </w:tc>
        <w:tc>
          <w:tcPr>
            <w:tcW w:w="10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5020945</wp:posOffset>
            </wp:positionH>
            <wp:positionV relativeFrom="paragraph">
              <wp:posOffset>-1127760</wp:posOffset>
            </wp:positionV>
            <wp:extent cx="71755" cy="1511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55" cy="151130"/>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-1127760</wp:posOffset>
            </wp:positionV>
            <wp:extent cx="71755" cy="1511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55" cy="151130"/>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-1127760</wp:posOffset>
            </wp:positionV>
            <wp:extent cx="63500" cy="1511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500" cy="151130"/>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-508000</wp:posOffset>
            </wp:positionV>
            <wp:extent cx="71755" cy="1746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55" cy="174625"/>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-508000</wp:posOffset>
            </wp:positionV>
            <wp:extent cx="71755" cy="1746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55" cy="17462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-508000</wp:posOffset>
            </wp:positionV>
            <wp:extent cx="63500" cy="1746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3500" cy="174625"/>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-189865</wp:posOffset>
            </wp:positionV>
            <wp:extent cx="2121535" cy="1905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21535" cy="19050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restart"/>
          </w:tcPr>
          <w:p>
            <w:pPr>
              <w:jc w:val="right"/>
              <w:ind w:right="53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260" w:type="dxa"/>
            <w:vAlign w:val="bottom"/>
          </w:tcPr>
          <w:p>
            <w:pPr>
              <w:jc w:val="center"/>
              <w:ind w:right="218"/>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12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3"/>
                <w:szCs w:val="13"/>
                <w:color w:val="auto"/>
              </w:rPr>
            </w:pPr>
          </w:p>
        </w:tc>
        <w:tc>
          <w:tcPr>
            <w:tcW w:w="72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2019</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36,933,217</w:t>
            </w:r>
          </w:p>
        </w:tc>
        <w:tc>
          <w:tcPr>
            <w:tcW w:w="20" w:type="dxa"/>
            <w:vAlign w:val="bottom"/>
          </w:tcPr>
          <w:p>
            <w:pPr>
              <w:spacing w:after="0"/>
              <w:rPr>
                <w:sz w:val="18"/>
                <w:szCs w:val="18"/>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3,693</w:t>
            </w: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354,614,189</w:t>
            </w:r>
          </w:p>
        </w:tc>
        <w:tc>
          <w:tcPr>
            <w:tcW w:w="2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(175,895,493 ) $</w:t>
            </w: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178,722,389</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14,756,206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14,756,206</w:t>
            </w:r>
          </w:p>
        </w:tc>
        <w:tc>
          <w:tcPr>
            <w:tcW w:w="0" w:type="dxa"/>
            <w:vAlign w:val="bottom"/>
          </w:tcPr>
          <w:p>
            <w:pPr>
              <w:spacing w:after="0"/>
              <w:rPr>
                <w:sz w:val="1"/>
                <w:szCs w:val="1"/>
                <w:color w:val="auto"/>
              </w:rPr>
            </w:pPr>
          </w:p>
        </w:tc>
      </w:tr>
      <w:tr>
        <w:trPr>
          <w:trHeight w:val="221"/>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upon exercise of options</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127,778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1,049,836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1,049,849</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Exercise of warrants</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63,831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1"/>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warrants upon debt financing</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884,216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884,216</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common stock upon financing</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167,243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14,125,489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14,125,506</w:t>
            </w:r>
          </w:p>
        </w:tc>
        <w:tc>
          <w:tcPr>
            <w:tcW w:w="0" w:type="dxa"/>
            <w:vAlign w:val="bottom"/>
          </w:tcPr>
          <w:p>
            <w:pPr>
              <w:spacing w:after="0"/>
              <w:rPr>
                <w:sz w:val="1"/>
                <w:szCs w:val="1"/>
                <w:color w:val="auto"/>
              </w:rPr>
            </w:pPr>
          </w:p>
        </w:tc>
      </w:tr>
      <w:tr>
        <w:trPr>
          <w:trHeight w:val="221"/>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related agreement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82,019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7,155,329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7,155,337</w:t>
            </w:r>
          </w:p>
        </w:tc>
        <w:tc>
          <w:tcPr>
            <w:tcW w:w="0" w:type="dxa"/>
            <w:vAlign w:val="bottom"/>
          </w:tcPr>
          <w:p>
            <w:pPr>
              <w:spacing w:after="0"/>
              <w:rPr>
                <w:sz w:val="1"/>
                <w:szCs w:val="1"/>
                <w:color w:val="auto"/>
              </w:rPr>
            </w:pPr>
          </w:p>
        </w:tc>
      </w:tr>
      <w:tr>
        <w:trPr>
          <w:trHeight w:val="225"/>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38"/>
              <w:spacing w:after="0"/>
              <w:rPr>
                <w:sz w:val="20"/>
                <w:szCs w:val="20"/>
                <w:color w:val="auto"/>
              </w:rPr>
            </w:pPr>
            <w:r>
              <w:rPr>
                <w:rFonts w:ascii="Times New Roman" w:cs="Times New Roman" w:eastAsia="Times New Roman" w:hAnsi="Times New Roman"/>
                <w:sz w:val="17"/>
                <w:szCs w:val="17"/>
                <w:color w:val="auto"/>
              </w:rPr>
              <w:t>(102,900,600 )</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(102,900,600 )</w:t>
            </w:r>
          </w:p>
        </w:tc>
        <w:tc>
          <w:tcPr>
            <w:tcW w:w="0" w:type="dxa"/>
            <w:vAlign w:val="bottom"/>
          </w:tcPr>
          <w:p>
            <w:pPr>
              <w:spacing w:after="0"/>
              <w:rPr>
                <w:sz w:val="1"/>
                <w:szCs w:val="1"/>
                <w:color w:val="auto"/>
              </w:rPr>
            </w:pPr>
          </w:p>
        </w:tc>
      </w:tr>
      <w:tr>
        <w:trPr>
          <w:trHeight w:val="218"/>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2020</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37,374,088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3,737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392,585,265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(278,796,093 )</w:t>
            </w: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113,792,909</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20,801,380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20,801,380</w:t>
            </w:r>
          </w:p>
        </w:tc>
        <w:tc>
          <w:tcPr>
            <w:tcW w:w="0" w:type="dxa"/>
            <w:vAlign w:val="bottom"/>
          </w:tcPr>
          <w:p>
            <w:pPr>
              <w:spacing w:after="0"/>
              <w:rPr>
                <w:sz w:val="1"/>
                <w:szCs w:val="1"/>
                <w:color w:val="auto"/>
              </w:rPr>
            </w:pPr>
          </w:p>
        </w:tc>
      </w:tr>
      <w:tr>
        <w:trPr>
          <w:trHeight w:val="221"/>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upon exercise of options</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326,219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4,402,367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4,402,400</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common stock upon vesting of RSUs</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6,191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1"/>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upon financing</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110,296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7,212,356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7,212,367</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Shares tendered for withholding taxes</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(175,713 )</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(175,713 )</w:t>
            </w:r>
          </w:p>
        </w:tc>
        <w:tc>
          <w:tcPr>
            <w:tcW w:w="0" w:type="dxa"/>
            <w:vAlign w:val="bottom"/>
          </w:tcPr>
          <w:p>
            <w:pPr>
              <w:spacing w:after="0"/>
              <w:rPr>
                <w:sz w:val="1"/>
                <w:szCs w:val="1"/>
                <w:color w:val="auto"/>
              </w:rPr>
            </w:pPr>
          </w:p>
        </w:tc>
      </w:tr>
      <w:tr>
        <w:trPr>
          <w:trHeight w:val="221"/>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(130,402,992 )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(130,402,992 )</w:t>
            </w:r>
          </w:p>
        </w:tc>
        <w:tc>
          <w:tcPr>
            <w:tcW w:w="0" w:type="dxa"/>
            <w:vAlign w:val="bottom"/>
          </w:tcPr>
          <w:p>
            <w:pPr>
              <w:spacing w:after="0"/>
              <w:rPr>
                <w:sz w:val="1"/>
                <w:szCs w:val="1"/>
                <w:color w:val="auto"/>
              </w:rPr>
            </w:pPr>
          </w:p>
        </w:tc>
      </w:tr>
      <w:tr>
        <w:trPr>
          <w:trHeight w:val="222"/>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37,816,794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3,782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424,825,655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7"/>
                <w:szCs w:val="17"/>
                <w:color w:val="auto"/>
              </w:rPr>
              <w:t>(409,199,085 )</w:t>
            </w:r>
          </w:p>
        </w:tc>
        <w:tc>
          <w:tcPr>
            <w:tcW w:w="12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15,630,352</w:t>
            </w:r>
          </w:p>
        </w:tc>
        <w:tc>
          <w:tcPr>
            <w:tcW w:w="0" w:type="dxa"/>
            <w:vAlign w:val="bottom"/>
          </w:tcPr>
          <w:p>
            <w:pPr>
              <w:spacing w:after="0"/>
              <w:rPr>
                <w:sz w:val="1"/>
                <w:szCs w:val="1"/>
                <w:color w:val="auto"/>
              </w:rPr>
            </w:pPr>
          </w:p>
        </w:tc>
      </w:tr>
      <w:tr>
        <w:trPr>
          <w:trHeight w:val="221"/>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37,726,158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37,726,158</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common stock upon exercise of options</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340,149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6,251,139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6,251,173</w:t>
            </w:r>
          </w:p>
        </w:tc>
        <w:tc>
          <w:tcPr>
            <w:tcW w:w="0" w:type="dxa"/>
            <w:vAlign w:val="bottom"/>
          </w:tcPr>
          <w:p>
            <w:pPr>
              <w:spacing w:after="0"/>
              <w:rPr>
                <w:sz w:val="1"/>
                <w:szCs w:val="1"/>
                <w:color w:val="auto"/>
              </w:rPr>
            </w:pPr>
          </w:p>
        </w:tc>
      </w:tr>
      <w:tr>
        <w:trPr>
          <w:trHeight w:val="221"/>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upon vesting of RSUs</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21,214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common stock upon financing</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5,320,460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532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236,787,524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236,788,056</w:t>
            </w:r>
          </w:p>
        </w:tc>
        <w:tc>
          <w:tcPr>
            <w:tcW w:w="0" w:type="dxa"/>
            <w:vAlign w:val="bottom"/>
          </w:tcPr>
          <w:p>
            <w:pPr>
              <w:spacing w:after="0"/>
              <w:rPr>
                <w:sz w:val="1"/>
                <w:szCs w:val="1"/>
                <w:color w:val="auto"/>
              </w:rPr>
            </w:pPr>
          </w:p>
        </w:tc>
      </w:tr>
      <w:tr>
        <w:trPr>
          <w:trHeight w:val="221"/>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of warrants</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826,153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826,153</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Shares tendered for withholding taxes</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(531,832 )</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(531,832 )</w:t>
            </w:r>
          </w:p>
        </w:tc>
        <w:tc>
          <w:tcPr>
            <w:tcW w:w="0" w:type="dxa"/>
            <w:vAlign w:val="bottom"/>
          </w:tcPr>
          <w:p>
            <w:pPr>
              <w:spacing w:after="0"/>
              <w:rPr>
                <w:sz w:val="1"/>
                <w:szCs w:val="1"/>
                <w:color w:val="auto"/>
              </w:rPr>
            </w:pPr>
          </w:p>
        </w:tc>
      </w:tr>
      <w:tr>
        <w:trPr>
          <w:trHeight w:val="221"/>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(187,133,651 )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(187,133,651 )</w:t>
            </w:r>
          </w:p>
        </w:tc>
        <w:tc>
          <w:tcPr>
            <w:tcW w:w="0" w:type="dxa"/>
            <w:vAlign w:val="bottom"/>
          </w:tcPr>
          <w:p>
            <w:pPr>
              <w:spacing w:after="0"/>
              <w:rPr>
                <w:sz w:val="1"/>
                <w:szCs w:val="1"/>
                <w:color w:val="auto"/>
              </w:rPr>
            </w:pPr>
          </w:p>
        </w:tc>
      </w:tr>
      <w:tr>
        <w:trPr>
          <w:trHeight w:val="258"/>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2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43,498,617</w:t>
            </w:r>
          </w:p>
        </w:tc>
        <w:tc>
          <w:tcPr>
            <w:tcW w:w="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4,350</w:t>
            </w:r>
          </w:p>
        </w:tc>
        <w:tc>
          <w:tcPr>
            <w:tcW w:w="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705,884,795</w:t>
            </w: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(596,332,736 ) $</w:t>
            </w:r>
          </w:p>
        </w:tc>
        <w:tc>
          <w:tcPr>
            <w:tcW w:w="126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109,556,409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3884930</wp:posOffset>
            </wp:positionH>
            <wp:positionV relativeFrom="paragraph">
              <wp:posOffset>-2334895</wp:posOffset>
            </wp:positionV>
            <wp:extent cx="8255" cy="1511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-2334895</wp:posOffset>
            </wp:positionV>
            <wp:extent cx="8255" cy="1511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-2334895</wp:posOffset>
            </wp:positionV>
            <wp:extent cx="8255" cy="1511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-23495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-7620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-23495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-7620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-23495</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65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r>
      <w:tr>
        <w:trPr>
          <w:trHeight w:val="218"/>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(187,133,651 )</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(130,402,992 )</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(102,900,600 )</w:t>
            </w:r>
          </w:p>
        </w:tc>
      </w:tr>
      <w:tr>
        <w:trPr>
          <w:trHeight w:val="23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37,726,158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20,801,380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14,756,206</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Non-cash research and development license expense</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7,155,337</w:t>
            </w:r>
          </w:p>
        </w:tc>
        <w:tc>
          <w:tcPr>
            <w:tcW w:w="100" w:type="dxa"/>
            <w:vAlign w:val="bottom"/>
            <w:shd w:val="clear" w:color="auto" w:fill="CFF0FC"/>
          </w:tcPr>
          <w:p>
            <w:pPr>
              <w:spacing w:after="0"/>
              <w:rPr>
                <w:sz w:val="19"/>
                <w:szCs w:val="19"/>
                <w:color w:val="auto"/>
              </w:rPr>
            </w:pPr>
          </w:p>
        </w:tc>
      </w:tr>
      <w:tr>
        <w:trPr>
          <w:trHeight w:val="221"/>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4,139,228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1,247,012</w:t>
            </w:r>
          </w:p>
        </w:tc>
        <w:tc>
          <w:tcPr>
            <w:tcW w:w="100" w:type="dxa"/>
            <w:vAlign w:val="bottom"/>
            <w:shd w:val="clear" w:color="auto" w:fill="CFF0FC"/>
          </w:tcPr>
          <w:p>
            <w:pPr>
              <w:spacing w:after="0"/>
              <w:rPr>
                <w:sz w:val="19"/>
                <w:szCs w:val="19"/>
                <w:color w:val="auto"/>
              </w:rPr>
            </w:pPr>
          </w:p>
        </w:tc>
      </w:tr>
      <w:tr>
        <w:trPr>
          <w:trHeight w:val="221"/>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1,482,678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1,077,015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786,750</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263,440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76,350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23,864</w:t>
            </w:r>
          </w:p>
        </w:tc>
        <w:tc>
          <w:tcPr>
            <w:tcW w:w="100" w:type="dxa"/>
            <w:vAlign w:val="bottom"/>
            <w:shd w:val="clear" w:color="auto" w:fill="CFF0FC"/>
          </w:tcPr>
          <w:p>
            <w:pPr>
              <w:spacing w:after="0"/>
              <w:rPr>
                <w:sz w:val="19"/>
                <w:szCs w:val="19"/>
                <w:color w:val="auto"/>
              </w:rPr>
            </w:pPr>
          </w:p>
        </w:tc>
      </w:tr>
      <w:tr>
        <w:trPr>
          <w:trHeight w:val="221"/>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 fair value of contingent consideration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3,298,230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 of operating lease right-of-use asset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1,161,505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1,079,313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53,854</w:t>
            </w:r>
          </w:p>
        </w:tc>
        <w:tc>
          <w:tcPr>
            <w:tcW w:w="100" w:type="dxa"/>
            <w:vAlign w:val="bottom"/>
            <w:shd w:val="clear" w:color="auto" w:fill="CFF0FC"/>
          </w:tcPr>
          <w:p>
            <w:pPr>
              <w:spacing w:after="0"/>
              <w:rPr>
                <w:sz w:val="19"/>
                <w:szCs w:val="19"/>
                <w:color w:val="auto"/>
              </w:rPr>
            </w:pPr>
          </w:p>
        </w:tc>
      </w:tr>
      <w:tr>
        <w:trPr>
          <w:trHeight w:val="221"/>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operating lease liability</w:t>
            </w:r>
          </w:p>
        </w:tc>
        <w:tc>
          <w:tcPr>
            <w:tcW w:w="2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(1,117,643 )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(1,181,620 )</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8,967</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 net</w:t>
            </w:r>
          </w:p>
        </w:tc>
        <w:tc>
          <w:tcPr>
            <w:tcW w:w="2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(37,698,868 )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Inventories, net</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(1,330,916 )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(2,735,379 )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103,087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264,722</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Non-current inventory and other assets</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(3,944,196 )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(5,535 )</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(177,500 )</w:t>
            </w:r>
          </w:p>
        </w:tc>
      </w:tr>
      <w:tr>
        <w:trPr>
          <w:trHeight w:val="221"/>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25,455,983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(354,693 )</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2,560,697</w:t>
            </w:r>
          </w:p>
        </w:tc>
        <w:tc>
          <w:tcPr>
            <w:tcW w:w="100" w:type="dxa"/>
            <w:vAlign w:val="bottom"/>
          </w:tcPr>
          <w:p>
            <w:pPr>
              <w:spacing w:after="0"/>
              <w:rPr>
                <w:sz w:val="19"/>
                <w:szCs w:val="19"/>
                <w:color w:val="auto"/>
              </w:rPr>
            </w:pPr>
          </w:p>
        </w:tc>
      </w:tr>
      <w:tr>
        <w:trPr>
          <w:trHeight w:val="225"/>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43,922,633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581,931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(2,235,878 )</w:t>
            </w:r>
          </w:p>
        </w:tc>
      </w:tr>
      <w:tr>
        <w:trPr>
          <w:trHeight w:val="20"/>
        </w:trPr>
        <w:tc>
          <w:tcPr>
            <w:tcW w:w="65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8"/>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(116,510,798 )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(108,225,764 )</w:t>
            </w:r>
          </w:p>
        </w:tc>
        <w:tc>
          <w:tcPr>
            <w:tcW w:w="2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(78,456,569 )</w:t>
            </w:r>
          </w:p>
        </w:tc>
      </w:tr>
      <w:tr>
        <w:trPr>
          <w:trHeight w:val="222"/>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equipment</w:t>
            </w:r>
          </w:p>
        </w:tc>
        <w:tc>
          <w:tcPr>
            <w:tcW w:w="2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(702,109 )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(307,549 )</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(45,891 )</w:t>
            </w:r>
          </w:p>
        </w:tc>
      </w:tr>
      <w:tr>
        <w:trPr>
          <w:trHeight w:val="225"/>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paid for business combination</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(53,000,000 )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5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8"/>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(53,702,109 )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(307,549 )</w:t>
            </w:r>
          </w:p>
        </w:tc>
        <w:tc>
          <w:tcPr>
            <w:tcW w:w="2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(45,891 )</w:t>
            </w:r>
          </w:p>
        </w:tc>
      </w:tr>
      <w:tr>
        <w:trPr>
          <w:trHeight w:val="222"/>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draw down of debt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50,000,000</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(487,160 )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(309,340 )</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(1,102,609 )</w:t>
            </w:r>
          </w:p>
        </w:tc>
      </w:tr>
      <w:tr>
        <w:trPr>
          <w:trHeight w:val="221"/>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 of principal on term loan</w:t>
            </w:r>
          </w:p>
        </w:tc>
        <w:tc>
          <w:tcPr>
            <w:tcW w:w="2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(21,660,000 )</w:t>
            </w:r>
          </w:p>
        </w:tc>
      </w:tr>
      <w:tr>
        <w:trPr>
          <w:trHeight w:val="23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 upon financing, net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236,788,056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7,212,367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14,125,506</w:t>
            </w:r>
          </w:p>
        </w:tc>
        <w:tc>
          <w:tcPr>
            <w:tcW w:w="100" w:type="dxa"/>
            <w:vAlign w:val="bottom"/>
            <w:shd w:val="clear" w:color="auto" w:fill="CFF0FC"/>
          </w:tcPr>
          <w:p>
            <w:pPr>
              <w:spacing w:after="0"/>
              <w:rPr>
                <w:sz w:val="19"/>
                <w:szCs w:val="19"/>
                <w:color w:val="auto"/>
              </w:rPr>
            </w:pPr>
          </w:p>
        </w:tc>
      </w:tr>
      <w:tr>
        <w:trPr>
          <w:trHeight w:val="221"/>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 upon exercise of options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6,251,173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4,402,400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1,049,849</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 of contingent consideration</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(2,438,230 )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tax withholdings on stock award</w:t>
            </w:r>
          </w:p>
        </w:tc>
        <w:tc>
          <w:tcPr>
            <w:tcW w:w="2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(531,831 )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(175,713 )</w:t>
            </w: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284,582,008</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11,129,714</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42,412,746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8"/>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114,369,101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(97,403,599 )</w:t>
            </w:r>
          </w:p>
        </w:tc>
        <w:tc>
          <w:tcPr>
            <w:tcW w:w="2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(36,089,714 )</w:t>
            </w:r>
          </w:p>
        </w:tc>
      </w:tr>
      <w:tr>
        <w:trPr>
          <w:trHeight w:val="225"/>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at beginning of period</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86,472,854</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183,876,453</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219,966,167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8"/>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at end of period</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200,841,955</w:t>
            </w:r>
          </w:p>
        </w:tc>
        <w:tc>
          <w:tcPr>
            <w:tcW w:w="1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86,472,854</w:t>
            </w:r>
          </w:p>
        </w:tc>
        <w:tc>
          <w:tcPr>
            <w:tcW w:w="26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183,876,453</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paid</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7,686,292</w:t>
            </w:r>
          </w:p>
        </w:tc>
        <w:tc>
          <w:tcPr>
            <w:tcW w:w="1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4,625,208</w:t>
            </w:r>
          </w:p>
        </w:tc>
        <w:tc>
          <w:tcPr>
            <w:tcW w:w="26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2,097,292</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 obtained in exchange for operating lease liability</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561,380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1,793,328</w:t>
            </w:r>
          </w:p>
        </w:tc>
        <w:tc>
          <w:tcPr>
            <w:tcW w:w="100" w:type="dxa"/>
            <w:vAlign w:val="bottom"/>
            <w:shd w:val="clear" w:color="auto" w:fill="CFF0FC"/>
          </w:tcPr>
          <w:p>
            <w:pPr>
              <w:spacing w:after="0"/>
              <w:rPr>
                <w:sz w:val="19"/>
                <w:szCs w:val="19"/>
                <w:color w:val="auto"/>
              </w:rPr>
            </w:pP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non-cash investing activities: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Fair value of contingent consideration in a business combination</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37,000,000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financing activity:</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Issuance of warrants in connection with debt financing</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884,216</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5020945</wp:posOffset>
            </wp:positionH>
            <wp:positionV relativeFrom="paragraph">
              <wp:posOffset>-3526790</wp:posOffset>
            </wp:positionV>
            <wp:extent cx="71755" cy="1587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55" cy="158750"/>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-3526790</wp:posOffset>
            </wp:positionV>
            <wp:extent cx="71755" cy="1587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55" cy="158750"/>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-3526790</wp:posOffset>
            </wp:positionV>
            <wp:extent cx="63500" cy="1587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500" cy="158750"/>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-2938780</wp:posOffset>
            </wp:positionV>
            <wp:extent cx="71755" cy="1587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55" cy="158750"/>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-2938780</wp:posOffset>
            </wp:positionV>
            <wp:extent cx="71755" cy="1587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55" cy="158750"/>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-2938780</wp:posOffset>
            </wp:positionV>
            <wp:extent cx="63500" cy="1587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3500" cy="158750"/>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-1485265</wp:posOffset>
            </wp:positionV>
            <wp:extent cx="71755" cy="1511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55" cy="151130"/>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-1485265</wp:posOffset>
            </wp:positionV>
            <wp:extent cx="71755" cy="1511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55" cy="151130"/>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-1485265</wp:posOffset>
            </wp:positionV>
            <wp:extent cx="63500" cy="1511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3500" cy="151130"/>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-1191260</wp:posOffset>
            </wp:positionV>
            <wp:extent cx="71755" cy="1746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55" cy="174625"/>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-1191260</wp:posOffset>
            </wp:positionV>
            <wp:extent cx="71755" cy="1746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55" cy="17462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-1191260</wp:posOffset>
            </wp:positionV>
            <wp:extent cx="63500" cy="1746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3500" cy="17462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Axsome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Note 1.</w:t>
      </w:r>
      <w:r>
        <w:rPr>
          <w:sz w:val="20"/>
          <w:szCs w:val="20"/>
          <w:color w:val="auto"/>
        </w:rPr>
        <w:tab/>
      </w:r>
      <w:r>
        <w:rPr>
          <w:rFonts w:ascii="Times New Roman" w:cs="Times New Roman" w:eastAsia="Times New Roman" w:hAnsi="Times New Roman"/>
          <w:sz w:val="16"/>
          <w:szCs w:val="16"/>
          <w:b w:val="1"/>
          <w:bCs w:val="1"/>
          <w:color w:val="auto"/>
        </w:rPr>
        <w:t>Nature of Business and Basis of Presentation</w:t>
      </w:r>
    </w:p>
    <w:p>
      <w:pPr>
        <w:spacing w:after="0" w:line="209" w:lineRule="exact"/>
        <w:rPr>
          <w:sz w:val="20"/>
          <w:szCs w:val="20"/>
          <w:color w:val="auto"/>
        </w:rPr>
      </w:pPr>
    </w:p>
    <w:p>
      <w:pPr>
        <w:ind w:right="20" w:firstLine="750"/>
        <w:spacing w:after="0" w:line="264" w:lineRule="auto"/>
        <w:rPr>
          <w:sz w:val="20"/>
          <w:szCs w:val="20"/>
          <w:color w:val="auto"/>
        </w:rPr>
      </w:pPr>
      <w:r>
        <w:rPr>
          <w:rFonts w:ascii="Times New Roman" w:cs="Times New Roman" w:eastAsia="Times New Roman" w:hAnsi="Times New Roman"/>
          <w:sz w:val="16"/>
          <w:szCs w:val="16"/>
          <w:color w:val="auto"/>
        </w:rPr>
        <w:t>Axsome Therapeutics, Inc. (“Axsome” or the “Company”) is a biopharmaceutical company developing and delivering novel therapies for central nervous system (“CNS”) conditions that have limited treatment options. By focusing on this therapeutic area, the Company is addressing significant and growing markets where current treatment options are limited or inadequate. The Company was incorporated on January 12, 2012 in the State of Delaware. The Company’s CNS portfolio includes three not yet approved product candidates, AXS-07, AXS-12, and AXS-14, which are being developed for multiple indications, and two approved products - Auvelity® (also referred to as "AXS-05") and Sunosi® - both of which are also being developed for further indications. In May 2022, the Company acquired Sunosi from Jazz Pharmaceuticals ("Jazz") for sale in the U.S. and in November 2022, following the ex-U.S. assets acquisition from Jazz, the Company began selling Sunosi in certain ex-U.S. markets. Sunosi is a product approved by FDA and marketed in the U.S. to improve wakefulness in adult patients with EDS ("excessive daytime sleepiness") associated with narcolepsy or obstructive sleep apnea, and also approved in Europe in January 2020 by the European Commission. In August 2022, the Company announced the FDA approval of Auvelity and in October 2022, the U.S. commercial availability of Auvelity. Auvelity is indicated for the treatment of major depressive disorder in adults. The Company aims to become a fully integrated biopharmaceutical company that develops and commercializes differentiated therapies that expand the treatment options available to caregivers and improve the lives of patients living with CNS disorders. The Company refers herein to Sunosi, Auveity, AXS-05, AXS-07, AXS-12, AXS-14, solriamfetol, and its programs to develop additional indications for Sunosi and Auvelity, as the Company’s products.</w:t>
      </w:r>
    </w:p>
    <w:p>
      <w:pPr>
        <w:spacing w:after="0" w:line="174" w:lineRule="exact"/>
        <w:rPr>
          <w:sz w:val="20"/>
          <w:szCs w:val="20"/>
          <w:color w:val="auto"/>
        </w:rPr>
      </w:pPr>
    </w:p>
    <w:p>
      <w:pPr>
        <w:ind w:right="40" w:firstLine="750"/>
        <w:spacing w:after="0" w:line="254"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conformity with accounting principles generally accepted in the United States of America (“GAAP”) and include all adjustments necessary for the fair presentation of the Company’s financial position for the periods presented. The consolidated financial statements include the accounts of the Company and its wholly owned subsidiaries. All material intercompany accounts and transactions have been eliminated during the consolidation process.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9" w:lineRule="exact"/>
        <w:rPr>
          <w:sz w:val="20"/>
          <w:szCs w:val="20"/>
          <w:color w:val="auto"/>
        </w:rPr>
      </w:pPr>
    </w:p>
    <w:p>
      <w:pPr>
        <w:ind w:right="300" w:firstLine="750"/>
        <w:spacing w:after="0" w:line="271" w:lineRule="auto"/>
        <w:rPr>
          <w:sz w:val="20"/>
          <w:szCs w:val="20"/>
          <w:color w:val="auto"/>
        </w:rPr>
      </w:pPr>
      <w:r>
        <w:rPr>
          <w:rFonts w:ascii="Times New Roman" w:cs="Times New Roman" w:eastAsia="Times New Roman" w:hAnsi="Times New Roman"/>
          <w:sz w:val="17"/>
          <w:szCs w:val="17"/>
          <w:color w:val="auto"/>
        </w:rPr>
        <w:t>The Company has incurred operating losses since its inception and expects to continue to incur operating losses for the foreseeable future and may never become profitable. As of December 31, 2022, the Company had an accumulated deficit of $596.3 million.</w:t>
      </w:r>
    </w:p>
    <w:p>
      <w:pPr>
        <w:spacing w:after="0" w:line="159" w:lineRule="exact"/>
        <w:rPr>
          <w:sz w:val="20"/>
          <w:szCs w:val="20"/>
          <w:color w:val="auto"/>
        </w:rPr>
      </w:pPr>
    </w:p>
    <w:p>
      <w:pPr>
        <w:ind w:right="80" w:firstLine="750"/>
        <w:spacing w:after="0" w:line="275" w:lineRule="auto"/>
        <w:rPr>
          <w:sz w:val="20"/>
          <w:szCs w:val="20"/>
          <w:color w:val="auto"/>
        </w:rPr>
      </w:pPr>
      <w:r>
        <w:rPr>
          <w:rFonts w:ascii="Times New Roman" w:cs="Times New Roman" w:eastAsia="Times New Roman" w:hAnsi="Times New Roman"/>
          <w:sz w:val="16"/>
          <w:szCs w:val="16"/>
          <w:color w:val="auto"/>
        </w:rPr>
        <w:t>The Company’s primary sources of cash have been proceeds from the issuance and sale of its common stock in public offerings and the issuance of debt. Sales of Sunosi and Auvelity recently initiated.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58"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The Company believes its current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may use a combination of public and private equity offerings, debt financings, other third-party funding, strategic alliances, licensing arrangements or marketing and distribution arrangements if market conditions are favorable or in light of other strategic considerations to finance its future cash needs.</w:t>
      </w:r>
    </w:p>
    <w:p>
      <w:pPr>
        <w:spacing w:after="0" w:line="1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Company’s common stock is listed on the Nasdaq Global Market and trades under the symbol “AXSM”.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Impact of COVID-19</w:t>
      </w:r>
    </w:p>
    <w:p>
      <w:pPr>
        <w:spacing w:after="0" w:line="215"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In December 2019, a novel (new)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global pandemic. The full impact of the ongoing COVID-19 pandemic is still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the Company does not believe the COVID-19 pandemic has had or will have a material impact on the Company’s current investment liquidity.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Significant Risks and Uncertainties</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Company’s operations are subject to a number of factors that can affect its operating results and financial condition. Such factors include, but are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limited to: the results of clinical testing and trial activities of the Company’s product candidates; the Company’s ability to obtain regulatory approval to market its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products, if approved; competition from products manufactured and sold or being developed by other companies; the price of, and demand for, the Company’s products,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approved; the Company’s ability to negotiate favorable licensing or other manufacturing and marketing agreements for its products, if approved; and the Company’s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ability to raise additional financing. If the Company's commercialization of its products is not financially successful, it will be unable to generate sufficient recurring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 revenue to achieve and maintain profitability.</w:t>
      </w:r>
    </w:p>
    <w:p>
      <w:pPr>
        <w:spacing w:after="0" w:line="188" w:lineRule="exact"/>
        <w:rPr>
          <w:sz w:val="20"/>
          <w:szCs w:val="20"/>
          <w:color w:val="auto"/>
        </w:rPr>
      </w:pPr>
    </w:p>
    <w:p>
      <w:pPr>
        <w:ind w:right="380" w:firstLine="750"/>
        <w:spacing w:after="0" w:line="252" w:lineRule="auto"/>
        <w:rPr>
          <w:sz w:val="20"/>
          <w:szCs w:val="20"/>
          <w:color w:val="auto"/>
        </w:rPr>
      </w:pPr>
      <w:r>
        <w:rPr>
          <w:rFonts w:ascii="Times New Roman" w:cs="Times New Roman" w:eastAsia="Times New Roman" w:hAnsi="Times New Roman"/>
          <w:sz w:val="17"/>
          <w:szCs w:val="17"/>
          <w:color w:val="auto"/>
        </w:rPr>
        <w:t>The Company currently has two commercially approved products, Auvelity and Sunosi, and there can be no assurance that the Company’s research and development efforts will result in successfully commercialized products in addition to Auvelity and Sunosi.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09" w:lineRule="exact"/>
        <w:rPr>
          <w:sz w:val="20"/>
          <w:szCs w:val="20"/>
          <w:color w:val="auto"/>
        </w:rPr>
      </w:pPr>
    </w:p>
    <w:p>
      <w:pPr>
        <w:ind w:right="40" w:firstLine="750"/>
        <w:spacing w:after="0" w:line="202" w:lineRule="exact"/>
        <w:rPr>
          <w:sz w:val="20"/>
          <w:szCs w:val="20"/>
          <w:color w:val="auto"/>
        </w:rPr>
      </w:pPr>
      <w:r>
        <w:rPr>
          <w:rFonts w:ascii="Times New Roman" w:cs="Times New Roman" w:eastAsia="Times New Roman" w:hAnsi="Times New Roman"/>
          <w:sz w:val="17"/>
          <w:szCs w:val="17"/>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expense; the determination of the fair value of the warrants; the accounting for research and development costs; accounting for acquisitions; impairments goodwill and intangible assets; contingent consideration; chargebacks, cash discounts, sales rebates, returns and other adjustments; and the recoverability of the Company’s net deferred tax assets and related valuation allowance.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09" w:lineRule="exact"/>
        <w:rPr>
          <w:sz w:val="20"/>
          <w:szCs w:val="20"/>
          <w:color w:val="auto"/>
        </w:rPr>
      </w:pPr>
    </w:p>
    <w:p>
      <w:pPr>
        <w:ind w:right="100" w:firstLine="750"/>
        <w:spacing w:after="0" w:line="252" w:lineRule="auto"/>
        <w:rPr>
          <w:sz w:val="20"/>
          <w:szCs w:val="20"/>
          <w:color w:val="auto"/>
        </w:rPr>
      </w:pPr>
      <w:r>
        <w:rPr>
          <w:rFonts w:ascii="Times New Roman" w:cs="Times New Roman" w:eastAsia="Times New Roman" w:hAnsi="Times New Roman"/>
          <w:sz w:val="17"/>
          <w:szCs w:val="17"/>
          <w:color w:val="auto"/>
        </w:rPr>
        <w:t>In accordance with ASC Topic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 The reported results for the year ended December 31, 2022 reflect the application of ASC Topic 606.</w:t>
      </w:r>
    </w:p>
    <w:p>
      <w:pPr>
        <w:spacing w:after="0" w:line="175" w:lineRule="exact"/>
        <w:rPr>
          <w:sz w:val="20"/>
          <w:szCs w:val="20"/>
          <w:color w:val="auto"/>
        </w:rPr>
      </w:pPr>
    </w:p>
    <w:p>
      <w:pPr>
        <w:ind w:right="80" w:firstLine="750"/>
        <w:spacing w:after="0" w:line="249" w:lineRule="auto"/>
        <w:rPr>
          <w:sz w:val="20"/>
          <w:szCs w:val="20"/>
          <w:color w:val="auto"/>
        </w:rPr>
      </w:pPr>
      <w:r>
        <w:rPr>
          <w:rFonts w:ascii="Times New Roman" w:cs="Times New Roman" w:eastAsia="Times New Roman" w:hAnsi="Times New Roman"/>
          <w:sz w:val="17"/>
          <w:szCs w:val="17"/>
          <w:color w:val="auto"/>
        </w:rPr>
        <w:t>To determine revenue recognition for arrangements that the Company determines are within the scope of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Topic 606, including when it is probable that the Company will collect the consideration it is entitled to in exchange for the goods or services it transfers to the customer. At contract inception, once the contract is determined to be within the scope of ASC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(below). Payment terms are typically 90 days or less.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Sales, net</w:t>
      </w:r>
    </w:p>
    <w:p>
      <w:pPr>
        <w:spacing w:after="0" w:line="209" w:lineRule="exact"/>
        <w:rPr>
          <w:sz w:val="20"/>
          <w:szCs w:val="20"/>
          <w:color w:val="auto"/>
        </w:rPr>
      </w:pPr>
    </w:p>
    <w:p>
      <w:pPr>
        <w:jc w:val="both"/>
        <w:ind w:right="100" w:firstLine="750"/>
        <w:spacing w:after="0" w:line="275" w:lineRule="auto"/>
        <w:rPr>
          <w:sz w:val="20"/>
          <w:szCs w:val="20"/>
          <w:color w:val="auto"/>
        </w:rPr>
      </w:pPr>
      <w:r>
        <w:rPr>
          <w:rFonts w:ascii="Times New Roman" w:cs="Times New Roman" w:eastAsia="Times New Roman" w:hAnsi="Times New Roman"/>
          <w:sz w:val="16"/>
          <w:szCs w:val="16"/>
          <w:color w:val="auto"/>
        </w:rPr>
        <w:t>In 2022, the Company sold Sunosi and Auvelity in the United States through a single third-party logistic provider ("3PL"), which takes title and control of the goods. The 3PL distributed the product to wholesale distributors (collectively the "Distributors") with whom the Company has entered into formal agreements for delivery to retail pharmacies. The company sells Sunosi internationally through local distributors for delivery primarily to retail pharmacies and hospitals. For the year ended December 31, 2022, Product sales, net were $44.8 million for Sunosi, including $0.9 million in ex-U.S. markets, and $5.2 million for Auvelity.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Reserves for Variable Consideration</w:t>
      </w:r>
    </w:p>
    <w:p>
      <w:pPr>
        <w:spacing w:after="0" w:line="209"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our best estimate of the amount of consideration to which the Company is entitled based on the terms of the contracts.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37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7"/>
          <w:szCs w:val="17"/>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w:t>
      </w:r>
    </w:p>
    <w:p>
      <w:pPr>
        <w:spacing w:after="0" w:line="1" w:lineRule="exact"/>
        <w:rPr>
          <w:sz w:val="20"/>
          <w:szCs w:val="20"/>
          <w:color w:val="auto"/>
        </w:rPr>
      </w:pPr>
    </w:p>
    <w:p>
      <w:pPr>
        <w:jc w:val="both"/>
        <w:ind w:right="340" w:firstLine="42"/>
        <w:spacing w:after="0" w:line="248" w:lineRule="auto"/>
        <w:rPr>
          <w:sz w:val="20"/>
          <w:szCs w:val="20"/>
          <w:color w:val="auto"/>
        </w:rPr>
      </w:pPr>
      <w:r>
        <w:rPr>
          <w:rFonts w:ascii="Times New Roman" w:cs="Times New Roman" w:eastAsia="Times New Roman" w:hAnsi="Times New Roman"/>
          <w:sz w:val="17"/>
          <w:szCs w:val="17"/>
          <w:color w:val="auto"/>
        </w:rPr>
        <w:t>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firstLine="75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Trade Discounts and Allowances - </w:t>
      </w:r>
      <w:r>
        <w:rPr>
          <w:rFonts w:ascii="Times New Roman" w:cs="Times New Roman" w:eastAsia="Times New Roman" w:hAnsi="Times New Roman"/>
          <w:sz w:val="17"/>
          <w:szCs w:val="17"/>
          <w:color w:val="auto"/>
        </w:rPr>
        <w:t>The Company generally provides discounts which include incentive fees that are explicitly stated in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receivables, net on the consolidated balance sheets.</w:t>
      </w:r>
    </w:p>
    <w:p>
      <w:pPr>
        <w:spacing w:after="0" w:line="167" w:lineRule="exact"/>
        <w:rPr>
          <w:sz w:val="20"/>
          <w:szCs w:val="20"/>
          <w:color w:val="auto"/>
        </w:rPr>
      </w:pPr>
    </w:p>
    <w:p>
      <w:pPr>
        <w:ind w:right="140" w:firstLine="75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Product Returns - </w:t>
      </w:r>
      <w:r>
        <w:rPr>
          <w:rFonts w:ascii="Times New Roman" w:cs="Times New Roman" w:eastAsia="Times New Roman" w:hAnsi="Times New Roman"/>
          <w:sz w:val="17"/>
          <w:szCs w:val="17"/>
          <w:color w:val="auto"/>
        </w:rPr>
        <w:t>Consistent with industry practice, the Company generally offers a limited right of return for product that has been purchased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based on the product’s expiration date. The Company estimates the amount of its product sales that may be returned and records this estimate as a reduction of revenue in the period the related product sales is recognized, as well as a component of accrued expense and other current liabilities. The Company currently estimates product return liabilities using available industry data and its own sales information.</w:t>
      </w:r>
    </w:p>
    <w:p>
      <w:pPr>
        <w:spacing w:after="0" w:line="167" w:lineRule="exact"/>
        <w:rPr>
          <w:sz w:val="20"/>
          <w:szCs w:val="20"/>
          <w:color w:val="auto"/>
        </w:rPr>
      </w:pPr>
    </w:p>
    <w:p>
      <w:pPr>
        <w:ind w:firstLine="75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Chargebacks and Discounts - </w:t>
      </w:r>
      <w:r>
        <w:rPr>
          <w:rFonts w:ascii="Times New Roman" w:cs="Times New Roman" w:eastAsia="Times New Roman" w:hAnsi="Times New Roman"/>
          <w:sz w:val="17"/>
          <w:szCs w:val="17"/>
          <w:color w:val="auto"/>
        </w:rPr>
        <w:t>Chargebacks for fees and discounts to providers represent the estimated obligations resulting from contractual commitments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receivables, net.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ind w:right="20" w:firstLine="750"/>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Rebates - </w:t>
      </w:r>
      <w:r>
        <w:rPr>
          <w:rFonts w:ascii="Times New Roman" w:cs="Times New Roman" w:eastAsia="Times New Roman" w:hAnsi="Times New Roman"/>
          <w:sz w:val="17"/>
          <w:szCs w:val="17"/>
          <w:color w:val="auto"/>
        </w:rPr>
        <w:t>Rebates apply to: Medicaid, managed care, and supplemental rebates to all applicable states as defined by the statutory government 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calculation requirements under the Medicaid Drug Rebate Program. Tricare rebates to the TRICARE third party administrator based on the statutory calculation defined in the agreement with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The Company estimates these rebates and records such estimates in the same period the related product sales is recognized, resulting in a reduction to product sales as well as a component of accrued expense and other current liabilities.</w:t>
      </w:r>
    </w:p>
    <w:p>
      <w:pPr>
        <w:spacing w:after="0" w:line="175" w:lineRule="exact"/>
        <w:rPr>
          <w:sz w:val="20"/>
          <w:szCs w:val="20"/>
          <w:color w:val="auto"/>
        </w:rPr>
      </w:pPr>
    </w:p>
    <w:p>
      <w:pPr>
        <w:ind w:right="160" w:firstLine="75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Coverage Gap - </w:t>
      </w:r>
      <w:r>
        <w:rPr>
          <w:rFonts w:ascii="Times New Roman" w:cs="Times New Roman" w:eastAsia="Times New Roman" w:hAnsi="Times New Roman"/>
          <w:sz w:val="17"/>
          <w:szCs w:val="17"/>
          <w:color w:val="auto"/>
        </w:rPr>
        <w:t>The Medicare Part D coverage gap is a period of consumer payment for prescription medication costs which lies between the initial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coverage limit and the catastrophic-coverage threshold, when the patient is a member of a Medicare Part D prescription-drug program administered by the Centers for Medicare &amp; Medicaid Services. The Company estimates the percentage of goods sold under Coverage Gap and adjusts the transaction price for such discount at the time of sale resulting in a reduction to product sales as well as a component of accrued expense and other current liabilities.</w:t>
      </w:r>
    </w:p>
    <w:p>
      <w:pPr>
        <w:spacing w:after="0" w:line="167" w:lineRule="exact"/>
        <w:rPr>
          <w:sz w:val="20"/>
          <w:szCs w:val="20"/>
          <w:color w:val="auto"/>
        </w:rPr>
      </w:pPr>
    </w:p>
    <w:p>
      <w:pPr>
        <w:ind w:right="120" w:firstLine="750"/>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Other Incentives - </w:t>
      </w:r>
      <w:r>
        <w:rPr>
          <w:rFonts w:ascii="Times New Roman" w:cs="Times New Roman" w:eastAsia="Times New Roman" w:hAnsi="Times New Roman"/>
          <w:sz w:val="17"/>
          <w:szCs w:val="17"/>
          <w:color w:val="auto"/>
        </w:rPr>
        <w:t>Other incentives which the Company offers include voluntary patient assistance programs, such as the co-pay assistance program,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adjustments are recorded in the same period the related revenue is recognized, resulting in a reduction of product sales as well as a component of accrued expense and other current liabilities.</w:t>
      </w:r>
    </w:p>
    <w:p>
      <w:pPr>
        <w:spacing w:after="0" w:line="175" w:lineRule="exact"/>
        <w:rPr>
          <w:sz w:val="20"/>
          <w:szCs w:val="20"/>
          <w:color w:val="auto"/>
        </w:rPr>
      </w:pPr>
    </w:p>
    <w:p>
      <w:pPr>
        <w:ind w:right="320" w:firstLine="750"/>
        <w:spacing w:after="0" w:line="254" w:lineRule="auto"/>
        <w:rPr>
          <w:sz w:val="20"/>
          <w:szCs w:val="20"/>
          <w:color w:val="auto"/>
        </w:rPr>
      </w:pPr>
      <w:r>
        <w:rPr>
          <w:rFonts w:ascii="Times New Roman" w:cs="Times New Roman" w:eastAsia="Times New Roman" w:hAnsi="Times New Roman"/>
          <w:sz w:val="17"/>
          <w:szCs w:val="17"/>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Translation</w:t>
      </w:r>
    </w:p>
    <w:p>
      <w:pPr>
        <w:spacing w:after="0" w:line="209" w:lineRule="exact"/>
        <w:rPr>
          <w:sz w:val="20"/>
          <w:szCs w:val="20"/>
          <w:color w:val="auto"/>
        </w:rPr>
      </w:pPr>
    </w:p>
    <w:p>
      <w:pPr>
        <w:jc w:val="both"/>
        <w:ind w:right="200" w:firstLine="750"/>
        <w:spacing w:after="0" w:line="258" w:lineRule="auto"/>
        <w:rPr>
          <w:sz w:val="20"/>
          <w:szCs w:val="20"/>
          <w:color w:val="auto"/>
        </w:rPr>
      </w:pPr>
      <w:r>
        <w:rPr>
          <w:rFonts w:ascii="Times New Roman" w:cs="Times New Roman" w:eastAsia="Times New Roman" w:hAnsi="Times New Roman"/>
          <w:sz w:val="17"/>
          <w:szCs w:val="17"/>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and Geographic Information</w:t>
      </w:r>
    </w:p>
    <w:p>
      <w:pPr>
        <w:spacing w:after="0" w:line="209" w:lineRule="exact"/>
        <w:rPr>
          <w:sz w:val="20"/>
          <w:szCs w:val="20"/>
          <w:color w:val="auto"/>
        </w:rPr>
      </w:pPr>
    </w:p>
    <w:p>
      <w:pPr>
        <w:jc w:val="both"/>
        <w:ind w:right="340" w:firstLine="750"/>
        <w:spacing w:after="0" w:line="282" w:lineRule="auto"/>
        <w:rPr>
          <w:sz w:val="20"/>
          <w:szCs w:val="20"/>
          <w:color w:val="auto"/>
        </w:rPr>
      </w:pPr>
      <w:r>
        <w:rPr>
          <w:rFonts w:ascii="Times New Roman" w:cs="Times New Roman" w:eastAsia="Times New Roman" w:hAnsi="Times New Roman"/>
          <w:sz w:val="16"/>
          <w:szCs w:val="16"/>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and reporting unit, which is the business of developing and delivering novel therapies for the management of CNS disorders.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Equivalents</w:t>
      </w:r>
    </w:p>
    <w:p>
      <w:pPr>
        <w:spacing w:after="0" w:line="209"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December 31, 2022, the balance of cash and cash equivalents was $200.8 million, which approximates fair value and was determined based upon Level 1 inputs. The sweep account is valued using quoted market prices with no valuation adjustments applied. Accordingly, these securities are categorized as Level 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Risk</w:t>
      </w:r>
    </w:p>
    <w:p>
      <w:pPr>
        <w:spacing w:after="0" w:line="205" w:lineRule="exact"/>
        <w:rPr>
          <w:sz w:val="20"/>
          <w:szCs w:val="20"/>
          <w:color w:val="auto"/>
        </w:rPr>
      </w:pPr>
    </w:p>
    <w:p>
      <w:pPr>
        <w:ind w:right="380" w:firstLine="750"/>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Concentration of Credit Risk - </w:t>
      </w:r>
      <w:r>
        <w:rPr>
          <w:rFonts w:ascii="Times New Roman" w:cs="Times New Roman" w:eastAsia="Times New Roman" w:hAnsi="Times New Roman"/>
          <w:sz w:val="17"/>
          <w:szCs w:val="17"/>
          <w:color w:val="auto"/>
        </w:rPr>
        <w:t>Financial instruments that potentially subject the Company to a concentration of credit risk consist of cash and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equivalents. The Company maintains its cash at financial institutions, which at times, exceed federally insured limits. At December 31, 2022, the majority of the Company’s cash was held by one financial institution and the amount on deposit was in excess of Federal Deposit Insurance Corporation insurance limits. The Company has not recognized any losses from credit risks on such accounts since inception and does not believe that it is exposed to any significant credit risk with respect to cash and cash equivalents. See Accounts Receivables, net below for further information.</w:t>
      </w:r>
    </w:p>
    <w:p>
      <w:pPr>
        <w:spacing w:after="0" w:line="171" w:lineRule="exact"/>
        <w:rPr>
          <w:sz w:val="20"/>
          <w:szCs w:val="20"/>
          <w:color w:val="auto"/>
        </w:rPr>
      </w:pPr>
    </w:p>
    <w:p>
      <w:pPr>
        <w:ind w:right="520" w:firstLine="75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Concentration of Risk, Other- </w:t>
      </w:r>
      <w:r>
        <w:rPr>
          <w:rFonts w:ascii="Times New Roman" w:cs="Times New Roman" w:eastAsia="Times New Roman" w:hAnsi="Times New Roman"/>
          <w:sz w:val="17"/>
          <w:szCs w:val="17"/>
          <w:color w:val="auto"/>
        </w:rPr>
        <w:t>We have a limited number of contract manufacturers for our products. At times we may have only one manufacturer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supplier for a product.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209"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The Company accounted for the Sunosi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certain intangible assets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As a result of the acquisition of Sunosi from Jazz, the Company recorded goodwill and an intangible asset.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09" w:lineRule="exact"/>
        <w:rPr>
          <w:sz w:val="20"/>
          <w:szCs w:val="20"/>
          <w:color w:val="auto"/>
        </w:rPr>
      </w:pPr>
    </w:p>
    <w:p>
      <w:pPr>
        <w:ind w:right="40" w:firstLine="750"/>
        <w:spacing w:after="0" w:line="249" w:lineRule="auto"/>
        <w:rPr>
          <w:sz w:val="20"/>
          <w:szCs w:val="20"/>
          <w:color w:val="auto"/>
        </w:rPr>
      </w:pPr>
      <w:r>
        <w:rPr>
          <w:rFonts w:ascii="Times New Roman" w:cs="Times New Roman" w:eastAsia="Times New Roman" w:hAnsi="Times New Roman"/>
          <w:sz w:val="17"/>
          <w:szCs w:val="17"/>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The Company performs a one-step test in its evaluation of the carrying value of goodwill if qualitative factors determine it is necessary to complete a goodwill impairment test. In the evaluation,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intends to complete its annual goodwill assessment in the first quarter. As of December 31, 2022, the Company has determined that it has one reporting unit. The Company has not identified any events or changes in circumstances that indicate the existence of potential impairment of goodwill during the year ended December 31,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w:t>
      </w:r>
    </w:p>
    <w:p>
      <w:pPr>
        <w:spacing w:after="0" w:line="209"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Intangible assets are amortized using the straight-line method over their estimated period of benefit of ten years. The Company evaluates the recoverability of intangible assets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intangible assets during the year ended December 31, 2022.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Contingent Consideration</w:t>
      </w:r>
    </w:p>
    <w:p>
      <w:pPr>
        <w:spacing w:after="0" w:line="209" w:lineRule="exact"/>
        <w:rPr>
          <w:sz w:val="20"/>
          <w:szCs w:val="20"/>
          <w:color w:val="auto"/>
        </w:rPr>
      </w:pPr>
    </w:p>
    <w:p>
      <w:pPr>
        <w:ind w:right="60" w:firstLine="750"/>
        <w:spacing w:after="0" w:line="250" w:lineRule="auto"/>
        <w:rPr>
          <w:sz w:val="20"/>
          <w:szCs w:val="20"/>
          <w:color w:val="auto"/>
        </w:rPr>
      </w:pPr>
      <w:r>
        <w:rPr>
          <w:rFonts w:ascii="Times New Roman" w:cs="Times New Roman" w:eastAsia="Times New Roman" w:hAnsi="Times New Roman"/>
          <w:sz w:val="17"/>
          <w:szCs w:val="17"/>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 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estimated future cash outflows based on future sales.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209" w:lineRule="exact"/>
        <w:rPr>
          <w:sz w:val="20"/>
          <w:szCs w:val="20"/>
          <w:color w:val="auto"/>
        </w:rPr>
      </w:pPr>
    </w:p>
    <w:p>
      <w:pPr>
        <w:ind w:right="100" w:firstLine="750"/>
        <w:spacing w:after="0" w:line="204" w:lineRule="exact"/>
        <w:rPr>
          <w:sz w:val="20"/>
          <w:szCs w:val="20"/>
          <w:color w:val="auto"/>
        </w:rPr>
      </w:pPr>
      <w:r>
        <w:rPr>
          <w:rFonts w:ascii="Times New Roman" w:cs="Times New Roman" w:eastAsia="Times New Roman" w:hAnsi="Times New Roman"/>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Level 1—Quoted prices in active markets for identical assets or liabilities that the Company has the ability to access at the measurement date.</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Level 2—Inputs other than quoted prices in active markets that are observable for the asset or liability, either directly or indirectly.</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Level 3—Unobservable inputs for which there is little or no market data, which require the reporting entity to develop its own assumptions.</w:t>
      </w:r>
    </w:p>
    <w:p>
      <w:pPr>
        <w:spacing w:after="0" w:line="205" w:lineRule="exact"/>
        <w:rPr>
          <w:sz w:val="20"/>
          <w:szCs w:val="20"/>
          <w:color w:val="auto"/>
        </w:rPr>
      </w:pPr>
    </w:p>
    <w:p>
      <w:pPr>
        <w:ind w:firstLine="750"/>
        <w:spacing w:after="0" w:line="258" w:lineRule="auto"/>
        <w:rPr>
          <w:sz w:val="20"/>
          <w:szCs w:val="20"/>
          <w:color w:val="auto"/>
        </w:rPr>
      </w:pPr>
      <w:r>
        <w:rPr>
          <w:rFonts w:ascii="Times New Roman" w:cs="Times New Roman" w:eastAsia="Times New Roman" w:hAnsi="Times New Roman"/>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70" w:lineRule="exact"/>
        <w:rPr>
          <w:sz w:val="20"/>
          <w:szCs w:val="20"/>
          <w:color w:val="auto"/>
        </w:rPr>
      </w:pPr>
    </w:p>
    <w:p>
      <w:pPr>
        <w:ind w:right="140" w:firstLine="750"/>
        <w:spacing w:after="0" w:line="250" w:lineRule="auto"/>
        <w:rPr>
          <w:sz w:val="20"/>
          <w:szCs w:val="20"/>
          <w:color w:val="auto"/>
        </w:rPr>
      </w:pPr>
      <w:r>
        <w:rPr>
          <w:rFonts w:ascii="Times New Roman" w:cs="Times New Roman" w:eastAsia="Times New Roman" w:hAnsi="Times New Roman"/>
          <w:sz w:val="17"/>
          <w:szCs w:val="17"/>
          <w:color w:val="auto"/>
        </w:rPr>
        <w:t>The Company’s financial instruments are cash and cash equivalents, accounts receivable, accounts payable, accrued liabilities, current and long-term debt, current and non-current contingent consideration. The carrying values for cash, accounts payable and accrued liabilities reported in the accompanying consolidated financial statements approximate their respective fair values due to their short-term maturities, and therefore considered Level 1 within the fair value hierarchy. The carrying value of debt on the Company’s balance sheet (see Note 6 – Loan and Security Agreement), is estimated to approximate its fair value as the interest rate approximates the market rate for loans with similar terms and risk characteristics, and therefore considered Level 1 within the fair value hierarchy. The key assumptions used to determine the fair value of acquisition-related assets and liabilities are estimated by management, not observable in the market and, therefore considered Level 3 inputs within the fair value hierarchy.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 net</w:t>
      </w:r>
    </w:p>
    <w:p>
      <w:pPr>
        <w:spacing w:after="0" w:line="209" w:lineRule="exact"/>
        <w:rPr>
          <w:sz w:val="20"/>
          <w:szCs w:val="20"/>
          <w:color w:val="auto"/>
        </w:rPr>
      </w:pPr>
    </w:p>
    <w:p>
      <w:pPr>
        <w:ind w:right="420" w:firstLine="750"/>
        <w:spacing w:after="0" w:line="271" w:lineRule="auto"/>
        <w:rPr>
          <w:sz w:val="20"/>
          <w:szCs w:val="20"/>
          <w:color w:val="auto"/>
        </w:rPr>
      </w:pPr>
      <w:r>
        <w:rPr>
          <w:rFonts w:ascii="Times New Roman" w:cs="Times New Roman" w:eastAsia="Times New Roman" w:hAnsi="Times New Roman"/>
          <w:sz w:val="17"/>
          <w:szCs w:val="17"/>
          <w:color w:val="auto"/>
        </w:rPr>
        <w:t>The Company’s accounts receivable, net, arise from product sales. They are generally stated at the invoiced amount and do not bear interest. Accounts receivable allowances result from chargebacks, prompt pay discounts, and distribution fees.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160" w:firstLine="750"/>
        <w:spacing w:after="0" w:line="267" w:lineRule="auto"/>
        <w:rPr>
          <w:sz w:val="20"/>
          <w:szCs w:val="20"/>
          <w:color w:val="auto"/>
        </w:rPr>
      </w:pPr>
      <w:r>
        <w:rPr>
          <w:rFonts w:ascii="Times New Roman" w:cs="Times New Roman" w:eastAsia="Times New Roman" w:hAnsi="Times New Roman"/>
          <w:sz w:val="16"/>
          <w:szCs w:val="16"/>
          <w:color w:val="auto"/>
        </w:rPr>
        <w:t>The Company monitors the financial performance and creditworthiness of its customers so that it can properly assess and respond to changes in the customers’ credit profiles. In 2022, primarily all of the Company's accounts receivables, net, was generated from the Company's contracted 3PL. Outside of the U.S., accounts receivables are derived from a variety of customers spread across different geographic areas.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December 31, 2022, the Company has not recorded any allowances for doubtful accounts receivable. As of December 31, 2022, there is $9.1 million of reserves for Variable Consideration recorded as an allowance against Accounts Receivable, net primarily due to Trade Discounts and Allowances and Chargebacks.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Issuance Costs</w:t>
      </w:r>
    </w:p>
    <w:p>
      <w:pPr>
        <w:spacing w:after="0" w:line="209" w:lineRule="exact"/>
        <w:rPr>
          <w:sz w:val="20"/>
          <w:szCs w:val="20"/>
          <w:color w:val="auto"/>
        </w:rPr>
      </w:pPr>
    </w:p>
    <w:p>
      <w:pPr>
        <w:ind w:right="100" w:firstLine="750"/>
        <w:spacing w:after="0" w:line="258" w:lineRule="auto"/>
        <w:rPr>
          <w:sz w:val="20"/>
          <w:szCs w:val="20"/>
          <w:color w:val="auto"/>
        </w:rPr>
      </w:pPr>
      <w:r>
        <w:rPr>
          <w:rFonts w:ascii="Times New Roman" w:cs="Times New Roman" w:eastAsia="Times New Roman" w:hAnsi="Times New Roman"/>
          <w:sz w:val="17"/>
          <w:szCs w:val="17"/>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Inventory</w:t>
      </w:r>
    </w:p>
    <w:p>
      <w:pPr>
        <w:spacing w:after="0" w:line="209" w:lineRule="exact"/>
        <w:rPr>
          <w:sz w:val="20"/>
          <w:szCs w:val="20"/>
          <w:color w:val="auto"/>
        </w:rPr>
      </w:pPr>
    </w:p>
    <w:p>
      <w:pPr>
        <w:ind w:right="40" w:firstLine="750"/>
        <w:spacing w:after="0" w:line="254" w:lineRule="auto"/>
        <w:rPr>
          <w:sz w:val="20"/>
          <w:szCs w:val="20"/>
          <w:color w:val="auto"/>
        </w:rPr>
      </w:pPr>
      <w:r>
        <w:rPr>
          <w:rFonts w:ascii="Times New Roman" w:cs="Times New Roman" w:eastAsia="Times New Roman" w:hAnsi="Times New Roman"/>
          <w:sz w:val="17"/>
          <w:szCs w:val="17"/>
          <w:color w:val="auto"/>
        </w:rPr>
        <w:t>The Company values its inventories at the lower of average cost or estimated net realizable value. The remaining inventory associated with the Sunosi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product sales.</w:t>
      </w:r>
    </w:p>
    <w:p>
      <w:pPr>
        <w:spacing w:after="0" w:line="173"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73" w:lineRule="exact"/>
        <w:rPr>
          <w:sz w:val="20"/>
          <w:szCs w:val="20"/>
          <w:color w:val="auto"/>
        </w:rPr>
      </w:pPr>
    </w:p>
    <w:p>
      <w:pPr>
        <w:ind w:right="300" w:firstLine="750"/>
        <w:spacing w:after="0" w:line="271" w:lineRule="auto"/>
        <w:rPr>
          <w:sz w:val="20"/>
          <w:szCs w:val="20"/>
          <w:color w:val="auto"/>
        </w:rPr>
      </w:pPr>
      <w:r>
        <w:rPr>
          <w:rFonts w:ascii="Times New Roman" w:cs="Times New Roman" w:eastAsia="Times New Roman" w:hAnsi="Times New Roman"/>
          <w:sz w:val="17"/>
          <w:szCs w:val="17"/>
          <w:color w:val="auto"/>
        </w:rPr>
        <w:t>Inventory levels are evaluated for amounts that would be sold within one year. If the level of inventory exceeds the estimated amount that would be sold beyond the next 12 months, the Company classifies the estimate of such inventory as non-current.</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Equipment, net</w:t>
      </w:r>
    </w:p>
    <w:p>
      <w:pPr>
        <w:spacing w:after="0" w:line="183" w:lineRule="exact"/>
        <w:rPr>
          <w:sz w:val="20"/>
          <w:szCs w:val="20"/>
          <w:color w:val="auto"/>
        </w:rPr>
      </w:pPr>
    </w:p>
    <w:p>
      <w:pPr>
        <w:jc w:val="both"/>
        <w:ind w:right="20" w:firstLine="750"/>
        <w:spacing w:after="0" w:line="215" w:lineRule="exact"/>
        <w:rPr>
          <w:sz w:val="20"/>
          <w:szCs w:val="20"/>
          <w:color w:val="auto"/>
        </w:rPr>
      </w:pPr>
      <w:r>
        <w:rPr>
          <w:rFonts w:ascii="Times New Roman" w:cs="Times New Roman" w:eastAsia="Times New Roman" w:hAnsi="Times New Roman"/>
          <w:sz w:val="17"/>
          <w:szCs w:val="17"/>
          <w:color w:val="auto"/>
        </w:rPr>
        <w:t>Equipment consists primarily of computer equipment and is recorded at cost. Equipment is depreciated on a straight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Product Sales</w:t>
      </w:r>
    </w:p>
    <w:p>
      <w:pPr>
        <w:spacing w:after="0" w:line="209" w:lineRule="exact"/>
        <w:rPr>
          <w:sz w:val="20"/>
          <w:szCs w:val="20"/>
          <w:color w:val="auto"/>
        </w:rPr>
      </w:pPr>
    </w:p>
    <w:p>
      <w:pPr>
        <w:ind w:firstLine="750"/>
        <w:spacing w:after="0" w:line="258" w:lineRule="auto"/>
        <w:rPr>
          <w:sz w:val="20"/>
          <w:szCs w:val="20"/>
          <w:color w:val="auto"/>
        </w:rPr>
      </w:pPr>
      <w:r>
        <w:rPr>
          <w:rFonts w:ascii="Times New Roman" w:cs="Times New Roman" w:eastAsia="Times New Roman" w:hAnsi="Times New Roman"/>
          <w:sz w:val="17"/>
          <w:szCs w:val="17"/>
          <w:color w:val="auto"/>
        </w:rPr>
        <w:t>The Company's cost of product sales relates to sales of Sunosi and Auvelity. Cost of product sales primarily include direct costs (inclusive of material, shipping, handling, and manufacturing costs), overhead and product royalties. Cost of product sales excludes depreciation and amortization. Cost of product sales were $5.2 million for the year ended December 31, 2022. There were no sales in 2021.</w:t>
      </w:r>
    </w:p>
    <w:p>
      <w:pPr>
        <w:spacing w:after="0" w:line="170" w:lineRule="exact"/>
        <w:rPr>
          <w:sz w:val="20"/>
          <w:szCs w:val="20"/>
          <w:color w:val="auto"/>
        </w:rPr>
      </w:pPr>
    </w:p>
    <w:p>
      <w:pPr>
        <w:ind w:right="60" w:firstLine="750"/>
        <w:spacing w:after="0" w:line="252" w:lineRule="auto"/>
        <w:rPr>
          <w:sz w:val="20"/>
          <w:szCs w:val="20"/>
          <w:color w:val="auto"/>
        </w:rPr>
      </w:pPr>
      <w:r>
        <w:rPr>
          <w:rFonts w:ascii="Times New Roman" w:cs="Times New Roman" w:eastAsia="Times New Roman" w:hAnsi="Times New Roman"/>
          <w:sz w:val="17"/>
          <w:szCs w:val="17"/>
          <w:color w:val="auto"/>
        </w:rPr>
        <w:t>The Company assumed royalty and sales-based milestone commitments of Jazz to SK Biopharmaceuticals (“SK)” and Aerial Biopharma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 million based on revenue milestones and $1 million based on development milestones. The Company pays a royalty to Antecip equal to 3.0% of Auvelity net sales.</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60"/>
          </w:cols>
          <w:pgMar w:left="320" w:top="120" w:right="4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Costs</w:t>
      </w:r>
    </w:p>
    <w:p>
      <w:pPr>
        <w:spacing w:after="0" w:line="209" w:lineRule="exact"/>
        <w:rPr>
          <w:sz w:val="20"/>
          <w:szCs w:val="20"/>
          <w:color w:val="auto"/>
        </w:rPr>
      </w:pPr>
    </w:p>
    <w:p>
      <w:pPr>
        <w:ind w:firstLine="750"/>
        <w:spacing w:after="0" w:line="202" w:lineRule="exact"/>
        <w:rPr>
          <w:sz w:val="20"/>
          <w:szCs w:val="20"/>
          <w:color w:val="auto"/>
        </w:rPr>
      </w:pPr>
      <w:r>
        <w:rPr>
          <w:rFonts w:ascii="Times New Roman" w:cs="Times New Roman" w:eastAsia="Times New Roman" w:hAnsi="Times New Roman"/>
          <w:sz w:val="16"/>
          <w:szCs w:val="16"/>
          <w:color w:val="auto"/>
        </w:rPr>
        <w:t>Research and development costs are expensed as incurred. Research and development expenses consist primarily of employee-related expenses including salaries, benefits, travel, and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expense, contract services,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Advertising Costs</w:t>
      </w:r>
    </w:p>
    <w:p>
      <w:pPr>
        <w:spacing w:after="0" w:line="209" w:lineRule="exact"/>
        <w:rPr>
          <w:sz w:val="20"/>
          <w:szCs w:val="20"/>
          <w:color w:val="auto"/>
        </w:rPr>
      </w:pPr>
    </w:p>
    <w:p>
      <w:pPr>
        <w:ind w:right="100" w:firstLine="750"/>
        <w:spacing w:after="0" w:line="258" w:lineRule="auto"/>
        <w:rPr>
          <w:sz w:val="20"/>
          <w:szCs w:val="20"/>
          <w:color w:val="auto"/>
        </w:rPr>
      </w:pPr>
      <w:r>
        <w:rPr>
          <w:rFonts w:ascii="Times New Roman" w:cs="Times New Roman" w:eastAsia="Times New Roman" w:hAnsi="Times New Roman"/>
          <w:sz w:val="17"/>
          <w:szCs w:val="17"/>
          <w:color w:val="auto"/>
        </w:rPr>
        <w:t>Advertising costs are included in selling, general and administrative expenses and are expensed as incurred. The Company considers advertising costs as expenses related to the promotion of the Company's commercial products. For the year ended December 31, 2022, advertising costs were $35.3 million. The Company did not have commercial products in 2021 and 2020.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09"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0" w:lineRule="exact"/>
        <w:rPr>
          <w:sz w:val="20"/>
          <w:szCs w:val="20"/>
          <w:color w:val="auto"/>
        </w:rPr>
      </w:pPr>
    </w:p>
    <w:p>
      <w:pPr>
        <w:ind w:right="200" w:firstLine="750"/>
        <w:spacing w:after="0" w:line="271" w:lineRule="auto"/>
        <w:rPr>
          <w:sz w:val="20"/>
          <w:szCs w:val="20"/>
          <w:color w:val="auto"/>
        </w:rPr>
      </w:pPr>
      <w:r>
        <w:rPr>
          <w:rFonts w:ascii="Times New Roman" w:cs="Times New Roman" w:eastAsia="Times New Roman" w:hAnsi="Times New Roman"/>
          <w:sz w:val="17"/>
          <w:szCs w:val="17"/>
          <w:color w:val="auto"/>
        </w:rPr>
        <w:t>The Company estimates an annual effective tax rate of 0% for the year ending December 31, 2022 and has not recorded an income tax benefit for the year ended December 31, 2022 and 2021 since it determined that a full valuation allowance is required against the Company’s deferred tax assets.</w:t>
      </w:r>
    </w:p>
    <w:p>
      <w:pPr>
        <w:spacing w:after="0" w:line="159" w:lineRule="exact"/>
        <w:rPr>
          <w:sz w:val="20"/>
          <w:szCs w:val="20"/>
          <w:color w:val="auto"/>
        </w:rPr>
      </w:pPr>
    </w:p>
    <w:p>
      <w:pPr>
        <w:ind w:right="40" w:firstLine="750"/>
        <w:spacing w:after="0" w:line="252" w:lineRule="auto"/>
        <w:rPr>
          <w:sz w:val="20"/>
          <w:szCs w:val="20"/>
          <w:color w:val="auto"/>
        </w:rPr>
      </w:pPr>
      <w:r>
        <w:rPr>
          <w:rFonts w:ascii="Times New Roman" w:cs="Times New Roman" w:eastAsia="Times New Roman" w:hAnsi="Times New Roman"/>
          <w:sz w:val="17"/>
          <w:szCs w:val="17"/>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December 31, 2022,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183" w:lineRule="exact"/>
        <w:rPr>
          <w:sz w:val="20"/>
          <w:szCs w:val="20"/>
          <w:color w:val="auto"/>
        </w:rPr>
      </w:pPr>
    </w:p>
    <w:p>
      <w:pPr>
        <w:ind w:right="80" w:firstLine="750"/>
        <w:spacing w:after="0" w:line="211" w:lineRule="exact"/>
        <w:rPr>
          <w:sz w:val="20"/>
          <w:szCs w:val="20"/>
          <w:color w:val="auto"/>
        </w:rPr>
      </w:pPr>
      <w:r>
        <w:rPr>
          <w:rFonts w:ascii="Times New Roman" w:cs="Times New Roman" w:eastAsia="Times New Roman" w:hAnsi="Times New Roman"/>
          <w:sz w:val="17"/>
          <w:szCs w:val="17"/>
          <w:color w:val="auto"/>
        </w:rPr>
        <w:t>For stock options issued, the Company estimates the grant date fair value of each option using the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w:t>
      </w:r>
    </w:p>
    <w:p>
      <w:pPr>
        <w:spacing w:after="0" w:line="187" w:lineRule="exact"/>
        <w:rPr>
          <w:sz w:val="20"/>
          <w:szCs w:val="20"/>
          <w:color w:val="auto"/>
        </w:rPr>
      </w:pPr>
    </w:p>
    <w:p>
      <w:pPr>
        <w:ind w:right="40" w:firstLine="750"/>
        <w:spacing w:after="0" w:line="271" w:lineRule="auto"/>
        <w:rPr>
          <w:sz w:val="20"/>
          <w:szCs w:val="20"/>
          <w:color w:val="auto"/>
        </w:rPr>
      </w:pPr>
      <w:r>
        <w:rPr>
          <w:rFonts w:ascii="Times New Roman" w:cs="Times New Roman" w:eastAsia="Times New Roman" w:hAnsi="Times New Roman"/>
          <w:sz w:val="17"/>
          <w:szCs w:val="17"/>
          <w:color w:val="auto"/>
        </w:rPr>
        <w:t>For restricted stock units (“RSUs”), the Company issues them in the form of Company common stock. The fair market value of these awards is based on the market closing price per share on the grant date.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73" w:lineRule="exact"/>
        <w:rPr>
          <w:sz w:val="20"/>
          <w:szCs w:val="20"/>
          <w:color w:val="auto"/>
        </w:rPr>
      </w:pPr>
    </w:p>
    <w:p>
      <w:pPr>
        <w:ind w:right="500" w:firstLine="750"/>
        <w:spacing w:after="0" w:line="271" w:lineRule="auto"/>
        <w:rPr>
          <w:sz w:val="20"/>
          <w:szCs w:val="20"/>
          <w:color w:val="auto"/>
        </w:rPr>
      </w:pPr>
      <w:r>
        <w:rPr>
          <w:rFonts w:ascii="Times New Roman" w:cs="Times New Roman" w:eastAsia="Times New Roman" w:hAnsi="Times New Roman"/>
          <w:sz w:val="17"/>
          <w:szCs w:val="17"/>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Basic and Diluted Net Loss per Common Share</w:t>
      </w:r>
    </w:p>
    <w:p>
      <w:pPr>
        <w:spacing w:after="0" w:line="209"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year ended December 31, 2022 and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09" w:lineRule="exact"/>
        <w:rPr>
          <w:sz w:val="20"/>
          <w:szCs w:val="20"/>
          <w:color w:val="auto"/>
        </w:rPr>
      </w:pPr>
    </w:p>
    <w:p>
      <w:pPr>
        <w:ind w:right="60" w:firstLine="750"/>
        <w:spacing w:after="0" w:line="275" w:lineRule="auto"/>
        <w:rPr>
          <w:sz w:val="20"/>
          <w:szCs w:val="20"/>
          <w:color w:val="auto"/>
        </w:rPr>
      </w:pPr>
      <w:r>
        <w:rPr>
          <w:rFonts w:ascii="Times New Roman" w:cs="Times New Roman" w:eastAsia="Times New Roman" w:hAnsi="Times New Roman"/>
          <w:sz w:val="16"/>
          <w:szCs w:val="16"/>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58" w:lineRule="exact"/>
        <w:rPr>
          <w:sz w:val="20"/>
          <w:szCs w:val="20"/>
          <w:color w:val="auto"/>
        </w:rPr>
      </w:pPr>
    </w:p>
    <w:p>
      <w:pPr>
        <w:ind w:right="60" w:firstLine="750"/>
        <w:spacing w:after="0" w:line="254" w:lineRule="auto"/>
        <w:rPr>
          <w:sz w:val="20"/>
          <w:szCs w:val="20"/>
          <w:color w:val="auto"/>
        </w:rPr>
      </w:pPr>
      <w:r>
        <w:rPr>
          <w:rFonts w:ascii="Times New Roman" w:cs="Times New Roman" w:eastAsia="Times New Roman" w:hAnsi="Times New Roman"/>
          <w:sz w:val="17"/>
          <w:szCs w:val="17"/>
          <w:color w:val="auto"/>
        </w:rPr>
        <w:t>The Company’s lease agreement contains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 are primarily fixed, however variable payments, are expensed as incurred and not included in the operating lease asset and liability.</w:t>
      </w:r>
    </w:p>
    <w:p>
      <w:pPr>
        <w:spacing w:after="0" w:line="173" w:lineRule="exact"/>
        <w:rPr>
          <w:sz w:val="20"/>
          <w:szCs w:val="20"/>
          <w:color w:val="auto"/>
        </w:rPr>
      </w:pPr>
    </w:p>
    <w:p>
      <w:pPr>
        <w:ind w:right="40" w:firstLine="750"/>
        <w:spacing w:after="0" w:line="254" w:lineRule="auto"/>
        <w:rPr>
          <w:sz w:val="20"/>
          <w:szCs w:val="20"/>
          <w:color w:val="auto"/>
        </w:rPr>
      </w:pPr>
      <w:r>
        <w:rPr>
          <w:rFonts w:ascii="Times New Roman" w:cs="Times New Roman" w:eastAsia="Times New Roman" w:hAnsi="Times New Roman"/>
          <w:sz w:val="17"/>
          <w:szCs w:val="17"/>
          <w:color w:val="auto"/>
        </w:rPr>
        <w:t>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spacing w:after="0" w:line="173" w:lineRule="exact"/>
        <w:rPr>
          <w:sz w:val="20"/>
          <w:szCs w:val="20"/>
          <w:color w:val="auto"/>
        </w:rPr>
      </w:pPr>
    </w:p>
    <w:p>
      <w:pPr>
        <w:ind w:firstLine="750"/>
        <w:spacing w:after="0" w:line="252" w:lineRule="auto"/>
        <w:rPr>
          <w:sz w:val="20"/>
          <w:szCs w:val="20"/>
          <w:color w:val="auto"/>
        </w:rPr>
      </w:pPr>
      <w:r>
        <w:rPr>
          <w:rFonts w:ascii="Times New Roman" w:cs="Times New Roman" w:eastAsia="Times New Roman" w:hAnsi="Times New Roman"/>
          <w:sz w:val="17"/>
          <w:szCs w:val="17"/>
          <w:color w:val="auto"/>
        </w:rPr>
        <w:t>The Company’s operating leases are reflected in the right-of-use operating asset; operating lease liability, current portion; and operating lease liability, long-term portion in the Company’s consolidated balance sheets. Lease expense for minimum lease payments is recognized on a straight-line basis over the lease term.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9" w:lineRule="exact"/>
        <w:rPr>
          <w:sz w:val="20"/>
          <w:szCs w:val="20"/>
          <w:color w:val="auto"/>
        </w:rPr>
      </w:pPr>
    </w:p>
    <w:p>
      <w:pPr>
        <w:ind w:right="80" w:firstLine="750"/>
        <w:spacing w:after="0" w:line="268" w:lineRule="auto"/>
        <w:rPr>
          <w:sz w:val="20"/>
          <w:szCs w:val="20"/>
          <w:color w:val="auto"/>
        </w:rPr>
      </w:pPr>
      <w:r>
        <w:rPr>
          <w:rFonts w:ascii="Times New Roman" w:cs="Times New Roman" w:eastAsia="Times New Roman" w:hAnsi="Times New Roman"/>
          <w:sz w:val="16"/>
          <w:szCs w:val="16"/>
          <w:color w:val="auto"/>
        </w:rPr>
        <w:t>In October 2021, the Financial Accounting Standards Board (“FASB”) issued Accounting Standards Update (“ASU”) No. 2021-08, Business Combinations (Topic 805). This update requires that an entity (acquirer) recognize and measure contract assets and contract liabilities acquired in a business combination in accordance with Accounting Standards Codification (“ASC”) 606, Revenue from Contracts with Customers. At the acquisition date, an acquirer should account for the related revenue contracts in accordance with Topic 606 as if it had originated the contracts. This differs from the current requirement to measure contract assets and contract liabilities acquired in a business combination at fair value. The amendments in this update should be applied prospectively, and are effective for fiscal years beginning after December 15, 2022, including interim periods within those fiscal years. The Company adopted this ASU for fiscal year ended December 31, 2022 and concluded it did not have a material impact on the Company's financial statements. See Note 3 - Business Combination for further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Business Combination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 of Assets of Jazz Pharmaceuticals</w:t>
      </w:r>
    </w:p>
    <w:p>
      <w:pPr>
        <w:spacing w:after="0" w:line="209" w:lineRule="exact"/>
        <w:rPr>
          <w:sz w:val="20"/>
          <w:szCs w:val="20"/>
          <w:color w:val="auto"/>
        </w:rPr>
      </w:pPr>
    </w:p>
    <w:p>
      <w:pPr>
        <w:ind w:right="60" w:firstLine="750"/>
        <w:spacing w:after="0" w:line="250" w:lineRule="auto"/>
        <w:rPr>
          <w:sz w:val="20"/>
          <w:szCs w:val="20"/>
          <w:color w:val="auto"/>
        </w:rPr>
      </w:pPr>
      <w:r>
        <w:rPr>
          <w:rFonts w:ascii="Times New Roman" w:cs="Times New Roman" w:eastAsia="Times New Roman" w:hAnsi="Times New Roman"/>
          <w:sz w:val="17"/>
          <w:szCs w:val="17"/>
          <w:color w:val="auto"/>
        </w:rPr>
        <w:t>On March 25, 2022, the Company entered into an Asset Purchase Agreement (the “Purchase Agreement”) with Jazz, pursuant to which the Company was to acquire commercial and development rights with respect Sunosi from Jazz (the “Acquisition”) in certain U.S. and ex-U.S. markets. The Acquisition occurred in two separate closings. The sale and purchase of Specified Initial Assets as defined and contemplated by the Purchase Agreement occurred on May 9, 2022 (“Initial Closing”), following the satisfaction or waiver of the closing conditions under the Purchase Agreement. The sale and purchase of Specified Ex-U.S. Assets contemplated by the Purchase Agreement occurred on November 14, 2022 (“Final Closing” or “Ex-U.S. Closing”), and primarily consisted of inventory. The Company accounted for the Initial Closing as a business combination using the acquisition method of accounting and the Ex-U.S. Closing as an asset acquisition.</w:t>
      </w:r>
    </w:p>
    <w:p>
      <w:pPr>
        <w:spacing w:after="0" w:line="180"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Under the terms of the Purchase Agreement, the Company received from Jazz worldwide commercial, development, manufacturing, and intellectual property rights to Sunosi, except for certain Asian markets. Jazz received from the Company a total upfront payment of $53 million. In addition, Jazz will receive a high single-digit royalty on the Company's U.S. net sales of Sunosi in the current indication, and a mid single-digit royalty on the Company's U.S. net sales of Sunosi in future indications. The Company also assumed the commitments of Jazz to SK Biopharmaceuticals (“SK)” and Aerial Biopharma (“Aerial”). SK is the originator of Sunosi and retains rights in 12 Asian markets, including China, Korea, and Japan. In 2014, Jazz acquired from Aerial worldwide rights to Sunosi excluding those Asian markets as stated previously. The assumed commitments to SK and Aerial include single-digit tiered royalties based on the Company's sales of Sunosi, and additionally, the Company is committed to pay up to $165 million based on revenue milestones and $1 million based on development milestones. The Company financed the transaction via its $300 million term loan facility with Hercules Capital, Inc.</w:t>
      </w:r>
    </w:p>
    <w:p>
      <w:pPr>
        <w:spacing w:after="0" w:line="179" w:lineRule="exact"/>
        <w:rPr>
          <w:sz w:val="20"/>
          <w:szCs w:val="20"/>
          <w:color w:val="auto"/>
        </w:rPr>
      </w:pPr>
    </w:p>
    <w:p>
      <w:pPr>
        <w:ind w:right="280" w:firstLine="750"/>
        <w:spacing w:after="0" w:line="271" w:lineRule="auto"/>
        <w:rPr>
          <w:sz w:val="20"/>
          <w:szCs w:val="20"/>
          <w:color w:val="auto"/>
        </w:rPr>
      </w:pPr>
      <w:r>
        <w:rPr>
          <w:rFonts w:ascii="Times New Roman" w:cs="Times New Roman" w:eastAsia="Times New Roman" w:hAnsi="Times New Roman"/>
          <w:sz w:val="17"/>
          <w:szCs w:val="17"/>
          <w:color w:val="auto"/>
        </w:rPr>
        <w:t>In conjunction with the Acquisition, the Company incurred approximately $0.5 million in transaction costs, which were expensed as selling, general, and administrative expense in the consolidated statement of operations during the year ended December 31, 2022.</w:t>
      </w:r>
    </w:p>
    <w:p>
      <w:pPr>
        <w:spacing w:after="0" w:line="159" w:lineRule="exact"/>
        <w:rPr>
          <w:sz w:val="20"/>
          <w:szCs w:val="20"/>
          <w:color w:val="auto"/>
        </w:rPr>
      </w:pPr>
    </w:p>
    <w:p>
      <w:pPr>
        <w:ind w:right="340" w:firstLine="750"/>
        <w:spacing w:after="0" w:line="271" w:lineRule="auto"/>
        <w:rPr>
          <w:sz w:val="20"/>
          <w:szCs w:val="20"/>
          <w:color w:val="auto"/>
        </w:rPr>
      </w:pPr>
      <w:r>
        <w:rPr>
          <w:rFonts w:ascii="Times New Roman" w:cs="Times New Roman" w:eastAsia="Times New Roman" w:hAnsi="Times New Roman"/>
          <w:sz w:val="17"/>
          <w:szCs w:val="17"/>
          <w:color w:val="auto"/>
        </w:rPr>
        <w:t>The Company's results of operations associated with Sunosi for the year ended December 31, 2022, include $44.8 million of net product sales and $13.1 million of net loss. This is included in the Company's consolidated statement of operations for the year ended December 31, 2022.</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Preliminary purchase consideration consisted of the following:</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at settlement</w:t>
            </w:r>
          </w:p>
        </w:tc>
        <w:tc>
          <w:tcPr>
            <w:tcW w:w="5660" w:type="dxa"/>
            <w:vAlign w:val="bottom"/>
            <w:gridSpan w:val="2"/>
            <w:shd w:val="clear" w:color="auto" w:fill="CFF0FC"/>
          </w:tcPr>
          <w:p>
            <w:pPr>
              <w:jc w:val="right"/>
              <w:ind w:right="437"/>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53,000,000</w:t>
            </w:r>
          </w:p>
        </w:tc>
        <w:tc>
          <w:tcPr>
            <w:tcW w:w="300" w:type="dxa"/>
            <w:vAlign w:val="bottom"/>
            <w:shd w:val="clear" w:color="auto" w:fill="CFF0FC"/>
          </w:tcPr>
          <w:p>
            <w:pPr>
              <w:spacing w:after="0"/>
              <w:rPr>
                <w:sz w:val="19"/>
                <w:szCs w:val="19"/>
                <w:color w:val="auto"/>
              </w:rPr>
            </w:pPr>
          </w:p>
        </w:tc>
      </w:tr>
      <w:tr>
        <w:trPr>
          <w:trHeight w:val="221"/>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contingent consideration</w:t>
            </w:r>
          </w:p>
        </w:tc>
        <w:tc>
          <w:tcPr>
            <w:tcW w:w="50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36,140,000</w:t>
            </w:r>
          </w:p>
        </w:tc>
        <w:tc>
          <w:tcPr>
            <w:tcW w:w="300" w:type="dxa"/>
            <w:vAlign w:val="bottom"/>
          </w:tcPr>
          <w:p>
            <w:pPr>
              <w:spacing w:after="0"/>
              <w:rPr>
                <w:sz w:val="19"/>
                <w:szCs w:val="19"/>
                <w:color w:val="auto"/>
              </w:rPr>
            </w:pPr>
          </w:p>
        </w:tc>
      </w:tr>
      <w:tr>
        <w:trPr>
          <w:trHeight w:val="258"/>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04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43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89,140,000</w:t>
            </w:r>
          </w:p>
        </w:tc>
        <w:tc>
          <w:tcPr>
            <w:tcW w:w="300" w:type="dxa"/>
            <w:vAlign w:val="bottom"/>
            <w:tcBorders>
              <w:bottom w:val="single" w:sz="8" w:color="CFF0FC"/>
            </w:tcBorders>
            <w:shd w:val="clear" w:color="auto" w:fill="CFF0FC"/>
          </w:tcPr>
          <w:p>
            <w:pPr>
              <w:spacing w:after="0"/>
              <w:rPr>
                <w:sz w:val="22"/>
                <w:szCs w:val="22"/>
                <w:color w:val="auto"/>
              </w:rPr>
            </w:pPr>
          </w:p>
        </w:tc>
      </w:tr>
      <w:tr>
        <w:trPr>
          <w:trHeight w:val="582"/>
        </w:trPr>
        <w:tc>
          <w:tcPr>
            <w:tcW w:w="4000" w:type="dxa"/>
            <w:vAlign w:val="bottom"/>
          </w:tcPr>
          <w:p>
            <w:pPr>
              <w:spacing w:after="0"/>
              <w:rPr>
                <w:sz w:val="24"/>
                <w:szCs w:val="24"/>
                <w:color w:val="auto"/>
              </w:rPr>
            </w:pPr>
          </w:p>
        </w:tc>
        <w:tc>
          <w:tcPr>
            <w:tcW w:w="5660" w:type="dxa"/>
            <w:vAlign w:val="bottom"/>
            <w:gridSpan w:val="2"/>
          </w:tcPr>
          <w:p>
            <w:pPr>
              <w:jc w:val="right"/>
              <w:ind w:right="3797"/>
              <w:spacing w:after="0"/>
              <w:rPr>
                <w:sz w:val="20"/>
                <w:szCs w:val="20"/>
                <w:color w:val="auto"/>
              </w:rPr>
            </w:pPr>
            <w:r>
              <w:rPr>
                <w:rFonts w:ascii="Times New Roman" w:cs="Times New Roman" w:eastAsia="Times New Roman" w:hAnsi="Times New Roman"/>
                <w:sz w:val="17"/>
                <w:szCs w:val="17"/>
                <w:color w:val="auto"/>
              </w:rPr>
              <w:t>F-20</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05"/>
        </w:trPr>
        <w:tc>
          <w:tcPr>
            <w:tcW w:w="4000" w:type="dxa"/>
            <w:vAlign w:val="bottom"/>
            <w:tcBorders>
              <w:bottom w:val="single" w:sz="8" w:color="9A9A9A"/>
            </w:tcBorders>
          </w:tcPr>
          <w:p>
            <w:pPr>
              <w:spacing w:after="0"/>
              <w:rPr>
                <w:sz w:val="9"/>
                <w:szCs w:val="9"/>
                <w:color w:val="auto"/>
              </w:rPr>
            </w:pPr>
          </w:p>
        </w:tc>
        <w:tc>
          <w:tcPr>
            <w:tcW w:w="50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-483870</wp:posOffset>
            </wp:positionV>
            <wp:extent cx="717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-467995</wp:posOffset>
            </wp:positionV>
            <wp:extent cx="717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preliminary allocation of the fair value of the Sunosi acquisition is shown in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Amounts Recognized as of</w:t>
            </w:r>
          </w:p>
        </w:tc>
        <w:tc>
          <w:tcPr>
            <w:tcW w:w="180" w:type="dxa"/>
            <w:vAlign w:val="bottom"/>
          </w:tcPr>
          <w:p>
            <w:pPr>
              <w:spacing w:after="0"/>
              <w:rPr>
                <w:sz w:val="12"/>
                <w:szCs w:val="12"/>
                <w:color w:val="auto"/>
              </w:rPr>
            </w:pPr>
          </w:p>
        </w:tc>
        <w:tc>
          <w:tcPr>
            <w:tcW w:w="1580" w:type="dxa"/>
            <w:vAlign w:val="bottom"/>
            <w:vMerge w:val="restart"/>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Measurement Period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040" w:type="dxa"/>
            <w:vAlign w:val="bottom"/>
            <w:vMerge w:val="restart"/>
          </w:tcPr>
          <w:p>
            <w:pPr>
              <w:ind w:left="24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2000" w:type="dxa"/>
            <w:vAlign w:val="bottom"/>
            <w:gridSpan w:val="2"/>
          </w:tcPr>
          <w:p>
            <w:pPr>
              <w:jc w:val="center"/>
              <w:ind w:right="460"/>
              <w:spacing w:after="0" w:line="138" w:lineRule="exact"/>
              <w:rPr>
                <w:sz w:val="20"/>
                <w:szCs w:val="20"/>
                <w:color w:val="auto"/>
              </w:rPr>
            </w:pPr>
            <w:r>
              <w:rPr>
                <w:rFonts w:ascii="Times New Roman" w:cs="Times New Roman" w:eastAsia="Times New Roman" w:hAnsi="Times New Roman"/>
                <w:sz w:val="13"/>
                <w:szCs w:val="13"/>
                <w:b w:val="1"/>
                <w:bCs w:val="1"/>
                <w:color w:val="auto"/>
              </w:rPr>
              <w:t>Acquisition Date (as</w:t>
            </w:r>
          </w:p>
        </w:tc>
        <w:tc>
          <w:tcPr>
            <w:tcW w:w="18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Purchase Price Allocation</w:t>
            </w:r>
          </w:p>
        </w:tc>
        <w:tc>
          <w:tcPr>
            <w:tcW w:w="0" w:type="dxa"/>
            <w:vAlign w:val="bottom"/>
          </w:tcPr>
          <w:p>
            <w:pPr>
              <w:spacing w:after="0"/>
              <w:rPr>
                <w:sz w:val="1"/>
                <w:szCs w:val="1"/>
                <w:color w:val="auto"/>
              </w:rPr>
            </w:pPr>
          </w:p>
        </w:tc>
      </w:tr>
      <w:tr>
        <w:trPr>
          <w:trHeight w:val="174"/>
        </w:trPr>
        <w:tc>
          <w:tcPr>
            <w:tcW w:w="5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previously reported)</w:t>
            </w:r>
          </w:p>
        </w:tc>
        <w:tc>
          <w:tcPr>
            <w:tcW w:w="180" w:type="dxa"/>
            <w:vAlign w:val="bottom"/>
          </w:tcPr>
          <w:p>
            <w:pPr>
              <w:spacing w:after="0"/>
              <w:rPr>
                <w:sz w:val="15"/>
                <w:szCs w:val="15"/>
                <w:color w:val="auto"/>
              </w:rPr>
            </w:pPr>
          </w:p>
        </w:tc>
        <w:tc>
          <w:tcPr>
            <w:tcW w:w="1580" w:type="dxa"/>
            <w:vAlign w:val="bottom"/>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10,601,000</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10,601,000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3,551,000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1,587,000</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5,138,000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63,800,000</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63,800,000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11,897,000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17"/>
                <w:szCs w:val="17"/>
                <w:color w:val="auto"/>
              </w:rPr>
              <w:t xml:space="preserve">(1,587,000 ) </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10,310,000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0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(709,000 )</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(709,000 )</w:t>
            </w:r>
          </w:p>
        </w:tc>
        <w:tc>
          <w:tcPr>
            <w:tcW w:w="0" w:type="dxa"/>
            <w:vAlign w:val="bottom"/>
          </w:tcPr>
          <w:p>
            <w:pPr>
              <w:spacing w:after="0"/>
              <w:rPr>
                <w:sz w:val="1"/>
                <w:szCs w:val="1"/>
                <w:color w:val="auto"/>
              </w:rPr>
            </w:pPr>
          </w:p>
        </w:tc>
      </w:tr>
      <w:tr>
        <w:trPr>
          <w:trHeight w:val="218"/>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89,140,000</w:t>
            </w:r>
          </w:p>
        </w:tc>
        <w:tc>
          <w:tcPr>
            <w:tcW w:w="3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89,140,000</w:t>
            </w:r>
          </w:p>
        </w:tc>
        <w:tc>
          <w:tcPr>
            <w:tcW w:w="3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4321810</wp:posOffset>
            </wp:positionH>
            <wp:positionV relativeFrom="paragraph">
              <wp:posOffset>-173990</wp:posOffset>
            </wp:positionV>
            <wp:extent cx="71755" cy="1746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55" cy="174625"/>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-173990</wp:posOffset>
            </wp:positionV>
            <wp:extent cx="71755" cy="1746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55" cy="174625"/>
                    </a:xfrm>
                    <a:prstGeom prst="rect">
                      <a:avLst/>
                    </a:prstGeom>
                    <a:noFill/>
                  </pic:spPr>
                </pic:pic>
              </a:graphicData>
            </a:graphic>
          </wp:anchor>
        </w:drawing>
        <w:drawing>
          <wp:anchor simplePos="0" relativeHeight="251657728" behindDoc="1" locked="0" layoutInCell="0" allowOverlap="1">
            <wp:simplePos x="0" y="0"/>
            <wp:positionH relativeFrom="column">
              <wp:posOffset>6951980</wp:posOffset>
            </wp:positionH>
            <wp:positionV relativeFrom="paragraph">
              <wp:posOffset>-173990</wp:posOffset>
            </wp:positionV>
            <wp:extent cx="63500" cy="1746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3500" cy="174625"/>
                    </a:xfrm>
                    <a:prstGeom prst="rect">
                      <a:avLst/>
                    </a:prstGeom>
                    <a:noFill/>
                  </pic:spPr>
                </pic:pic>
              </a:graphicData>
            </a:graphic>
          </wp:anchor>
        </w:drawing>
      </w:r>
    </w:p>
    <w:p>
      <w:pPr>
        <w:spacing w:after="0" w:line="64" w:lineRule="exact"/>
        <w:rPr>
          <w:sz w:val="20"/>
          <w:szCs w:val="20"/>
          <w:color w:val="auto"/>
        </w:rPr>
      </w:pPr>
    </w:p>
    <w:p>
      <w:pPr>
        <w:ind w:right="580"/>
        <w:spacing w:after="0" w:line="271" w:lineRule="auto"/>
        <w:tabs>
          <w:tab w:leader="none" w:pos="27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adjustment to goodwill resulted from rebates covered by Jazz during the post acquisition period which were provisionally recorded as an asset as of the acquisition date.</w:t>
      </w:r>
    </w:p>
    <w:p>
      <w:pPr>
        <w:spacing w:after="0" w:line="184" w:lineRule="exact"/>
        <w:rPr>
          <w:sz w:val="20"/>
          <w:szCs w:val="20"/>
          <w:color w:val="auto"/>
        </w:rPr>
      </w:pPr>
    </w:p>
    <w:p>
      <w:pPr>
        <w:ind w:right="120" w:firstLine="750"/>
        <w:spacing w:after="0" w:line="258" w:lineRule="auto"/>
        <w:rPr>
          <w:sz w:val="20"/>
          <w:szCs w:val="20"/>
          <w:color w:val="auto"/>
        </w:rPr>
      </w:pPr>
      <w:r>
        <w:rPr>
          <w:rFonts w:ascii="Times New Roman" w:cs="Times New Roman" w:eastAsia="Times New Roman" w:hAnsi="Times New Roman"/>
          <w:sz w:val="17"/>
          <w:szCs w:val="17"/>
          <w:color w:val="auto"/>
        </w:rPr>
        <w:t>The above allocation of the purchase price is based upon certain preliminary valuations and other analyses that have not been finalized as of the date of this filing. As such, the purchase price amount and allocations for this transaction are preliminary estimates including developed technology, goodwill and contingent consideration, which may be subject to change within the measurement period.</w:t>
      </w:r>
    </w:p>
    <w:p>
      <w:pPr>
        <w:spacing w:after="0" w:line="170" w:lineRule="exact"/>
        <w:rPr>
          <w:sz w:val="20"/>
          <w:szCs w:val="20"/>
          <w:color w:val="auto"/>
        </w:rPr>
      </w:pPr>
    </w:p>
    <w:p>
      <w:pPr>
        <w:ind w:right="460" w:firstLine="750"/>
        <w:spacing w:after="0" w:line="271" w:lineRule="auto"/>
        <w:rPr>
          <w:sz w:val="20"/>
          <w:szCs w:val="20"/>
          <w:color w:val="auto"/>
        </w:rPr>
      </w:pPr>
      <w:r>
        <w:rPr>
          <w:rFonts w:ascii="Times New Roman" w:cs="Times New Roman" w:eastAsia="Times New Roman" w:hAnsi="Times New Roman"/>
          <w:sz w:val="17"/>
          <w:szCs w:val="17"/>
          <w:color w:val="auto"/>
        </w:rPr>
        <w:t>The net assets were recorded at their estimated fair value. In valuing acquired assets and liabilities, fair value estimates were based primarily on future expected cash flows, market rate assumptions for contractual obligations, and appropriate discount rates.</w:t>
      </w:r>
    </w:p>
    <w:p>
      <w:pPr>
        <w:spacing w:after="0" w:line="159" w:lineRule="exact"/>
        <w:rPr>
          <w:sz w:val="20"/>
          <w:szCs w:val="20"/>
          <w:color w:val="auto"/>
        </w:rPr>
      </w:pPr>
    </w:p>
    <w:p>
      <w:pPr>
        <w:ind w:right="160" w:firstLine="750"/>
        <w:spacing w:after="0" w:line="271" w:lineRule="auto"/>
        <w:rPr>
          <w:sz w:val="20"/>
          <w:szCs w:val="20"/>
          <w:color w:val="auto"/>
        </w:rPr>
      </w:pPr>
      <w:r>
        <w:rPr>
          <w:rFonts w:ascii="Times New Roman" w:cs="Times New Roman" w:eastAsia="Times New Roman" w:hAnsi="Times New Roman"/>
          <w:sz w:val="16"/>
          <w:szCs w:val="16"/>
          <w:color w:val="auto"/>
        </w:rPr>
        <w:t>Inventories acquired included raw materials, work in process and finished goods for Sunosi. Inventories were recorded at their estimated fair values categorized as Level 3. The fair value of finished goods was determined based on the estimated selling price, net of selling costs and a margin on the selling activities. The fair value of work in process was determined based on estimated selling price, net of selling costs and costs to complete the manufacturing, and a margin on the selling and manufacturing activities. The fair value of raw materials was estimated to equal the replacement cost. A step-up in the value of inventory of $1.1 million was originally recorded in connection with the Acquisition and is being amortized through cost of product sales as the underlying product is sold.</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Other current assets acquired were sample inventory and the rebates for Sunosi sales by the Company after the Initial Closing to be covered by Jazz.</w:t>
      </w:r>
    </w:p>
    <w:p>
      <w:pPr>
        <w:spacing w:after="0" w:line="205" w:lineRule="exact"/>
        <w:rPr>
          <w:sz w:val="20"/>
          <w:szCs w:val="20"/>
          <w:color w:val="auto"/>
        </w:rPr>
      </w:pPr>
    </w:p>
    <w:p>
      <w:pPr>
        <w:ind w:right="60" w:firstLine="750"/>
        <w:spacing w:after="0" w:line="254" w:lineRule="auto"/>
        <w:rPr>
          <w:sz w:val="20"/>
          <w:szCs w:val="20"/>
          <w:color w:val="auto"/>
        </w:rPr>
      </w:pPr>
      <w:r>
        <w:rPr>
          <w:rFonts w:ascii="Times New Roman" w:cs="Times New Roman" w:eastAsia="Times New Roman" w:hAnsi="Times New Roman"/>
          <w:sz w:val="17"/>
          <w:szCs w:val="17"/>
          <w:color w:val="auto"/>
        </w:rPr>
        <w:t>Intangible assets include acquired developed technology. The fair value of the acquired developed technology asset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43.5% that reflects the return requirements of the market. The intangible asset is being amortized over an estimated useful life of 10 years.</w:t>
      </w:r>
    </w:p>
    <w:p>
      <w:pPr>
        <w:spacing w:after="0" w:line="173" w:lineRule="exact"/>
        <w:rPr>
          <w:sz w:val="20"/>
          <w:szCs w:val="20"/>
          <w:color w:val="auto"/>
        </w:rPr>
      </w:pPr>
    </w:p>
    <w:p>
      <w:pPr>
        <w:jc w:val="both"/>
        <w:ind w:right="120" w:firstLine="750"/>
        <w:spacing w:after="0" w:line="258" w:lineRule="auto"/>
        <w:rPr>
          <w:sz w:val="20"/>
          <w:szCs w:val="20"/>
          <w:color w:val="auto"/>
        </w:rPr>
      </w:pPr>
      <w:r>
        <w:rPr>
          <w:rFonts w:ascii="Times New Roman" w:cs="Times New Roman" w:eastAsia="Times New Roman" w:hAnsi="Times New Roman"/>
          <w:sz w:val="17"/>
          <w:szCs w:val="17"/>
          <w:color w:val="auto"/>
        </w:rPr>
        <w:t>Goodwill is considered an indefinite-lived asset and relates primarily to intangible assets that do not qualify for separate recognition, such as the assembled workforce and synergies between the entities. Goodwill of $10.3 million was established as a result of the Acquisition. The Company expects that the entire amount of the purchase price allocated to goodwill will be deductible for U.S. income tax purposes over a 15-year period.</w:t>
      </w:r>
    </w:p>
    <w:p>
      <w:pPr>
        <w:spacing w:after="0" w:line="170" w:lineRule="exact"/>
        <w:rPr>
          <w:sz w:val="20"/>
          <w:szCs w:val="20"/>
          <w:color w:val="auto"/>
        </w:rPr>
      </w:pPr>
    </w:p>
    <w:p>
      <w:pPr>
        <w:ind w:right="140" w:firstLine="750"/>
        <w:spacing w:after="0" w:line="271" w:lineRule="auto"/>
        <w:rPr>
          <w:sz w:val="20"/>
          <w:szCs w:val="20"/>
          <w:color w:val="auto"/>
        </w:rPr>
      </w:pPr>
      <w:r>
        <w:rPr>
          <w:rFonts w:ascii="Times New Roman" w:cs="Times New Roman" w:eastAsia="Times New Roman" w:hAnsi="Times New Roman"/>
          <w:sz w:val="17"/>
          <w:szCs w:val="17"/>
          <w:color w:val="auto"/>
        </w:rPr>
        <w:t>Accrued expense and other current liabilities acquired were the Company's assumed sales returns liability for Sunosi after the transaction close date related to Jazz sales prior to the Initial Closing.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 Forma Consolidated Financial Information (Unaudited)</w:t>
      </w:r>
    </w:p>
    <w:p>
      <w:pPr>
        <w:spacing w:after="0" w:line="209" w:lineRule="exact"/>
        <w:rPr>
          <w:sz w:val="20"/>
          <w:szCs w:val="20"/>
          <w:color w:val="auto"/>
        </w:rPr>
      </w:pPr>
    </w:p>
    <w:p>
      <w:pPr>
        <w:ind w:right="480" w:firstLine="750"/>
        <w:spacing w:after="0" w:line="271" w:lineRule="auto"/>
        <w:rPr>
          <w:sz w:val="20"/>
          <w:szCs w:val="20"/>
          <w:color w:val="auto"/>
        </w:rPr>
      </w:pPr>
      <w:r>
        <w:rPr>
          <w:rFonts w:ascii="Times New Roman" w:cs="Times New Roman" w:eastAsia="Times New Roman" w:hAnsi="Times New Roman"/>
          <w:sz w:val="17"/>
          <w:szCs w:val="17"/>
          <w:color w:val="auto"/>
        </w:rPr>
        <w:t>The following unaudited pro forma summary presents consolidated information of the Company, including Sunosi, as if the business combination had occurred on January 1, 2021, the earliest period presented herein: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49"/>
        </w:trPr>
        <w:tc>
          <w:tcPr>
            <w:tcW w:w="77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55"/>
        </w:trPr>
        <w:tc>
          <w:tcPr>
            <w:tcW w:w="940" w:type="dxa"/>
            <w:vAlign w:val="bottom"/>
            <w:tcBorders>
              <w:top w:val="single" w:sz="8" w:color="0000EE"/>
            </w:tcBorders>
          </w:tcPr>
          <w:p>
            <w:pPr>
              <w:spacing w:after="0"/>
              <w:rPr>
                <w:sz w:val="22"/>
                <w:szCs w:val="22"/>
                <w:color w:val="auto"/>
              </w:rPr>
            </w:pPr>
          </w:p>
        </w:tc>
        <w:tc>
          <w:tcPr>
            <w:tcW w:w="67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55"/>
        </w:trPr>
        <w:tc>
          <w:tcPr>
            <w:tcW w:w="94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3"/>
                <w:szCs w:val="13"/>
                <w:color w:val="auto"/>
              </w:rPr>
            </w:pPr>
          </w:p>
        </w:tc>
      </w:tr>
      <w:tr>
        <w:trPr>
          <w:trHeight w:val="218"/>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38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74,065,000</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5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51,670,000</w:t>
            </w:r>
          </w:p>
        </w:tc>
        <w:tc>
          <w:tcPr>
            <w:tcW w:w="100" w:type="dxa"/>
            <w:vAlign w:val="bottom"/>
            <w:shd w:val="clear" w:color="auto" w:fill="CFF0FC"/>
          </w:tcPr>
          <w:p>
            <w:pPr>
              <w:spacing w:after="0"/>
              <w:rPr>
                <w:sz w:val="18"/>
                <w:szCs w:val="18"/>
                <w:color w:val="auto"/>
              </w:rPr>
            </w:pPr>
          </w:p>
        </w:tc>
      </w:tr>
      <w:tr>
        <w:trPr>
          <w:trHeight w:val="217"/>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(211,571,000 )</w:t>
            </w:r>
          </w:p>
        </w:tc>
        <w:tc>
          <w:tcPr>
            <w:tcW w:w="6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9"/>
              </w:rPr>
              <w:t>(283,831,000 )</w:t>
            </w:r>
          </w:p>
        </w:tc>
      </w:tr>
    </w:tbl>
    <w:p>
      <w:pPr>
        <w:spacing w:after="0" w:line="217" w:lineRule="exact"/>
        <w:rPr>
          <w:sz w:val="20"/>
          <w:szCs w:val="20"/>
          <w:color w:val="auto"/>
        </w:rPr>
      </w:pPr>
    </w:p>
    <w:p>
      <w:pPr>
        <w:ind w:right="260" w:firstLine="750"/>
        <w:spacing w:after="0" w:line="271" w:lineRule="auto"/>
        <w:rPr>
          <w:sz w:val="20"/>
          <w:szCs w:val="20"/>
          <w:color w:val="auto"/>
        </w:rPr>
      </w:pPr>
      <w:r>
        <w:rPr>
          <w:rFonts w:ascii="Times New Roman" w:cs="Times New Roman" w:eastAsia="Times New Roman" w:hAnsi="Times New Roman"/>
          <w:sz w:val="17"/>
          <w:szCs w:val="17"/>
          <w:color w:val="auto"/>
        </w:rPr>
        <w:t>These pro forma results are illustrative only and not indicative of the actual results of operations that would have been achieved nor are they indicative of future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Goodwill</w:t>
      </w:r>
    </w:p>
    <w:p>
      <w:pPr>
        <w:spacing w:after="0" w:line="171" w:lineRule="exact"/>
        <w:rPr>
          <w:sz w:val="20"/>
          <w:szCs w:val="20"/>
          <w:color w:val="auto"/>
        </w:rPr>
      </w:pPr>
    </w:p>
    <w:p>
      <w:pPr>
        <w:ind w:right="20" w:firstLine="750"/>
        <w:spacing w:after="0" w:line="271" w:lineRule="auto"/>
        <w:rPr>
          <w:sz w:val="20"/>
          <w:szCs w:val="20"/>
          <w:color w:val="auto"/>
        </w:rPr>
      </w:pPr>
      <w:r>
        <w:rPr>
          <w:rFonts w:ascii="Times New Roman" w:cs="Times New Roman" w:eastAsia="Times New Roman" w:hAnsi="Times New Roman"/>
          <w:sz w:val="17"/>
          <w:szCs w:val="17"/>
          <w:color w:val="auto"/>
        </w:rPr>
        <w:t>Goodwill of $10.3 million was recorded in connection with the Sunosi acquisition as described in Note 3 Business Combination. The adjustment to goodwill resulted from rebates covered by Jazz during the post acquisition period which were provisionally recorded as an asset as of the acquisition date.</w:t>
      </w:r>
    </w:p>
    <w:p>
      <w:pPr>
        <w:spacing w:after="0" w:line="1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following table provides the Company’s goodwill as of December 31, 2022.</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0" w:type="dxa"/>
            <w:vAlign w:val="bottom"/>
          </w:tcPr>
          <w:p>
            <w:pPr>
              <w:spacing w:after="0"/>
              <w:rPr>
                <w:sz w:val="1"/>
                <w:szCs w:val="1"/>
                <w:color w:val="auto"/>
              </w:rPr>
            </w:pPr>
          </w:p>
        </w:tc>
      </w:tr>
      <w:tr>
        <w:trPr>
          <w:trHeight w:val="21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tcBorders>
              <w:top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Goodwill from Sunosi Acquisition</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Measurement period adjustment</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(1,587,000 )</w:t>
            </w:r>
          </w:p>
        </w:tc>
        <w:tc>
          <w:tcPr>
            <w:tcW w:w="0" w:type="dxa"/>
            <w:vAlign w:val="bottom"/>
          </w:tcPr>
          <w:p>
            <w:pPr>
              <w:spacing w:after="0"/>
              <w:rPr>
                <w:sz w:val="1"/>
                <w:szCs w:val="1"/>
                <w:color w:val="auto"/>
              </w:rPr>
            </w:pPr>
          </w:p>
        </w:tc>
      </w:tr>
      <w:tr>
        <w:trPr>
          <w:trHeight w:val="217"/>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60" w:type="dxa"/>
            <w:vAlign w:val="bottom"/>
            <w:tcBorders>
              <w:top w:val="single" w:sz="8" w:color="CFF0FC"/>
            </w:tcBorders>
          </w:tcPr>
          <w:p>
            <w:pPr>
              <w:spacing w:after="0"/>
              <w:rPr>
                <w:sz w:val="18"/>
                <w:szCs w:val="18"/>
                <w:color w:val="auto"/>
              </w:rPr>
            </w:pPr>
          </w:p>
        </w:tc>
        <w:tc>
          <w:tcPr>
            <w:tcW w:w="13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10,310,000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5. Intangible Asset</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7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The gross carrying amount and net book value of the Company's intangible asset are as follows: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Estimated fair value</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Remaining Weighted-</w:t>
            </w:r>
          </w:p>
        </w:tc>
        <w:tc>
          <w:tcPr>
            <w:tcW w:w="0" w:type="dxa"/>
            <w:vAlign w:val="bottom"/>
          </w:tcPr>
          <w:p>
            <w:pPr>
              <w:spacing w:after="0"/>
              <w:rPr>
                <w:sz w:val="1"/>
                <w:szCs w:val="1"/>
                <w:color w:val="auto"/>
              </w:rPr>
            </w:pPr>
          </w:p>
        </w:tc>
      </w:tr>
      <w:tr>
        <w:trPr>
          <w:trHeight w:val="174"/>
        </w:trPr>
        <w:tc>
          <w:tcPr>
            <w:tcW w:w="7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Average Useful Life</w:t>
            </w:r>
          </w:p>
        </w:tc>
        <w:tc>
          <w:tcPr>
            <w:tcW w:w="0" w:type="dxa"/>
            <w:vAlign w:val="bottom"/>
          </w:tcPr>
          <w:p>
            <w:pPr>
              <w:spacing w:after="0"/>
              <w:rPr>
                <w:sz w:val="1"/>
                <w:szCs w:val="1"/>
                <w:color w:val="auto"/>
              </w:rPr>
            </w:pPr>
          </w:p>
        </w:tc>
      </w:tr>
      <w:tr>
        <w:trPr>
          <w:trHeight w:val="21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Gross Carrying Amount</w:t>
            </w:r>
          </w:p>
        </w:tc>
        <w:tc>
          <w:tcPr>
            <w:tcW w:w="1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63,800,000</w:t>
            </w:r>
          </w:p>
        </w:tc>
        <w:tc>
          <w:tcPr>
            <w:tcW w:w="2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10-years</w:t>
            </w:r>
          </w:p>
        </w:tc>
        <w:tc>
          <w:tcPr>
            <w:tcW w:w="0" w:type="dxa"/>
            <w:vAlign w:val="bottom"/>
          </w:tcPr>
          <w:p>
            <w:pPr>
              <w:spacing w:after="0"/>
              <w:rPr>
                <w:sz w:val="1"/>
                <w:szCs w:val="1"/>
                <w:color w:val="auto"/>
              </w:rPr>
            </w:pPr>
          </w:p>
        </w:tc>
      </w:tr>
      <w:tr>
        <w:trPr>
          <w:trHeight w:val="225"/>
        </w:trPr>
        <w:tc>
          <w:tcPr>
            <w:tcW w:w="7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Accumulated Amortization</w:t>
            </w:r>
          </w:p>
        </w:tc>
        <w:tc>
          <w:tcPr>
            <w:tcW w:w="16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(4,139,228 )</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Net Book Value at December 31, 2022</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59,660,772</w:t>
            </w:r>
          </w:p>
        </w:tc>
        <w:tc>
          <w:tcPr>
            <w:tcW w:w="280" w:type="dxa"/>
            <w:vAlign w:val="bottom"/>
            <w:tcBorders>
              <w:top w:val="single" w:sz="8" w:color="CFF0FC"/>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7078980</wp:posOffset>
            </wp:positionH>
            <wp:positionV relativeFrom="paragraph">
              <wp:posOffset>-1593215</wp:posOffset>
            </wp:positionV>
            <wp:extent cx="63500" cy="1511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3500" cy="15113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-147320</wp:posOffset>
            </wp:positionV>
            <wp:extent cx="71755" cy="1511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55" cy="151130"/>
                    </a:xfrm>
                    <a:prstGeom prst="rect">
                      <a:avLst/>
                    </a:prstGeom>
                    <a:noFill/>
                  </pic:spPr>
                </pic:pic>
              </a:graphicData>
            </a:graphic>
          </wp:anchor>
        </w:drawing>
      </w:r>
    </w:p>
    <w:p>
      <w:pPr>
        <w:spacing w:after="0" w:line="193" w:lineRule="exact"/>
        <w:rPr>
          <w:sz w:val="20"/>
          <w:szCs w:val="20"/>
          <w:color w:val="auto"/>
        </w:rPr>
      </w:pPr>
    </w:p>
    <w:p>
      <w:pPr>
        <w:ind w:right="420" w:firstLine="750"/>
        <w:spacing w:after="0" w:line="271" w:lineRule="auto"/>
        <w:rPr>
          <w:sz w:val="20"/>
          <w:szCs w:val="20"/>
          <w:color w:val="auto"/>
        </w:rPr>
      </w:pPr>
      <w:r>
        <w:rPr>
          <w:rFonts w:ascii="Times New Roman" w:cs="Times New Roman" w:eastAsia="Times New Roman" w:hAnsi="Times New Roman"/>
          <w:sz w:val="17"/>
          <w:szCs w:val="17"/>
          <w:color w:val="auto"/>
        </w:rPr>
        <w:t>Based on finite-lived intangible assets recorded as of December 31, 2022, and assuming the underlying assets will not be impaired and that we will not change the expected lives of the assets, future amortization expenses were estimated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220" w:type="dxa"/>
            <w:vAlign w:val="bottom"/>
          </w:tcPr>
          <w:p>
            <w:pPr>
              <w:spacing w:after="0"/>
              <w:rPr>
                <w:sz w:val="17"/>
                <w:szCs w:val="17"/>
                <w:color w:val="auto"/>
              </w:rPr>
            </w:pPr>
          </w:p>
        </w:tc>
        <w:tc>
          <w:tcPr>
            <w:tcW w:w="202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Estimated Amortization</w:t>
            </w:r>
          </w:p>
        </w:tc>
      </w:tr>
      <w:tr>
        <w:trPr>
          <w:trHeight w:val="227"/>
        </w:trPr>
        <w:tc>
          <w:tcPr>
            <w:tcW w:w="9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9"/>
              </w:rPr>
              <w:t>Expense</w:t>
            </w:r>
          </w:p>
        </w:tc>
      </w:tr>
      <w:tr>
        <w:trPr>
          <w:trHeight w:val="231"/>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6,374,760</w:t>
            </w:r>
          </w:p>
        </w:tc>
        <w:tc>
          <w:tcPr>
            <w:tcW w:w="100" w:type="dxa"/>
            <w:vAlign w:val="bottom"/>
            <w:shd w:val="clear" w:color="auto" w:fill="CFF0FC"/>
          </w:tcPr>
          <w:p>
            <w:pPr>
              <w:spacing w:after="0"/>
              <w:rPr>
                <w:sz w:val="20"/>
                <w:szCs w:val="20"/>
                <w:color w:val="auto"/>
              </w:rPr>
            </w:pPr>
          </w:p>
        </w:tc>
      </w:tr>
      <w:tr>
        <w:trPr>
          <w:trHeight w:val="221"/>
        </w:trPr>
        <w:tc>
          <w:tcPr>
            <w:tcW w:w="9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6,392,226</w:t>
            </w:r>
          </w:p>
        </w:tc>
        <w:tc>
          <w:tcPr>
            <w:tcW w:w="100" w:type="dxa"/>
            <w:vAlign w:val="bottom"/>
          </w:tcPr>
          <w:p>
            <w:pPr>
              <w:spacing w:after="0"/>
              <w:rPr>
                <w:sz w:val="19"/>
                <w:szCs w:val="19"/>
                <w:color w:val="auto"/>
              </w:rPr>
            </w:pPr>
          </w:p>
        </w:tc>
      </w:tr>
      <w:tr>
        <w:trPr>
          <w:trHeight w:val="23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6,374,760</w:t>
            </w:r>
          </w:p>
        </w:tc>
        <w:tc>
          <w:tcPr>
            <w:tcW w:w="100" w:type="dxa"/>
            <w:vAlign w:val="bottom"/>
            <w:shd w:val="clear" w:color="auto" w:fill="CFF0FC"/>
          </w:tcPr>
          <w:p>
            <w:pPr>
              <w:spacing w:after="0"/>
              <w:rPr>
                <w:sz w:val="19"/>
                <w:szCs w:val="19"/>
                <w:color w:val="auto"/>
              </w:rPr>
            </w:pPr>
          </w:p>
        </w:tc>
      </w:tr>
      <w:tr>
        <w:trPr>
          <w:trHeight w:val="221"/>
        </w:trPr>
        <w:tc>
          <w:tcPr>
            <w:tcW w:w="9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6,374,760</w:t>
            </w:r>
          </w:p>
        </w:tc>
        <w:tc>
          <w:tcPr>
            <w:tcW w:w="100" w:type="dxa"/>
            <w:vAlign w:val="bottom"/>
          </w:tcPr>
          <w:p>
            <w:pPr>
              <w:spacing w:after="0"/>
              <w:rPr>
                <w:sz w:val="19"/>
                <w:szCs w:val="19"/>
                <w:color w:val="auto"/>
              </w:rPr>
            </w:pPr>
          </w:p>
        </w:tc>
      </w:tr>
      <w:tr>
        <w:trPr>
          <w:trHeight w:val="225"/>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34,144,266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8"/>
        </w:trPr>
        <w:tc>
          <w:tcPr>
            <w:tcW w:w="9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59,660,772</w:t>
            </w:r>
          </w:p>
        </w:tc>
        <w:tc>
          <w:tcPr>
            <w:tcW w:w="100" w:type="dxa"/>
            <w:vAlign w:val="bottom"/>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7078980</wp:posOffset>
            </wp:positionH>
            <wp:positionV relativeFrom="paragraph">
              <wp:posOffset>-173990</wp:posOffset>
            </wp:positionV>
            <wp:extent cx="63500" cy="1746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3500" cy="17462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6. Fair Value Measurements</w:t>
      </w:r>
    </w:p>
    <w:p>
      <w:pPr>
        <w:spacing w:after="0" w:line="215" w:lineRule="exact"/>
        <w:rPr>
          <w:sz w:val="20"/>
          <w:szCs w:val="20"/>
          <w:color w:val="auto"/>
        </w:rPr>
      </w:pPr>
    </w:p>
    <w:p>
      <w:pPr>
        <w:ind w:right="340" w:firstLine="750"/>
        <w:spacing w:after="0" w:line="254" w:lineRule="auto"/>
        <w:rPr>
          <w:sz w:val="20"/>
          <w:szCs w:val="20"/>
          <w:color w:val="auto"/>
        </w:rPr>
      </w:pPr>
      <w:r>
        <w:rPr>
          <w:rFonts w:ascii="Times New Roman" w:cs="Times New Roman" w:eastAsia="Times New Roman" w:hAnsi="Times New Roman"/>
          <w:sz w:val="17"/>
          <w:szCs w:val="17"/>
          <w:color w:val="auto"/>
        </w:rPr>
        <w:t>In connection with the Sunosi acquisition, the Company pays an uncapped royalty on U.S.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$5.9 million and non-current contingent consideration liability of $31.1 million in the consolidated balance sheet as of December 31, 2022.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48260</wp:posOffset>
            </wp:positionV>
            <wp:extent cx="7167880" cy="412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fair value of financial instruments measured on a recurring basis is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May 9, 2022</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r>
      <w:tr>
        <w:trPr>
          <w:trHeight w:val="218"/>
        </w:trPr>
        <w:tc>
          <w:tcPr>
            <w:tcW w:w="5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960" w:type="dxa"/>
            <w:vAlign w:val="bottom"/>
            <w:gridSpan w:val="2"/>
            <w:shd w:val="clear" w:color="auto" w:fill="CFF0FC"/>
          </w:tcPr>
          <w:p>
            <w:pPr>
              <w:jc w:val="right"/>
              <w:ind w:right="673"/>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FF0FC"/>
          </w:tcPr>
          <w:p>
            <w:pPr>
              <w:jc w:val="right"/>
              <w:ind w:right="673"/>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36,140,000</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36,140,000</w:t>
            </w:r>
          </w:p>
        </w:tc>
        <w:tc>
          <w:tcPr>
            <w:tcW w:w="100" w:type="dxa"/>
            <w:vAlign w:val="bottom"/>
            <w:shd w:val="clear" w:color="auto" w:fill="CFF0FC"/>
          </w:tcPr>
          <w:p>
            <w:pPr>
              <w:spacing w:after="0"/>
              <w:rPr>
                <w:sz w:val="19"/>
                <w:szCs w:val="19"/>
                <w:color w:val="auto"/>
              </w:rPr>
            </w:pPr>
          </w:p>
        </w:tc>
      </w:tr>
      <w:tr>
        <w:trPr>
          <w:trHeight w:val="45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0" w:type="dxa"/>
            <w:vAlign w:val="bottom"/>
          </w:tcPr>
          <w:p>
            <w:pPr>
              <w:spacing w:after="0"/>
              <w:rPr>
                <w:sz w:val="24"/>
                <w:szCs w:val="24"/>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24"/>
                <w:szCs w:val="24"/>
                <w:color w:val="auto"/>
              </w:rPr>
            </w:pPr>
          </w:p>
        </w:tc>
      </w:tr>
      <w:tr>
        <w:trPr>
          <w:trHeight w:val="218"/>
        </w:trPr>
        <w:tc>
          <w:tcPr>
            <w:tcW w:w="5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960" w:type="dxa"/>
            <w:vAlign w:val="bottom"/>
            <w:gridSpan w:val="2"/>
            <w:shd w:val="clear" w:color="auto" w:fill="CFF0FC"/>
          </w:tcPr>
          <w:p>
            <w:pPr>
              <w:jc w:val="right"/>
              <w:ind w:right="673"/>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FF0FC"/>
          </w:tcPr>
          <w:p>
            <w:pPr>
              <w:jc w:val="right"/>
              <w:ind w:right="673"/>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37,000,000</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37,000,000</w:t>
            </w:r>
          </w:p>
        </w:tc>
        <w:tc>
          <w:tcPr>
            <w:tcW w:w="100" w:type="dxa"/>
            <w:vAlign w:val="bottom"/>
            <w:shd w:val="clear" w:color="auto" w:fill="CFF0FC"/>
          </w:tcPr>
          <w:p>
            <w:pPr>
              <w:spacing w:after="0"/>
              <w:rPr>
                <w:sz w:val="19"/>
                <w:szCs w:val="19"/>
                <w:color w:val="auto"/>
              </w:rPr>
            </w:pPr>
          </w:p>
        </w:tc>
      </w:tr>
      <w:tr>
        <w:trPr>
          <w:trHeight w:val="225"/>
        </w:trPr>
        <w:tc>
          <w:tcPr>
            <w:tcW w:w="5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gridSpan w:val="2"/>
          </w:tcPr>
          <w:p>
            <w:pPr>
              <w:jc w:val="right"/>
              <w:ind w:right="673"/>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673"/>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37,000,000</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37,000,000</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fair value of the contingent consideration was remeasured at December 31, 2022. The fair value of the financial instruments as of December 31, 2022 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follows: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Contingent Consideration</w:t>
            </w:r>
          </w:p>
        </w:tc>
      </w:tr>
      <w:tr>
        <w:trPr>
          <w:trHeight w:val="218"/>
        </w:trPr>
        <w:tc>
          <w:tcPr>
            <w:tcW w:w="3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6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8"/>
                <w:szCs w:val="18"/>
                <w:color w:val="auto"/>
              </w:rPr>
            </w:pPr>
          </w:p>
        </w:tc>
      </w:tr>
      <w:tr>
        <w:trPr>
          <w:trHeight w:val="221"/>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Initial estimate (Level 3)</w:t>
            </w:r>
          </w:p>
        </w:tc>
        <w:tc>
          <w:tcPr>
            <w:tcW w:w="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36,140,000</w:t>
            </w:r>
          </w:p>
        </w:tc>
        <w:tc>
          <w:tcPr>
            <w:tcW w:w="100" w:type="dxa"/>
            <w:vAlign w:val="bottom"/>
          </w:tcPr>
          <w:p>
            <w:pPr>
              <w:spacing w:after="0"/>
              <w:rPr>
                <w:sz w:val="19"/>
                <w:szCs w:val="19"/>
                <w:color w:val="auto"/>
              </w:rPr>
            </w:pPr>
          </w:p>
        </w:tc>
      </w:tr>
      <w:tr>
        <w:trPr>
          <w:trHeight w:val="230"/>
        </w:trPr>
        <w:tc>
          <w:tcPr>
            <w:tcW w:w="38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Loss in fair value of contingent consideration</w:t>
            </w:r>
          </w:p>
        </w:tc>
        <w:tc>
          <w:tcPr>
            <w:tcW w:w="16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3,298,230</w:t>
            </w:r>
          </w:p>
        </w:tc>
        <w:tc>
          <w:tcPr>
            <w:tcW w:w="100" w:type="dxa"/>
            <w:vAlign w:val="bottom"/>
            <w:shd w:val="clear" w:color="auto" w:fill="CFF0FC"/>
          </w:tcPr>
          <w:p>
            <w:pPr>
              <w:spacing w:after="0"/>
              <w:rPr>
                <w:sz w:val="19"/>
                <w:szCs w:val="19"/>
                <w:color w:val="auto"/>
              </w:rPr>
            </w:pPr>
          </w:p>
        </w:tc>
      </w:tr>
      <w:tr>
        <w:trPr>
          <w:trHeight w:val="221"/>
        </w:trPr>
        <w:tc>
          <w:tcPr>
            <w:tcW w:w="1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Payments</w:t>
            </w: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(2,438,230 )</w:t>
            </w:r>
          </w:p>
        </w:tc>
      </w:tr>
      <w:tr>
        <w:trPr>
          <w:trHeight w:val="222"/>
        </w:trPr>
        <w:tc>
          <w:tcPr>
            <w:tcW w:w="3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2022 (Level 3)</w:t>
            </w:r>
          </w:p>
        </w:tc>
        <w:tc>
          <w:tcPr>
            <w:tcW w:w="16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37,000,000</w:t>
            </w:r>
          </w:p>
        </w:tc>
        <w:tc>
          <w:tcPr>
            <w:tcW w:w="100" w:type="dxa"/>
            <w:vAlign w:val="bottom"/>
            <w:shd w:val="clear" w:color="auto" w:fill="CFF0FC"/>
          </w:tcPr>
          <w:p>
            <w:pPr>
              <w:spacing w:after="0"/>
              <w:rPr>
                <w:sz w:val="19"/>
                <w:szCs w:val="19"/>
                <w:color w:val="auto"/>
              </w:rPr>
            </w:pPr>
          </w:p>
        </w:tc>
      </w:tr>
      <w:tr>
        <w:trPr>
          <w:trHeight w:val="384"/>
        </w:trPr>
        <w:tc>
          <w:tcPr>
            <w:tcW w:w="11240" w:type="dxa"/>
            <w:vAlign w:val="bottom"/>
            <w:gridSpan w:val="11"/>
          </w:tcPr>
          <w:p>
            <w:pPr>
              <w:ind w:left="740"/>
              <w:spacing w:after="0"/>
              <w:rPr>
                <w:sz w:val="20"/>
                <w:szCs w:val="20"/>
                <w:color w:val="auto"/>
              </w:rPr>
            </w:pPr>
            <w:r>
              <w:rPr>
                <w:rFonts w:ascii="Times New Roman" w:cs="Times New Roman" w:eastAsia="Times New Roman" w:hAnsi="Times New Roman"/>
                <w:sz w:val="17"/>
                <w:szCs w:val="17"/>
                <w:color w:val="auto"/>
                <w:w w:val="99"/>
              </w:rPr>
              <w:t>The recurring Level 3 fair value measurements of contingent consideration for which a liability is recorded include the following significant unobservable</w:t>
            </w:r>
          </w:p>
        </w:tc>
      </w:tr>
      <w:tr>
        <w:trPr>
          <w:trHeight w:val="217"/>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inputs: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4"/>
        </w:trPr>
        <w:tc>
          <w:tcPr>
            <w:tcW w:w="148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As of December 31, 2022</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8"/>
              </w:rPr>
              <w:t>As of May 9, 2022</w:t>
            </w:r>
          </w:p>
        </w:tc>
      </w:tr>
      <w:tr>
        <w:trPr>
          <w:trHeight w:val="191"/>
        </w:trPr>
        <w:tc>
          <w:tcPr>
            <w:tcW w:w="1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w w:val="97"/>
              </w:rPr>
              <w:t>Weighted Average (range, if</w:t>
            </w:r>
          </w:p>
        </w:tc>
        <w:tc>
          <w:tcPr>
            <w:tcW w:w="140" w:type="dxa"/>
            <w:vAlign w:val="bottom"/>
          </w:tcPr>
          <w:p>
            <w:pPr>
              <w:spacing w:after="0"/>
              <w:rPr>
                <w:sz w:val="16"/>
                <w:szCs w:val="16"/>
                <w:color w:val="auto"/>
              </w:rPr>
            </w:pPr>
          </w:p>
        </w:tc>
        <w:tc>
          <w:tcPr>
            <w:tcW w:w="2320" w:type="dxa"/>
            <w:vAlign w:val="bottom"/>
            <w:gridSpan w:val="4"/>
          </w:tcPr>
          <w:p>
            <w:pPr>
              <w:jc w:val="center"/>
              <w:ind w:right="40"/>
              <w:spacing w:after="0" w:line="191" w:lineRule="exact"/>
              <w:rPr>
                <w:sz w:val="20"/>
                <w:szCs w:val="20"/>
                <w:color w:val="auto"/>
              </w:rPr>
            </w:pPr>
            <w:r>
              <w:rPr>
                <w:rFonts w:ascii="Times New Roman" w:cs="Times New Roman" w:eastAsia="Times New Roman" w:hAnsi="Times New Roman"/>
                <w:sz w:val="17"/>
                <w:szCs w:val="17"/>
                <w:b w:val="1"/>
                <w:bCs w:val="1"/>
                <w:color w:val="auto"/>
                <w:w w:val="97"/>
              </w:rPr>
              <w:t>Weighted Average (range, if</w:t>
            </w:r>
          </w:p>
        </w:tc>
      </w:tr>
      <w:tr>
        <w:trPr>
          <w:trHeight w:val="227"/>
        </w:trPr>
        <w:tc>
          <w:tcPr>
            <w:tcW w:w="1480" w:type="dxa"/>
            <w:vAlign w:val="bottom"/>
          </w:tcPr>
          <w:p>
            <w:pPr>
              <w:spacing w:after="0"/>
              <w:rPr>
                <w:sz w:val="19"/>
                <w:szCs w:val="19"/>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Valuation Methodology</w:t>
            </w:r>
          </w:p>
        </w:tc>
        <w:tc>
          <w:tcPr>
            <w:tcW w:w="160" w:type="dxa"/>
            <w:vAlign w:val="bottom"/>
          </w:tcPr>
          <w:p>
            <w:pPr>
              <w:spacing w:after="0"/>
              <w:rPr>
                <w:sz w:val="19"/>
                <w:szCs w:val="19"/>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Significant Unobservable Input</w:t>
            </w:r>
          </w:p>
        </w:tc>
        <w:tc>
          <w:tcPr>
            <w:tcW w:w="140" w:type="dxa"/>
            <w:vAlign w:val="bottom"/>
          </w:tcPr>
          <w:p>
            <w:pPr>
              <w:spacing w:after="0"/>
              <w:rPr>
                <w:sz w:val="19"/>
                <w:szCs w:val="19"/>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7"/>
              </w:rPr>
              <w:t>applicable)</w:t>
            </w:r>
          </w:p>
        </w:tc>
      </w:tr>
      <w:tr>
        <w:trPr>
          <w:trHeight w:val="195"/>
        </w:trPr>
        <w:tc>
          <w:tcPr>
            <w:tcW w:w="1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Contingent</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7"/>
              </w:rPr>
              <w:t>Probability weighted income</w:t>
            </w:r>
          </w:p>
        </w:tc>
        <w:tc>
          <w:tcPr>
            <w:tcW w:w="160" w:type="dxa"/>
            <w:vAlign w:val="bottom"/>
            <w:shd w:val="clear" w:color="auto" w:fill="CFF0FC"/>
          </w:tcPr>
          <w:p>
            <w:pPr>
              <w:spacing w:after="0"/>
              <w:rPr>
                <w:sz w:val="16"/>
                <w:szCs w:val="16"/>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8"/>
              </w:rPr>
              <w:t>Discount rate</w:t>
            </w:r>
          </w:p>
        </w:tc>
        <w:tc>
          <w:tcPr>
            <w:tcW w:w="14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12.0%</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760" w:type="dxa"/>
            <w:vAlign w:val="bottom"/>
            <w:shd w:val="clear" w:color="auto" w:fill="CFF0FC"/>
          </w:tcPr>
          <w:p>
            <w:pPr>
              <w:jc w:val="center"/>
              <w:ind w:right="258"/>
              <w:spacing w:after="0"/>
              <w:rPr>
                <w:sz w:val="20"/>
                <w:szCs w:val="20"/>
                <w:color w:val="auto"/>
              </w:rPr>
            </w:pPr>
            <w:r>
              <w:rPr>
                <w:rFonts w:ascii="Times New Roman" w:cs="Times New Roman" w:eastAsia="Times New Roman" w:hAnsi="Times New Roman"/>
                <w:sz w:val="17"/>
                <w:szCs w:val="17"/>
                <w:color w:val="auto"/>
                <w:w w:val="95"/>
              </w:rPr>
              <w:t>11.7%</w:t>
            </w:r>
          </w:p>
        </w:tc>
        <w:tc>
          <w:tcPr>
            <w:tcW w:w="100" w:type="dxa"/>
            <w:vAlign w:val="bottom"/>
            <w:shd w:val="clear" w:color="auto" w:fill="CFF0FC"/>
          </w:tcPr>
          <w:p>
            <w:pPr>
              <w:spacing w:after="0"/>
              <w:rPr>
                <w:sz w:val="16"/>
                <w:szCs w:val="16"/>
                <w:color w:val="auto"/>
              </w:rPr>
            </w:pPr>
          </w:p>
        </w:tc>
      </w:tr>
      <w:tr>
        <w:trPr>
          <w:trHeight w:val="229"/>
        </w:trPr>
        <w:tc>
          <w:tcPr>
            <w:tcW w:w="1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Consideration</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6"/>
              </w:rPr>
              <w:t>approach</w:t>
            </w:r>
          </w:p>
        </w:tc>
        <w:tc>
          <w:tcPr>
            <w:tcW w:w="16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Revenue Required Metric Risk</w:t>
            </w:r>
          </w:p>
        </w:tc>
        <w:tc>
          <w:tcPr>
            <w:tcW w:w="2460" w:type="dxa"/>
            <w:vAlign w:val="bottom"/>
            <w:gridSpan w:val="2"/>
          </w:tcPr>
          <w:p>
            <w:pPr>
              <w:jc w:val="center"/>
              <w:ind w:left="57"/>
              <w:spacing w:after="0"/>
              <w:rPr>
                <w:sz w:val="20"/>
                <w:szCs w:val="20"/>
                <w:color w:val="auto"/>
              </w:rPr>
            </w:pPr>
            <w:r>
              <w:rPr>
                <w:rFonts w:ascii="Times New Roman" w:cs="Times New Roman" w:eastAsia="Times New Roman" w:hAnsi="Times New Roman"/>
                <w:sz w:val="17"/>
                <w:szCs w:val="17"/>
                <w:color w:val="auto"/>
              </w:rPr>
              <w:t>20.9%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center"/>
              <w:ind w:right="278"/>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7"/>
                <w:szCs w:val="17"/>
                <w:color w:val="auto"/>
              </w:rPr>
            </w:pPr>
          </w:p>
        </w:tc>
      </w:tr>
      <w:tr>
        <w:trPr>
          <w:trHeight w:val="217"/>
        </w:trPr>
        <w:tc>
          <w:tcPr>
            <w:tcW w:w="1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Premium rate</w:t>
            </w: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96" w:lineRule="exact"/>
        <w:rPr>
          <w:sz w:val="20"/>
          <w:szCs w:val="20"/>
          <w:color w:val="auto"/>
        </w:rPr>
      </w:pPr>
    </w:p>
    <w:p>
      <w:pPr>
        <w:ind w:right="20" w:firstLine="750"/>
        <w:spacing w:after="0" w:line="282" w:lineRule="auto"/>
        <w:rPr>
          <w:sz w:val="20"/>
          <w:szCs w:val="20"/>
          <w:color w:val="auto"/>
        </w:rPr>
      </w:pPr>
      <w:r>
        <w:rPr>
          <w:rFonts w:ascii="Times New Roman" w:cs="Times New Roman" w:eastAsia="Times New Roman" w:hAnsi="Times New Roman"/>
          <w:sz w:val="16"/>
          <w:szCs w:val="16"/>
          <w:color w:val="auto"/>
        </w:rPr>
        <w:t>The fair value measurement of the contingent consideration is sensitive to the change in discount rates. As of December 31, 2022, if the discount rate increases or decreases by approximately 1%, the fair value of the contingent consideration would range from $35.3 million to $38.8 million. As of December 31, 2022, if the revenue discount rate increases or decreases by approximately 1%, the fair value of the contingent consideration would range from $35.8 million to $38.3 million.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Inventory</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Inventory consists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2"/>
                <w:szCs w:val="12"/>
                <w:color w:val="auto"/>
              </w:rPr>
            </w:pPr>
          </w:p>
        </w:tc>
      </w:tr>
      <w:tr>
        <w:trPr>
          <w:trHeight w:val="174"/>
        </w:trPr>
        <w:tc>
          <w:tcPr>
            <w:tcW w:w="9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Pr>
          <w:p>
            <w:pPr>
              <w:spacing w:after="0"/>
              <w:rPr>
                <w:sz w:val="15"/>
                <w:szCs w:val="15"/>
                <w:color w:val="auto"/>
              </w:rPr>
            </w:pPr>
          </w:p>
        </w:tc>
      </w:tr>
      <w:tr>
        <w:trPr>
          <w:trHeight w:val="218"/>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4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2,473,058</w:t>
            </w:r>
          </w:p>
        </w:tc>
        <w:tc>
          <w:tcPr>
            <w:tcW w:w="300" w:type="dxa"/>
            <w:vAlign w:val="bottom"/>
            <w:shd w:val="clear" w:color="auto" w:fill="CFF0FC"/>
          </w:tcPr>
          <w:p>
            <w:pPr>
              <w:spacing w:after="0"/>
              <w:rPr>
                <w:sz w:val="18"/>
                <w:szCs w:val="18"/>
                <w:color w:val="auto"/>
              </w:rPr>
            </w:pPr>
          </w:p>
        </w:tc>
      </w:tr>
      <w:tr>
        <w:trPr>
          <w:trHeight w:val="221"/>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13,964,402</w:t>
            </w:r>
          </w:p>
        </w:tc>
        <w:tc>
          <w:tcPr>
            <w:tcW w:w="300" w:type="dxa"/>
            <w:vAlign w:val="bottom"/>
          </w:tcPr>
          <w:p>
            <w:pPr>
              <w:spacing w:after="0"/>
              <w:rPr>
                <w:sz w:val="19"/>
                <w:szCs w:val="19"/>
                <w:color w:val="auto"/>
              </w:rPr>
            </w:pPr>
          </w:p>
        </w:tc>
      </w:tr>
      <w:tr>
        <w:trPr>
          <w:trHeight w:val="225"/>
        </w:trPr>
        <w:tc>
          <w:tcPr>
            <w:tcW w:w="9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3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1,590,350</w:t>
            </w:r>
          </w:p>
        </w:tc>
        <w:tc>
          <w:tcPr>
            <w:tcW w:w="300" w:type="dxa"/>
            <w:vAlign w:val="bottom"/>
            <w:tcBorders>
              <w:bottom w:val="single" w:sz="8" w:color="CFF0FC"/>
            </w:tcBorders>
            <w:shd w:val="clear" w:color="auto" w:fill="CFF0FC"/>
          </w:tcPr>
          <w:p>
            <w:pPr>
              <w:spacing w:after="0"/>
              <w:rPr>
                <w:sz w:val="19"/>
                <w:szCs w:val="19"/>
                <w:color w:val="auto"/>
              </w:rPr>
            </w:pPr>
          </w:p>
        </w:tc>
      </w:tr>
      <w:tr>
        <w:trPr>
          <w:trHeight w:val="218"/>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18,027,810</w:t>
            </w:r>
          </w:p>
        </w:tc>
        <w:tc>
          <w:tcPr>
            <w:tcW w:w="300" w:type="dxa"/>
            <w:vAlign w:val="bottom"/>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-173990</wp:posOffset>
            </wp:positionV>
            <wp:extent cx="71755" cy="1746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55" cy="174625"/>
                    </a:xfrm>
                    <a:prstGeom prst="rect">
                      <a:avLst/>
                    </a:prstGeom>
                    <a:noFill/>
                  </pic:spPr>
                </pic:pic>
              </a:graphicData>
            </a:graphic>
          </wp:anchor>
        </w:drawing>
      </w:r>
    </w:p>
    <w:p>
      <w:pPr>
        <w:spacing w:after="0" w:line="189" w:lineRule="exact"/>
        <w:rPr>
          <w:sz w:val="20"/>
          <w:szCs w:val="20"/>
          <w:color w:val="auto"/>
        </w:rPr>
      </w:pPr>
    </w:p>
    <w:p>
      <w:pPr>
        <w:ind w:right="340" w:firstLine="750"/>
        <w:spacing w:after="0" w:line="271" w:lineRule="auto"/>
        <w:rPr>
          <w:sz w:val="20"/>
          <w:szCs w:val="20"/>
          <w:color w:val="auto"/>
        </w:rPr>
      </w:pPr>
      <w:r>
        <w:rPr>
          <w:rFonts w:ascii="Times New Roman" w:cs="Times New Roman" w:eastAsia="Times New Roman" w:hAnsi="Times New Roman"/>
          <w:sz w:val="17"/>
          <w:szCs w:val="17"/>
          <w:color w:val="auto"/>
        </w:rPr>
        <w:t>As of December 31, 2022, inventories included $1.0 million related to the purchase accounting inventory fair value step-up on inventory acquired in the Sunosi Acquisition for the U.S. Territory.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40" w:firstLine="750"/>
        <w:spacing w:after="0" w:line="258" w:lineRule="auto"/>
        <w:rPr>
          <w:sz w:val="20"/>
          <w:szCs w:val="20"/>
          <w:color w:val="auto"/>
        </w:rPr>
      </w:pPr>
      <w:r>
        <w:rPr>
          <w:rFonts w:ascii="Times New Roman" w:cs="Times New Roman" w:eastAsia="Times New Roman" w:hAnsi="Times New Roman"/>
          <w:sz w:val="17"/>
          <w:szCs w:val="17"/>
          <w:color w:val="auto"/>
        </w:rPr>
        <w:t>There were no material inventory reserves as of December 31, 2022. Non-current inventory, which consists of raw materials and work in progress inventory, is included in non-current inventory and other assets in the Company's consolidated balance sheets. Non-current inventory is anticipated to be consumed beyond our normal operating cycle.</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following table summarizes the balance sheet classification of the Company's inventory for each of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2"/>
                <w:szCs w:val="12"/>
                <w:color w:val="auto"/>
              </w:rPr>
            </w:pPr>
          </w:p>
        </w:tc>
      </w:tr>
      <w:tr>
        <w:trPr>
          <w:trHeight w:val="174"/>
        </w:trPr>
        <w:tc>
          <w:tcPr>
            <w:tcW w:w="9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Pr>
          <w:p>
            <w:pPr>
              <w:spacing w:after="0"/>
              <w:rPr>
                <w:sz w:val="15"/>
                <w:szCs w:val="15"/>
                <w:color w:val="auto"/>
              </w:rPr>
            </w:pPr>
          </w:p>
        </w:tc>
      </w:tr>
      <w:tr>
        <w:trPr>
          <w:trHeight w:val="218"/>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sheet classification</w:t>
            </w:r>
          </w:p>
        </w:tc>
        <w:tc>
          <w:tcPr>
            <w:tcW w:w="3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21"/>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Inventories, net</w:t>
            </w: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4,319,921</w:t>
            </w:r>
          </w:p>
        </w:tc>
        <w:tc>
          <w:tcPr>
            <w:tcW w:w="300" w:type="dxa"/>
            <w:vAlign w:val="bottom"/>
          </w:tcPr>
          <w:p>
            <w:pPr>
              <w:spacing w:after="0"/>
              <w:rPr>
                <w:sz w:val="19"/>
                <w:szCs w:val="19"/>
                <w:color w:val="auto"/>
              </w:rPr>
            </w:pPr>
          </w:p>
        </w:tc>
      </w:tr>
      <w:tr>
        <w:trPr>
          <w:trHeight w:val="225"/>
        </w:trPr>
        <w:tc>
          <w:tcPr>
            <w:tcW w:w="9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Non-current inventory and other assets</w:t>
            </w:r>
          </w:p>
        </w:tc>
        <w:tc>
          <w:tcPr>
            <w:tcW w:w="3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13,707,889</w:t>
            </w:r>
          </w:p>
        </w:tc>
        <w:tc>
          <w:tcPr>
            <w:tcW w:w="300" w:type="dxa"/>
            <w:vAlign w:val="bottom"/>
            <w:tcBorders>
              <w:bottom w:val="single" w:sz="8" w:color="CFF0FC"/>
            </w:tcBorders>
            <w:shd w:val="clear" w:color="auto" w:fill="CFF0FC"/>
          </w:tcPr>
          <w:p>
            <w:pPr>
              <w:spacing w:after="0"/>
              <w:rPr>
                <w:sz w:val="19"/>
                <w:szCs w:val="19"/>
                <w:color w:val="auto"/>
              </w:rPr>
            </w:pPr>
          </w:p>
        </w:tc>
      </w:tr>
      <w:tr>
        <w:trPr>
          <w:trHeight w:val="218"/>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18,027,810</w:t>
            </w:r>
          </w:p>
        </w:tc>
        <w:tc>
          <w:tcPr>
            <w:tcW w:w="300" w:type="dxa"/>
            <w:vAlign w:val="bottom"/>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-173990</wp:posOffset>
            </wp:positionV>
            <wp:extent cx="71755" cy="1746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55" cy="17462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Accrued Expenses and Other Current Liabilities</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At December 31, 2022 and 2021, accrued expenses consisted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2"/>
                <w:szCs w:val="12"/>
                <w:color w:val="auto"/>
              </w:rPr>
            </w:pPr>
          </w:p>
        </w:tc>
      </w:tr>
      <w:tr>
        <w:trPr>
          <w:trHeight w:val="174"/>
        </w:trPr>
        <w:tc>
          <w:tcPr>
            <w:tcW w:w="7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r>
      <w:tr>
        <w:trPr>
          <w:trHeight w:val="218"/>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research and development</w:t>
            </w:r>
          </w:p>
        </w:tc>
        <w:tc>
          <w:tcPr>
            <w:tcW w:w="2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4,714,388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2,416,897</w:t>
            </w:r>
          </w:p>
        </w:tc>
        <w:tc>
          <w:tcPr>
            <w:tcW w:w="100" w:type="dxa"/>
            <w:vAlign w:val="bottom"/>
            <w:shd w:val="clear" w:color="auto" w:fill="CFF0FC"/>
          </w:tcPr>
          <w:p>
            <w:pPr>
              <w:spacing w:after="0"/>
              <w:rPr>
                <w:sz w:val="18"/>
                <w:szCs w:val="18"/>
                <w:color w:val="auto"/>
              </w:rPr>
            </w:pPr>
          </w:p>
        </w:tc>
      </w:tr>
      <w:tr>
        <w:trPr>
          <w:trHeight w:val="221"/>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11,283,646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4,050,236</w:t>
            </w:r>
          </w:p>
        </w:tc>
        <w:tc>
          <w:tcPr>
            <w:tcW w:w="100" w:type="dxa"/>
            <w:vAlign w:val="bottom"/>
          </w:tcPr>
          <w:p>
            <w:pPr>
              <w:spacing w:after="0"/>
              <w:rPr>
                <w:sz w:val="19"/>
                <w:szCs w:val="19"/>
                <w:color w:val="auto"/>
              </w:rPr>
            </w:pPr>
          </w:p>
        </w:tc>
      </w:tr>
      <w:tr>
        <w:trPr>
          <w:trHeight w:val="23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selling, general and administrative</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6,596,409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2,442,700</w:t>
            </w:r>
          </w:p>
        </w:tc>
        <w:tc>
          <w:tcPr>
            <w:tcW w:w="100" w:type="dxa"/>
            <w:vAlign w:val="bottom"/>
            <w:shd w:val="clear" w:color="auto" w:fill="CFF0FC"/>
          </w:tcPr>
          <w:p>
            <w:pPr>
              <w:spacing w:after="0"/>
              <w:rPr>
                <w:sz w:val="19"/>
                <w:szCs w:val="19"/>
                <w:color w:val="auto"/>
              </w:rPr>
            </w:pPr>
          </w:p>
        </w:tc>
      </w:tr>
      <w:tr>
        <w:trPr>
          <w:trHeight w:val="221"/>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sales discounts, rebates and allowances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26,544,510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r>
      <w:tr>
        <w:trPr>
          <w:trHeight w:val="23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royalties</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1,616,541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r>
      <w:tr>
        <w:trPr>
          <w:trHeight w:val="221"/>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875,319</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385,347</w:t>
            </w:r>
          </w:p>
        </w:tc>
        <w:tc>
          <w:tcPr>
            <w:tcW w:w="100" w:type="dxa"/>
            <w:vAlign w:val="bottom"/>
          </w:tcPr>
          <w:p>
            <w:pPr>
              <w:spacing w:after="0"/>
              <w:rPr>
                <w:sz w:val="19"/>
                <w:szCs w:val="19"/>
                <w:color w:val="auto"/>
              </w:rPr>
            </w:pPr>
          </w:p>
        </w:tc>
      </w:tr>
      <w:tr>
        <w:trPr>
          <w:trHeight w:val="258"/>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51,630,813</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9,295,180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-23495</wp:posOffset>
            </wp:positionV>
            <wp:extent cx="717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717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-23495</wp:posOffset>
            </wp:positionV>
            <wp:extent cx="635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3500"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-7620</wp:posOffset>
            </wp:positionV>
            <wp:extent cx="635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3500" cy="8255"/>
                    </a:xfrm>
                    <a:prstGeom prst="rect">
                      <a:avLst/>
                    </a:prstGeom>
                    <a:noFill/>
                  </pic:spPr>
                </pic:pic>
              </a:graphicData>
            </a:graphic>
          </wp:anchor>
        </w:drawing>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Note 9.</w:t>
      </w:r>
      <w:r>
        <w:rPr>
          <w:sz w:val="20"/>
          <w:szCs w:val="20"/>
          <w:color w:val="auto"/>
        </w:rPr>
        <w:tab/>
      </w:r>
      <w:r>
        <w:rPr>
          <w:rFonts w:ascii="Times New Roman" w:cs="Times New Roman" w:eastAsia="Times New Roman" w:hAnsi="Times New Roman"/>
          <w:sz w:val="16"/>
          <w:szCs w:val="16"/>
          <w:b w:val="1"/>
          <w:bCs w:val="1"/>
          <w:color w:val="auto"/>
        </w:rPr>
        <w:t>Loan and Security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Hercules Capital,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Second Amendment to the Loan Agreement</w:t>
      </w:r>
    </w:p>
    <w:p>
      <w:pPr>
        <w:spacing w:after="0" w:line="209" w:lineRule="exact"/>
        <w:rPr>
          <w:sz w:val="20"/>
          <w:szCs w:val="20"/>
          <w:color w:val="auto"/>
        </w:rPr>
      </w:pPr>
    </w:p>
    <w:p>
      <w:pPr>
        <w:ind w:right="180" w:firstLine="750"/>
        <w:spacing w:after="0" w:line="258" w:lineRule="auto"/>
        <w:rPr>
          <w:sz w:val="20"/>
          <w:szCs w:val="20"/>
          <w:color w:val="auto"/>
        </w:rPr>
      </w:pPr>
      <w:r>
        <w:rPr>
          <w:rFonts w:ascii="Times New Roman" w:cs="Times New Roman" w:eastAsia="Times New Roman" w:hAnsi="Times New Roman"/>
          <w:sz w:val="17"/>
          <w:szCs w:val="17"/>
          <w:color w:val="auto"/>
        </w:rPr>
        <w:t>On March 27, 2022, in connection with the Acquisition (as described above), the Company entered into a Second Amendment to the Loan and Security Agreement (the “Second Amendment”) with Hercules Capital, Inc., or Hercules. The Second Amendment closed on May 9, 2022 concurrently with the closing of the Acquisition.</w:t>
      </w:r>
    </w:p>
    <w:p>
      <w:pPr>
        <w:spacing w:after="0" w:line="170" w:lineRule="exact"/>
        <w:rPr>
          <w:sz w:val="20"/>
          <w:szCs w:val="20"/>
          <w:color w:val="auto"/>
        </w:rPr>
      </w:pPr>
    </w:p>
    <w:p>
      <w:pPr>
        <w:ind w:firstLine="750"/>
        <w:spacing w:after="0" w:line="264" w:lineRule="auto"/>
        <w:rPr>
          <w:sz w:val="20"/>
          <w:szCs w:val="20"/>
          <w:color w:val="auto"/>
        </w:rPr>
      </w:pPr>
      <w:r>
        <w:rPr>
          <w:rFonts w:ascii="Times New Roman" w:cs="Times New Roman" w:eastAsia="Times New Roman" w:hAnsi="Times New Roman"/>
          <w:sz w:val="16"/>
          <w:szCs w:val="16"/>
          <w:color w:val="auto"/>
        </w:rPr>
        <w:t>The Second Amendment amends the terms of that certain Loan and Security Agreement, dated as of September 25, 2020 (as amended by the First Amendment to the Loan and Security Agreement, dated of October 14, 2021) (the “Loan Agreement”). The changes in the Term Loan Advances (as defined in the Loan Agreement) amounts and dates are as follows: (i) increasing the Tranche 1 (as defined in the Loan Agreement) from $60.0 million to $95.0 million, whereby $45.0 million was drawn upon the Second Amendment closing date (ii) changing the Tranche 2 Advances to three sub-tranches of $35.0 million, $35.0 million and $30.0 million, respectively, for a same total value of $100.0 million, which is now accessible at the Company's option upon the achievement of the approval of AXS-05 (iii) changing the Tranche 3 Advance to two sub-tranches of $15.0 million and $5.0 million, respectively, for the same total value of $20.0 million, upon approval of AXS-07 (iv) decreasing the Tranche 4 Advance from $55.0 million to $50.0 million, available upon achievement of certain combined sales and outstanding debt criteria and</w:t>
      </w:r>
    </w:p>
    <w:p>
      <w:pPr>
        <w:spacing w:after="0" w:line="1" w:lineRule="exact"/>
        <w:rPr>
          <w:sz w:val="20"/>
          <w:szCs w:val="20"/>
          <w:color w:val="auto"/>
        </w:rPr>
      </w:pPr>
    </w:p>
    <w:p>
      <w:pPr>
        <w:ind w:right="20"/>
        <w:spacing w:after="0" w:line="251" w:lineRule="auto"/>
        <w:tabs>
          <w:tab w:leader="none" w:pos="23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decreasing the Tranche 5 Advance from $75.0 million to $35.0 million, subject to the approval from Hercules. The outstanding balance of the debt bears interest at a floating rate based on the greater of (a) 8.95% or (b) US WSJ Prime + 5.70%) to not exceed 10.70%.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0" w:firstLine="750"/>
        <w:spacing w:after="0" w:line="252" w:lineRule="auto"/>
        <w:rPr>
          <w:sz w:val="20"/>
          <w:szCs w:val="20"/>
          <w:color w:val="auto"/>
        </w:rPr>
      </w:pPr>
      <w:r>
        <w:rPr>
          <w:rFonts w:ascii="Times New Roman" w:cs="Times New Roman" w:eastAsia="Times New Roman" w:hAnsi="Times New Roman"/>
          <w:sz w:val="17"/>
          <w:szCs w:val="17"/>
          <w:color w:val="auto"/>
        </w:rPr>
        <w:t>As collateral for the obligations, the Company has granted to Hercules a senior security interest in all of Company’s right, title, and interest in, to and under all of Company’s property, inclusive of intellectual property, which includes one of the Company’s existing license agreements (the “License Agreement”) with Antecip Bioventures II LLC (“Antecip”), an entity owned by Axsome’s Chief Executive Officer and Chairman of the Board, Herriot Tabuteau, M.D., subject to limited exceptions. Antecip consented to the collateral assignment of the License Agreement, among other things, under a direct agreement (the “Direct Agreement”) with the Company and Hercules.</w:t>
      </w:r>
    </w:p>
    <w:p>
      <w:pPr>
        <w:spacing w:after="0" w:line="175" w:lineRule="exact"/>
        <w:rPr>
          <w:sz w:val="20"/>
          <w:szCs w:val="20"/>
          <w:color w:val="auto"/>
        </w:rPr>
      </w:pPr>
    </w:p>
    <w:p>
      <w:pPr>
        <w:ind w:right="120" w:firstLine="750"/>
        <w:spacing w:after="0" w:line="252" w:lineRule="auto"/>
        <w:rPr>
          <w:sz w:val="20"/>
          <w:szCs w:val="20"/>
          <w:color w:val="auto"/>
        </w:rPr>
      </w:pPr>
      <w:r>
        <w:rPr>
          <w:rFonts w:ascii="Times New Roman" w:cs="Times New Roman" w:eastAsia="Times New Roman" w:hAnsi="Times New Roman"/>
          <w:sz w:val="17"/>
          <w:szCs w:val="17"/>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including:</w:t>
      </w:r>
    </w:p>
    <w:p>
      <w:pPr>
        <w:spacing w:after="0" w:line="75" w:lineRule="exact"/>
        <w:rPr>
          <w:sz w:val="20"/>
          <w:szCs w:val="20"/>
          <w:color w:val="auto"/>
        </w:rPr>
      </w:pPr>
    </w:p>
    <w:p>
      <w:pPr>
        <w:ind w:left="1020" w:right="300" w:hanging="511"/>
        <w:spacing w:after="0" w:line="254" w:lineRule="auto"/>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upon closing of the Second Amendment of the Loan Agreement, the Company at all times thereafter must maintain cash in an account or accounts in which Hercules has a first priority security interest, in an aggregate amount greater than or equal to $40.0 million, plus the amount of the Company’s accounts payable under U.S. GAAP not paid after the 180th day following the invoice for such account payable (such amount, the “Qualified Cash A/P Amount”). The $40.0 million threshold decreased to $25.0 million upon achievement of the AXS-05 milestone.</w:t>
      </w:r>
    </w:p>
    <w:p>
      <w:pPr>
        <w:spacing w:after="0" w:line="73" w:lineRule="exact"/>
        <w:rPr>
          <w:rFonts w:ascii="Times New Roman" w:cs="Times New Roman" w:eastAsia="Times New Roman" w:hAnsi="Times New Roman"/>
          <w:sz w:val="17"/>
          <w:szCs w:val="17"/>
          <w:color w:val="auto"/>
        </w:rPr>
      </w:pPr>
    </w:p>
    <w:p>
      <w:pPr>
        <w:ind w:left="1020" w:right="20" w:hanging="511"/>
        <w:spacing w:after="0" w:line="248" w:lineRule="auto"/>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upon the (i) the last calendar month of the calendar quarter that is nine months following the earlier of (x) the date that the First Milestone is achieved (y) the date that the Second Milestone is achieved, or (z) the final closing date of the Sunosi acquisition (A) ensure that at all times its market capitalization exceeds $1.0 billion, and that it maintains cash in an account which Hercules has a first priority security interest in an amount not less than 50% of the sum of the outstanding principal amount of the term loan advances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Qualified Cash A/P Amount, (B) ensure that at all times that it maintains cash in an account which Hercules has a first priority security interest in an amount not less than 85% of the sum of the outstanding principal amount of the term loan advances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Qualified Cash A/P Amount, or (C) achieve at least 60% of the net product revenue per the board of directors approved forecast solely from the sale of AXS-05, AXS-07, and Sunosi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81" w:lineRule="exact"/>
        <w:rPr>
          <w:rFonts w:ascii="Times New Roman" w:cs="Times New Roman" w:eastAsia="Times New Roman" w:hAnsi="Times New Roman"/>
          <w:sz w:val="17"/>
          <w:szCs w:val="17"/>
          <w:color w:val="auto"/>
        </w:rPr>
      </w:pPr>
    </w:p>
    <w:p>
      <w:pPr>
        <w:ind w:left="1020" w:right="800" w:hanging="511"/>
        <w:spacing w:after="0" w:line="271" w:lineRule="auto"/>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59" w:lineRule="exact"/>
        <w:rPr>
          <w:sz w:val="20"/>
          <w:szCs w:val="20"/>
          <w:color w:val="auto"/>
        </w:rPr>
      </w:pPr>
    </w:p>
    <w:p>
      <w:pPr>
        <w:ind w:right="340" w:firstLine="750"/>
        <w:spacing w:after="0" w:line="271" w:lineRule="auto"/>
        <w:rPr>
          <w:sz w:val="20"/>
          <w:szCs w:val="20"/>
          <w:color w:val="auto"/>
        </w:rPr>
      </w:pPr>
      <w:r>
        <w:rPr>
          <w:rFonts w:ascii="Times New Roman" w:cs="Times New Roman" w:eastAsia="Times New Roman" w:hAnsi="Times New Roman"/>
          <w:sz w:val="17"/>
          <w:szCs w:val="17"/>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59" w:lineRule="exact"/>
        <w:rPr>
          <w:sz w:val="20"/>
          <w:szCs w:val="20"/>
          <w:color w:val="auto"/>
        </w:rPr>
      </w:pPr>
    </w:p>
    <w:p>
      <w:pPr>
        <w:ind w:firstLine="750"/>
        <w:spacing w:after="0" w:line="258" w:lineRule="auto"/>
        <w:rPr>
          <w:sz w:val="20"/>
          <w:szCs w:val="20"/>
          <w:color w:val="auto"/>
        </w:rPr>
      </w:pPr>
      <w:r>
        <w:rPr>
          <w:rFonts w:ascii="Times New Roman" w:cs="Times New Roman" w:eastAsia="Times New Roman" w:hAnsi="Times New Roman"/>
          <w:sz w:val="17"/>
          <w:szCs w:val="17"/>
          <w:color w:val="auto"/>
        </w:rPr>
        <w:t>In addition, the Company is required to pay a final payment fee equal to (A) $2,910,000 in connection with the drawn amount of Tranche 1A plus (B) 4.5% on the draw down of Tranche 1B and the aggregate amount of all term future loan advances. The final payment fee is being accreted and amortized into interest expense using the effective interest rate method over the term of the loan.</w:t>
      </w:r>
    </w:p>
    <w:p>
      <w:pPr>
        <w:spacing w:after="0" w:line="170" w:lineRule="exact"/>
        <w:rPr>
          <w:sz w:val="20"/>
          <w:szCs w:val="20"/>
          <w:color w:val="auto"/>
        </w:rPr>
      </w:pPr>
    </w:p>
    <w:p>
      <w:pPr>
        <w:ind w:right="20" w:firstLine="750"/>
        <w:spacing w:after="0" w:line="252" w:lineRule="auto"/>
        <w:rPr>
          <w:sz w:val="20"/>
          <w:szCs w:val="20"/>
          <w:color w:val="auto"/>
        </w:rPr>
      </w:pPr>
      <w:r>
        <w:rPr>
          <w:rFonts w:ascii="Times New Roman" w:cs="Times New Roman" w:eastAsia="Times New Roman" w:hAnsi="Times New Roman"/>
          <w:sz w:val="17"/>
          <w:szCs w:val="17"/>
          <w:color w:val="auto"/>
        </w:rPr>
        <w:t>The Company may, at its option prepay the term loans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 These percentages are unchanged from the First Amendment to the Loan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0071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71" w:lineRule="auto"/>
        <w:rPr>
          <w:sz w:val="20"/>
          <w:szCs w:val="20"/>
          <w:color w:val="auto"/>
        </w:rPr>
      </w:pPr>
      <w:r>
        <w:rPr>
          <w:rFonts w:ascii="Times New Roman" w:cs="Times New Roman" w:eastAsia="Times New Roman" w:hAnsi="Times New Roman"/>
          <w:sz w:val="16"/>
          <w:szCs w:val="16"/>
          <w:color w:val="auto"/>
        </w:rPr>
        <w:t>The Company evaluated whether the Hercules Term Loan entered into in March 2022 represented a debt modification or extinguishment in accordance with ASC 470-50, Debt – Modifications and Extinguishments. As the present value of the cash flows under the terms of the Second Amendment to the Hercules Agreement is less than 10% different from the remaining cash flows under the terms of the First amendment, the Second Amendment was accounted for as a debt modification. The unamortized balance of debt discount costs incurred in connection with those loans and additional debt discount costs incurred in connection with entry into the Hercules Second Amendment to the Loan Agreement, are being amortized through maturity in October 2026 utilizing the effective interest rate method.</w:t>
      </w:r>
    </w:p>
    <w:p>
      <w:pPr>
        <w:spacing w:after="0" w:line="162" w:lineRule="exact"/>
        <w:rPr>
          <w:sz w:val="20"/>
          <w:szCs w:val="20"/>
          <w:color w:val="auto"/>
        </w:rPr>
      </w:pPr>
    </w:p>
    <w:p>
      <w:pPr>
        <w:ind w:right="20" w:firstLine="750"/>
        <w:spacing w:after="0" w:line="254" w:lineRule="auto"/>
        <w:rPr>
          <w:sz w:val="20"/>
          <w:szCs w:val="20"/>
          <w:color w:val="auto"/>
        </w:rPr>
      </w:pPr>
      <w:r>
        <w:rPr>
          <w:rFonts w:ascii="Times New Roman" w:cs="Times New Roman" w:eastAsia="Times New Roman" w:hAnsi="Times New Roman"/>
          <w:sz w:val="17"/>
          <w:szCs w:val="17"/>
          <w:color w:val="auto"/>
        </w:rPr>
        <w:t>In January 2023, the Company entered into a Third Amendment (the "Third Amendment") to its Loan and Security Agreement (the “Loan Agreement”) with Hercules. The Third Amendment increases the size of the Term Loan Advance (as defined in the Loan Agreement) to $350,000,000, reduces the interest rate, and extends the maturity and interest-only period of the Loan Agreement. $55.0 million was drawn upon the Third Amendment closing date. See Note 18 - Subsequent Events for further information.</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Third Amendment amended the terms of the Loan Agreement to, among other things, (i) extend the maturity date to January 1, 2028, unless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meets certain revenue targets as described in the Loan Agreement, in which case the Company can extend the maturity date to January 1, 2029; (ii) increase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aggregate principal amount under the Loan Agreement from $300,000,000 to $350,000,000; (iii) subject to the terms and conditions in the Loan Agreement, change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Term Loan Advance amounts and dates available under the Tranche 1 Advance (as defined in the Loan Agreement) through Tranche 5 Advance (as defined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 Agreement), including increasing the Tranche 1 Advance from one tranche of $95,000,000 to five sub-tranches of $95,000,000, $55,000,000, $30,000,000,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$35,000,000 and $35,000,000, respectively, changing the Tranche 2 Advance (as defined in the Loan Agreement) from three sub-tranches of $35,000,000, $35,000,000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$30,000,000 to one tranche of $25,000,000, changing the Tranche 3 Advance (as defined in the Loan Agreement) from two sub-tranches of $15,000,000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$5,000,000 to one tranche of $75,000,000, and removing the Tranche 4 Advance (as defined in the Loan Agreement) and Tranche 5 Advance entirely; (iv) revise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rate applicable to extensions of credit under the Loan Agreement to equal the greater of 9.95% per annum or the prime rate plus 2.20% per annum, to not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exceed 10.70% (v) increase the minimum cash requirement of the Company to $30,000,000; and (vi) require the Company to pay a facility fee equal to 0.75%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 of principal actually funded pursuant to the Tranche 1B Advance (as defined in the Loan Agreement), Tranche 1C Advance (as defined in the Term Loan),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Tranche 1D Advance (as defined in the Loan Agreement), Tranche 1E Advance (as defined in the Term Loan), Tranche 2 Advance and Tranche 3 Advance.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Silicon Valley Bank</w:t>
      </w:r>
    </w:p>
    <w:p>
      <w:pPr>
        <w:spacing w:after="0" w:line="209" w:lineRule="exact"/>
        <w:rPr>
          <w:sz w:val="20"/>
          <w:szCs w:val="20"/>
          <w:color w:val="auto"/>
        </w:rPr>
      </w:pPr>
    </w:p>
    <w:p>
      <w:pPr>
        <w:ind w:right="200" w:firstLine="750"/>
        <w:spacing w:after="0" w:line="258" w:lineRule="auto"/>
        <w:rPr>
          <w:sz w:val="20"/>
          <w:szCs w:val="20"/>
          <w:color w:val="auto"/>
        </w:rPr>
      </w:pPr>
      <w:r>
        <w:rPr>
          <w:rFonts w:ascii="Times New Roman" w:cs="Times New Roman" w:eastAsia="Times New Roman" w:hAnsi="Times New Roman"/>
          <w:sz w:val="17"/>
          <w:szCs w:val="17"/>
          <w:color w:val="auto"/>
        </w:rPr>
        <w:t>In March 2019, the Company entered into a $24.0 million growth capital term loan facility (the “2019 Term Loan”) with Silicon Valley Bank, or SVB and West River Innovation Lending Fund VIII, L.P., or WestRiver. In September 2020, the Company used a portion of the 2020 Term Loan to terminate and repay all amounts outstanding under the 2019 Term Loan and recorded a loss on extinguishment of the 2019 Term Loan.</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Further information on warrants issued related to the debt financings and amendments are disclosed in Note 13 - Warrants.</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Long-term debt and unamortized debt discount balances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7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1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Outstanding Debt</w:t>
            </w:r>
          </w:p>
        </w:tc>
        <w:tc>
          <w:tcPr>
            <w:tcW w:w="2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95,000,000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50,000,000</w:t>
            </w:r>
          </w:p>
        </w:tc>
      </w:tr>
      <w:tr>
        <w:trPr>
          <w:trHeight w:val="221"/>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 accreted liability of final payment fee</w:t>
            </w:r>
          </w:p>
        </w:tc>
        <w:tc>
          <w:tcPr>
            <w:tcW w:w="240" w:type="dxa"/>
            <w:vAlign w:val="bottom"/>
          </w:tcPr>
          <w:p>
            <w:pPr>
              <w:spacing w:after="0"/>
              <w:rPr>
                <w:sz w:val="19"/>
                <w:szCs w:val="19"/>
                <w:color w:val="auto"/>
              </w:rPr>
            </w:pPr>
          </w:p>
        </w:tc>
        <w:tc>
          <w:tcPr>
            <w:tcW w:w="146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1,362,733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706,407</w:t>
            </w:r>
          </w:p>
        </w:tc>
      </w:tr>
      <w:tr>
        <w:trPr>
          <w:trHeight w:val="230"/>
        </w:trPr>
        <w:tc>
          <w:tcPr>
            <w:tcW w:w="7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Less: unamortized debt discount, long-term</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(2,103,845 )</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(1,616,885 )</w:t>
            </w:r>
          </w:p>
        </w:tc>
      </w:tr>
      <w:tr>
        <w:trPr>
          <w:trHeight w:val="221"/>
        </w:trPr>
        <w:tc>
          <w:tcPr>
            <w:tcW w:w="7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Loan payable, long-term</w:t>
            </w:r>
          </w:p>
        </w:tc>
        <w:tc>
          <w:tcPr>
            <w:tcW w:w="2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94,258,888</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49,089,522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5966460</wp:posOffset>
            </wp:positionH>
            <wp:positionV relativeFrom="paragraph">
              <wp:posOffset>-23495</wp:posOffset>
            </wp:positionV>
            <wp:extent cx="1193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5966460</wp:posOffset>
            </wp:positionH>
            <wp:positionV relativeFrom="paragraph">
              <wp:posOffset>-7620</wp:posOffset>
            </wp:positionV>
            <wp:extent cx="1193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book value of debt approximates its fair value given its variable interest rate.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49"/>
        </w:trPr>
        <w:tc>
          <w:tcPr>
            <w:tcW w:w="66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920" w:type="dxa"/>
            <w:vAlign w:val="bottom"/>
            <w:tcBorders>
              <w:top w:val="single" w:sz="8" w:color="0000EE"/>
            </w:tcBorders>
          </w:tcPr>
          <w:p>
            <w:pPr>
              <w:spacing w:after="0"/>
              <w:rPr>
                <w:sz w:val="22"/>
                <w:szCs w:val="22"/>
                <w:color w:val="auto"/>
              </w:rPr>
            </w:pPr>
          </w:p>
        </w:tc>
        <w:tc>
          <w:tcPr>
            <w:tcW w:w="56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3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46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8,176,264</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4,616,597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2,362,083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 of final payment fee</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668,051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554,493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Amortization of debt discount related issuance costs and warrants</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814,627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522,522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317,074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Scheduled Principal Payments on Outstanding Debt, as of December 31, 2022, are as follows:</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2022</w:t>
            </w:r>
          </w:p>
        </w:tc>
        <w:tc>
          <w:tcPr>
            <w:tcW w:w="56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5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2024</w:t>
            </w:r>
          </w:p>
        </w:tc>
        <w:tc>
          <w:tcPr>
            <w:tcW w:w="56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5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15,202,884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2026</w:t>
            </w:r>
          </w:p>
        </w:tc>
        <w:tc>
          <w:tcPr>
            <w:tcW w:w="56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79,797,116</w:t>
            </w:r>
          </w:p>
        </w:tc>
        <w:tc>
          <w:tcPr>
            <w:tcW w:w="1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principal payments outstanding</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Commitments and Contingencies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Leases</w:t>
      </w:r>
    </w:p>
    <w:p>
      <w:pPr>
        <w:spacing w:after="0" w:line="209" w:lineRule="exact"/>
        <w:rPr>
          <w:sz w:val="20"/>
          <w:szCs w:val="20"/>
          <w:color w:val="auto"/>
        </w:rPr>
      </w:pPr>
    </w:p>
    <w:p>
      <w:pPr>
        <w:ind w:right="20" w:firstLine="750"/>
        <w:spacing w:after="0" w:line="268" w:lineRule="auto"/>
        <w:rPr>
          <w:sz w:val="20"/>
          <w:szCs w:val="20"/>
          <w:color w:val="auto"/>
        </w:rPr>
      </w:pPr>
      <w:r>
        <w:rPr>
          <w:rFonts w:ascii="Times New Roman" w:cs="Times New Roman" w:eastAsia="Times New Roman" w:hAnsi="Times New Roman"/>
          <w:sz w:val="16"/>
          <w:szCs w:val="16"/>
          <w:color w:val="auto"/>
        </w:rPr>
        <w:t>Leases are accounted for under ASC Topic 842. The Company made an accounting policy election not to apply the recognition requirements to short-term leases. The Company recognizes the lease payments for short-term leases in the consolidated statements of operations and comprehensive loss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has entered into a lease agreement for the Company’s principal executive offices located in New York, New York. The lease does not include any restrictions or covenants that had to be accounted for under the lease guidance.</w:t>
      </w:r>
    </w:p>
    <w:p>
      <w:pPr>
        <w:spacing w:after="0" w:line="168" w:lineRule="exact"/>
        <w:rPr>
          <w:sz w:val="20"/>
          <w:szCs w:val="20"/>
          <w:color w:val="auto"/>
        </w:rPr>
      </w:pPr>
    </w:p>
    <w:p>
      <w:pPr>
        <w:ind w:right="180" w:firstLine="750"/>
        <w:spacing w:after="0" w:line="227" w:lineRule="auto"/>
        <w:rPr>
          <w:sz w:val="20"/>
          <w:szCs w:val="20"/>
          <w:color w:val="auto"/>
        </w:rPr>
      </w:pPr>
      <w:r>
        <w:rPr>
          <w:rFonts w:ascii="Times New Roman" w:cs="Times New Roman" w:eastAsia="Times New Roman" w:hAnsi="Times New Roman"/>
          <w:sz w:val="17"/>
          <w:szCs w:val="17"/>
          <w:color w:val="auto"/>
        </w:rPr>
        <w:t>The Company entered into a lease for office space at 22 Cortlandt St, New York, NY consisting of the 16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floor effective August 1, 2020. In August 2022, the Company entered into an agreement to extend the lease of 22 Cortlandt Street through April 30, 2023.</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Rent expense incurred during the years ended December 31, 2022, 2021 and 2020 was $1,255,165, $1,175,139, and $870,275.</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Operating lease expenses recognized for the years ended December 31, 2022, 2021, and 2020 was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r>
      <w:tr>
        <w:trPr>
          <w:trHeight w:val="155"/>
        </w:trPr>
        <w:tc>
          <w:tcPr>
            <w:tcW w:w="44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925"/>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253"/>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operating lease expense</w:t>
            </w:r>
          </w:p>
        </w:tc>
        <w:tc>
          <w:tcPr>
            <w:tcW w:w="480" w:type="dxa"/>
            <w:vAlign w:val="bottom"/>
            <w:tcBorders>
              <w:bottom w:val="single" w:sz="8" w:color="auto"/>
            </w:tcBorders>
            <w:shd w:val="clear" w:color="auto" w:fill="CFF0FC"/>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7"/>
                <w:szCs w:val="17"/>
                <w:color w:val="auto"/>
              </w:rPr>
              <w:t>1,207,837</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7"/>
                <w:szCs w:val="17"/>
                <w:color w:val="auto"/>
              </w:rPr>
              <w:t>1,147,692</w:t>
            </w:r>
          </w:p>
        </w:tc>
        <w:tc>
          <w:tcPr>
            <w:tcW w:w="2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rPr>
              <w:t>47,821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1511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51130" cy="825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-7620</wp:posOffset>
            </wp:positionV>
            <wp:extent cx="15113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51130" cy="8255"/>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-23495</wp:posOffset>
            </wp:positionV>
            <wp:extent cx="14287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42875" cy="8255"/>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-7620</wp:posOffset>
            </wp:positionV>
            <wp:extent cx="14287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Future minimum lease payments of our operating leases as of December 31, 2022,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50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427,875</w:t>
            </w:r>
          </w:p>
        </w:tc>
      </w:tr>
      <w:tr>
        <w:trPr>
          <w:trHeight w:val="221"/>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5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0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0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 lease payments</w:t>
            </w:r>
          </w:p>
        </w:tc>
        <w:tc>
          <w:tcPr>
            <w:tcW w:w="50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427,875</w:t>
            </w:r>
          </w:p>
        </w:tc>
      </w:tr>
      <w:tr>
        <w:trPr>
          <w:trHeight w:val="221"/>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0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(3,202 )</w:t>
            </w:r>
          </w:p>
        </w:tc>
      </w:tr>
      <w:tr>
        <w:trPr>
          <w:trHeight w:val="258"/>
        </w:trPr>
        <w:tc>
          <w:tcPr>
            <w:tcW w:w="4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Present value of operating lease liabilities</w:t>
            </w:r>
          </w:p>
        </w:tc>
        <w:tc>
          <w:tcPr>
            <w:tcW w:w="508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424,673</w:t>
            </w:r>
          </w:p>
        </w:tc>
      </w:tr>
      <w:tr>
        <w:trPr>
          <w:trHeight w:val="582"/>
        </w:trPr>
        <w:tc>
          <w:tcPr>
            <w:tcW w:w="4180" w:type="dxa"/>
            <w:vAlign w:val="bottom"/>
          </w:tcPr>
          <w:p>
            <w:pPr>
              <w:spacing w:after="0"/>
              <w:rPr>
                <w:sz w:val="24"/>
                <w:szCs w:val="24"/>
                <w:color w:val="auto"/>
              </w:rPr>
            </w:pPr>
          </w:p>
        </w:tc>
        <w:tc>
          <w:tcPr>
            <w:tcW w:w="5800" w:type="dxa"/>
            <w:vAlign w:val="bottom"/>
            <w:gridSpan w:val="2"/>
          </w:tcPr>
          <w:p>
            <w:pPr>
              <w:jc w:val="right"/>
              <w:ind w:right="4117"/>
              <w:spacing w:after="0"/>
              <w:rPr>
                <w:sz w:val="20"/>
                <w:szCs w:val="20"/>
                <w:color w:val="auto"/>
              </w:rPr>
            </w:pPr>
            <w:r>
              <w:rPr>
                <w:rFonts w:ascii="Times New Roman" w:cs="Times New Roman" w:eastAsia="Times New Roman" w:hAnsi="Times New Roman"/>
                <w:sz w:val="17"/>
                <w:szCs w:val="17"/>
                <w:color w:val="auto"/>
              </w:rPr>
              <w:t>F-27</w:t>
            </w:r>
          </w:p>
        </w:tc>
        <w:tc>
          <w:tcPr>
            <w:tcW w:w="1260" w:type="dxa"/>
            <w:vAlign w:val="bottom"/>
          </w:tcPr>
          <w:p>
            <w:pPr>
              <w:spacing w:after="0"/>
              <w:rPr>
                <w:sz w:val="24"/>
                <w:szCs w:val="24"/>
                <w:color w:val="auto"/>
              </w:rPr>
            </w:pPr>
          </w:p>
        </w:tc>
      </w:tr>
      <w:tr>
        <w:trPr>
          <w:trHeight w:val="105"/>
        </w:trPr>
        <w:tc>
          <w:tcPr>
            <w:tcW w:w="4180" w:type="dxa"/>
            <w:vAlign w:val="bottom"/>
            <w:tcBorders>
              <w:bottom w:val="single" w:sz="8" w:color="9A9A9A"/>
            </w:tcBorders>
          </w:tcPr>
          <w:p>
            <w:pPr>
              <w:spacing w:after="0"/>
              <w:rPr>
                <w:sz w:val="9"/>
                <w:szCs w:val="9"/>
                <w:color w:val="auto"/>
              </w:rPr>
            </w:pPr>
          </w:p>
        </w:tc>
        <w:tc>
          <w:tcPr>
            <w:tcW w:w="50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72" w:lineRule="exact"/>
        <w:rPr>
          <w:sz w:val="20"/>
          <w:szCs w:val="20"/>
          <w:color w:val="auto"/>
        </w:rPr>
      </w:pPr>
    </w:p>
    <w:p>
      <w:pPr>
        <w:ind w:right="140" w:firstLine="750"/>
        <w:spacing w:after="0" w:line="254" w:lineRule="auto"/>
        <w:rPr>
          <w:sz w:val="20"/>
          <w:szCs w:val="20"/>
          <w:color w:val="auto"/>
        </w:rPr>
      </w:pPr>
      <w:r>
        <w:rPr>
          <w:rFonts w:ascii="Times New Roman" w:cs="Times New Roman" w:eastAsia="Times New Roman" w:hAnsi="Times New Roman"/>
          <w:sz w:val="17"/>
          <w:szCs w:val="17"/>
          <w:color w:val="auto"/>
        </w:rPr>
        <w:t>As of December 31, 2022, the remaining lease term for our operating lease was 0.3 years with a discount rate of 6.0%.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236" w:lineRule="exact"/>
        <w:rPr>
          <w:sz w:val="20"/>
          <w:szCs w:val="20"/>
          <w:color w:val="auto"/>
        </w:rPr>
      </w:pPr>
    </w:p>
    <w:p>
      <w:pPr>
        <w:ind w:right="180" w:firstLine="750"/>
        <w:spacing w:after="0" w:line="271" w:lineRule="auto"/>
        <w:rPr>
          <w:sz w:val="20"/>
          <w:szCs w:val="20"/>
          <w:color w:val="auto"/>
        </w:rPr>
      </w:pPr>
      <w:r>
        <w:rPr>
          <w:rFonts w:ascii="Times New Roman" w:cs="Times New Roman" w:eastAsia="Times New Roman" w:hAnsi="Times New Roman"/>
          <w:sz w:val="17"/>
          <w:szCs w:val="17"/>
          <w:color w:val="auto"/>
        </w:rPr>
        <w:t>In February 2023, the Company entered into a sub-lease agreement for new corporate and executive office space, commencing March 2023. See Note 18 - Subsequent Events for further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Net Loss per Common Share</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net loss per common share:</w:t>
      </w:r>
    </w:p>
    <w:p>
      <w:pPr>
        <w:spacing w:after="0" w:line="24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21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Basic and diluted net loss per common share:</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30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(187,133,651 )</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(130,402,992 )</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(102,900,600 )</w:t>
            </w:r>
          </w:p>
        </w:tc>
      </w:tr>
      <w:tr>
        <w:trPr>
          <w:trHeight w:val="214"/>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outstanding—basic and diluted</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40,655,941</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37,618,599</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37,206,928</w:t>
            </w:r>
          </w:p>
        </w:tc>
      </w:tr>
      <w:tr>
        <w:trPr>
          <w:trHeight w:val="205"/>
        </w:trPr>
        <w:tc>
          <w:tcPr>
            <w:tcW w:w="6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per common share—basic and diluted</w:t>
            </w:r>
          </w:p>
        </w:tc>
        <w:tc>
          <w:tcPr>
            <w:tcW w:w="30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(4.60 )</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(3.47 )</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(2.77 )</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5124450</wp:posOffset>
            </wp:positionH>
            <wp:positionV relativeFrom="paragraph">
              <wp:posOffset>-166370</wp:posOffset>
            </wp:positionV>
            <wp:extent cx="103505" cy="1670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03505" cy="16700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-166370</wp:posOffset>
            </wp:positionV>
            <wp:extent cx="95250" cy="1670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5250" cy="167005"/>
                    </a:xfrm>
                    <a:prstGeom prst="rect">
                      <a:avLst/>
                    </a:prstGeom>
                    <a:noFill/>
                  </pic:spPr>
                </pic:pic>
              </a:graphicData>
            </a:graphic>
          </wp:anchor>
        </w:drawing>
      </w:r>
    </w:p>
    <w:p>
      <w:pPr>
        <w:spacing w:after="0" w:line="189" w:lineRule="exact"/>
        <w:rPr>
          <w:sz w:val="20"/>
          <w:szCs w:val="20"/>
          <w:color w:val="auto"/>
        </w:rPr>
      </w:pPr>
    </w:p>
    <w:p>
      <w:pPr>
        <w:ind w:right="580" w:firstLine="750"/>
        <w:spacing w:after="0" w:line="217" w:lineRule="exact"/>
        <w:rPr>
          <w:sz w:val="20"/>
          <w:szCs w:val="20"/>
          <w:color w:val="auto"/>
        </w:rPr>
      </w:pPr>
      <w:r>
        <w:rPr>
          <w:rFonts w:ascii="Times New Roman" w:cs="Times New Roman" w:eastAsia="Times New Roman" w:hAnsi="Times New Roman"/>
          <w:sz w:val="17"/>
          <w:szCs w:val="17"/>
          <w:color w:val="auto"/>
        </w:rPr>
        <w:t>The following potentially dilutive securities outstanding at December 31, 2022, 2021, and 2020 have been excluded from the computation of diluted weighted average shares outstanding, as they would be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dilutive: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4"/>
        </w:trPr>
        <w:tc>
          <w:tcPr>
            <w:tcW w:w="6700" w:type="dxa"/>
            <w:vAlign w:val="bottom"/>
          </w:tcPr>
          <w:p>
            <w:pPr>
              <w:spacing w:after="0"/>
              <w:rPr>
                <w:sz w:val="15"/>
                <w:szCs w:val="15"/>
                <w:color w:val="auto"/>
              </w:rPr>
            </w:pPr>
          </w:p>
        </w:tc>
        <w:tc>
          <w:tcPr>
            <w:tcW w:w="1440" w:type="dxa"/>
            <w:vAlign w:val="bottom"/>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540" w:type="dxa"/>
            <w:vAlign w:val="bottom"/>
            <w:gridSpan w:val="2"/>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2021</w:t>
            </w:r>
          </w:p>
        </w:tc>
        <w:tc>
          <w:tcPr>
            <w:tcW w:w="1560" w:type="dxa"/>
            <w:vAlign w:val="bottom"/>
            <w:gridSpan w:val="2"/>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218"/>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144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6,617,728</w:t>
            </w:r>
          </w:p>
        </w:tc>
        <w:tc>
          <w:tcPr>
            <w:tcW w:w="14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rPr>
              <w:t>5,090,377</w:t>
            </w:r>
          </w:p>
        </w:tc>
        <w:tc>
          <w:tcPr>
            <w:tcW w:w="12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3,733,916</w:t>
            </w: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686,375</w:t>
            </w:r>
          </w:p>
        </w:tc>
        <w:tc>
          <w:tcPr>
            <w:tcW w:w="154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326,625</w:t>
            </w:r>
          </w:p>
        </w:tc>
        <w:tc>
          <w:tcPr>
            <w:tcW w:w="15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136,067</w:t>
            </w:r>
          </w:p>
        </w:tc>
      </w:tr>
      <w:tr>
        <w:trPr>
          <w:trHeight w:val="225"/>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50,796</w:t>
            </w: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rPr>
              <w:t>15,541</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15,541</w:t>
            </w:r>
          </w:p>
        </w:tc>
      </w:tr>
      <w:tr>
        <w:trPr>
          <w:trHeight w:val="218"/>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7,354,899</w:t>
            </w:r>
          </w:p>
        </w:tc>
        <w:tc>
          <w:tcPr>
            <w:tcW w:w="154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5,432,543</w:t>
            </w:r>
          </w:p>
        </w:tc>
        <w:tc>
          <w:tcPr>
            <w:tcW w:w="15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3,885,524</w:t>
            </w:r>
          </w:p>
        </w:tc>
      </w:tr>
      <w:tr>
        <w:trPr>
          <w:trHeight w:val="20"/>
        </w:trPr>
        <w:tc>
          <w:tcPr>
            <w:tcW w:w="67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-173990</wp:posOffset>
            </wp:positionV>
            <wp:extent cx="79375" cy="1746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9375" cy="174625"/>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-173990</wp:posOffset>
            </wp:positionV>
            <wp:extent cx="71755" cy="1746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55" cy="17462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Stockholders’ Equity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Structure</w:t>
      </w:r>
    </w:p>
    <w:p>
      <w:pPr>
        <w:spacing w:after="0" w:line="209" w:lineRule="exact"/>
        <w:rPr>
          <w:sz w:val="20"/>
          <w:szCs w:val="20"/>
          <w:color w:val="auto"/>
        </w:rPr>
      </w:pPr>
    </w:p>
    <w:p>
      <w:pPr>
        <w:ind w:right="40" w:firstLine="750"/>
        <w:spacing w:after="0" w:line="250" w:lineRule="auto"/>
        <w:rPr>
          <w:sz w:val="20"/>
          <w:szCs w:val="20"/>
          <w:color w:val="auto"/>
        </w:rPr>
      </w:pPr>
      <w:r>
        <w:rPr>
          <w:rFonts w:ascii="Times New Roman" w:cs="Times New Roman" w:eastAsia="Times New Roman" w:hAnsi="Times New Roman"/>
          <w:sz w:val="17"/>
          <w:szCs w:val="17"/>
          <w:color w:val="auto"/>
        </w:rPr>
        <w:t>In December 2019, the Company entered into a sales agreement (the “December 2019 Sales Agreement”) with SVB Securities LLC (formerly known as SVB Leerink LLC) (“SVB Securities”), pursuant to which the Company may sell up to $80 million in shares of the Company’s common stock from time to time through SVB Securities, acting as the Company’s sales agent, in one or more at-the-market offerings utilizing the automatic shelf registration statement that the Company previously filed with the SEC on December 5, 2019 (the “2019 Shelf Registration Statement”). SVB Securities is entitled to receive a commission of 3.0% of the gross proceeds for any shares sold under the December 2019 Sales Agreement. The December 2019 Sales Agreement was replaced by the March 2022 Sales Agreement (see below).</w:t>
      </w:r>
    </w:p>
    <w:p>
      <w:pPr>
        <w:spacing w:after="0" w:line="180" w:lineRule="exact"/>
        <w:rPr>
          <w:sz w:val="20"/>
          <w:szCs w:val="20"/>
          <w:color w:val="auto"/>
        </w:rPr>
      </w:pPr>
    </w:p>
    <w:p>
      <w:pPr>
        <w:ind w:firstLine="750"/>
        <w:spacing w:after="0" w:line="250" w:lineRule="auto"/>
        <w:rPr>
          <w:sz w:val="20"/>
          <w:szCs w:val="20"/>
          <w:color w:val="auto"/>
        </w:rPr>
      </w:pPr>
      <w:r>
        <w:rPr>
          <w:rFonts w:ascii="Times New Roman" w:cs="Times New Roman" w:eastAsia="Times New Roman" w:hAnsi="Times New Roman"/>
          <w:sz w:val="17"/>
          <w:szCs w:val="17"/>
          <w:color w:val="auto"/>
        </w:rPr>
        <w:t>In March 2022, the Company entered into a sales agreement (the “March 2022 Sales Agreement”) with SVB Securities, pursuant to which the Company may sell up to $200 million in shares of the Company’s common stock from time to time through SVB Securities, acting as the Company’s sales agent, in one or more at-the-market offerings utilizing the 2019 Shelf Registration Statement. SVB Securities is entitled to receive a commission of up to 3.0% of the gross proceeds for any shares sold under the March 2022 Sales Agreement. The March 2022 Sales Agreement supersedes the December 2019 Sales Agreement, dated December 5, 2019, by and between the Company and SVB Securities. The Company exhausted sales of its shares of the Company’s common stock under its prior at-the-market offering program.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jc w:val="both"/>
        <w:ind w:right="40" w:firstLine="750"/>
        <w:spacing w:after="0" w:line="258" w:lineRule="auto"/>
        <w:rPr>
          <w:sz w:val="20"/>
          <w:szCs w:val="20"/>
          <w:color w:val="auto"/>
        </w:rPr>
      </w:pPr>
      <w:r>
        <w:rPr>
          <w:rFonts w:ascii="Times New Roman" w:cs="Times New Roman" w:eastAsia="Times New Roman" w:hAnsi="Times New Roman"/>
          <w:sz w:val="17"/>
          <w:szCs w:val="17"/>
          <w:color w:val="auto"/>
        </w:rPr>
        <w:t>In August 2022, the Company filed a prospectus supplement to the 2019 Shelf Registration Statement for the issuance and sale, if any, of up to an additional $250 million in shares of the Company’s common stock under the March 2022 Sales Agreement. The Company will pay SVB Securities a commission of up to 3.0% of the gross sales proceeds of any shares sold through SVB Securities, acting as sales agent, under the March 2022 Sales Agreement.</w:t>
      </w:r>
    </w:p>
    <w:p>
      <w:pPr>
        <w:spacing w:after="0" w:line="170" w:lineRule="exact"/>
        <w:rPr>
          <w:sz w:val="20"/>
          <w:szCs w:val="20"/>
          <w:color w:val="auto"/>
        </w:rPr>
      </w:pPr>
    </w:p>
    <w:p>
      <w:pPr>
        <w:ind w:right="280" w:firstLine="750"/>
        <w:spacing w:after="0" w:line="254" w:lineRule="auto"/>
        <w:rPr>
          <w:sz w:val="20"/>
          <w:szCs w:val="20"/>
          <w:color w:val="auto"/>
        </w:rPr>
      </w:pPr>
      <w:r>
        <w:rPr>
          <w:rFonts w:ascii="Times New Roman" w:cs="Times New Roman" w:eastAsia="Times New Roman" w:hAnsi="Times New Roman"/>
          <w:sz w:val="17"/>
          <w:szCs w:val="17"/>
          <w:color w:val="auto"/>
        </w:rPr>
        <w:t>In December 2022, in connection with the 2022 Shelf Registration Statement (as defined below), the Company filed a new sales agreement prospectus to replace the prior prospectus supplement filed in August 2022 associated with the expired 2019 Shelf Registration Statement. The new sales agreement prospectus covered the issuance and sale by the Company of up to the same $250 million of our common stock that may be issued and sold from time to time through SVB Securities, as the Company’s sales agent, under the March 2022 Sales Agreement.</w:t>
      </w:r>
    </w:p>
    <w:p>
      <w:pPr>
        <w:spacing w:after="0" w:line="173" w:lineRule="exact"/>
        <w:rPr>
          <w:sz w:val="20"/>
          <w:szCs w:val="20"/>
          <w:color w:val="auto"/>
        </w:rPr>
      </w:pPr>
    </w:p>
    <w:p>
      <w:pPr>
        <w:ind w:firstLine="750"/>
        <w:spacing w:after="0" w:line="271" w:lineRule="auto"/>
        <w:rPr>
          <w:sz w:val="20"/>
          <w:szCs w:val="20"/>
          <w:color w:val="auto"/>
        </w:rPr>
      </w:pPr>
      <w:r>
        <w:rPr>
          <w:rFonts w:ascii="Times New Roman" w:cs="Times New Roman" w:eastAsia="Times New Roman" w:hAnsi="Times New Roman"/>
          <w:sz w:val="17"/>
          <w:szCs w:val="17"/>
          <w:color w:val="auto"/>
        </w:rPr>
        <w:t>Under the December 2019 Sales Agreement and March 2022 Sales Agreement, for the year ended December 31, 2022, the Company received approximately $238.8 million in gross proceeds through the sale of 5,167,973 shares, of which net proceeds were approximately $231.8 million.</w:t>
      </w:r>
    </w:p>
    <w:p>
      <w:pPr>
        <w:spacing w:after="0" w:line="159" w:lineRule="exact"/>
        <w:rPr>
          <w:sz w:val="20"/>
          <w:szCs w:val="20"/>
          <w:color w:val="auto"/>
        </w:rPr>
      </w:pPr>
    </w:p>
    <w:p>
      <w:pPr>
        <w:ind w:right="320" w:firstLine="750"/>
        <w:spacing w:after="0" w:line="271" w:lineRule="auto"/>
        <w:rPr>
          <w:sz w:val="20"/>
          <w:szCs w:val="20"/>
          <w:color w:val="auto"/>
        </w:rPr>
      </w:pPr>
      <w:r>
        <w:rPr>
          <w:rFonts w:ascii="Times New Roman" w:cs="Times New Roman" w:eastAsia="Times New Roman" w:hAnsi="Times New Roman"/>
          <w:sz w:val="17"/>
          <w:szCs w:val="17"/>
          <w:color w:val="auto"/>
        </w:rPr>
        <w:t>Upon the closing of the Second Amendment, Hercules also purchased 152,487 of the Company’s unregistered common stock for a total consideration of $5.0 million at a share price equal to $32.79 per share, pursuant to a share transfer agreement.</w:t>
      </w:r>
    </w:p>
    <w:p>
      <w:pPr>
        <w:spacing w:after="0" w:line="159" w:lineRule="exact"/>
        <w:rPr>
          <w:sz w:val="20"/>
          <w:szCs w:val="20"/>
          <w:color w:val="auto"/>
        </w:rPr>
      </w:pPr>
    </w:p>
    <w:p>
      <w:pPr>
        <w:ind w:right="220" w:firstLine="750"/>
        <w:spacing w:after="0" w:line="271" w:lineRule="auto"/>
        <w:rPr>
          <w:sz w:val="20"/>
          <w:szCs w:val="20"/>
          <w:color w:val="auto"/>
        </w:rPr>
      </w:pPr>
      <w:r>
        <w:rPr>
          <w:rFonts w:ascii="Times New Roman" w:cs="Times New Roman" w:eastAsia="Times New Roman" w:hAnsi="Times New Roman"/>
          <w:sz w:val="17"/>
          <w:szCs w:val="17"/>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Shelf Registration Statement</w:t>
      </w:r>
    </w:p>
    <w:p>
      <w:pPr>
        <w:spacing w:after="0" w:line="209" w:lineRule="exact"/>
        <w:rPr>
          <w:sz w:val="20"/>
          <w:szCs w:val="20"/>
          <w:color w:val="auto"/>
        </w:rPr>
      </w:pPr>
    </w:p>
    <w:p>
      <w:pPr>
        <w:ind w:right="80" w:firstLine="750"/>
        <w:spacing w:after="0" w:line="254" w:lineRule="auto"/>
        <w:rPr>
          <w:sz w:val="20"/>
          <w:szCs w:val="20"/>
          <w:color w:val="auto"/>
        </w:rPr>
      </w:pPr>
      <w:r>
        <w:rPr>
          <w:rFonts w:ascii="Times New Roman" w:cs="Times New Roman" w:eastAsia="Times New Roman" w:hAnsi="Times New Roman"/>
          <w:sz w:val="17"/>
          <w:szCs w:val="17"/>
          <w:color w:val="auto"/>
        </w:rPr>
        <w:t>On December 2, 2022, the Company filed an automatic shelf registration statement (“2022 Shelf Registration Statement”) with the Securities and Exchange Commission (“SEC”) for the issuance of common stock, preferred stock, warrants, rights, debt securities and units. It became effective upon filing with the SEC and is currently the Company’s only active shelf registration. Through the date of this report, the Company has not issued common stock pursuant to such shelf registration statement.</w:t>
      </w:r>
    </w:p>
    <w:p>
      <w:pPr>
        <w:spacing w:after="0" w:line="173" w:lineRule="exact"/>
        <w:rPr>
          <w:sz w:val="20"/>
          <w:szCs w:val="20"/>
          <w:color w:val="auto"/>
        </w:rPr>
      </w:pPr>
    </w:p>
    <w:p>
      <w:pPr>
        <w:ind w:right="140" w:firstLine="750"/>
        <w:spacing w:after="0" w:line="254" w:lineRule="auto"/>
        <w:rPr>
          <w:sz w:val="20"/>
          <w:szCs w:val="20"/>
          <w:color w:val="auto"/>
        </w:rPr>
      </w:pPr>
      <w:r>
        <w:rPr>
          <w:rFonts w:ascii="Times New Roman" w:cs="Times New Roman" w:eastAsia="Times New Roman" w:hAnsi="Times New Roman"/>
          <w:sz w:val="17"/>
          <w:szCs w:val="17"/>
          <w:color w:val="auto"/>
        </w:rPr>
        <w:t>Under SEC rules, the 2022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2022 Shelf Registration Statement are offered for sale, a prospectus supplement will be prepared and filed with the SEC containing specific information about the terms of any such offering.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Incentive Plans</w:t>
      </w:r>
    </w:p>
    <w:p>
      <w:pPr>
        <w:spacing w:after="0" w:line="209" w:lineRule="exact"/>
        <w:rPr>
          <w:sz w:val="20"/>
          <w:szCs w:val="20"/>
          <w:color w:val="auto"/>
        </w:rPr>
      </w:pPr>
    </w:p>
    <w:p>
      <w:pPr>
        <w:ind w:firstLine="750"/>
        <w:spacing w:after="0" w:line="271" w:lineRule="auto"/>
        <w:rPr>
          <w:sz w:val="20"/>
          <w:szCs w:val="20"/>
          <w:color w:val="auto"/>
        </w:rPr>
      </w:pPr>
      <w:r>
        <w:rPr>
          <w:rFonts w:ascii="Times New Roman" w:cs="Times New Roman" w:eastAsia="Times New Roman" w:hAnsi="Times New Roman"/>
          <w:sz w:val="16"/>
          <w:szCs w:val="16"/>
          <w:color w:val="auto"/>
        </w:rPr>
        <w:t>The Company had granted stock options under its 2013 Equity Compensation Plan (the “2013 Plan”), which was adopted for employees and consultants for the purpose of advancing the interests of the Company's stockholders by enhancing its ability to attract, retain and motivate persons who are expected to make important contributions to the Company. In November 2015, the 2015 Omnibus Incentive Compensation Plan (the “2015 Plan”) was adopted by the Company’s stockholders. The 2015 Plan is the successor to the Company's 2013 Plan. In conjunction with the adoption of the 2015 Plan, no additional grants were made from the 2013 Plan and options from the 2013 Plan remain outstanding. As of December 31, 2022, there were 2,944,176 shares available for future grant under the 2015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Modification and Cancellation of Stock Awards</w:t>
      </w:r>
    </w:p>
    <w:p>
      <w:pPr>
        <w:spacing w:after="0" w:line="209" w:lineRule="exact"/>
        <w:rPr>
          <w:sz w:val="20"/>
          <w:szCs w:val="20"/>
          <w:color w:val="auto"/>
        </w:rPr>
      </w:pPr>
    </w:p>
    <w:p>
      <w:pPr>
        <w:jc w:val="both"/>
        <w:ind w:right="240" w:firstLine="750"/>
        <w:spacing w:after="0" w:line="258" w:lineRule="auto"/>
        <w:rPr>
          <w:sz w:val="20"/>
          <w:szCs w:val="20"/>
          <w:color w:val="auto"/>
        </w:rPr>
      </w:pPr>
      <w:r>
        <w:rPr>
          <w:rFonts w:ascii="Times New Roman" w:cs="Times New Roman" w:eastAsia="Times New Roman" w:hAnsi="Times New Roman"/>
          <w:sz w:val="17"/>
          <w:szCs w:val="17"/>
          <w:color w:val="auto"/>
        </w:rPr>
        <w:t>In June 2020, in connection with the decision not to stand for re-election by a member of the Company’s Board of Director’s, the vesting of stock options covering 21,666 shares of common stock was accelerated. As a result of this modification, the Company recorded incremental stock-based compensation expense of approximately $1.3 million for the year ended December 31, 2020.</w:t>
      </w:r>
    </w:p>
    <w:p>
      <w:pPr>
        <w:spacing w:after="0" w:line="170" w:lineRule="exact"/>
        <w:rPr>
          <w:sz w:val="20"/>
          <w:szCs w:val="20"/>
          <w:color w:val="auto"/>
        </w:rPr>
      </w:pPr>
    </w:p>
    <w:p>
      <w:pPr>
        <w:jc w:val="both"/>
        <w:ind w:right="80" w:firstLine="750"/>
        <w:spacing w:after="0" w:line="258" w:lineRule="auto"/>
        <w:rPr>
          <w:sz w:val="20"/>
          <w:szCs w:val="20"/>
          <w:color w:val="auto"/>
        </w:rPr>
      </w:pPr>
      <w:r>
        <w:rPr>
          <w:rFonts w:ascii="Times New Roman" w:cs="Times New Roman" w:eastAsia="Times New Roman" w:hAnsi="Times New Roman"/>
          <w:sz w:val="17"/>
          <w:szCs w:val="17"/>
          <w:color w:val="auto"/>
        </w:rPr>
        <w:t>In November 2020, certain employee Stock Options and Restricted Stock Units were cancelled. Stock options to purchase an aggregate of 38,267 shares of common stock were cancelled, and the Company recognized non-cash stock-based compensation expense of $2.1 million related to this cancellation for the year ended December 31, 2020.</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Restricted Stock Units for an aggregate of 11,735 shares of common stock were cancelled, and the Company recognized non-cash stock-based compensation expense of $0.5 million related to this cancellation for the year ended December 31, 2020.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following table summarizes stock option activity as of December 31,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center"/>
              <w:ind w:right="161"/>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2"/>
                <w:szCs w:val="12"/>
                <w:color w:val="auto"/>
              </w:rPr>
            </w:pPr>
          </w:p>
        </w:tc>
        <w:tc>
          <w:tcPr>
            <w:tcW w:w="120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8"/>
        </w:trPr>
        <w:tc>
          <w:tcPr>
            <w:tcW w:w="5700" w:type="dxa"/>
            <w:vAlign w:val="bottom"/>
          </w:tcPr>
          <w:p>
            <w:pPr>
              <w:spacing w:after="0"/>
              <w:rPr>
                <w:sz w:val="11"/>
                <w:szCs w:val="11"/>
                <w:color w:val="auto"/>
              </w:rPr>
            </w:pPr>
          </w:p>
        </w:tc>
        <w:tc>
          <w:tcPr>
            <w:tcW w:w="1240" w:type="dxa"/>
            <w:vAlign w:val="bottom"/>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8"/>
              <w:spacing w:after="0" w:line="13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7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141"/>
              <w:spacing w:after="0" w:line="13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Pr>
          <w:p>
            <w:pPr>
              <w:spacing w:after="0"/>
              <w:rPr>
                <w:sz w:val="11"/>
                <w:szCs w:val="11"/>
                <w:color w:val="auto"/>
              </w:rPr>
            </w:pPr>
          </w:p>
        </w:tc>
        <w:tc>
          <w:tcPr>
            <w:tcW w:w="1200" w:type="dxa"/>
            <w:vAlign w:val="bottom"/>
          </w:tcPr>
          <w:p>
            <w:pPr>
              <w:jc w:val="center"/>
              <w:ind w:right="8"/>
              <w:spacing w:after="0" w:line="138"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ind w:left="220"/>
              <w:spacing w:after="0" w:line="138"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74"/>
        </w:trPr>
        <w:tc>
          <w:tcPr>
            <w:tcW w:w="5700" w:type="dxa"/>
            <w:vAlign w:val="bottom"/>
          </w:tcPr>
          <w:p>
            <w:pPr>
              <w:spacing w:after="0"/>
              <w:rPr>
                <w:sz w:val="15"/>
                <w:szCs w:val="15"/>
                <w:color w:val="auto"/>
              </w:rPr>
            </w:pPr>
          </w:p>
        </w:tc>
        <w:tc>
          <w:tcPr>
            <w:tcW w:w="12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term</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18"/>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5,090,377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28.89</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2,222,866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38.62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(340,149 )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18.38</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(317,942 )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39.50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Expired</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(37,424 )</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54.76</w:t>
            </w:r>
          </w:p>
        </w:tc>
        <w:tc>
          <w:tcPr>
            <w:tcW w:w="1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6,617,728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31.80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300,653,467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December 31, 2022</w:t>
            </w:r>
          </w:p>
        </w:tc>
        <w:tc>
          <w:tcPr>
            <w:tcW w:w="12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6,617,728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31.80</w:t>
            </w: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300,653,467</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at December 31, 2022</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3,470,813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21.43</w:t>
            </w:r>
          </w:p>
        </w:tc>
        <w:tc>
          <w:tcPr>
            <w:tcW w:w="1300" w:type="dxa"/>
            <w:vAlign w:val="bottom"/>
            <w:gridSpan w:val="2"/>
          </w:tcPr>
          <w:p>
            <w:pPr>
              <w:jc w:val="right"/>
              <w:ind w:right="28"/>
              <w:spacing w:after="0"/>
              <w:rPr>
                <w:sz w:val="20"/>
                <w:szCs w:val="20"/>
                <w:color w:val="auto"/>
              </w:rPr>
            </w:pPr>
            <w:r>
              <w:rPr>
                <w:rFonts w:ascii="Times New Roman" w:cs="Times New Roman" w:eastAsia="Times New Roman" w:hAnsi="Times New Roman"/>
                <w:sz w:val="17"/>
                <w:szCs w:val="17"/>
                <w:color w:val="auto"/>
              </w:rPr>
              <w:t>5.8</w:t>
            </w:r>
          </w:p>
        </w:tc>
        <w:tc>
          <w:tcPr>
            <w:tcW w:w="38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193,768,216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4409440</wp:posOffset>
            </wp:positionH>
            <wp:positionV relativeFrom="paragraph">
              <wp:posOffset>-508000</wp:posOffset>
            </wp:positionV>
            <wp:extent cx="79375" cy="1746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9375" cy="174625"/>
                    </a:xfrm>
                    <a:prstGeom prst="rect">
                      <a:avLst/>
                    </a:prstGeom>
                    <a:noFill/>
                  </pic:spPr>
                </pic:pic>
              </a:graphicData>
            </a:graphic>
          </wp:anchor>
        </w:drawing>
        <w:drawing>
          <wp:anchor simplePos="0" relativeHeight="251657728" behindDoc="1" locked="0" layoutInCell="0" allowOverlap="1">
            <wp:simplePos x="0" y="0"/>
            <wp:positionH relativeFrom="column">
              <wp:posOffset>4409440</wp:posOffset>
            </wp:positionH>
            <wp:positionV relativeFrom="paragraph">
              <wp:posOffset>-189865</wp:posOffset>
            </wp:positionV>
            <wp:extent cx="1764030" cy="1905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764030" cy="190500"/>
                    </a:xfrm>
                    <a:prstGeom prst="rect">
                      <a:avLst/>
                    </a:prstGeom>
                    <a:noFill/>
                  </pic:spPr>
                </pic:pic>
              </a:graphicData>
            </a:graphic>
          </wp:anchor>
        </w:drawing>
      </w:r>
    </w:p>
    <w:p>
      <w:pPr>
        <w:spacing w:after="0" w:line="138" w:lineRule="exact"/>
        <w:rPr>
          <w:sz w:val="20"/>
          <w:szCs w:val="20"/>
          <w:color w:val="auto"/>
        </w:rPr>
      </w:pPr>
    </w:p>
    <w:p>
      <w:pPr>
        <w:ind w:right="100" w:firstLine="750"/>
        <w:spacing w:after="0" w:line="207" w:lineRule="exact"/>
        <w:rPr>
          <w:sz w:val="20"/>
          <w:szCs w:val="20"/>
          <w:color w:val="auto"/>
        </w:rPr>
      </w:pPr>
      <w:r>
        <w:rPr>
          <w:rFonts w:ascii="Times New Roman" w:cs="Times New Roman" w:eastAsia="Times New Roman" w:hAnsi="Times New Roman"/>
          <w:sz w:val="16"/>
          <w:szCs w:val="16"/>
          <w:color w:val="auto"/>
        </w:rPr>
        <w:t>The fair value of each stock option grant is estimated on the date of grant using the Black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Scholes option pricing model. The expected term of the Company’s stock options has been determined utilizing the “simplified” method as described in the SEC’s Staff Accounting Bulletin No. 107 relating to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relevant data used to determine the value of the stock option grants for the years ended December 31, 2022, 2021, and 2020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Black-Scholes option valuation assumptions</w:t>
            </w:r>
          </w:p>
        </w:tc>
        <w:tc>
          <w:tcPr>
            <w:tcW w:w="1700" w:type="dxa"/>
            <w:vAlign w:val="bottom"/>
            <w:gridSpan w:val="2"/>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20" w:type="dxa"/>
            <w:vAlign w:val="bottom"/>
            <w:gridSpan w:val="2"/>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780" w:type="dxa"/>
            <w:vAlign w:val="bottom"/>
            <w:gridSpan w:val="2"/>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2020</w:t>
            </w:r>
          </w:p>
        </w:tc>
        <w:tc>
          <w:tcPr>
            <w:tcW w:w="220" w:type="dxa"/>
            <w:vAlign w:val="bottom"/>
          </w:tcPr>
          <w:p>
            <w:pPr>
              <w:spacing w:after="0"/>
              <w:rPr>
                <w:sz w:val="15"/>
                <w:szCs w:val="15"/>
                <w:color w:val="auto"/>
              </w:rPr>
            </w:pPr>
          </w:p>
        </w:tc>
      </w:tr>
      <w:tr>
        <w:trPr>
          <w:trHeight w:val="218"/>
        </w:trPr>
        <w:tc>
          <w:tcPr>
            <w:tcW w:w="5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Risk-free interest rates</w:t>
            </w:r>
          </w:p>
        </w:tc>
        <w:tc>
          <w:tcPr>
            <w:tcW w:w="12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1.46 - 4.31%</w:t>
            </w:r>
          </w:p>
        </w:tc>
        <w:tc>
          <w:tcPr>
            <w:tcW w:w="24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0.63 - 1.47%</w:t>
            </w:r>
          </w:p>
        </w:tc>
        <w:tc>
          <w:tcPr>
            <w:tcW w:w="20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0.3 - 1.7%</w:t>
            </w:r>
          </w:p>
        </w:tc>
        <w:tc>
          <w:tcPr>
            <w:tcW w:w="220" w:type="dxa"/>
            <w:vAlign w:val="bottom"/>
            <w:shd w:val="clear" w:color="auto" w:fill="CFF0FC"/>
          </w:tcPr>
          <w:p>
            <w:pPr>
              <w:spacing w:after="0"/>
              <w:rPr>
                <w:sz w:val="18"/>
                <w:szCs w:val="18"/>
                <w:color w:val="auto"/>
              </w:rPr>
            </w:pPr>
          </w:p>
        </w:tc>
      </w:tr>
      <w:tr>
        <w:trPr>
          <w:trHeight w:val="221"/>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r>
      <w:tr>
        <w:trPr>
          <w:trHeight w:val="23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90 - 95%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89 - 93%</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67 - 99%</w:t>
            </w:r>
          </w:p>
        </w:tc>
        <w:tc>
          <w:tcPr>
            <w:tcW w:w="220" w:type="dxa"/>
            <w:vAlign w:val="bottom"/>
            <w:shd w:val="clear" w:color="auto" w:fill="CFF0FC"/>
          </w:tcPr>
          <w:p>
            <w:pPr>
              <w:spacing w:after="0"/>
              <w:rPr>
                <w:sz w:val="19"/>
                <w:szCs w:val="19"/>
                <w:color w:val="auto"/>
              </w:rPr>
            </w:pP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expected term</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5.0 - 6.11 years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5.0 - 6.17 years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3.51 - 6.14 years</w:t>
            </w:r>
          </w:p>
        </w:tc>
        <w:tc>
          <w:tcPr>
            <w:tcW w:w="220" w:type="dxa"/>
            <w:vAlign w:val="bottom"/>
          </w:tcPr>
          <w:p>
            <w:pPr>
              <w:spacing w:after="0"/>
              <w:rPr>
                <w:sz w:val="18"/>
                <w:szCs w:val="18"/>
                <w:color w:val="auto"/>
              </w:rPr>
            </w:pPr>
          </w:p>
        </w:tc>
      </w:tr>
    </w:tbl>
    <w:p>
      <w:pPr>
        <w:spacing w:after="0" w:line="2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weighted average grant date fair value of options granted was $28.18, $39.64, and $36.77 per option for the years ended December 31, 2022, 2021 and</w:t>
      </w:r>
    </w:p>
    <w:p>
      <w:pPr>
        <w:spacing w:after="0" w:line="3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2020, respectively. As of December 31, 2022, there was $95.7 million of total unrecognized compensation cost related to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vested stock options which is expected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recognized over a weighted average period of 2.9 years. These amounts do not include 6,169 options outstanding as of December 31, 2022, which are</w:t>
      </w:r>
    </w:p>
    <w:p>
      <w:pPr>
        <w:spacing w:after="0" w:line="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performance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and vest upon the achievement of certain corporate milestones.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will be measured and recorded if and when it is probable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the milestone will occur. The intrinsic value of stock options exercised during the years ended December 31, 2022, 2021 and 2020 was $13.2 million, $13.5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and $9.4 million, respectively.</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209" w:lineRule="exact"/>
        <w:rPr>
          <w:sz w:val="20"/>
          <w:szCs w:val="20"/>
          <w:color w:val="auto"/>
        </w:rPr>
      </w:pPr>
    </w:p>
    <w:p>
      <w:pPr>
        <w:ind w:firstLine="750"/>
        <w:spacing w:after="0" w:line="258" w:lineRule="auto"/>
        <w:rPr>
          <w:sz w:val="20"/>
          <w:szCs w:val="20"/>
          <w:color w:val="auto"/>
        </w:rPr>
      </w:pPr>
      <w:r>
        <w:rPr>
          <w:rFonts w:ascii="Times New Roman" w:cs="Times New Roman" w:eastAsia="Times New Roman" w:hAnsi="Times New Roman"/>
          <w:sz w:val="17"/>
          <w:szCs w:val="17"/>
          <w:color w:val="auto"/>
        </w:rPr>
        <w:t>In 2020, the Company began granting RSUs covering an equal number of its shares of common stock to employees. The fair value of RSUs is determined on the date of the grant based on the market price of its shares of common stock as of that date. The fair value of the RSUs is recognized as an expense ratably over the vesting period of four years. As of December 31, 2022, total compensation cost not yet recognized related to unvested RSUs was $17.5</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0" w:firstLine="42"/>
        <w:spacing w:after="0" w:line="271" w:lineRule="auto"/>
        <w:rPr>
          <w:sz w:val="20"/>
          <w:szCs w:val="20"/>
          <w:color w:val="auto"/>
        </w:rPr>
      </w:pPr>
      <w:r>
        <w:rPr>
          <w:rFonts w:ascii="Times New Roman" w:cs="Times New Roman" w:eastAsia="Times New Roman" w:hAnsi="Times New Roman"/>
          <w:sz w:val="17"/>
          <w:szCs w:val="17"/>
          <w:color w:val="auto"/>
        </w:rPr>
        <w:t>million, which is expected to be recognized over a weighted-average period of 2.9 years. The intrinsic value of RSUs lapsed during the year ended December 31, 2022 and 2021 was $1.5 million and $0.4 million, respectively.</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following table sets forth the RSU activity for the year ended December 31, 2022:</w:t>
      </w:r>
    </w:p>
    <w:tbl>
      <w:tblPr>
        <w:tblLayout w:type="fixed"/>
        <w:tblInd w:w="0" w:type="dxa"/>
        <w:tblCellMar>
          <w:top w:w="0" w:type="dxa"/>
          <w:left w:w="0" w:type="dxa"/>
          <w:bottom w:w="0" w:type="dxa"/>
          <w:right w:w="0" w:type="dxa"/>
        </w:tblCellMar>
      </w:tblPr>
      <w:tr>
        <w:trPr>
          <w:trHeight w:val="147"/>
        </w:trPr>
        <w:tc>
          <w:tcPr>
            <w:tcW w:w="7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204"/>
              <w:spacing w:after="0" w:line="147"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680" w:type="dxa"/>
            <w:vAlign w:val="bottom"/>
          </w:tcPr>
          <w:p>
            <w:pPr>
              <w:spacing w:after="0"/>
              <w:rPr>
                <w:sz w:val="11"/>
                <w:szCs w:val="11"/>
                <w:color w:val="auto"/>
              </w:rPr>
            </w:pPr>
          </w:p>
        </w:tc>
        <w:tc>
          <w:tcPr>
            <w:tcW w:w="190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80" w:type="dxa"/>
            <w:vAlign w:val="bottom"/>
          </w:tcPr>
          <w:p>
            <w:pPr>
              <w:spacing w:after="0"/>
              <w:rPr>
                <w:sz w:val="11"/>
                <w:szCs w:val="11"/>
                <w:color w:val="auto"/>
              </w:rPr>
            </w:pPr>
          </w:p>
        </w:tc>
        <w:tc>
          <w:tcPr>
            <w:tcW w:w="1280" w:type="dxa"/>
            <w:vAlign w:val="bottom"/>
          </w:tcPr>
          <w:p>
            <w:pPr>
              <w:jc w:val="center"/>
              <w:ind w:right="204"/>
              <w:spacing w:after="0" w:line="13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68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204"/>
              <w:spacing w:after="0" w:line="138"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680" w:type="dxa"/>
            <w:vAlign w:val="bottom"/>
          </w:tcPr>
          <w:p>
            <w:pPr>
              <w:ind w:left="3780"/>
              <w:spacing w:after="0"/>
              <w:rPr>
                <w:sz w:val="20"/>
                <w:szCs w:val="20"/>
                <w:color w:val="auto"/>
              </w:rPr>
            </w:pPr>
            <w:r>
              <w:rPr>
                <w:rFonts w:ascii="Times New Roman" w:cs="Times New Roman" w:eastAsia="Times New Roman" w:hAnsi="Times New Roman"/>
                <w:sz w:val="13"/>
                <w:szCs w:val="13"/>
                <w:b w:val="1"/>
                <w:bCs w:val="1"/>
                <w:color w:val="auto"/>
              </w:rPr>
              <w:t>​</w:t>
            </w:r>
          </w:p>
        </w:tc>
        <w:tc>
          <w:tcPr>
            <w:tcW w:w="1900" w:type="dxa"/>
            <w:vAlign w:val="bottom"/>
            <w:gridSpan w:val="2"/>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280" w:type="dxa"/>
            <w:vAlign w:val="bottom"/>
          </w:tcPr>
          <w:p>
            <w:pPr>
              <w:spacing w:after="0"/>
              <w:rPr>
                <w:sz w:val="15"/>
                <w:szCs w:val="15"/>
                <w:color w:val="auto"/>
              </w:rPr>
            </w:pPr>
          </w:p>
        </w:tc>
        <w:tc>
          <w:tcPr>
            <w:tcW w:w="1280" w:type="dxa"/>
            <w:vAlign w:val="bottom"/>
          </w:tcPr>
          <w:p>
            <w:pPr>
              <w:jc w:val="center"/>
              <w:ind w:right="20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302,764</w:t>
            </w: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533,134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(81,639 )</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(67,884 )</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686,375</w:t>
            </w:r>
          </w:p>
        </w:tc>
        <w:tc>
          <w:tcPr>
            <w:tcW w:w="3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31.80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-23495</wp:posOffset>
            </wp:positionV>
            <wp:extent cx="717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717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-23495</wp:posOffset>
            </wp:positionV>
            <wp:extent cx="635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3500"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-7620</wp:posOffset>
            </wp:positionV>
            <wp:extent cx="635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3500" cy="8255"/>
                    </a:xfrm>
                    <a:prstGeom prst="rect">
                      <a:avLst/>
                    </a:prstGeom>
                    <a:noFill/>
                  </pic:spPr>
                </pic:pic>
              </a:graphicData>
            </a:graphic>
          </wp:anchor>
        </w:drawing>
      </w:r>
    </w:p>
    <w:p>
      <w:pPr>
        <w:spacing w:after="0" w:line="138" w:lineRule="exact"/>
        <w:rPr>
          <w:sz w:val="20"/>
          <w:szCs w:val="20"/>
          <w:color w:val="auto"/>
        </w:rPr>
      </w:pPr>
    </w:p>
    <w:p>
      <w:pPr>
        <w:ind w:left="740"/>
        <w:spacing w:after="0" w:line="196" w:lineRule="exact"/>
        <w:rPr>
          <w:sz w:val="20"/>
          <w:szCs w:val="20"/>
          <w:color w:val="auto"/>
        </w:rPr>
      </w:pPr>
      <w:r>
        <w:rPr>
          <w:rFonts w:ascii="Times New Roman" w:cs="Times New Roman" w:eastAsia="Times New Roman" w:hAnsi="Times New Roman"/>
          <w:sz w:val="17"/>
          <w:szCs w:val="17"/>
          <w:color w:val="auto"/>
        </w:rPr>
        <w:t>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expense recognized for the years ended December 31, 2022, 2021, and 2020 was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6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0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8,604,408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7,456,049</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3,953,939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29,121,750</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13,345,331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10,802,267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37,726,158</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20,801,380</w:t>
            </w:r>
          </w:p>
        </w:tc>
        <w:tc>
          <w:tcPr>
            <w:tcW w:w="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14,756,206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6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13. Warrants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0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The following table summarizes warrant activity as of December 31, 2022, 2021, and 2020:</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4"/>
            <w:vMerge w:val="restart"/>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2019</w:t>
            </w:r>
          </w:p>
        </w:tc>
        <w:tc>
          <w:tcPr>
            <w:tcW w:w="4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rPr>
              <w:t>69,656</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Issued</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15,541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4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(69,656 )</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2020</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rPr>
              <w:t>15,541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80.43</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Issued</w:t>
            </w: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4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rPr>
              <w:t>15,541</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80.43</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Issued</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35,255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4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rPr>
              <w:t>50,796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46.75</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5045075</wp:posOffset>
            </wp:positionH>
            <wp:positionV relativeFrom="paragraph">
              <wp:posOffset>-2359025</wp:posOffset>
            </wp:positionV>
            <wp:extent cx="717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-2343150</wp:posOffset>
            </wp:positionV>
            <wp:extent cx="717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-2359025</wp:posOffset>
            </wp:positionV>
            <wp:extent cx="717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-2343150</wp:posOffset>
            </wp:positionV>
            <wp:extent cx="717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-2359025</wp:posOffset>
            </wp:positionV>
            <wp:extent cx="635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3500"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-2343150</wp:posOffset>
            </wp:positionV>
            <wp:extent cx="635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3500" cy="8255"/>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-1341755</wp:posOffset>
            </wp:positionV>
            <wp:extent cx="119380" cy="1511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19380" cy="15113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-1048385</wp:posOffset>
            </wp:positionV>
            <wp:extent cx="119380" cy="1587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9380" cy="15875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-452120</wp:posOffset>
            </wp:positionV>
            <wp:extent cx="119380" cy="1511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9380" cy="15113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-158115</wp:posOffset>
            </wp:positionV>
            <wp:extent cx="119380" cy="1587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19380" cy="15875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Outstanding Warrants</w:t>
      </w:r>
    </w:p>
    <w:p>
      <w:pPr>
        <w:spacing w:after="0" w:line="209" w:lineRule="exact"/>
        <w:rPr>
          <w:sz w:val="20"/>
          <w:szCs w:val="20"/>
          <w:color w:val="auto"/>
        </w:rPr>
      </w:pPr>
    </w:p>
    <w:p>
      <w:pPr>
        <w:ind w:firstLine="750"/>
        <w:spacing w:after="0" w:line="258" w:lineRule="auto"/>
        <w:rPr>
          <w:sz w:val="20"/>
          <w:szCs w:val="20"/>
          <w:color w:val="auto"/>
        </w:rPr>
      </w:pPr>
      <w:r>
        <w:rPr>
          <w:rFonts w:ascii="Times New Roman" w:cs="Times New Roman" w:eastAsia="Times New Roman" w:hAnsi="Times New Roman"/>
          <w:sz w:val="17"/>
          <w:szCs w:val="17"/>
          <w:color w:val="auto"/>
        </w:rPr>
        <w:t>In connection with the entry into the Second Amendment, Hercules received warrants to purchase an aggregate 35,255 shares of the Company’s common stock at an exercise price of $31.91 per share ("2022 warrants") and in connection with the first advance of the 2020 Term Loan, Hercules received warrants to purchase an aggregate 15,541 shares of the Company’s common stock at an exercise price of $80.43 per share ("2020 warrants").</w:t>
      </w:r>
    </w:p>
    <w:p>
      <w:pPr>
        <w:spacing w:after="0" w:line="370" w:lineRule="exact"/>
        <w:rPr>
          <w:sz w:val="20"/>
          <w:szCs w:val="20"/>
          <w:color w:val="auto"/>
        </w:rPr>
      </w:pPr>
    </w:p>
    <w:p>
      <w:pPr>
        <w:ind w:right="20" w:firstLine="750"/>
        <w:spacing w:after="0" w:line="250" w:lineRule="auto"/>
        <w:rPr>
          <w:sz w:val="20"/>
          <w:szCs w:val="20"/>
          <w:color w:val="auto"/>
        </w:rPr>
      </w:pPr>
      <w:r>
        <w:rPr>
          <w:rFonts w:ascii="Times New Roman" w:cs="Times New Roman" w:eastAsia="Times New Roman" w:hAnsi="Times New Roman"/>
          <w:sz w:val="17"/>
          <w:szCs w:val="17"/>
          <w:color w:val="auto"/>
        </w:rPr>
        <w:t>Both the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$0.8 million for the 2022 warrants and $0.9 million for the 2020 warrants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right="280" w:firstLine="750"/>
        <w:spacing w:after="0" w:line="271" w:lineRule="auto"/>
        <w:rPr>
          <w:sz w:val="20"/>
          <w:szCs w:val="20"/>
          <w:color w:val="auto"/>
        </w:rPr>
      </w:pPr>
      <w:r>
        <w:rPr>
          <w:rFonts w:ascii="Times New Roman" w:cs="Times New Roman" w:eastAsia="Times New Roman" w:hAnsi="Times New Roman"/>
          <w:sz w:val="17"/>
          <w:szCs w:val="17"/>
          <w:color w:val="auto"/>
        </w:rPr>
        <w:t>The outstanding warrants of 69,656 as of December 31, 2019 were fully exercised by Life Sciences Loans and WestRiver Innovation Lending during year ended December 31, 2020. These warrants were issued during 2016, 2018 and 2019 in connection with the Company's previous debt facility with SVB.</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40"/>
        <w:spacing w:after="0" w:line="196" w:lineRule="exact"/>
        <w:rPr>
          <w:sz w:val="20"/>
          <w:szCs w:val="20"/>
          <w:color w:val="auto"/>
        </w:rPr>
      </w:pPr>
      <w:r>
        <w:rPr>
          <w:rFonts w:ascii="Times New Roman" w:cs="Times New Roman" w:eastAsia="Times New Roman" w:hAnsi="Times New Roman"/>
          <w:sz w:val="17"/>
          <w:szCs w:val="17"/>
          <w:color w:val="auto"/>
        </w:rPr>
        <w:t>The initial fair value of the warrants was estimated using the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Scholes option pricing model with the following assumptions: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Black-Scholes option valuation assumptions</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2"/>
                <w:szCs w:val="12"/>
                <w:color w:val="auto"/>
              </w:rPr>
            </w:pPr>
          </w:p>
        </w:tc>
        <w:tc>
          <w:tcPr>
            <w:tcW w:w="1260" w:type="dxa"/>
            <w:vAlign w:val="bottom"/>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1280" w:type="dxa"/>
            <w:vAlign w:val="bottom"/>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2"/>
                <w:szCs w:val="12"/>
                <w:color w:val="auto"/>
              </w:rPr>
            </w:pPr>
          </w:p>
        </w:tc>
        <w:tc>
          <w:tcPr>
            <w:tcW w:w="1240" w:type="dxa"/>
            <w:vAlign w:val="bottom"/>
          </w:tcPr>
          <w:p>
            <w:pPr>
              <w:jc w:val="right"/>
              <w:ind w:right="462"/>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2"/>
                <w:szCs w:val="12"/>
                <w:color w:val="auto"/>
              </w:rPr>
            </w:pPr>
          </w:p>
        </w:tc>
        <w:tc>
          <w:tcPr>
            <w:tcW w:w="1220" w:type="dxa"/>
            <w:vAlign w:val="bottom"/>
          </w:tcPr>
          <w:p>
            <w:pPr>
              <w:jc w:val="right"/>
              <w:ind w:right="442"/>
              <w:spacing w:after="0"/>
              <w:rPr>
                <w:sz w:val="20"/>
                <w:szCs w:val="20"/>
                <w:color w:val="auto"/>
              </w:rPr>
            </w:pPr>
            <w:r>
              <w:rPr>
                <w:rFonts w:ascii="Times New Roman" w:cs="Times New Roman" w:eastAsia="Times New Roman" w:hAnsi="Times New Roman"/>
                <w:sz w:val="13"/>
                <w:szCs w:val="13"/>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0.5 %</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21"/>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94 %</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88 %</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97 %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85 %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73 %</w:t>
            </w:r>
          </w:p>
        </w:tc>
        <w:tc>
          <w:tcPr>
            <w:tcW w:w="0" w:type="dxa"/>
            <w:vAlign w:val="bottom"/>
          </w:tcPr>
          <w:p>
            <w:pPr>
              <w:spacing w:after="0"/>
              <w:rPr>
                <w:sz w:val="1"/>
                <w:szCs w:val="1"/>
                <w:color w:val="auto"/>
              </w:rPr>
            </w:pPr>
          </w:p>
        </w:tc>
      </w:tr>
      <w:tr>
        <w:trPr>
          <w:trHeight w:val="225"/>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contractual term</w:t>
            </w: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 years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 years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 years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 years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 years</w:t>
            </w:r>
          </w:p>
        </w:tc>
        <w:tc>
          <w:tcPr>
            <w:tcW w:w="0" w:type="dxa"/>
            <w:vAlign w:val="bottom"/>
          </w:tcPr>
          <w:p>
            <w:pPr>
              <w:spacing w:after="0"/>
              <w:rPr>
                <w:sz w:val="1"/>
                <w:szCs w:val="1"/>
                <w:color w:val="auto"/>
              </w:rPr>
            </w:pPr>
          </w:p>
        </w:tc>
      </w:tr>
      <w:tr>
        <w:trPr>
          <w:trHeight w:val="613"/>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F-32</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-1031875</wp:posOffset>
            </wp:positionV>
            <wp:extent cx="7142480" cy="1428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2480"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-746125</wp:posOffset>
            </wp:positionV>
            <wp:extent cx="7142480" cy="1428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2480" cy="142875"/>
                    </a:xfrm>
                    <a:prstGeom prst="rect">
                      <a:avLst/>
                    </a:prstGeom>
                    <a:noFill/>
                  </pic:spPr>
                </pic:pic>
              </a:graphicData>
            </a:graphic>
          </wp:anchor>
        </w:drawing>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300"/>
          </w:cols>
          <w:pgMar w:left="320" w:top="120" w:right="2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License Agreements</w:t>
      </w:r>
    </w:p>
    <w:p>
      <w:pPr>
        <w:spacing w:after="0" w:line="209" w:lineRule="exact"/>
        <w:rPr>
          <w:sz w:val="20"/>
          <w:szCs w:val="20"/>
          <w:color w:val="auto"/>
        </w:rPr>
      </w:pPr>
    </w:p>
    <w:p>
      <w:pPr>
        <w:ind w:right="120" w:firstLine="750"/>
        <w:spacing w:after="0" w:line="254" w:lineRule="auto"/>
        <w:rPr>
          <w:sz w:val="20"/>
          <w:szCs w:val="20"/>
          <w:color w:val="auto"/>
        </w:rPr>
      </w:pPr>
      <w:r>
        <w:rPr>
          <w:rFonts w:ascii="Times New Roman" w:cs="Times New Roman" w:eastAsia="Times New Roman" w:hAnsi="Times New Roman"/>
          <w:sz w:val="17"/>
          <w:szCs w:val="17"/>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now referred to as AXS-14, in the U.S. for the treatment of fibromyalgia.</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Under the terms of the agreement, Pfizer received 82,019 shares of the Company’s common stock having a stated value of $8.0 million, based on the average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closing price of the Company’s common stock for the ten prior trading days of $97.538, in consideration for the license and rights and also received an upfront cash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of $3.0 million. The Company determined that the fair value of each share of common stock granted to Pfizer on the closing date of January 9, 2020, was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$87.24, based on the closing price of the Company’s stock on that date. As a result, the fair value of the stock issued was $7.2 million and therefore, the total research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development expense recognized was $10.2 million related to the Pfizer license agreement during the twelve months ended December 31, 2020.</w:t>
      </w:r>
    </w:p>
    <w:p>
      <w:pPr>
        <w:spacing w:after="0" w:line="188" w:lineRule="exact"/>
        <w:rPr>
          <w:sz w:val="20"/>
          <w:szCs w:val="20"/>
          <w:color w:val="auto"/>
        </w:rPr>
      </w:pPr>
    </w:p>
    <w:p>
      <w:pPr>
        <w:ind w:right="20" w:firstLine="750"/>
        <w:spacing w:after="0" w:line="258" w:lineRule="auto"/>
        <w:rPr>
          <w:sz w:val="20"/>
          <w:szCs w:val="20"/>
          <w:color w:val="auto"/>
        </w:rPr>
      </w:pPr>
      <w:r>
        <w:rPr>
          <w:rFonts w:ascii="Times New Roman" w:cs="Times New Roman" w:eastAsia="Times New Roman" w:hAnsi="Times New Roman"/>
          <w:sz w:val="17"/>
          <w:szCs w:val="17"/>
          <w:color w:val="auto"/>
        </w:rPr>
        <w:t>Pfizer can also receive up to $323 million in regulatory and sales milestones, and tiered mid-single to low double-digit royalties on future sales. Pfizer will also have a right of first negotiation on any potential future strategic transactions involving AXS-12 and AXS-14. During the years ended December 31, 2022, 2021 and 2020, no milestone payments or royalties were paid to Pfizer by the Company.</w:t>
      </w:r>
    </w:p>
    <w:p>
      <w:pPr>
        <w:spacing w:after="0" w:line="170" w:lineRule="exact"/>
        <w:rPr>
          <w:sz w:val="20"/>
          <w:szCs w:val="20"/>
          <w:color w:val="auto"/>
        </w:rPr>
      </w:pPr>
    </w:p>
    <w:p>
      <w:pPr>
        <w:ind w:firstLine="750"/>
        <w:spacing w:after="0" w:line="202" w:lineRule="exact"/>
        <w:rPr>
          <w:sz w:val="20"/>
          <w:szCs w:val="20"/>
          <w:color w:val="auto"/>
        </w:rPr>
      </w:pPr>
      <w:r>
        <w:rPr>
          <w:rFonts w:ascii="Times New Roman" w:cs="Times New Roman" w:eastAsia="Times New Roman" w:hAnsi="Times New Roman"/>
          <w:sz w:val="17"/>
          <w:szCs w:val="17"/>
          <w:color w:val="auto"/>
        </w:rPr>
        <w:t>In 2012, the Company entered into three exclusive license agreements with Antecip Bioventures II LLC, or Antecip, an entity owned by Axsome’s Chief Executive Officer and Chairman of the Board, Herriot Tabuteau, M.D., in which it was granted exclusive licenses to develop, manufacture, and commercialize Antecip’s patents and applications related to the development of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and two product candidate that are not currently in development, anywhere in the world for veterinary and human therapeutic and diagnostic use. Pursuant to the agreements, the Company is required to use commercially reasonable efforts to develop, obtain regulatory approval for and commercialize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Under the terms of the agreements, the Company is required to pay to Antecip a royalty equal to 3.0% for AXS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05,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product and country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up, royalty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perpetual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exclusive license. If Antecip terminates any of the agreements for cause, or if the Company exercises its right to terminate any of the agreements for convenience, the rights granted to the Company under such terminated agreement will revert to Antecip.</w:t>
      </w:r>
    </w:p>
    <w:p>
      <w:pPr>
        <w:spacing w:after="0" w:line="188" w:lineRule="exact"/>
        <w:rPr>
          <w:sz w:val="20"/>
          <w:szCs w:val="20"/>
          <w:color w:val="auto"/>
        </w:rPr>
      </w:pPr>
    </w:p>
    <w:p>
      <w:pPr>
        <w:ind w:right="180" w:firstLine="750"/>
        <w:spacing w:after="0" w:line="271" w:lineRule="auto"/>
        <w:rPr>
          <w:sz w:val="20"/>
          <w:szCs w:val="20"/>
          <w:color w:val="auto"/>
        </w:rPr>
      </w:pPr>
      <w:r>
        <w:rPr>
          <w:rFonts w:ascii="Times New Roman" w:cs="Times New Roman" w:eastAsia="Times New Roman" w:hAnsi="Times New Roman"/>
          <w:sz w:val="17"/>
          <w:szCs w:val="17"/>
          <w:color w:val="auto"/>
        </w:rPr>
        <w:t>In connection with the 2020 Term Loan, the Company entered into a Direct Agreement with Antecip pursuant to which Antecip consented to the collateral assignment of the License Agreement to Hercules, among other things.</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Due to the sales of Auvelity in the fourth quarter of 2022, the Company recorded an accrual for royalty payments to Antecip equal to 3.0% of net sales.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Income Taxes</w:t>
      </w:r>
    </w:p>
    <w:p>
      <w:pPr>
        <w:spacing w:after="0" w:line="209" w:lineRule="exact"/>
        <w:rPr>
          <w:sz w:val="20"/>
          <w:szCs w:val="20"/>
          <w:color w:val="auto"/>
        </w:rPr>
      </w:pPr>
    </w:p>
    <w:p>
      <w:pPr>
        <w:ind w:right="40" w:firstLine="750"/>
        <w:spacing w:after="0" w:line="250" w:lineRule="auto"/>
        <w:rPr>
          <w:sz w:val="20"/>
          <w:szCs w:val="20"/>
          <w:color w:val="auto"/>
        </w:rPr>
      </w:pPr>
      <w:r>
        <w:rPr>
          <w:rFonts w:ascii="Times New Roman" w:cs="Times New Roman" w:eastAsia="Times New Roman" w:hAnsi="Times New Roman"/>
          <w:sz w:val="17"/>
          <w:szCs w:val="17"/>
          <w:color w:val="auto"/>
        </w:rPr>
        <w:t>As of December 31, 2022, the Company has U.S. federal net operating loss (“NOL”) carryforwards of approximately $458 million and foreign NOL carryforwards of $7.8 million. U.S. federal NOLs amounting to $60 million generated before the 2018 tax year will start expiring beginning 2032, and the NOL of approximately $398 million generated in 2018 and later have an indefinite carryforward period. The NOL carryforwards are subject to review and possible adjustment by the Internal Revenue Service and state tax authorities. NOL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that the Company can utilize annually to offset future taxable income or tax liabilities.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components of the Company’s deferred tax assets and deferred tax liabilities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21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federal operating loss carryforward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96,156,250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76,470,431</w:t>
            </w:r>
          </w:p>
        </w:tc>
      </w:tr>
      <w:tr>
        <w:trPr>
          <w:trHeight w:val="23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foreign operating loss carryforward</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2,794,785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88,480</w:t>
            </w: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state operating loss carryforward</w:t>
            </w:r>
          </w:p>
        </w:tc>
        <w:tc>
          <w:tcPr>
            <w:tcW w:w="180" w:type="dxa"/>
            <w:vAlign w:val="bottom"/>
          </w:tcPr>
          <w:p>
            <w:pPr>
              <w:spacing w:after="0"/>
              <w:rPr>
                <w:sz w:val="19"/>
                <w:szCs w:val="19"/>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32,029,378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47,672,157</w:t>
            </w:r>
          </w:p>
        </w:tc>
      </w:tr>
      <w:tr>
        <w:trPr>
          <w:trHeight w:val="23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Non-cash compensation</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11,027,745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13,228,425</w:t>
            </w: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180" w:type="dxa"/>
            <w:vAlign w:val="bottom"/>
          </w:tcPr>
          <w:p>
            <w:pPr>
              <w:spacing w:after="0"/>
              <w:rPr>
                <w:sz w:val="19"/>
                <w:szCs w:val="19"/>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15,015,642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14,455,797</w:t>
            </w:r>
          </w:p>
        </w:tc>
      </w:tr>
      <w:tr>
        <w:trPr>
          <w:trHeight w:val="23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318,798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4,117,655</w:t>
            </w: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80" w:type="dxa"/>
            <w:vAlign w:val="bottom"/>
          </w:tcPr>
          <w:p>
            <w:pPr>
              <w:spacing w:after="0"/>
              <w:rPr>
                <w:sz w:val="19"/>
                <w:szCs w:val="19"/>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10,422,110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2,113,054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1,479,728</w:t>
            </w: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Section 174 Capitalization</w:t>
            </w:r>
          </w:p>
        </w:tc>
        <w:tc>
          <w:tcPr>
            <w:tcW w:w="180" w:type="dxa"/>
            <w:vAlign w:val="bottom"/>
          </w:tcPr>
          <w:p>
            <w:pPr>
              <w:spacing w:after="0"/>
              <w:rPr>
                <w:sz w:val="19"/>
                <w:szCs w:val="19"/>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14,540,848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109,988</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219,760</w:t>
            </w:r>
          </w:p>
        </w:tc>
      </w:tr>
      <w:tr>
        <w:trPr>
          <w:trHeight w:val="218"/>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 excluding valuation allowance</w:t>
            </w:r>
          </w:p>
        </w:tc>
        <w:tc>
          <w:tcPr>
            <w:tcW w:w="18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184,528,598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157,732,433</w:t>
            </w:r>
          </w:p>
        </w:tc>
      </w:tr>
      <w:tr>
        <w:trPr>
          <w:trHeight w:val="23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1"/>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Asset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(104,001 )</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(224,958 )</w:t>
            </w:r>
          </w:p>
        </w:tc>
      </w:tr>
      <w:tr>
        <w:trPr>
          <w:trHeight w:val="22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Deferred tax liability, excluding valuation allowance</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(104,001 )</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(224,958 )</w:t>
            </w:r>
          </w:p>
        </w:tc>
      </w:tr>
      <w:tr>
        <w:trPr>
          <w:trHeight w:val="225"/>
        </w:trPr>
        <w:tc>
          <w:tcPr>
            <w:tcW w:w="7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1"/>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(184,424,597 )</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(157,507,475 )</w:t>
            </w: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deferred tax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5966460</wp:posOffset>
            </wp:positionH>
            <wp:positionV relativeFrom="paragraph">
              <wp:posOffset>-1048385</wp:posOffset>
            </wp:positionV>
            <wp:extent cx="119380" cy="1511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19380" cy="151130"/>
                    </a:xfrm>
                    <a:prstGeom prst="rect">
                      <a:avLst/>
                    </a:prstGeom>
                    <a:noFill/>
                  </pic:spPr>
                </pic:pic>
              </a:graphicData>
            </a:graphic>
          </wp:anchor>
        </w:drawing>
        <w:drawing>
          <wp:anchor simplePos="0" relativeHeight="251657728" behindDoc="1" locked="0" layoutInCell="0" allowOverlap="1">
            <wp:simplePos x="0" y="0"/>
            <wp:positionH relativeFrom="column">
              <wp:posOffset>5966460</wp:posOffset>
            </wp:positionH>
            <wp:positionV relativeFrom="paragraph">
              <wp:posOffset>-173990</wp:posOffset>
            </wp:positionV>
            <wp:extent cx="119380" cy="17462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9380" cy="174625"/>
                    </a:xfrm>
                    <a:prstGeom prst="rect">
                      <a:avLst/>
                    </a:prstGeom>
                    <a:noFill/>
                  </pic:spPr>
                </pic:pic>
              </a:graphicData>
            </a:graphic>
          </wp:anchor>
        </w:drawing>
      </w:r>
    </w:p>
    <w:p>
      <w:pPr>
        <w:spacing w:after="0" w:line="189" w:lineRule="exact"/>
        <w:rPr>
          <w:sz w:val="20"/>
          <w:szCs w:val="20"/>
          <w:color w:val="auto"/>
        </w:rPr>
      </w:pPr>
    </w:p>
    <w:p>
      <w:pPr>
        <w:ind w:right="60" w:firstLine="750"/>
        <w:spacing w:after="0" w:line="252" w:lineRule="auto"/>
        <w:rPr>
          <w:sz w:val="20"/>
          <w:szCs w:val="20"/>
          <w:color w:val="auto"/>
        </w:rPr>
      </w:pPr>
      <w:r>
        <w:rPr>
          <w:rFonts w:ascii="Times New Roman" w:cs="Times New Roman" w:eastAsia="Times New Roman" w:hAnsi="Times New Roman"/>
          <w:sz w:val="17"/>
          <w:szCs w:val="17"/>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and forecast of future losses, the Company provided a full valuation allowance against the deferred tax assets resulting from the tax loss and credits carried forward. The valuation allowance increased $26.9 million, $49.6 million, and $39.7 million, in 2022, 2021, and 2020, respectively, as a result of the increase of the deferred tax assets.</w:t>
      </w:r>
    </w:p>
    <w:p>
      <w:pPr>
        <w:spacing w:after="0" w:line="175" w:lineRule="exact"/>
        <w:rPr>
          <w:sz w:val="20"/>
          <w:szCs w:val="20"/>
          <w:color w:val="auto"/>
        </w:rPr>
      </w:pPr>
    </w:p>
    <w:p>
      <w:pPr>
        <w:ind w:right="400" w:firstLine="750"/>
        <w:spacing w:after="0" w:line="258" w:lineRule="auto"/>
        <w:rPr>
          <w:sz w:val="20"/>
          <w:szCs w:val="20"/>
          <w:color w:val="auto"/>
        </w:rPr>
      </w:pPr>
      <w:r>
        <w:rPr>
          <w:rFonts w:ascii="Times New Roman" w:cs="Times New Roman" w:eastAsia="Times New Roman" w:hAnsi="Times New Roman"/>
          <w:sz w:val="17"/>
          <w:szCs w:val="17"/>
          <w:color w:val="auto"/>
        </w:rPr>
        <w:t>There was no income tax expense (benefit) recorded by the Company due to its net loss tax position and full valuation allowance during the years ended December 31, 2022, 2021, and 2020. A reconciliation of income tax expense (benefit) at the statutory federal income tax rate and income taxes as reflected in the consolidated financial statements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60" w:type="dxa"/>
            <w:vAlign w:val="bottom"/>
          </w:tcPr>
          <w:p>
            <w:pPr>
              <w:spacing w:after="0"/>
              <w:rPr>
                <w:sz w:val="15"/>
                <w:szCs w:val="15"/>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federal statutory income tax rate</w:t>
            </w:r>
          </w:p>
        </w:tc>
        <w:tc>
          <w:tcPr>
            <w:tcW w:w="220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21.0 %</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1"/>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taxes, net of federal benefit</w:t>
            </w:r>
          </w:p>
        </w:tc>
        <w:tc>
          <w:tcPr>
            <w:tcW w:w="37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19"/>
                <w:szCs w:val="19"/>
                <w:color w:val="auto"/>
              </w:rPr>
            </w:pP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13.7</w:t>
            </w:r>
          </w:p>
        </w:tc>
        <w:tc>
          <w:tcPr>
            <w:tcW w:w="60" w:type="dxa"/>
            <w:vAlign w:val="bottom"/>
          </w:tcPr>
          <w:p>
            <w:pPr>
              <w:spacing w:after="0"/>
              <w:rPr>
                <w:sz w:val="19"/>
                <w:szCs w:val="19"/>
                <w:color w:val="auto"/>
              </w:rPr>
            </w:pPr>
          </w:p>
        </w:tc>
      </w:tr>
      <w:tr>
        <w:trPr>
          <w:trHeight w:val="238"/>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Foreign Rate Differential</w:t>
            </w:r>
          </w:p>
        </w:tc>
        <w:tc>
          <w:tcPr>
            <w:tcW w:w="37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r>
      <w:tr>
        <w:trPr>
          <w:trHeight w:val="221"/>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based compensation - Excess tax benefit</w:t>
            </w:r>
          </w:p>
        </w:tc>
        <w:tc>
          <w:tcPr>
            <w:tcW w:w="37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1.8</w:t>
            </w:r>
          </w:p>
        </w:tc>
        <w:tc>
          <w:tcPr>
            <w:tcW w:w="60" w:type="dxa"/>
            <w:vAlign w:val="bottom"/>
          </w:tcPr>
          <w:p>
            <w:pPr>
              <w:spacing w:after="0"/>
              <w:rPr>
                <w:sz w:val="19"/>
                <w:szCs w:val="19"/>
                <w:color w:val="auto"/>
              </w:rPr>
            </w:pPr>
          </w:p>
        </w:tc>
      </w:tr>
      <w:tr>
        <w:trPr>
          <w:trHeight w:val="23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permanent differences</w:t>
            </w:r>
          </w:p>
        </w:tc>
        <w:tc>
          <w:tcPr>
            <w:tcW w:w="3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60" w:type="dxa"/>
            <w:vAlign w:val="bottom"/>
          </w:tcPr>
          <w:p>
            <w:pPr>
              <w:spacing w:after="0"/>
              <w:rPr>
                <w:sz w:val="19"/>
                <w:szCs w:val="19"/>
                <w:color w:val="auto"/>
              </w:rPr>
            </w:pPr>
          </w:p>
        </w:tc>
      </w:tr>
      <w:tr>
        <w:trPr>
          <w:trHeight w:val="217"/>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credit</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2.5</w:t>
            </w:r>
          </w:p>
        </w:tc>
        <w:tc>
          <w:tcPr>
            <w:tcW w:w="60" w:type="dxa"/>
            <w:vAlign w:val="bottom"/>
          </w:tcPr>
          <w:p>
            <w:pPr>
              <w:spacing w:after="0"/>
              <w:rPr>
                <w:sz w:val="18"/>
                <w:szCs w:val="18"/>
                <w:color w:val="auto"/>
              </w:rPr>
            </w:pPr>
          </w:p>
        </w:tc>
      </w:tr>
      <w:tr>
        <w:trPr>
          <w:trHeight w:val="234"/>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Deferred tax adjustment</w:t>
            </w:r>
          </w:p>
        </w:tc>
        <w:tc>
          <w:tcPr>
            <w:tcW w:w="3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1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r>
      <w:tr>
        <w:trPr>
          <w:trHeight w:val="218"/>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2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(23.9 )</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(38.0 )</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(38.4 )</w:t>
            </w:r>
          </w:p>
        </w:tc>
        <w:tc>
          <w:tcPr>
            <w:tcW w:w="60" w:type="dxa"/>
            <w:vAlign w:val="bottom"/>
          </w:tcPr>
          <w:p>
            <w:pPr>
              <w:spacing w:after="0"/>
              <w:rPr>
                <w:sz w:val="18"/>
                <w:szCs w:val="18"/>
                <w:color w:val="auto"/>
              </w:rPr>
            </w:pPr>
          </w:p>
        </w:tc>
      </w:tr>
      <w:tr>
        <w:trPr>
          <w:trHeight w:val="221"/>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220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4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82"/>
        </w:trPr>
        <w:tc>
          <w:tcPr>
            <w:tcW w:w="4300" w:type="dxa"/>
            <w:vAlign w:val="bottom"/>
          </w:tcPr>
          <w:p>
            <w:pPr>
              <w:spacing w:after="0"/>
              <w:rPr>
                <w:sz w:val="24"/>
                <w:szCs w:val="24"/>
                <w:color w:val="auto"/>
              </w:rPr>
            </w:pPr>
          </w:p>
        </w:tc>
        <w:tc>
          <w:tcPr>
            <w:tcW w:w="3840" w:type="dxa"/>
            <w:vAlign w:val="bottom"/>
            <w:gridSpan w:val="3"/>
          </w:tcPr>
          <w:p>
            <w:pPr>
              <w:jc w:val="right"/>
              <w:ind w:right="2360"/>
              <w:spacing w:after="0"/>
              <w:rPr>
                <w:sz w:val="20"/>
                <w:szCs w:val="20"/>
                <w:color w:val="auto"/>
              </w:rPr>
            </w:pPr>
            <w:r>
              <w:rPr>
                <w:rFonts w:ascii="Times New Roman" w:cs="Times New Roman" w:eastAsia="Times New Roman" w:hAnsi="Times New Roman"/>
                <w:sz w:val="17"/>
                <w:szCs w:val="17"/>
                <w:color w:val="auto"/>
              </w:rPr>
              <w:t>F-34</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430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-1779270</wp:posOffset>
            </wp:positionV>
            <wp:extent cx="7142480" cy="1428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2480"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-626745</wp:posOffset>
            </wp:positionV>
            <wp:extent cx="7142480" cy="1670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2480" cy="167005"/>
                    </a:xfrm>
                    <a:prstGeom prst="rect">
                      <a:avLst/>
                    </a:prstGeom>
                    <a:noFill/>
                  </pic:spPr>
                </pic:pic>
              </a:graphicData>
            </a:graphic>
          </wp:anchor>
        </w:drawing>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300"/>
          </w:cols>
          <w:pgMar w:left="320" w:top="120" w:right="2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72" w:lineRule="exact"/>
        <w:rPr>
          <w:sz w:val="20"/>
          <w:szCs w:val="20"/>
          <w:color w:val="auto"/>
        </w:rPr>
      </w:pPr>
    </w:p>
    <w:p>
      <w:pPr>
        <w:ind w:right="140" w:firstLine="750"/>
        <w:spacing w:after="0" w:line="254" w:lineRule="auto"/>
        <w:rPr>
          <w:sz w:val="20"/>
          <w:szCs w:val="20"/>
          <w:color w:val="auto"/>
        </w:rPr>
      </w:pPr>
      <w:r>
        <w:rPr>
          <w:rFonts w:ascii="Times New Roman" w:cs="Times New Roman" w:eastAsia="Times New Roman" w:hAnsi="Times New Roman"/>
          <w:sz w:val="17"/>
          <w:szCs w:val="17"/>
          <w:color w:val="auto"/>
        </w:rPr>
        <w:t>The Company is not currently under examination at the federal or state levels and as of the date of the consolidated financial statements, there were no known assessments.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173" w:lineRule="exact"/>
        <w:rPr>
          <w:sz w:val="20"/>
          <w:szCs w:val="20"/>
          <w:color w:val="auto"/>
        </w:rPr>
      </w:pPr>
    </w:p>
    <w:p>
      <w:pPr>
        <w:ind w:right="400" w:firstLine="750"/>
        <w:spacing w:after="0" w:line="271" w:lineRule="auto"/>
        <w:rPr>
          <w:sz w:val="20"/>
          <w:szCs w:val="20"/>
          <w:color w:val="auto"/>
        </w:rPr>
      </w:pPr>
      <w:r>
        <w:rPr>
          <w:rFonts w:ascii="Times New Roman" w:cs="Times New Roman" w:eastAsia="Times New Roman" w:hAnsi="Times New Roman"/>
          <w:sz w:val="17"/>
          <w:szCs w:val="17"/>
          <w:color w:val="auto"/>
        </w:rPr>
        <w:t>The Company has elected to account for GILTI in the period in which it is incurred, and therefore has not provided deferred tax impacts of GILTI in its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Related Party Transactions</w:t>
      </w:r>
    </w:p>
    <w:p>
      <w:pPr>
        <w:spacing w:after="0" w:line="209" w:lineRule="exact"/>
        <w:rPr>
          <w:sz w:val="20"/>
          <w:szCs w:val="20"/>
          <w:color w:val="auto"/>
        </w:rPr>
      </w:pPr>
    </w:p>
    <w:p>
      <w:pPr>
        <w:jc w:val="both"/>
        <w:ind w:right="200" w:firstLine="750"/>
        <w:spacing w:after="0" w:line="252" w:lineRule="auto"/>
        <w:rPr>
          <w:sz w:val="20"/>
          <w:szCs w:val="20"/>
          <w:color w:val="auto"/>
        </w:rPr>
      </w:pPr>
      <w:r>
        <w:rPr>
          <w:rFonts w:ascii="Times New Roman" w:cs="Times New Roman" w:eastAsia="Times New Roman" w:hAnsi="Times New Roman"/>
          <w:sz w:val="17"/>
          <w:szCs w:val="17"/>
          <w:color w:val="auto"/>
        </w:rPr>
        <w:t>From the Company’s inception, Herriot Tabuteau, M.D. has been the Company’s founder, Chief Executive Officer, Chairman of the Company’s board of directors,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Additionally, due to the sales of Auvelity in the fourth quarter of 2022, the Company recorded an accrual of $0.2 million for royalty payments to Antecip equal to 3.0% of net sales.</w:t>
      </w:r>
    </w:p>
    <w:p>
      <w:pPr>
        <w:spacing w:after="0" w:line="175" w:lineRule="exact"/>
        <w:rPr>
          <w:sz w:val="20"/>
          <w:szCs w:val="20"/>
          <w:color w:val="auto"/>
        </w:rPr>
      </w:pPr>
    </w:p>
    <w:p>
      <w:pPr>
        <w:ind w:right="260" w:firstLine="750"/>
        <w:spacing w:after="0" w:line="271" w:lineRule="auto"/>
        <w:rPr>
          <w:sz w:val="20"/>
          <w:szCs w:val="20"/>
          <w:color w:val="auto"/>
        </w:rPr>
      </w:pPr>
      <w:r>
        <w:rPr>
          <w:rFonts w:ascii="Times New Roman" w:cs="Times New Roman" w:eastAsia="Times New Roman" w:hAnsi="Times New Roman"/>
          <w:sz w:val="17"/>
          <w:szCs w:val="17"/>
          <w:color w:val="auto"/>
        </w:rPr>
        <w:t>The Company is a party to three exclusive license agreements with Antecip Bioventures II LLC, an entity owned by Dr. Tabuteau. See Note 14 – License Agreements for further information regarding the license agreements.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Royalty Agreements</w:t>
      </w:r>
    </w:p>
    <w:p>
      <w:pPr>
        <w:spacing w:after="0" w:line="209" w:lineRule="exact"/>
        <w:rPr>
          <w:sz w:val="20"/>
          <w:szCs w:val="20"/>
          <w:color w:val="auto"/>
        </w:rPr>
      </w:pPr>
    </w:p>
    <w:p>
      <w:pPr>
        <w:ind w:firstLine="750"/>
        <w:spacing w:after="0" w:line="254" w:lineRule="auto"/>
        <w:rPr>
          <w:sz w:val="20"/>
          <w:szCs w:val="20"/>
          <w:color w:val="auto"/>
        </w:rPr>
      </w:pPr>
      <w:r>
        <w:rPr>
          <w:rFonts w:ascii="Times New Roman" w:cs="Times New Roman" w:eastAsia="Times New Roman" w:hAnsi="Times New Roman"/>
          <w:sz w:val="17"/>
          <w:szCs w:val="17"/>
          <w:color w:val="auto"/>
        </w:rPr>
        <w:t>Pursuant to the Purchase Agreement, the Company agreed to make non-refundable, non-creditable royalty payments to Jazz equal to a (A) high-single digit royalty for any Current Indication (as defined in the Purchase Agreement), or (B) mid-single digit royalty for any Future Indication (as defined in the Purchase Agreement), of Net Sales (as defined in the Purchase Agreement) in the U.S. Territory (as defined in the Purchase Agreement) made during the applicable Royalty Term (as defined in the Purchase Agreement). There are no royalty payments due to Jazz for Net Sales outside of the U.S. Territory.</w:t>
      </w:r>
    </w:p>
    <w:p>
      <w:pPr>
        <w:spacing w:after="0" w:line="173" w:lineRule="exact"/>
        <w:rPr>
          <w:sz w:val="20"/>
          <w:szCs w:val="20"/>
          <w:color w:val="auto"/>
        </w:rPr>
      </w:pPr>
    </w:p>
    <w:p>
      <w:pPr>
        <w:ind w:right="40" w:firstLine="750"/>
        <w:spacing w:after="0" w:line="254" w:lineRule="auto"/>
        <w:rPr>
          <w:sz w:val="20"/>
          <w:szCs w:val="20"/>
          <w:color w:val="auto"/>
        </w:rPr>
      </w:pPr>
      <w:r>
        <w:rPr>
          <w:rFonts w:ascii="Times New Roman" w:cs="Times New Roman" w:eastAsia="Times New Roman" w:hAnsi="Times New Roman"/>
          <w:sz w:val="17"/>
          <w:szCs w:val="17"/>
          <w:color w:val="auto"/>
        </w:rPr>
        <w:t>At the initial closing, the Company assumed all of the commitments of Jazz to SK and Aerial. SK is the originator of the Product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 million based on revenue milestones and $1 million based on development milestones.</w:t>
      </w:r>
    </w:p>
    <w:p>
      <w:pPr>
        <w:spacing w:after="0" w:line="173" w:lineRule="exact"/>
        <w:rPr>
          <w:sz w:val="20"/>
          <w:szCs w:val="20"/>
          <w:color w:val="auto"/>
        </w:rPr>
      </w:pPr>
    </w:p>
    <w:p>
      <w:pPr>
        <w:ind w:right="20" w:firstLine="750"/>
        <w:spacing w:after="0" w:line="206" w:lineRule="exact"/>
        <w:rPr>
          <w:sz w:val="20"/>
          <w:szCs w:val="20"/>
          <w:color w:val="auto"/>
        </w:rPr>
      </w:pPr>
      <w:r>
        <w:rPr>
          <w:rFonts w:ascii="Times New Roman" w:cs="Times New Roman" w:eastAsia="Times New Roman" w:hAnsi="Times New Roman"/>
          <w:sz w:val="16"/>
          <w:szCs w:val="16"/>
          <w:color w:val="auto"/>
        </w:rPr>
        <w:t>The Company is required to pay Antecip Bioventures II LLC, or Antecip, an entity owned by Axsome’s Chief Executive Officer and Chairman of the Board, Herriot Tabuteau, M.D., a royalty equal to 3.0% for 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05 (Auvelity), of net sales of products containing the licensed technology by the Company, its affiliates, or permitted sublicensees. Effective in the fourth quarter of 2022, the Company began recording royalty expense to Antecip as a component of cost of product sales.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Subsequent Events</w:t>
      </w:r>
    </w:p>
    <w:p>
      <w:pPr>
        <w:spacing w:after="0" w:line="209" w:lineRule="exact"/>
        <w:rPr>
          <w:sz w:val="20"/>
          <w:szCs w:val="20"/>
          <w:color w:val="auto"/>
        </w:rPr>
      </w:pPr>
    </w:p>
    <w:p>
      <w:pPr>
        <w:jc w:val="both"/>
        <w:ind w:right="140" w:firstLine="750"/>
        <w:spacing w:after="0" w:line="258" w:lineRule="auto"/>
        <w:rPr>
          <w:sz w:val="20"/>
          <w:szCs w:val="20"/>
          <w:color w:val="auto"/>
        </w:rPr>
      </w:pPr>
      <w:r>
        <w:rPr>
          <w:rFonts w:ascii="Times New Roman" w:cs="Times New Roman" w:eastAsia="Times New Roman" w:hAnsi="Times New Roman"/>
          <w:sz w:val="17"/>
          <w:szCs w:val="17"/>
          <w:color w:val="auto"/>
        </w:rPr>
        <w:t>On January 9, 2023, the Company entered into a Third Amendment to its Loan and Security Agreement with Hercules Capital Inc. The Third Amendment increased the size of the aggregate principal amount under the Loan Agreement from $300 million to $350 million reduced the interest rate, and extended the maturity and interest-only period of the Loan Agreement. $55.0 million was drawn upon the Third Amendment closing date.</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On February 21, 2023, the Company entered into a sublease agreement for office space for the Company's corporate and executive offices.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67880" cy="412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72" w:lineRule="exact"/>
        <w:rPr>
          <w:sz w:val="20"/>
          <w:szCs w:val="20"/>
          <w:color w:val="auto"/>
        </w:rPr>
      </w:pPr>
    </w:p>
    <w:p>
      <w:pPr>
        <w:ind w:firstLine="750"/>
        <w:spacing w:after="0" w:line="249" w:lineRule="auto"/>
        <w:rPr>
          <w:sz w:val="20"/>
          <w:szCs w:val="20"/>
          <w:color w:val="auto"/>
        </w:rPr>
      </w:pPr>
      <w:r>
        <w:rPr>
          <w:rFonts w:ascii="Times New Roman" w:cs="Times New Roman" w:eastAsia="Times New Roman" w:hAnsi="Times New Roman"/>
          <w:sz w:val="17"/>
          <w:szCs w:val="17"/>
          <w:color w:val="auto"/>
        </w:rPr>
        <w:t>On February 21, 2023, Axsome Malta Ltd., a Malta limited company (“Axsome Malta”), a wholly-owned subsidiary of the Company, entered into a License Agreement (the “License Agreement”) with Atnahs Pharma UK Limited (Pharmanovia), a company organized and existing under the laws of England and Wales (the “Licensee”), pursuant to which Axsome Malta will license certain Licensed Intellectual Property (as defined in the License Agreement) to the Licensee and grant an exclusive license to Licensee in the Territory (as defined in the License agreement to include Europe and certain countries in the Middle East and Africa) for use of the Licensed Intellectual property for the development and commercialization of the Company’s Licensed Products (as defined in the License Agreement and which includes the Company’s product Sunosi). The Company received an upfront payment of €62.0 million ($66.2 million) and is eligible to receive sales-based and other milestones totaling up to €94.5 million ($101.1 million). The Company will receive a royalty percentage in the mid-twenties on net sales of the Licensed Products (as defined in the License Agreement) in the Territory (as defined in the License Agreement).</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120" w:type="dxa"/>
            <w:vAlign w:val="bottom"/>
            <w:gridSpan w:val="19"/>
          </w:tcPr>
          <w:p>
            <w:pPr>
              <w:jc w:val="center"/>
              <w:ind w:right="4100"/>
              <w:spacing w:after="0"/>
              <w:rPr>
                <w:sz w:val="20"/>
                <w:szCs w:val="20"/>
                <w:color w:val="auto"/>
              </w:rPr>
            </w:pPr>
            <w:r>
              <w:rPr>
                <w:rFonts w:ascii="Times New Roman" w:cs="Times New Roman" w:eastAsia="Times New Roman" w:hAnsi="Times New Roman"/>
                <w:sz w:val="17"/>
                <w:szCs w:val="17"/>
                <w:b w:val="1"/>
                <w:bCs w:val="1"/>
                <w:color w:val="auto"/>
                <w:w w:val="98"/>
              </w:rPr>
              <w:t>INDEX OF EXHIBITS</w:t>
            </w:r>
          </w:p>
        </w:tc>
        <w:tc>
          <w:tcPr>
            <w:tcW w:w="0" w:type="dxa"/>
            <w:vAlign w:val="bottom"/>
          </w:tcPr>
          <w:p>
            <w:pPr>
              <w:spacing w:after="0"/>
              <w:rPr>
                <w:sz w:val="1"/>
                <w:szCs w:val="1"/>
                <w:color w:val="auto"/>
              </w:rPr>
            </w:pPr>
          </w:p>
        </w:tc>
      </w:tr>
      <w:tr>
        <w:trPr>
          <w:trHeight w:val="326"/>
        </w:trPr>
        <w:tc>
          <w:tcPr>
            <w:tcW w:w="104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560" w:type="dxa"/>
            <w:vAlign w:val="bottom"/>
            <w:gridSpan w:val="18"/>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4"/>
        </w:trPr>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4"/>
                <w:szCs w:val="24"/>
                <w:color w:val="auto"/>
              </w:rPr>
            </w:pPr>
          </w:p>
        </w:tc>
        <w:tc>
          <w:tcPr>
            <w:tcW w:w="9800" w:type="dxa"/>
            <w:vAlign w:val="bottom"/>
            <w:tcBorders>
              <w:bottom w:val="single" w:sz="8" w:color="0000EE"/>
            </w:tcBorders>
            <w:gridSpan w:val="19"/>
          </w:tcPr>
          <w:p>
            <w:pPr>
              <w:spacing w:after="0"/>
              <w:rPr>
                <w:rFonts w:ascii="Times New Roman" w:cs="Times New Roman" w:eastAsia="Times New Roman" w:hAnsi="Times New Roman"/>
                <w:sz w:val="17"/>
                <w:szCs w:val="17"/>
                <w:color w:val="auto"/>
                <w:w w:val="97"/>
              </w:rPr>
            </w:pPr>
            <w:hyperlink r:id="rId443">
              <w:r>
                <w:rPr>
                  <w:rFonts w:ascii="Times New Roman" w:cs="Times New Roman" w:eastAsia="Times New Roman" w:hAnsi="Times New Roman"/>
                  <w:sz w:val="17"/>
                  <w:szCs w:val="17"/>
                  <w:color w:val="auto"/>
                  <w:w w:val="97"/>
                </w:rPr>
                <w:t>Amended and Restated Certificate of Incorporation of the Company (Incorporated by reference, Exhibit 3.1 to the Company’s Form 8-K (No. 001-</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Borders>
              <w:bottom w:val="single" w:sz="8" w:color="0000EE"/>
            </w:tcBorders>
            <w:gridSpan w:val="4"/>
          </w:tcPr>
          <w:p>
            <w:pPr>
              <w:spacing w:after="0" w:line="181" w:lineRule="exact"/>
              <w:rPr>
                <w:rFonts w:ascii="Times New Roman" w:cs="Times New Roman" w:eastAsia="Times New Roman" w:hAnsi="Times New Roman"/>
                <w:sz w:val="17"/>
                <w:szCs w:val="17"/>
                <w:color w:val="auto"/>
                <w:w w:val="97"/>
              </w:rPr>
            </w:pPr>
            <w:hyperlink r:id="rId443">
              <w:r>
                <w:rPr>
                  <w:rFonts w:ascii="Times New Roman" w:cs="Times New Roman" w:eastAsia="Times New Roman" w:hAnsi="Times New Roman"/>
                  <w:sz w:val="17"/>
                  <w:szCs w:val="17"/>
                  <w:color w:val="auto"/>
                  <w:w w:val="97"/>
                </w:rPr>
                <w:t>37635) filed November 24, 2015).</w:t>
              </w:r>
            </w:hyperlink>
          </w:p>
        </w:tc>
        <w:tc>
          <w:tcPr>
            <w:tcW w:w="778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auto"/>
                <w:w w:val="98"/>
              </w:rPr>
            </w:pPr>
            <w:hyperlink r:id="rId444">
              <w:r>
                <w:rPr>
                  <w:rFonts w:ascii="Times New Roman" w:cs="Times New Roman" w:eastAsia="Times New Roman" w:hAnsi="Times New Roman"/>
                  <w:sz w:val="17"/>
                  <w:szCs w:val="17"/>
                  <w:color w:val="auto"/>
                  <w:w w:val="98"/>
                </w:rPr>
                <w:t>Amended and Restated Bylaws of the Company (Incorporated by reference, Exhibit 3.2 to the Company’s Form 8-K (No. 001-37635) filed November</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spacing w:after="0" w:line="181" w:lineRule="exact"/>
              <w:rPr>
                <w:rFonts w:ascii="Times New Roman" w:cs="Times New Roman" w:eastAsia="Times New Roman" w:hAnsi="Times New Roman"/>
                <w:sz w:val="17"/>
                <w:szCs w:val="17"/>
                <w:color w:val="auto"/>
              </w:rPr>
            </w:pPr>
            <w:hyperlink r:id="rId444">
              <w:r>
                <w:rPr>
                  <w:rFonts w:ascii="Times New Roman" w:cs="Times New Roman" w:eastAsia="Times New Roman" w:hAnsi="Times New Roman"/>
                  <w:sz w:val="17"/>
                  <w:szCs w:val="17"/>
                  <w:color w:val="auto"/>
                </w:rPr>
                <w:t>24, 2015).</w:t>
              </w:r>
            </w:hyperlink>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auto"/>
                <w:w w:val="99"/>
              </w:rPr>
            </w:pPr>
            <w:hyperlink r:id="rId445">
              <w:r>
                <w:rPr>
                  <w:rFonts w:ascii="Times New Roman" w:cs="Times New Roman" w:eastAsia="Times New Roman" w:hAnsi="Times New Roman"/>
                  <w:sz w:val="17"/>
                  <w:szCs w:val="17"/>
                  <w:color w:val="auto"/>
                  <w:w w:val="99"/>
                </w:rPr>
                <w:t>Specimen Certificate evidencing shares of Company’s common stock (Incorporated by reference, Exhibit 4.1 to Amendment No. 1 to the Company’s</w:t>
              </w:r>
            </w:hyperlink>
          </w:p>
        </w:tc>
        <w:tc>
          <w:tcPr>
            <w:tcW w:w="0" w:type="dxa"/>
            <w:vAlign w:val="bottom"/>
          </w:tcPr>
          <w:p>
            <w:pPr>
              <w:spacing w:after="0"/>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300" w:type="dxa"/>
            <w:vAlign w:val="bottom"/>
            <w:tcBorders>
              <w:top w:val="single" w:sz="8" w:color="0000EE"/>
              <w:bottom w:val="single" w:sz="8" w:color="0000EE"/>
            </w:tcBorders>
            <w:gridSpan w:val="7"/>
          </w:tcPr>
          <w:p>
            <w:pPr>
              <w:spacing w:after="0" w:line="181" w:lineRule="exact"/>
              <w:rPr>
                <w:rFonts w:ascii="Times New Roman" w:cs="Times New Roman" w:eastAsia="Times New Roman" w:hAnsi="Times New Roman"/>
                <w:sz w:val="17"/>
                <w:szCs w:val="17"/>
                <w:color w:val="auto"/>
                <w:w w:val="97"/>
              </w:rPr>
            </w:pPr>
            <w:hyperlink r:id="rId445">
              <w:r>
                <w:rPr>
                  <w:rFonts w:ascii="Times New Roman" w:cs="Times New Roman" w:eastAsia="Times New Roman" w:hAnsi="Times New Roman"/>
                  <w:sz w:val="17"/>
                  <w:szCs w:val="17"/>
                  <w:color w:val="auto"/>
                  <w:w w:val="97"/>
                </w:rPr>
                <w:t>Registration Statement on Form S-1 (No. 333</w:t>
              </w:r>
              <w:r>
                <w:rPr>
                  <w:rFonts w:ascii="MS PGothic" w:cs="MS PGothic" w:eastAsia="MS PGothic" w:hAnsi="MS PGothic"/>
                  <w:sz w:val="17"/>
                  <w:szCs w:val="17"/>
                  <w:color w:val="auto"/>
                  <w:w w:val="97"/>
                </w:rPr>
                <w:t>‑</w:t>
              </w:r>
              <w:r>
                <w:rPr>
                  <w:rFonts w:ascii="Times New Roman" w:cs="Times New Roman" w:eastAsia="Times New Roman" w:hAnsi="Times New Roman"/>
                  <w:sz w:val="17"/>
                  <w:szCs w:val="17"/>
                  <w:color w:val="auto"/>
                  <w:w w:val="97"/>
                </w:rPr>
                <w:t>207393) filed October 30, 2015).</w:t>
              </w:r>
            </w:hyperlink>
          </w:p>
        </w:tc>
        <w:tc>
          <w:tcPr>
            <w:tcW w:w="468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auto"/>
              </w:rPr>
            </w:pPr>
            <w:hyperlink r:id="rId446">
              <w:r>
                <w:rPr>
                  <w:rFonts w:ascii="Times New Roman" w:cs="Times New Roman" w:eastAsia="Times New Roman" w:hAnsi="Times New Roman"/>
                  <w:sz w:val="17"/>
                  <w:szCs w:val="17"/>
                  <w:color w:val="auto"/>
                </w:rPr>
                <w:t>Form of warrant to purchase shares of Company’s common stock issued in 2013 (Incorporated by reference, Exhibit 4.2 to the Company’s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80" w:type="dxa"/>
            <w:vAlign w:val="bottom"/>
            <w:gridSpan w:val="24"/>
          </w:tcPr>
          <w:p>
            <w:pPr>
              <w:spacing w:after="0" w:line="181" w:lineRule="exact"/>
              <w:rPr>
                <w:rFonts w:ascii="Times New Roman" w:cs="Times New Roman" w:eastAsia="Times New Roman" w:hAnsi="Times New Roman"/>
                <w:sz w:val="17"/>
                <w:szCs w:val="17"/>
                <w:color w:val="auto"/>
              </w:rPr>
            </w:pPr>
            <w:hyperlink r:id="rId446">
              <w:r>
                <w:rPr>
                  <w:rFonts w:ascii="Times New Roman" w:cs="Times New Roman" w:eastAsia="Times New Roman" w:hAnsi="Times New Roman"/>
                  <w:sz w:val="17"/>
                  <w:szCs w:val="17"/>
                  <w:color w:val="auto"/>
                </w:rPr>
                <w:t>Registration Statement on Form S-1 (No. 333-207393) filed October 13,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auto"/>
              </w:rPr>
            </w:pPr>
            <w:hyperlink r:id="rId447">
              <w:r>
                <w:rPr>
                  <w:rFonts w:ascii="Times New Roman" w:cs="Times New Roman" w:eastAsia="Times New Roman" w:hAnsi="Times New Roman"/>
                  <w:sz w:val="17"/>
                  <w:szCs w:val="17"/>
                  <w:color w:val="auto"/>
                </w:rPr>
                <w:t>Form of warrant to purchase shares of Company’s common stock issued in 2014 (Incorporated by reference, Exhibit 4.3 to the Company’s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80" w:type="dxa"/>
            <w:vAlign w:val="bottom"/>
            <w:gridSpan w:val="24"/>
          </w:tcPr>
          <w:p>
            <w:pPr>
              <w:spacing w:after="0" w:line="181" w:lineRule="exact"/>
              <w:rPr>
                <w:rFonts w:ascii="Times New Roman" w:cs="Times New Roman" w:eastAsia="Times New Roman" w:hAnsi="Times New Roman"/>
                <w:sz w:val="17"/>
                <w:szCs w:val="17"/>
                <w:color w:val="auto"/>
              </w:rPr>
            </w:pPr>
            <w:hyperlink r:id="rId447">
              <w:r>
                <w:rPr>
                  <w:rFonts w:ascii="Times New Roman" w:cs="Times New Roman" w:eastAsia="Times New Roman" w:hAnsi="Times New Roman"/>
                  <w:sz w:val="17"/>
                  <w:szCs w:val="17"/>
                  <w:color w:val="auto"/>
                </w:rPr>
                <w:t>Registration Statement on Form S-1 (No. 333-207393) filed October 13,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4"/>
                <w:szCs w:val="24"/>
                <w:color w:val="auto"/>
              </w:rPr>
            </w:pPr>
          </w:p>
        </w:tc>
        <w:tc>
          <w:tcPr>
            <w:tcW w:w="10080" w:type="dxa"/>
            <w:vAlign w:val="bottom"/>
            <w:gridSpan w:val="24"/>
          </w:tcPr>
          <w:p>
            <w:pPr>
              <w:spacing w:after="0" w:line="196" w:lineRule="exact"/>
              <w:rPr>
                <w:rFonts w:ascii="Times New Roman" w:cs="Times New Roman" w:eastAsia="Times New Roman" w:hAnsi="Times New Roman"/>
                <w:sz w:val="17"/>
                <w:szCs w:val="17"/>
                <w:color w:val="auto"/>
              </w:rPr>
            </w:pPr>
            <w:hyperlink r:id="rId448">
              <w:r>
                <w:rPr>
                  <w:rFonts w:ascii="Times New Roman" w:cs="Times New Roman" w:eastAsia="Times New Roman" w:hAnsi="Times New Roman"/>
                  <w:sz w:val="17"/>
                  <w:szCs w:val="17"/>
                  <w:color w:val="auto"/>
                </w:rPr>
                <w:t>Form of Warrant (Incorporated by reference, Exhibit 4.1 to the Company’s Current Report on Form 8</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filed December 4, 2017).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auto"/>
              </w:rPr>
            </w:pPr>
            <w:hyperlink r:id="rId449">
              <w:r>
                <w:rPr>
                  <w:rFonts w:ascii="Times New Roman" w:cs="Times New Roman" w:eastAsia="Times New Roman" w:hAnsi="Times New Roman"/>
                  <w:sz w:val="17"/>
                  <w:szCs w:val="17"/>
                  <w:color w:val="auto"/>
                </w:rPr>
                <w:t>Warrant Agreement, dated as of September 25, 2020, by and between Axsome Therapeutics, Inc. and Hercules Capital, Inc. (Incorporated by</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00" w:type="dxa"/>
            <w:vAlign w:val="bottom"/>
            <w:tcBorders>
              <w:bottom w:val="single" w:sz="8" w:color="0000EE"/>
            </w:tcBorders>
            <w:gridSpan w:val="10"/>
          </w:tcPr>
          <w:p>
            <w:pPr>
              <w:spacing w:after="0" w:line="181" w:lineRule="exact"/>
              <w:rPr>
                <w:rFonts w:ascii="Times New Roman" w:cs="Times New Roman" w:eastAsia="Times New Roman" w:hAnsi="Times New Roman"/>
                <w:sz w:val="17"/>
                <w:szCs w:val="17"/>
                <w:color w:val="auto"/>
                <w:w w:val="97"/>
              </w:rPr>
            </w:pPr>
            <w:hyperlink r:id="rId449">
              <w:r>
                <w:rPr>
                  <w:rFonts w:ascii="Times New Roman" w:cs="Times New Roman" w:eastAsia="Times New Roman" w:hAnsi="Times New Roman"/>
                  <w:sz w:val="17"/>
                  <w:szCs w:val="17"/>
                  <w:color w:val="auto"/>
                  <w:w w:val="97"/>
                </w:rPr>
                <w:t>reference, Exhibit 10.4 to the Company’s Quarterly Report on Form 10-Q, filed November 5, 2020).</w:t>
              </w:r>
            </w:hyperlink>
          </w:p>
        </w:tc>
        <w:tc>
          <w:tcPr>
            <w:tcW w:w="33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auto"/>
              </w:rPr>
            </w:pPr>
            <w:hyperlink r:id="rId450">
              <w:r>
                <w:rPr>
                  <w:rFonts w:ascii="Times New Roman" w:cs="Times New Roman" w:eastAsia="Times New Roman" w:hAnsi="Times New Roman"/>
                  <w:sz w:val="17"/>
                  <w:szCs w:val="17"/>
                  <w:color w:val="auto"/>
                </w:rPr>
                <w:t>Description of Securities (Incorporated by reference, Exhibit 4.13, to the Company’s Annual Report on Form 10-K, filed March 12, 2020).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auto"/>
              </w:rPr>
            </w:pPr>
            <w:hyperlink r:id="rId451">
              <w:r>
                <w:rPr>
                  <w:rFonts w:ascii="Times New Roman" w:cs="Times New Roman" w:eastAsia="Times New Roman" w:hAnsi="Times New Roman"/>
                  <w:sz w:val="17"/>
                  <w:szCs w:val="17"/>
                  <w:color w:val="auto"/>
                </w:rPr>
                <w:t>Axsome Therapeutics, Inc. 2013 Equity Compensation Plan and Form of Nonqualified Stock Option Agreement thereunder (Incorporated by</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3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00" w:type="dxa"/>
            <w:vAlign w:val="bottom"/>
            <w:tcBorders>
              <w:bottom w:val="single" w:sz="8" w:color="0000EE"/>
            </w:tcBorders>
            <w:gridSpan w:val="11"/>
          </w:tcPr>
          <w:p>
            <w:pPr>
              <w:spacing w:after="0" w:line="181" w:lineRule="exact"/>
              <w:rPr>
                <w:rFonts w:ascii="Times New Roman" w:cs="Times New Roman" w:eastAsia="Times New Roman" w:hAnsi="Times New Roman"/>
                <w:sz w:val="17"/>
                <w:szCs w:val="17"/>
                <w:color w:val="auto"/>
                <w:w w:val="97"/>
              </w:rPr>
            </w:pPr>
            <w:hyperlink r:id="rId451">
              <w:r>
                <w:rPr>
                  <w:rFonts w:ascii="Times New Roman" w:cs="Times New Roman" w:eastAsia="Times New Roman" w:hAnsi="Times New Roman"/>
                  <w:sz w:val="17"/>
                  <w:szCs w:val="17"/>
                  <w:color w:val="auto"/>
                  <w:w w:val="97"/>
                </w:rPr>
                <w:t>reference, Exhibit 10.1 to the Company’s Registration Statement on Form S-1 (No. 333-207393) filed October 13, 2015).</w:t>
              </w:r>
            </w:hyperlink>
          </w:p>
        </w:tc>
        <w:tc>
          <w:tcPr>
            <w:tcW w:w="198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auto"/>
              </w:rPr>
            </w:pPr>
            <w:hyperlink r:id="rId452">
              <w:r>
                <w:rPr>
                  <w:rFonts w:ascii="Times New Roman" w:cs="Times New Roman" w:eastAsia="Times New Roman" w:hAnsi="Times New Roman"/>
                  <w:sz w:val="17"/>
                  <w:szCs w:val="17"/>
                  <w:color w:val="auto"/>
                </w:rPr>
                <w:t>Axsome Therapeutics, Inc. Amended and Restated 2015 Omnibus Incentive Compensation Plan (Incorporated by reference, Exhibit 10.2 to the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10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80" w:type="dxa"/>
            <w:vAlign w:val="bottom"/>
            <w:gridSpan w:val="24"/>
          </w:tcPr>
          <w:p>
            <w:pPr>
              <w:spacing w:after="0" w:line="181" w:lineRule="exact"/>
              <w:rPr>
                <w:rFonts w:ascii="Times New Roman" w:cs="Times New Roman" w:eastAsia="Times New Roman" w:hAnsi="Times New Roman"/>
                <w:sz w:val="17"/>
                <w:szCs w:val="17"/>
                <w:color w:val="auto"/>
              </w:rPr>
            </w:pPr>
            <w:hyperlink r:id="rId452">
              <w:r>
                <w:rPr>
                  <w:rFonts w:ascii="Times New Roman" w:cs="Times New Roman" w:eastAsia="Times New Roman" w:hAnsi="Times New Roman"/>
                  <w:sz w:val="17"/>
                  <w:szCs w:val="17"/>
                  <w:color w:val="auto"/>
                </w:rPr>
                <w:t>Company’s Quarterly Report on Form 10-Q filed August 10, 2020).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auto"/>
              </w:rPr>
            </w:pPr>
            <w:hyperlink r:id="rId453">
              <w:r>
                <w:rPr>
                  <w:rFonts w:ascii="Times New Roman" w:cs="Times New Roman" w:eastAsia="Times New Roman" w:hAnsi="Times New Roman"/>
                  <w:sz w:val="17"/>
                  <w:szCs w:val="17"/>
                  <w:color w:val="auto"/>
                </w:rPr>
                <w:t>Axsome Therapeutics, Inc. Form of Stock Option Agreement pursuant to the Amended and Restated 2015 Omnibus Incentive Compensation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310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60" w:type="dxa"/>
            <w:vAlign w:val="bottom"/>
            <w:tcBorders>
              <w:bottom w:val="single" w:sz="8" w:color="0000EE"/>
            </w:tcBorders>
            <w:gridSpan w:val="14"/>
          </w:tcPr>
          <w:p>
            <w:pPr>
              <w:spacing w:after="0" w:line="181" w:lineRule="exact"/>
              <w:rPr>
                <w:rFonts w:ascii="Times New Roman" w:cs="Times New Roman" w:eastAsia="Times New Roman" w:hAnsi="Times New Roman"/>
                <w:sz w:val="17"/>
                <w:szCs w:val="17"/>
                <w:color w:val="auto"/>
                <w:w w:val="98"/>
              </w:rPr>
            </w:pPr>
            <w:hyperlink r:id="rId453">
              <w:r>
                <w:rPr>
                  <w:rFonts w:ascii="Times New Roman" w:cs="Times New Roman" w:eastAsia="Times New Roman" w:hAnsi="Times New Roman"/>
                  <w:sz w:val="17"/>
                  <w:szCs w:val="17"/>
                  <w:color w:val="auto"/>
                  <w:w w:val="98"/>
                </w:rPr>
                <w:t>(Incorporated by reference, Exhibit 99.2 to the Company’s Registration Statement on Form S-8 (No. 333-208579) filed December 16, 2015).</w:t>
              </w:r>
            </w:hyperlink>
          </w:p>
        </w:tc>
        <w:tc>
          <w:tcPr>
            <w:tcW w:w="62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auto"/>
              </w:rPr>
            </w:pPr>
            <w:hyperlink r:id="rId454">
              <w:r>
                <w:rPr>
                  <w:rFonts w:ascii="Times New Roman" w:cs="Times New Roman" w:eastAsia="Times New Roman" w:hAnsi="Times New Roman"/>
                  <w:sz w:val="17"/>
                  <w:szCs w:val="17"/>
                  <w:color w:val="auto"/>
                </w:rPr>
                <w:t>Axsome Therapeutics, Inc. Form of Restricted Stock Unit Agreement (Non-Executives) pursuant to the Amended and Restated 2015 Omnibus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32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80" w:type="dxa"/>
            <w:vAlign w:val="bottom"/>
            <w:gridSpan w:val="24"/>
          </w:tcPr>
          <w:p>
            <w:pPr>
              <w:spacing w:after="0" w:line="181" w:lineRule="exact"/>
              <w:rPr>
                <w:rFonts w:ascii="Times New Roman" w:cs="Times New Roman" w:eastAsia="Times New Roman" w:hAnsi="Times New Roman"/>
                <w:sz w:val="17"/>
                <w:szCs w:val="17"/>
                <w:color w:val="auto"/>
                <w:w w:val="99"/>
              </w:rPr>
            </w:pPr>
            <w:hyperlink r:id="rId454">
              <w:r>
                <w:rPr>
                  <w:rFonts w:ascii="Times New Roman" w:cs="Times New Roman" w:eastAsia="Times New Roman" w:hAnsi="Times New Roman"/>
                  <w:sz w:val="17"/>
                  <w:szCs w:val="17"/>
                  <w:color w:val="auto"/>
                  <w:w w:val="99"/>
                </w:rPr>
                <w:t>Incentive Compensation Plan (Incorporated by reference, Exhibit 99.3 to the Company’s Registration Statement on Form S-8 (File No. 333-238174),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0000EE"/>
            </w:tcBorders>
            <w:gridSpan w:val="3"/>
          </w:tcPr>
          <w:p>
            <w:pPr>
              <w:spacing w:after="0" w:line="181" w:lineRule="exact"/>
              <w:rPr>
                <w:rFonts w:ascii="Times New Roman" w:cs="Times New Roman" w:eastAsia="Times New Roman" w:hAnsi="Times New Roman"/>
                <w:sz w:val="17"/>
                <w:szCs w:val="17"/>
                <w:color w:val="auto"/>
                <w:w w:val="96"/>
              </w:rPr>
            </w:pPr>
            <w:hyperlink r:id="rId454">
              <w:r>
                <w:rPr>
                  <w:rFonts w:ascii="Times New Roman" w:cs="Times New Roman" w:eastAsia="Times New Roman" w:hAnsi="Times New Roman"/>
                  <w:sz w:val="17"/>
                  <w:szCs w:val="17"/>
                  <w:color w:val="auto"/>
                  <w:w w:val="96"/>
                </w:rPr>
                <w:t>filed May 11, 2020).</w:t>
              </w:r>
            </w:hyperlink>
          </w:p>
        </w:tc>
        <w:tc>
          <w:tcPr>
            <w:tcW w:w="870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auto"/>
              </w:rPr>
            </w:pPr>
            <w:hyperlink r:id="rId455">
              <w:r>
                <w:rPr>
                  <w:rFonts w:ascii="Times New Roman" w:cs="Times New Roman" w:eastAsia="Times New Roman" w:hAnsi="Times New Roman"/>
                  <w:sz w:val="17"/>
                  <w:szCs w:val="17"/>
                  <w:color w:val="auto"/>
                </w:rPr>
                <w:t>Axsome Therapeutics, Inc. Form of Restricted Stock Unit Agreement (Executives and Non-Employee Directors) pursuant to the Amended and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80" w:type="dxa"/>
            <w:vAlign w:val="bottom"/>
            <w:gridSpan w:val="24"/>
          </w:tcPr>
          <w:p>
            <w:pPr>
              <w:spacing w:after="0" w:line="181" w:lineRule="exact"/>
              <w:rPr>
                <w:rFonts w:ascii="Times New Roman" w:cs="Times New Roman" w:eastAsia="Times New Roman" w:hAnsi="Times New Roman"/>
                <w:sz w:val="17"/>
                <w:szCs w:val="17"/>
                <w:color w:val="auto"/>
                <w:w w:val="98"/>
              </w:rPr>
            </w:pPr>
            <w:hyperlink r:id="rId455">
              <w:r>
                <w:rPr>
                  <w:rFonts w:ascii="Times New Roman" w:cs="Times New Roman" w:eastAsia="Times New Roman" w:hAnsi="Times New Roman"/>
                  <w:sz w:val="17"/>
                  <w:szCs w:val="17"/>
                  <w:color w:val="auto"/>
                  <w:w w:val="98"/>
                </w:rPr>
                <w:t>Restated 2015 Omnibus Incentive Compensation Plan (Incorporated by reference, Exhibit 99.4 to the Company’s Registration Statement on Form S-8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3300" w:type="dxa"/>
            <w:vAlign w:val="bottom"/>
            <w:gridSpan w:val="8"/>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80" w:type="dxa"/>
            <w:vAlign w:val="bottom"/>
            <w:gridSpan w:val="24"/>
          </w:tcPr>
          <w:p>
            <w:pPr>
              <w:spacing w:after="0" w:line="181" w:lineRule="exact"/>
              <w:rPr>
                <w:rFonts w:ascii="Times New Roman" w:cs="Times New Roman" w:eastAsia="Times New Roman" w:hAnsi="Times New Roman"/>
                <w:sz w:val="17"/>
                <w:szCs w:val="17"/>
                <w:color w:val="auto"/>
              </w:rPr>
            </w:pPr>
            <w:hyperlink r:id="rId455">
              <w:r>
                <w:rPr>
                  <w:rFonts w:ascii="Times New Roman" w:cs="Times New Roman" w:eastAsia="Times New Roman" w:hAnsi="Times New Roman"/>
                  <w:sz w:val="17"/>
                  <w:szCs w:val="17"/>
                  <w:color w:val="auto"/>
                </w:rPr>
                <w:t>(File No. 333-238174), filed May 11, 2020).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30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auto"/>
                <w:w w:val="99"/>
              </w:rPr>
            </w:pPr>
            <w:hyperlink r:id="rId456">
              <w:r>
                <w:rPr>
                  <w:rFonts w:ascii="Times New Roman" w:cs="Times New Roman" w:eastAsia="Times New Roman" w:hAnsi="Times New Roman"/>
                  <w:sz w:val="17"/>
                  <w:szCs w:val="17"/>
                  <w:color w:val="auto"/>
                  <w:w w:val="99"/>
                </w:rPr>
                <w:t>License Agreement, dated January 12, 2012, by and between the Company and Antecip Bioventures II LLC, as modified by the First Amendment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8"/>
            <w:shd w:val="clear" w:color="auto" w:fill="0000EE"/>
          </w:tcPr>
          <w:p>
            <w:pPr>
              <w:spacing w:after="0" w:line="20" w:lineRule="exact"/>
              <w:rPr>
                <w:sz w:val="1"/>
                <w:szCs w:val="1"/>
                <w:color w:val="auto"/>
              </w:rPr>
            </w:pPr>
          </w:p>
        </w:tc>
        <w:tc>
          <w:tcPr>
            <w:tcW w:w="3300" w:type="dxa"/>
            <w:vAlign w:val="bottom"/>
            <w:gridSpan w:val="8"/>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80" w:type="dxa"/>
            <w:vAlign w:val="bottom"/>
            <w:gridSpan w:val="24"/>
          </w:tcPr>
          <w:p>
            <w:pPr>
              <w:spacing w:after="0" w:line="181" w:lineRule="exact"/>
              <w:rPr>
                <w:rFonts w:ascii="Times New Roman" w:cs="Times New Roman" w:eastAsia="Times New Roman" w:hAnsi="Times New Roman"/>
                <w:sz w:val="17"/>
                <w:szCs w:val="17"/>
                <w:color w:val="auto"/>
                <w:w w:val="98"/>
              </w:rPr>
            </w:pPr>
            <w:hyperlink r:id="rId456">
              <w:r>
                <w:rPr>
                  <w:rFonts w:ascii="Times New Roman" w:cs="Times New Roman" w:eastAsia="Times New Roman" w:hAnsi="Times New Roman"/>
                  <w:sz w:val="17"/>
                  <w:szCs w:val="17"/>
                  <w:color w:val="auto"/>
                  <w:w w:val="98"/>
                </w:rPr>
                <w:t>License Agreement, dated August 21, 2015, by and between the Company and Antecip Bioventures II LLC (Incorporated by reference, Exhibit 10.2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8"/>
            <w:shd w:val="clear" w:color="auto" w:fill="0000EE"/>
          </w:tcPr>
          <w:p>
            <w:pPr>
              <w:spacing w:after="0" w:line="20" w:lineRule="exact"/>
              <w:rPr>
                <w:sz w:val="1"/>
                <w:szCs w:val="1"/>
                <w:color w:val="auto"/>
              </w:rPr>
            </w:pPr>
          </w:p>
        </w:tc>
        <w:tc>
          <w:tcPr>
            <w:tcW w:w="3300" w:type="dxa"/>
            <w:vAlign w:val="bottom"/>
            <w:gridSpan w:val="8"/>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360" w:type="dxa"/>
            <w:vAlign w:val="bottom"/>
            <w:tcBorders>
              <w:bottom w:val="single" w:sz="8" w:color="0000EE"/>
            </w:tcBorders>
            <w:gridSpan w:val="9"/>
          </w:tcPr>
          <w:p>
            <w:pPr>
              <w:spacing w:after="0" w:line="181" w:lineRule="exact"/>
              <w:rPr>
                <w:rFonts w:ascii="Times New Roman" w:cs="Times New Roman" w:eastAsia="Times New Roman" w:hAnsi="Times New Roman"/>
                <w:sz w:val="17"/>
                <w:szCs w:val="17"/>
                <w:color w:val="auto"/>
                <w:w w:val="97"/>
              </w:rPr>
            </w:pPr>
            <w:hyperlink r:id="rId456">
              <w:r>
                <w:rPr>
                  <w:rFonts w:ascii="Times New Roman" w:cs="Times New Roman" w:eastAsia="Times New Roman" w:hAnsi="Times New Roman"/>
                  <w:sz w:val="17"/>
                  <w:szCs w:val="17"/>
                  <w:color w:val="auto"/>
                  <w:w w:val="97"/>
                </w:rPr>
                <w:t>the Company’s Registration Statement on Form S-1 (No. 333-207393) filed October 13, 2015).</w:t>
              </w:r>
            </w:hyperlink>
          </w:p>
        </w:tc>
        <w:tc>
          <w:tcPr>
            <w:tcW w:w="372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455"/>
        </w:trPr>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24"/>
                <w:szCs w:val="24"/>
                <w:color w:val="auto"/>
              </w:rPr>
            </w:pPr>
          </w:p>
        </w:tc>
        <w:tc>
          <w:tcPr>
            <w:tcW w:w="10080" w:type="dxa"/>
            <w:vAlign w:val="bottom"/>
            <w:gridSpan w:val="24"/>
          </w:tcPr>
          <w:p>
            <w:pPr>
              <w:spacing w:after="0"/>
              <w:rPr>
                <w:rFonts w:ascii="Times New Roman" w:cs="Times New Roman" w:eastAsia="Times New Roman" w:hAnsi="Times New Roman"/>
                <w:sz w:val="17"/>
                <w:szCs w:val="17"/>
                <w:color w:val="auto"/>
              </w:rPr>
            </w:pPr>
            <w:hyperlink r:id="rId457">
              <w:r>
                <w:rPr>
                  <w:rFonts w:ascii="Times New Roman" w:cs="Times New Roman" w:eastAsia="Times New Roman" w:hAnsi="Times New Roman"/>
                  <w:sz w:val="17"/>
                  <w:szCs w:val="17"/>
                  <w:color w:val="auto"/>
                </w:rPr>
                <w:t>License Agreement, dated June 6, 2012, by and between the Company and Antecip Bioventures II LLC, as modified by the First Amendment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8"/>
            <w:shd w:val="clear" w:color="auto" w:fill="0000EE"/>
          </w:tcPr>
          <w:p>
            <w:pPr>
              <w:spacing w:after="0" w:line="20" w:lineRule="exact"/>
              <w:rPr>
                <w:sz w:val="1"/>
                <w:szCs w:val="1"/>
                <w:color w:val="auto"/>
              </w:rPr>
            </w:pPr>
          </w:p>
        </w:tc>
        <w:tc>
          <w:tcPr>
            <w:tcW w:w="3300" w:type="dxa"/>
            <w:vAlign w:val="bottom"/>
            <w:gridSpan w:val="8"/>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80" w:type="dxa"/>
            <w:vAlign w:val="bottom"/>
            <w:gridSpan w:val="24"/>
          </w:tcPr>
          <w:p>
            <w:pPr>
              <w:spacing w:after="0" w:line="181" w:lineRule="exact"/>
              <w:rPr>
                <w:rFonts w:ascii="Times New Roman" w:cs="Times New Roman" w:eastAsia="Times New Roman" w:hAnsi="Times New Roman"/>
                <w:sz w:val="17"/>
                <w:szCs w:val="17"/>
                <w:color w:val="auto"/>
                <w:w w:val="98"/>
              </w:rPr>
            </w:pPr>
            <w:hyperlink r:id="rId457">
              <w:r>
                <w:rPr>
                  <w:rFonts w:ascii="Times New Roman" w:cs="Times New Roman" w:eastAsia="Times New Roman" w:hAnsi="Times New Roman"/>
                  <w:sz w:val="17"/>
                  <w:szCs w:val="17"/>
                  <w:color w:val="auto"/>
                  <w:w w:val="98"/>
                </w:rPr>
                <w:t>License Agreement, dated August 21, 2015, by and between the Company and Antecip Bioventures II LLC (Incorporated by reference, Exhibit 10.4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8"/>
            <w:shd w:val="clear" w:color="auto" w:fill="0000EE"/>
          </w:tcPr>
          <w:p>
            <w:pPr>
              <w:spacing w:after="0" w:line="20" w:lineRule="exact"/>
              <w:rPr>
                <w:sz w:val="1"/>
                <w:szCs w:val="1"/>
                <w:color w:val="auto"/>
              </w:rPr>
            </w:pPr>
          </w:p>
        </w:tc>
        <w:tc>
          <w:tcPr>
            <w:tcW w:w="3720" w:type="dxa"/>
            <w:vAlign w:val="bottom"/>
            <w:gridSpan w:val="1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80" w:type="dxa"/>
            <w:vAlign w:val="bottom"/>
            <w:gridSpan w:val="24"/>
          </w:tcPr>
          <w:p>
            <w:pPr>
              <w:spacing w:after="0" w:line="181" w:lineRule="exact"/>
              <w:rPr>
                <w:rFonts w:ascii="Times New Roman" w:cs="Times New Roman" w:eastAsia="Times New Roman" w:hAnsi="Times New Roman"/>
                <w:sz w:val="17"/>
                <w:szCs w:val="17"/>
                <w:color w:val="auto"/>
              </w:rPr>
            </w:pPr>
            <w:hyperlink r:id="rId457">
              <w:r>
                <w:rPr>
                  <w:rFonts w:ascii="Times New Roman" w:cs="Times New Roman" w:eastAsia="Times New Roman" w:hAnsi="Times New Roman"/>
                  <w:sz w:val="17"/>
                  <w:szCs w:val="17"/>
                  <w:color w:val="auto"/>
                </w:rPr>
                <w:t>the Company’s Registration Statement on Form S-1 (No. 333-207393) filed October 13, 2015).</w:t>
              </w:r>
            </w:hyperlink>
          </w:p>
        </w:tc>
        <w:tc>
          <w:tcPr>
            <w:tcW w:w="0" w:type="dxa"/>
            <w:vAlign w:val="bottom"/>
          </w:tcPr>
          <w:p>
            <w:pPr>
              <w:spacing w:after="0"/>
              <w:rPr>
                <w:sz w:val="1"/>
                <w:szCs w:val="1"/>
                <w:color w:val="auto"/>
              </w:rPr>
            </w:pPr>
          </w:p>
        </w:tc>
      </w:tr>
      <w:tr>
        <w:trPr>
          <w:trHeight w:val="568"/>
        </w:trPr>
        <w:tc>
          <w:tcPr>
            <w:tcW w:w="10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5280" w:type="dxa"/>
            <w:vAlign w:val="bottom"/>
            <w:tcBorders>
              <w:top w:val="single" w:sz="8" w:color="0000EE"/>
            </w:tcBorders>
            <w:gridSpan w:val="6"/>
          </w:tcPr>
          <w:p>
            <w:pPr>
              <w:jc w:val="right"/>
              <w:ind w:right="653"/>
              <w:spacing w:after="0"/>
              <w:rPr>
                <w:sz w:val="20"/>
                <w:szCs w:val="20"/>
                <w:color w:val="auto"/>
              </w:rPr>
            </w:pPr>
            <w:r>
              <w:rPr>
                <w:rFonts w:ascii="Times New Roman" w:cs="Times New Roman" w:eastAsia="Times New Roman" w:hAnsi="Times New Roman"/>
                <w:sz w:val="17"/>
                <w:szCs w:val="17"/>
                <w:color w:val="auto"/>
              </w:rPr>
              <w:t>128</w:t>
            </w:r>
          </w:p>
        </w:tc>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49"/>
        </w:trPr>
        <w:tc>
          <w:tcPr>
            <w:tcW w:w="11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8"/>
        </w:trPr>
        <w:tc>
          <w:tcPr>
            <w:tcW w:w="940" w:type="dxa"/>
            <w:vAlign w:val="bottom"/>
            <w:tcBorders>
              <w:top w:val="single" w:sz="8" w:color="0000EE"/>
            </w:tcBorders>
          </w:tcPr>
          <w:p>
            <w:pPr>
              <w:ind w:left="100"/>
              <w:spacing w:after="0"/>
              <w:rPr>
                <w:sz w:val="20"/>
                <w:szCs w:val="20"/>
                <w:color w:val="auto"/>
              </w:rPr>
            </w:pPr>
            <w:r>
              <w:rPr>
                <w:rFonts w:ascii="Times New Roman" w:cs="Times New Roman" w:eastAsia="Times New Roman" w:hAnsi="Times New Roman"/>
                <w:sz w:val="17"/>
                <w:szCs w:val="17"/>
                <w:color w:val="auto"/>
              </w:rPr>
              <w:t>10.8+</w:t>
            </w:r>
          </w:p>
        </w:tc>
        <w:tc>
          <w:tcPr>
            <w:tcW w:w="220" w:type="dxa"/>
            <w:vAlign w:val="bottom"/>
          </w:tcPr>
          <w:p>
            <w:pPr>
              <w:spacing w:after="0"/>
              <w:rPr>
                <w:sz w:val="23"/>
                <w:szCs w:val="23"/>
                <w:color w:val="auto"/>
              </w:rPr>
            </w:pPr>
          </w:p>
        </w:tc>
        <w:tc>
          <w:tcPr>
            <w:tcW w:w="9560" w:type="dxa"/>
            <w:vAlign w:val="bottom"/>
            <w:tcBorders>
              <w:bottom w:val="single" w:sz="8" w:color="0000EE"/>
            </w:tcBorders>
            <w:gridSpan w:val="17"/>
          </w:tcPr>
          <w:p>
            <w:pPr>
              <w:spacing w:after="0"/>
              <w:rPr>
                <w:rFonts w:ascii="Times New Roman" w:cs="Times New Roman" w:eastAsia="Times New Roman" w:hAnsi="Times New Roman"/>
                <w:sz w:val="17"/>
                <w:szCs w:val="17"/>
                <w:color w:val="auto"/>
                <w:w w:val="98"/>
              </w:rPr>
            </w:pPr>
            <w:hyperlink r:id="rId460">
              <w:r>
                <w:rPr>
                  <w:rFonts w:ascii="Times New Roman" w:cs="Times New Roman" w:eastAsia="Times New Roman" w:hAnsi="Times New Roman"/>
                  <w:sz w:val="17"/>
                  <w:szCs w:val="17"/>
                  <w:color w:val="auto"/>
                  <w:w w:val="98"/>
                </w:rPr>
                <w:t>Consulting Agreement, dated April 13, 2012, by and between the Company and Mark Coleman, M.D., as modified by the First Amendment to</w:t>
              </w:r>
            </w:hyperlink>
          </w:p>
        </w:tc>
        <w:tc>
          <w:tcPr>
            <w:tcW w:w="520" w:type="dxa"/>
            <w:vAlign w:val="bottom"/>
            <w:gridSpan w:val="11"/>
          </w:tcPr>
          <w:p>
            <w:pPr>
              <w:spacing w:after="0"/>
              <w:rPr>
                <w:sz w:val="23"/>
                <w:szCs w:val="23"/>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20" w:type="dxa"/>
            <w:vAlign w:val="bottom"/>
            <w:tcBorders>
              <w:bottom w:val="single" w:sz="8" w:color="0000EE"/>
            </w:tcBorders>
            <w:gridSpan w:val="22"/>
          </w:tcPr>
          <w:p>
            <w:pPr>
              <w:spacing w:after="0" w:line="181" w:lineRule="exact"/>
              <w:rPr>
                <w:rFonts w:ascii="Times New Roman" w:cs="Times New Roman" w:eastAsia="Times New Roman" w:hAnsi="Times New Roman"/>
                <w:sz w:val="17"/>
                <w:szCs w:val="17"/>
                <w:color w:val="auto"/>
                <w:w w:val="98"/>
              </w:rPr>
            </w:pPr>
            <w:hyperlink r:id="rId460">
              <w:r>
                <w:rPr>
                  <w:rFonts w:ascii="Times New Roman" w:cs="Times New Roman" w:eastAsia="Times New Roman" w:hAnsi="Times New Roman"/>
                  <w:sz w:val="17"/>
                  <w:szCs w:val="17"/>
                  <w:color w:val="auto"/>
                  <w:w w:val="98"/>
                </w:rPr>
                <w:t>Consulting Agreement, dated June 2, 2014, by and between the Company and Mark Coleman, M.D (Incorporated by reference, Exhibit 10.5 to the</w:t>
              </w:r>
            </w:hyperlink>
          </w:p>
        </w:tc>
        <w:tc>
          <w:tcPr>
            <w:tcW w:w="260" w:type="dxa"/>
            <w:vAlign w:val="bottom"/>
            <w:gridSpan w:val="6"/>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80" w:type="dxa"/>
            <w:vAlign w:val="bottom"/>
            <w:gridSpan w:val="28"/>
          </w:tcPr>
          <w:p>
            <w:pPr>
              <w:spacing w:after="0" w:line="181" w:lineRule="exact"/>
              <w:rPr>
                <w:rFonts w:ascii="Times New Roman" w:cs="Times New Roman" w:eastAsia="Times New Roman" w:hAnsi="Times New Roman"/>
                <w:sz w:val="17"/>
                <w:szCs w:val="17"/>
                <w:color w:val="auto"/>
              </w:rPr>
            </w:pPr>
            <w:hyperlink r:id="rId460">
              <w:r>
                <w:rPr>
                  <w:rFonts w:ascii="Times New Roman" w:cs="Times New Roman" w:eastAsia="Times New Roman" w:hAnsi="Times New Roman"/>
                  <w:sz w:val="17"/>
                  <w:szCs w:val="17"/>
                  <w:color w:val="auto"/>
                </w:rPr>
                <w:t>Company’s Registration Statement on Form S-1 (No. 333-207393) filed October 13, 2015).</w:t>
              </w:r>
            </w:hyperlink>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10.9</w:t>
            </w:r>
          </w:p>
        </w:tc>
        <w:tc>
          <w:tcPr>
            <w:tcW w:w="220" w:type="dxa"/>
            <w:vAlign w:val="bottom"/>
          </w:tcPr>
          <w:p>
            <w:pPr>
              <w:spacing w:after="0"/>
              <w:rPr>
                <w:sz w:val="24"/>
                <w:szCs w:val="24"/>
                <w:color w:val="auto"/>
              </w:rPr>
            </w:pPr>
          </w:p>
        </w:tc>
        <w:tc>
          <w:tcPr>
            <w:tcW w:w="9720" w:type="dxa"/>
            <w:vAlign w:val="bottom"/>
            <w:tcBorders>
              <w:bottom w:val="single" w:sz="8" w:color="0000EE"/>
            </w:tcBorders>
            <w:gridSpan w:val="19"/>
          </w:tcPr>
          <w:p>
            <w:pPr>
              <w:spacing w:after="0"/>
              <w:rPr>
                <w:rFonts w:ascii="Times New Roman" w:cs="Times New Roman" w:eastAsia="Times New Roman" w:hAnsi="Times New Roman"/>
                <w:sz w:val="17"/>
                <w:szCs w:val="17"/>
                <w:color w:val="auto"/>
                <w:w w:val="98"/>
              </w:rPr>
            </w:pPr>
            <w:hyperlink r:id="rId461">
              <w:r>
                <w:rPr>
                  <w:rFonts w:ascii="Times New Roman" w:cs="Times New Roman" w:eastAsia="Times New Roman" w:hAnsi="Times New Roman"/>
                  <w:sz w:val="17"/>
                  <w:szCs w:val="17"/>
                  <w:color w:val="auto"/>
                  <w:w w:val="98"/>
                </w:rPr>
                <w:t>Form of Purchase Agreement, dated as of November 30, 2017 among Axsome Therapeutics, Inc. and the purchasers thereunder (Incorporated by</w:t>
              </w:r>
            </w:hyperlink>
          </w:p>
        </w:tc>
        <w:tc>
          <w:tcPr>
            <w:tcW w:w="360" w:type="dxa"/>
            <w:vAlign w:val="bottom"/>
            <w:gridSpan w:val="9"/>
          </w:tcPr>
          <w:p>
            <w:pPr>
              <w:spacing w:after="0"/>
              <w:rPr>
                <w:sz w:val="24"/>
                <w:szCs w:val="24"/>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80" w:type="dxa"/>
            <w:vAlign w:val="bottom"/>
            <w:gridSpan w:val="28"/>
          </w:tcPr>
          <w:p>
            <w:pPr>
              <w:spacing w:after="0" w:line="181" w:lineRule="exact"/>
              <w:rPr>
                <w:rFonts w:ascii="Times New Roman" w:cs="Times New Roman" w:eastAsia="Times New Roman" w:hAnsi="Times New Roman"/>
                <w:sz w:val="17"/>
                <w:szCs w:val="17"/>
                <w:color w:val="auto"/>
              </w:rPr>
            </w:pPr>
            <w:hyperlink r:id="rId461">
              <w:r>
                <w:rPr>
                  <w:rFonts w:ascii="Times New Roman" w:cs="Times New Roman" w:eastAsia="Times New Roman" w:hAnsi="Times New Roman"/>
                  <w:sz w:val="17"/>
                  <w:szCs w:val="17"/>
                  <w:color w:val="auto"/>
                </w:rPr>
                <w:t>reference, Exhibit 10.1 to the Company’s Current Report on Form 8-K filed December 4, 2017).</w:t>
              </w:r>
            </w:hyperlink>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10.10+</w:t>
            </w:r>
          </w:p>
        </w:tc>
        <w:tc>
          <w:tcPr>
            <w:tcW w:w="220" w:type="dxa"/>
            <w:vAlign w:val="bottom"/>
          </w:tcPr>
          <w:p>
            <w:pPr>
              <w:spacing w:after="0"/>
              <w:rPr>
                <w:sz w:val="24"/>
                <w:szCs w:val="24"/>
                <w:color w:val="auto"/>
              </w:rPr>
            </w:pPr>
          </w:p>
        </w:tc>
        <w:tc>
          <w:tcPr>
            <w:tcW w:w="10080" w:type="dxa"/>
            <w:vAlign w:val="bottom"/>
            <w:tcBorders>
              <w:bottom w:val="single" w:sz="8" w:color="0000EE"/>
            </w:tcBorders>
            <w:gridSpan w:val="28"/>
          </w:tcPr>
          <w:p>
            <w:pPr>
              <w:spacing w:after="0"/>
              <w:rPr>
                <w:rFonts w:ascii="Times New Roman" w:cs="Times New Roman" w:eastAsia="Times New Roman" w:hAnsi="Times New Roman"/>
                <w:sz w:val="17"/>
                <w:szCs w:val="17"/>
                <w:color w:val="auto"/>
                <w:w w:val="98"/>
              </w:rPr>
            </w:pPr>
            <w:hyperlink r:id="rId462">
              <w:r>
                <w:rPr>
                  <w:rFonts w:ascii="Times New Roman" w:cs="Times New Roman" w:eastAsia="Times New Roman" w:hAnsi="Times New Roman"/>
                  <w:sz w:val="17"/>
                  <w:szCs w:val="17"/>
                  <w:color w:val="auto"/>
                  <w:w w:val="98"/>
                </w:rPr>
                <w:t>Nick Pizzie Offer Letter, dated April 16, 2018 (Incorporated by reference, Exhibit 10.1 to the Company’s Quarterly Report on Form 10-Q filed May 8,</w:t>
              </w:r>
            </w:hyperlink>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0000EE"/>
            </w:tcBorders>
          </w:tcPr>
          <w:p>
            <w:pPr>
              <w:spacing w:after="0" w:line="181" w:lineRule="exact"/>
              <w:rPr>
                <w:rFonts w:ascii="Times New Roman" w:cs="Times New Roman" w:eastAsia="Times New Roman" w:hAnsi="Times New Roman"/>
                <w:sz w:val="17"/>
                <w:szCs w:val="17"/>
                <w:color w:val="auto"/>
                <w:w w:val="95"/>
              </w:rPr>
            </w:pPr>
            <w:hyperlink r:id="rId462">
              <w:r>
                <w:rPr>
                  <w:rFonts w:ascii="Times New Roman" w:cs="Times New Roman" w:eastAsia="Times New Roman" w:hAnsi="Times New Roman"/>
                  <w:sz w:val="17"/>
                  <w:szCs w:val="17"/>
                  <w:color w:val="auto"/>
                  <w:w w:val="95"/>
                </w:rPr>
                <w:t>2018).</w:t>
              </w:r>
            </w:hyperlink>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10.11</w:t>
            </w:r>
          </w:p>
        </w:tc>
        <w:tc>
          <w:tcPr>
            <w:tcW w:w="220" w:type="dxa"/>
            <w:vAlign w:val="bottom"/>
          </w:tcPr>
          <w:p>
            <w:pPr>
              <w:spacing w:after="0"/>
              <w:rPr>
                <w:sz w:val="24"/>
                <w:szCs w:val="24"/>
                <w:color w:val="auto"/>
              </w:rPr>
            </w:pPr>
          </w:p>
        </w:tc>
        <w:tc>
          <w:tcPr>
            <w:tcW w:w="10080" w:type="dxa"/>
            <w:vAlign w:val="bottom"/>
            <w:tcBorders>
              <w:bottom w:val="single" w:sz="8" w:color="0000EE"/>
            </w:tcBorders>
            <w:gridSpan w:val="28"/>
          </w:tcPr>
          <w:p>
            <w:pPr>
              <w:spacing w:after="0"/>
              <w:rPr>
                <w:rFonts w:ascii="Times New Roman" w:cs="Times New Roman" w:eastAsia="Times New Roman" w:hAnsi="Times New Roman"/>
                <w:sz w:val="17"/>
                <w:szCs w:val="17"/>
                <w:color w:val="auto"/>
                <w:w w:val="98"/>
              </w:rPr>
            </w:pPr>
            <w:hyperlink r:id="rId463">
              <w:r>
                <w:rPr>
                  <w:rFonts w:ascii="Times New Roman" w:cs="Times New Roman" w:eastAsia="Times New Roman" w:hAnsi="Times New Roman"/>
                  <w:sz w:val="17"/>
                  <w:szCs w:val="17"/>
                  <w:color w:val="auto"/>
                  <w:w w:val="98"/>
                </w:rPr>
                <w:t>Form of Purchase Agreement, dated as of September 27, 2018, by and among the Company and the investors party thereto (Incorporated by reference,</w:t>
              </w:r>
            </w:hyperlink>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80" w:type="dxa"/>
            <w:vAlign w:val="bottom"/>
            <w:tcBorders>
              <w:bottom w:val="single" w:sz="8" w:color="0000EE"/>
            </w:tcBorders>
            <w:gridSpan w:val="8"/>
          </w:tcPr>
          <w:p>
            <w:pPr>
              <w:spacing w:after="0" w:line="181" w:lineRule="exact"/>
              <w:rPr>
                <w:rFonts w:ascii="Times New Roman" w:cs="Times New Roman" w:eastAsia="Times New Roman" w:hAnsi="Times New Roman"/>
                <w:sz w:val="17"/>
                <w:szCs w:val="17"/>
                <w:color w:val="auto"/>
                <w:w w:val="97"/>
              </w:rPr>
            </w:pPr>
            <w:hyperlink r:id="rId463">
              <w:r>
                <w:rPr>
                  <w:rFonts w:ascii="Times New Roman" w:cs="Times New Roman" w:eastAsia="Times New Roman" w:hAnsi="Times New Roman"/>
                  <w:sz w:val="17"/>
                  <w:szCs w:val="17"/>
                  <w:color w:val="auto"/>
                  <w:w w:val="97"/>
                </w:rPr>
                <w:t>Exhibit 10.1 to the Company’s Current Report on Form 8-K, filed September 28, 2018).</w:t>
              </w:r>
            </w:hyperlink>
          </w:p>
        </w:tc>
        <w:tc>
          <w:tcPr>
            <w:tcW w:w="4200" w:type="dxa"/>
            <w:vAlign w:val="bottom"/>
            <w:gridSpan w:val="20"/>
          </w:tcPr>
          <w:p>
            <w:pPr>
              <w:spacing w:after="0"/>
              <w:rPr>
                <w:sz w:val="15"/>
                <w:szCs w:val="15"/>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10.12+++</w:t>
            </w:r>
          </w:p>
        </w:tc>
        <w:tc>
          <w:tcPr>
            <w:tcW w:w="220" w:type="dxa"/>
            <w:vAlign w:val="bottom"/>
          </w:tcPr>
          <w:p>
            <w:pPr>
              <w:spacing w:after="0"/>
              <w:rPr>
                <w:sz w:val="24"/>
                <w:szCs w:val="24"/>
                <w:color w:val="auto"/>
              </w:rPr>
            </w:pPr>
          </w:p>
        </w:tc>
        <w:tc>
          <w:tcPr>
            <w:tcW w:w="9640" w:type="dxa"/>
            <w:vAlign w:val="bottom"/>
            <w:tcBorders>
              <w:bottom w:val="single" w:sz="8" w:color="0000EE"/>
            </w:tcBorders>
            <w:gridSpan w:val="18"/>
          </w:tcPr>
          <w:p>
            <w:pPr>
              <w:spacing w:after="0"/>
              <w:rPr>
                <w:rFonts w:ascii="Times New Roman" w:cs="Times New Roman" w:eastAsia="Times New Roman" w:hAnsi="Times New Roman"/>
                <w:sz w:val="17"/>
                <w:szCs w:val="17"/>
                <w:color w:val="auto"/>
                <w:w w:val="98"/>
              </w:rPr>
            </w:pPr>
            <w:hyperlink r:id="rId464">
              <w:r>
                <w:rPr>
                  <w:rFonts w:ascii="Times New Roman" w:cs="Times New Roman" w:eastAsia="Times New Roman" w:hAnsi="Times New Roman"/>
                  <w:sz w:val="17"/>
                  <w:szCs w:val="17"/>
                  <w:color w:val="auto"/>
                  <w:w w:val="98"/>
                </w:rPr>
                <w:t>License Agreement, dated as of January 10, 2020, by and between the Company and Pfizer Inc. (Incorporated by reference, Exhibit 10.15 to the</w:t>
              </w:r>
            </w:hyperlink>
          </w:p>
        </w:tc>
        <w:tc>
          <w:tcPr>
            <w:tcW w:w="440" w:type="dxa"/>
            <w:vAlign w:val="bottom"/>
            <w:gridSpan w:val="10"/>
          </w:tcPr>
          <w:p>
            <w:pPr>
              <w:spacing w:after="0"/>
              <w:rPr>
                <w:sz w:val="24"/>
                <w:szCs w:val="24"/>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340" w:type="dxa"/>
            <w:vAlign w:val="bottom"/>
            <w:tcBorders>
              <w:bottom w:val="single" w:sz="8" w:color="0000EE"/>
            </w:tcBorders>
            <w:gridSpan w:val="6"/>
          </w:tcPr>
          <w:p>
            <w:pPr>
              <w:spacing w:after="0" w:line="181" w:lineRule="exact"/>
              <w:rPr>
                <w:rFonts w:ascii="Times New Roman" w:cs="Times New Roman" w:eastAsia="Times New Roman" w:hAnsi="Times New Roman"/>
                <w:sz w:val="17"/>
                <w:szCs w:val="17"/>
                <w:color w:val="auto"/>
                <w:w w:val="97"/>
              </w:rPr>
            </w:pPr>
            <w:hyperlink r:id="rId464">
              <w:r>
                <w:rPr>
                  <w:rFonts w:ascii="Times New Roman" w:cs="Times New Roman" w:eastAsia="Times New Roman" w:hAnsi="Times New Roman"/>
                  <w:sz w:val="17"/>
                  <w:szCs w:val="17"/>
                  <w:color w:val="auto"/>
                  <w:w w:val="97"/>
                </w:rPr>
                <w:t>Company’s Annual Report on Form 10-K, filed March 12 2020).</w:t>
              </w:r>
            </w:hyperlink>
          </w:p>
        </w:tc>
        <w:tc>
          <w:tcPr>
            <w:tcW w:w="5740" w:type="dxa"/>
            <w:vAlign w:val="bottom"/>
            <w:gridSpan w:val="22"/>
          </w:tcPr>
          <w:p>
            <w:pPr>
              <w:spacing w:after="0"/>
              <w:rPr>
                <w:sz w:val="15"/>
                <w:szCs w:val="15"/>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10.13</w:t>
            </w:r>
          </w:p>
        </w:tc>
        <w:tc>
          <w:tcPr>
            <w:tcW w:w="220" w:type="dxa"/>
            <w:vAlign w:val="bottom"/>
          </w:tcPr>
          <w:p>
            <w:pPr>
              <w:spacing w:after="0"/>
              <w:rPr>
                <w:sz w:val="24"/>
                <w:szCs w:val="24"/>
                <w:color w:val="auto"/>
              </w:rPr>
            </w:pPr>
          </w:p>
        </w:tc>
        <w:tc>
          <w:tcPr>
            <w:tcW w:w="10080" w:type="dxa"/>
            <w:vAlign w:val="bottom"/>
            <w:tcBorders>
              <w:bottom w:val="single" w:sz="8" w:color="0000EE"/>
            </w:tcBorders>
            <w:gridSpan w:val="28"/>
          </w:tcPr>
          <w:p>
            <w:pPr>
              <w:spacing w:after="0"/>
              <w:rPr>
                <w:rFonts w:ascii="Times New Roman" w:cs="Times New Roman" w:eastAsia="Times New Roman" w:hAnsi="Times New Roman"/>
                <w:sz w:val="17"/>
                <w:szCs w:val="17"/>
                <w:color w:val="auto"/>
                <w:w w:val="98"/>
              </w:rPr>
            </w:pPr>
            <w:hyperlink r:id="rId465">
              <w:r>
                <w:rPr>
                  <w:rFonts w:ascii="Times New Roman" w:cs="Times New Roman" w:eastAsia="Times New Roman" w:hAnsi="Times New Roman"/>
                  <w:sz w:val="17"/>
                  <w:szCs w:val="17"/>
                  <w:color w:val="auto"/>
                  <w:w w:val="98"/>
                </w:rPr>
                <w:t>Share Transfer Agreement by and between the Company and Pfizer Inc. (Incorporated by reference, Exhibit 10.1 to the Company’s Current Report on</w:t>
              </w:r>
            </w:hyperlink>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tcBorders>
              <w:bottom w:val="single" w:sz="8" w:color="0000EE"/>
            </w:tcBorders>
            <w:gridSpan w:val="5"/>
          </w:tcPr>
          <w:p>
            <w:pPr>
              <w:spacing w:after="0" w:line="181" w:lineRule="exact"/>
              <w:rPr>
                <w:rFonts w:ascii="Times New Roman" w:cs="Times New Roman" w:eastAsia="Times New Roman" w:hAnsi="Times New Roman"/>
                <w:sz w:val="17"/>
                <w:szCs w:val="17"/>
                <w:color w:val="auto"/>
                <w:w w:val="97"/>
              </w:rPr>
            </w:pPr>
            <w:hyperlink r:id="rId465">
              <w:r>
                <w:rPr>
                  <w:rFonts w:ascii="Times New Roman" w:cs="Times New Roman" w:eastAsia="Times New Roman" w:hAnsi="Times New Roman"/>
                  <w:sz w:val="17"/>
                  <w:szCs w:val="17"/>
                  <w:color w:val="auto"/>
                  <w:w w:val="97"/>
                </w:rPr>
                <w:t>Form 8-K, filed January 13, 2020).</w:t>
              </w:r>
            </w:hyperlink>
          </w:p>
        </w:tc>
        <w:tc>
          <w:tcPr>
            <w:tcW w:w="7740" w:type="dxa"/>
            <w:vAlign w:val="bottom"/>
            <w:gridSpan w:val="23"/>
          </w:tcPr>
          <w:p>
            <w:pPr>
              <w:spacing w:after="0"/>
              <w:rPr>
                <w:sz w:val="15"/>
                <w:szCs w:val="15"/>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10.14</w:t>
            </w:r>
          </w:p>
        </w:tc>
        <w:tc>
          <w:tcPr>
            <w:tcW w:w="220" w:type="dxa"/>
            <w:vAlign w:val="bottom"/>
          </w:tcPr>
          <w:p>
            <w:pPr>
              <w:spacing w:after="0"/>
              <w:rPr>
                <w:sz w:val="24"/>
                <w:szCs w:val="24"/>
                <w:color w:val="auto"/>
              </w:rPr>
            </w:pPr>
          </w:p>
        </w:tc>
        <w:tc>
          <w:tcPr>
            <w:tcW w:w="9920" w:type="dxa"/>
            <w:vAlign w:val="bottom"/>
            <w:tcBorders>
              <w:bottom w:val="single" w:sz="8" w:color="0000EE"/>
            </w:tcBorders>
            <w:gridSpan w:val="24"/>
          </w:tcPr>
          <w:p>
            <w:pPr>
              <w:spacing w:after="0"/>
              <w:rPr>
                <w:rFonts w:ascii="Times New Roman" w:cs="Times New Roman" w:eastAsia="Times New Roman" w:hAnsi="Times New Roman"/>
                <w:sz w:val="17"/>
                <w:szCs w:val="17"/>
                <w:color w:val="auto"/>
                <w:w w:val="98"/>
              </w:rPr>
            </w:pPr>
            <w:hyperlink r:id="rId466">
              <w:r>
                <w:rPr>
                  <w:rFonts w:ascii="Times New Roman" w:cs="Times New Roman" w:eastAsia="Times New Roman" w:hAnsi="Times New Roman"/>
                  <w:sz w:val="17"/>
                  <w:szCs w:val="17"/>
                  <w:color w:val="auto"/>
                  <w:w w:val="98"/>
                </w:rPr>
                <w:t>WeWork Membership Agreement effective as of August 1, 2020, by and between the Company and 22 Cortlandt Street HBQ LLC (Incorporated by</w:t>
              </w:r>
            </w:hyperlink>
          </w:p>
        </w:tc>
        <w:tc>
          <w:tcPr>
            <w:tcW w:w="160" w:type="dxa"/>
            <w:vAlign w:val="bottom"/>
            <w:gridSpan w:val="4"/>
          </w:tcPr>
          <w:p>
            <w:pPr>
              <w:spacing w:after="0"/>
              <w:rPr>
                <w:sz w:val="24"/>
                <w:szCs w:val="24"/>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60" w:type="dxa"/>
            <w:vAlign w:val="bottom"/>
            <w:tcBorders>
              <w:bottom w:val="single" w:sz="8" w:color="0000EE"/>
            </w:tcBorders>
            <w:gridSpan w:val="11"/>
          </w:tcPr>
          <w:p>
            <w:pPr>
              <w:spacing w:after="0" w:line="181" w:lineRule="exact"/>
              <w:rPr>
                <w:rFonts w:ascii="Times New Roman" w:cs="Times New Roman" w:eastAsia="Times New Roman" w:hAnsi="Times New Roman"/>
                <w:sz w:val="17"/>
                <w:szCs w:val="17"/>
                <w:color w:val="auto"/>
                <w:w w:val="97"/>
              </w:rPr>
            </w:pPr>
            <w:hyperlink r:id="rId466">
              <w:r>
                <w:rPr>
                  <w:rFonts w:ascii="Times New Roman" w:cs="Times New Roman" w:eastAsia="Times New Roman" w:hAnsi="Times New Roman"/>
                  <w:sz w:val="17"/>
                  <w:szCs w:val="17"/>
                  <w:color w:val="auto"/>
                  <w:w w:val="97"/>
                </w:rPr>
                <w:t>reference, Exhibit 10.1 to the Company’s Quarterly Report on Form 10-Q, filed August 10, 2020).</w:t>
              </w:r>
            </w:hyperlink>
          </w:p>
        </w:tc>
        <w:tc>
          <w:tcPr>
            <w:tcW w:w="3520" w:type="dxa"/>
            <w:vAlign w:val="bottom"/>
            <w:gridSpan w:val="17"/>
          </w:tcPr>
          <w:p>
            <w:pPr>
              <w:spacing w:after="0"/>
              <w:rPr>
                <w:sz w:val="15"/>
                <w:szCs w:val="15"/>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10.15+++</w:t>
            </w:r>
          </w:p>
        </w:tc>
        <w:tc>
          <w:tcPr>
            <w:tcW w:w="220" w:type="dxa"/>
            <w:vAlign w:val="bottom"/>
          </w:tcPr>
          <w:p>
            <w:pPr>
              <w:spacing w:after="0"/>
              <w:rPr>
                <w:sz w:val="24"/>
                <w:szCs w:val="24"/>
                <w:color w:val="auto"/>
              </w:rPr>
            </w:pPr>
          </w:p>
        </w:tc>
        <w:tc>
          <w:tcPr>
            <w:tcW w:w="9960" w:type="dxa"/>
            <w:vAlign w:val="bottom"/>
            <w:tcBorders>
              <w:bottom w:val="single" w:sz="8" w:color="0000EE"/>
            </w:tcBorders>
            <w:gridSpan w:val="25"/>
          </w:tcPr>
          <w:p>
            <w:pPr>
              <w:spacing w:after="0"/>
              <w:rPr>
                <w:rFonts w:ascii="Times New Roman" w:cs="Times New Roman" w:eastAsia="Times New Roman" w:hAnsi="Times New Roman"/>
                <w:sz w:val="17"/>
                <w:szCs w:val="17"/>
                <w:color w:val="auto"/>
                <w:w w:val="98"/>
              </w:rPr>
            </w:pPr>
            <w:hyperlink r:id="rId467">
              <w:r>
                <w:rPr>
                  <w:rFonts w:ascii="Times New Roman" w:cs="Times New Roman" w:eastAsia="Times New Roman" w:hAnsi="Times New Roman"/>
                  <w:sz w:val="17"/>
                  <w:szCs w:val="17"/>
                  <w:color w:val="auto"/>
                  <w:w w:val="98"/>
                </w:rPr>
                <w:t>Agreement, dated as of September 3, 2020, by and between Axsome Therapeutics, Inc. and David Marek (Incorporated by reference, Exhibit 10.2 to</w:t>
              </w:r>
            </w:hyperlink>
          </w:p>
        </w:tc>
        <w:tc>
          <w:tcPr>
            <w:tcW w:w="120" w:type="dxa"/>
            <w:vAlign w:val="bottom"/>
            <w:gridSpan w:val="3"/>
          </w:tcPr>
          <w:p>
            <w:pPr>
              <w:spacing w:after="0"/>
              <w:rPr>
                <w:sz w:val="24"/>
                <w:szCs w:val="24"/>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20" w:type="dxa"/>
            <w:vAlign w:val="bottom"/>
            <w:tcBorders>
              <w:bottom w:val="single" w:sz="8" w:color="0000EE"/>
            </w:tcBorders>
            <w:gridSpan w:val="7"/>
          </w:tcPr>
          <w:p>
            <w:pPr>
              <w:spacing w:after="0" w:line="181" w:lineRule="exact"/>
              <w:rPr>
                <w:rFonts w:ascii="Times New Roman" w:cs="Times New Roman" w:eastAsia="Times New Roman" w:hAnsi="Times New Roman"/>
                <w:sz w:val="17"/>
                <w:szCs w:val="17"/>
                <w:color w:val="auto"/>
                <w:w w:val="97"/>
              </w:rPr>
            </w:pPr>
            <w:hyperlink r:id="rId467">
              <w:r>
                <w:rPr>
                  <w:rFonts w:ascii="Times New Roman" w:cs="Times New Roman" w:eastAsia="Times New Roman" w:hAnsi="Times New Roman"/>
                  <w:sz w:val="17"/>
                  <w:szCs w:val="17"/>
                  <w:color w:val="auto"/>
                  <w:w w:val="97"/>
                </w:rPr>
                <w:t>the Company’s Amended Quarterly Report on Form 10-Q/A, filed November 6, 2020).</w:t>
              </w:r>
            </w:hyperlink>
          </w:p>
        </w:tc>
        <w:tc>
          <w:tcPr>
            <w:tcW w:w="4260" w:type="dxa"/>
            <w:vAlign w:val="bottom"/>
            <w:gridSpan w:val="21"/>
          </w:tcPr>
          <w:p>
            <w:pPr>
              <w:spacing w:after="0"/>
              <w:rPr>
                <w:sz w:val="15"/>
                <w:szCs w:val="15"/>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10.16</w:t>
            </w:r>
          </w:p>
        </w:tc>
        <w:tc>
          <w:tcPr>
            <w:tcW w:w="220" w:type="dxa"/>
            <w:vAlign w:val="bottom"/>
          </w:tcPr>
          <w:p>
            <w:pPr>
              <w:spacing w:after="0"/>
              <w:rPr>
                <w:sz w:val="24"/>
                <w:szCs w:val="24"/>
                <w:color w:val="auto"/>
              </w:rPr>
            </w:pPr>
          </w:p>
        </w:tc>
        <w:tc>
          <w:tcPr>
            <w:tcW w:w="10060" w:type="dxa"/>
            <w:vAlign w:val="bottom"/>
            <w:tcBorders>
              <w:bottom w:val="single" w:sz="8" w:color="0000EE"/>
            </w:tcBorders>
            <w:gridSpan w:val="27"/>
          </w:tcPr>
          <w:p>
            <w:pPr>
              <w:spacing w:after="0"/>
              <w:rPr>
                <w:rFonts w:ascii="Times New Roman" w:cs="Times New Roman" w:eastAsia="Times New Roman" w:hAnsi="Times New Roman"/>
                <w:sz w:val="17"/>
                <w:szCs w:val="17"/>
                <w:color w:val="auto"/>
                <w:w w:val="98"/>
              </w:rPr>
            </w:pPr>
            <w:hyperlink r:id="rId468">
              <w:r>
                <w:rPr>
                  <w:rFonts w:ascii="Times New Roman" w:cs="Times New Roman" w:eastAsia="Times New Roman" w:hAnsi="Times New Roman"/>
                  <w:sz w:val="17"/>
                  <w:szCs w:val="17"/>
                  <w:color w:val="auto"/>
                  <w:w w:val="98"/>
                </w:rPr>
                <w:t>Loan and Security Agreement, dated as of September 25, 2020, by and among Axsome Therapeutics, Inc., the Lenders who from time to time may be</w:t>
              </w:r>
            </w:hyperlink>
          </w:p>
        </w:tc>
        <w:tc>
          <w:tcPr>
            <w:tcW w:w="20" w:type="dxa"/>
            <w:vAlign w:val="bottom"/>
          </w:tcPr>
          <w:p>
            <w:pPr>
              <w:spacing w:after="0"/>
              <w:rPr>
                <w:sz w:val="24"/>
                <w:szCs w:val="24"/>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520" w:type="dxa"/>
            <w:vAlign w:val="bottom"/>
            <w:tcBorders>
              <w:bottom w:val="single" w:sz="8" w:color="0000EE"/>
            </w:tcBorders>
            <w:gridSpan w:val="16"/>
          </w:tcPr>
          <w:p>
            <w:pPr>
              <w:spacing w:after="0" w:line="181" w:lineRule="exact"/>
              <w:rPr>
                <w:rFonts w:ascii="Times New Roman" w:cs="Times New Roman" w:eastAsia="Times New Roman" w:hAnsi="Times New Roman"/>
                <w:sz w:val="17"/>
                <w:szCs w:val="17"/>
                <w:color w:val="auto"/>
                <w:w w:val="98"/>
              </w:rPr>
            </w:pPr>
            <w:hyperlink r:id="rId468">
              <w:r>
                <w:rPr>
                  <w:rFonts w:ascii="Times New Roman" w:cs="Times New Roman" w:eastAsia="Times New Roman" w:hAnsi="Times New Roman"/>
                  <w:sz w:val="17"/>
                  <w:szCs w:val="17"/>
                  <w:color w:val="auto"/>
                  <w:w w:val="98"/>
                </w:rPr>
                <w:t>party thereto, and Hercules Capital, Inc., in its capacity as administrative agent and collateral agent for itself and the Lenders (Incorporated by</w:t>
              </w:r>
            </w:hyperlink>
          </w:p>
        </w:tc>
        <w:tc>
          <w:tcPr>
            <w:tcW w:w="560" w:type="dxa"/>
            <w:vAlign w:val="bottom"/>
            <w:gridSpan w:val="12"/>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00" w:type="dxa"/>
            <w:vAlign w:val="bottom"/>
            <w:tcBorders>
              <w:bottom w:val="single" w:sz="8" w:color="0000EE"/>
            </w:tcBorders>
            <w:gridSpan w:val="12"/>
          </w:tcPr>
          <w:p>
            <w:pPr>
              <w:spacing w:after="0" w:line="181" w:lineRule="exact"/>
              <w:rPr>
                <w:rFonts w:ascii="Times New Roman" w:cs="Times New Roman" w:eastAsia="Times New Roman" w:hAnsi="Times New Roman"/>
                <w:sz w:val="17"/>
                <w:szCs w:val="17"/>
                <w:color w:val="auto"/>
                <w:w w:val="97"/>
              </w:rPr>
            </w:pPr>
            <w:hyperlink r:id="rId468">
              <w:r>
                <w:rPr>
                  <w:rFonts w:ascii="Times New Roman" w:cs="Times New Roman" w:eastAsia="Times New Roman" w:hAnsi="Times New Roman"/>
                  <w:sz w:val="17"/>
                  <w:szCs w:val="17"/>
                  <w:color w:val="auto"/>
                  <w:w w:val="97"/>
                </w:rPr>
                <w:t>reference, Exhibit 10.3 to the Company’s Quarterly Report on Form 10-Q, filed November 5, 2020).</w:t>
              </w:r>
            </w:hyperlink>
          </w:p>
        </w:tc>
        <w:tc>
          <w:tcPr>
            <w:tcW w:w="3380" w:type="dxa"/>
            <w:vAlign w:val="bottom"/>
            <w:gridSpan w:val="16"/>
          </w:tcPr>
          <w:p>
            <w:pPr>
              <w:spacing w:after="0"/>
              <w:rPr>
                <w:sz w:val="15"/>
                <w:szCs w:val="15"/>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10.17</w:t>
            </w:r>
          </w:p>
        </w:tc>
        <w:tc>
          <w:tcPr>
            <w:tcW w:w="220" w:type="dxa"/>
            <w:vAlign w:val="bottom"/>
          </w:tcPr>
          <w:p>
            <w:pPr>
              <w:spacing w:after="0"/>
              <w:rPr>
                <w:sz w:val="24"/>
                <w:szCs w:val="24"/>
                <w:color w:val="auto"/>
              </w:rPr>
            </w:pPr>
          </w:p>
        </w:tc>
        <w:tc>
          <w:tcPr>
            <w:tcW w:w="9880" w:type="dxa"/>
            <w:vAlign w:val="bottom"/>
            <w:tcBorders>
              <w:bottom w:val="single" w:sz="8" w:color="0000EE"/>
            </w:tcBorders>
            <w:gridSpan w:val="23"/>
          </w:tcPr>
          <w:p>
            <w:pPr>
              <w:spacing w:after="0"/>
              <w:rPr>
                <w:rFonts w:ascii="Times New Roman" w:cs="Times New Roman" w:eastAsia="Times New Roman" w:hAnsi="Times New Roman"/>
                <w:sz w:val="17"/>
                <w:szCs w:val="17"/>
                <w:color w:val="auto"/>
                <w:w w:val="98"/>
              </w:rPr>
            </w:pPr>
            <w:hyperlink r:id="rId469">
              <w:r>
                <w:rPr>
                  <w:rFonts w:ascii="Times New Roman" w:cs="Times New Roman" w:eastAsia="Times New Roman" w:hAnsi="Times New Roman"/>
                  <w:sz w:val="17"/>
                  <w:szCs w:val="17"/>
                  <w:color w:val="auto"/>
                  <w:w w:val="98"/>
                </w:rPr>
                <w:t>First Amendment to Loan and Security Agreement, dated as of October 14, 2021, by and among Axsome Therapeutics, Inc., the Lenders who from</w:t>
              </w:r>
            </w:hyperlink>
          </w:p>
        </w:tc>
        <w:tc>
          <w:tcPr>
            <w:tcW w:w="200" w:type="dxa"/>
            <w:vAlign w:val="bottom"/>
            <w:gridSpan w:val="5"/>
          </w:tcPr>
          <w:p>
            <w:pPr>
              <w:spacing w:after="0"/>
              <w:rPr>
                <w:sz w:val="24"/>
                <w:szCs w:val="24"/>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40" w:type="dxa"/>
            <w:vAlign w:val="bottom"/>
            <w:tcBorders>
              <w:bottom w:val="single" w:sz="8" w:color="0000EE"/>
            </w:tcBorders>
            <w:gridSpan w:val="20"/>
          </w:tcPr>
          <w:p>
            <w:pPr>
              <w:spacing w:after="0" w:line="181" w:lineRule="exact"/>
              <w:rPr>
                <w:rFonts w:ascii="Times New Roman" w:cs="Times New Roman" w:eastAsia="Times New Roman" w:hAnsi="Times New Roman"/>
                <w:sz w:val="17"/>
                <w:szCs w:val="17"/>
                <w:color w:val="auto"/>
                <w:w w:val="98"/>
              </w:rPr>
            </w:pPr>
            <w:hyperlink r:id="rId469">
              <w:r>
                <w:rPr>
                  <w:rFonts w:ascii="Times New Roman" w:cs="Times New Roman" w:eastAsia="Times New Roman" w:hAnsi="Times New Roman"/>
                  <w:sz w:val="17"/>
                  <w:szCs w:val="17"/>
                  <w:color w:val="auto"/>
                  <w:w w:val="98"/>
                </w:rPr>
                <w:t>time to time may be party thereto, and Hercules Capital, Inc., in its capacity as administrative agent and collateral agent for itself and the Lenders</w:t>
              </w:r>
            </w:hyperlink>
          </w:p>
        </w:tc>
        <w:tc>
          <w:tcPr>
            <w:tcW w:w="340" w:type="dxa"/>
            <w:vAlign w:val="bottom"/>
            <w:gridSpan w:val="8"/>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140" w:type="dxa"/>
            <w:vAlign w:val="bottom"/>
            <w:tcBorders>
              <w:bottom w:val="single" w:sz="8" w:color="0000EE"/>
            </w:tcBorders>
            <w:gridSpan w:val="14"/>
          </w:tcPr>
          <w:p>
            <w:pPr>
              <w:spacing w:after="0" w:line="181" w:lineRule="exact"/>
              <w:rPr>
                <w:rFonts w:ascii="Times New Roman" w:cs="Times New Roman" w:eastAsia="Times New Roman" w:hAnsi="Times New Roman"/>
                <w:sz w:val="17"/>
                <w:szCs w:val="17"/>
                <w:color w:val="auto"/>
                <w:w w:val="98"/>
              </w:rPr>
            </w:pPr>
            <w:hyperlink r:id="rId469">
              <w:r>
                <w:rPr>
                  <w:rFonts w:ascii="Times New Roman" w:cs="Times New Roman" w:eastAsia="Times New Roman" w:hAnsi="Times New Roman"/>
                  <w:sz w:val="17"/>
                  <w:szCs w:val="17"/>
                  <w:color w:val="auto"/>
                  <w:w w:val="98"/>
                </w:rPr>
                <w:t>(Incorporated by reference, Exhibit 10.1, to the Company’s Quarterly Report on Form 10-Q, filed on November 8, 2021).</w:t>
              </w:r>
            </w:hyperlink>
          </w:p>
        </w:tc>
        <w:tc>
          <w:tcPr>
            <w:tcW w:w="1940" w:type="dxa"/>
            <w:vAlign w:val="bottom"/>
            <w:gridSpan w:val="14"/>
          </w:tcPr>
          <w:p>
            <w:pPr>
              <w:spacing w:after="0"/>
              <w:rPr>
                <w:sz w:val="15"/>
                <w:szCs w:val="15"/>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10.18</w:t>
            </w:r>
          </w:p>
        </w:tc>
        <w:tc>
          <w:tcPr>
            <w:tcW w:w="220" w:type="dxa"/>
            <w:vAlign w:val="bottom"/>
          </w:tcPr>
          <w:p>
            <w:pPr>
              <w:spacing w:after="0"/>
              <w:rPr>
                <w:sz w:val="24"/>
                <w:szCs w:val="24"/>
                <w:color w:val="auto"/>
              </w:rPr>
            </w:pPr>
          </w:p>
        </w:tc>
        <w:tc>
          <w:tcPr>
            <w:tcW w:w="9960" w:type="dxa"/>
            <w:vAlign w:val="bottom"/>
            <w:tcBorders>
              <w:bottom w:val="single" w:sz="8" w:color="0000EE"/>
            </w:tcBorders>
            <w:gridSpan w:val="25"/>
          </w:tcPr>
          <w:p>
            <w:pPr>
              <w:spacing w:after="0"/>
              <w:rPr>
                <w:rFonts w:ascii="Times New Roman" w:cs="Times New Roman" w:eastAsia="Times New Roman" w:hAnsi="Times New Roman"/>
                <w:sz w:val="17"/>
                <w:szCs w:val="17"/>
                <w:color w:val="auto"/>
                <w:w w:val="98"/>
              </w:rPr>
            </w:pPr>
            <w:hyperlink r:id="rId469">
              <w:r>
                <w:rPr>
                  <w:rFonts w:ascii="Times New Roman" w:cs="Times New Roman" w:eastAsia="Times New Roman" w:hAnsi="Times New Roman"/>
                  <w:sz w:val="17"/>
                  <w:szCs w:val="17"/>
                  <w:color w:val="auto"/>
                  <w:w w:val="98"/>
                </w:rPr>
                <w:t>Second Amendment to Loan and Security Agreement, dated as of March 27, 2022, by and among Axsome Therapeutics, Inc., the Lenders who from</w:t>
              </w:r>
            </w:hyperlink>
          </w:p>
        </w:tc>
        <w:tc>
          <w:tcPr>
            <w:tcW w:w="120" w:type="dxa"/>
            <w:vAlign w:val="bottom"/>
            <w:gridSpan w:val="3"/>
          </w:tcPr>
          <w:p>
            <w:pPr>
              <w:spacing w:after="0"/>
              <w:rPr>
                <w:sz w:val="24"/>
                <w:szCs w:val="24"/>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740" w:type="dxa"/>
            <w:vAlign w:val="bottom"/>
            <w:tcBorders>
              <w:bottom w:val="single" w:sz="8" w:color="0000EE"/>
            </w:tcBorders>
            <w:gridSpan w:val="20"/>
          </w:tcPr>
          <w:p>
            <w:pPr>
              <w:spacing w:after="0" w:line="181" w:lineRule="exact"/>
              <w:rPr>
                <w:rFonts w:ascii="Times New Roman" w:cs="Times New Roman" w:eastAsia="Times New Roman" w:hAnsi="Times New Roman"/>
                <w:sz w:val="17"/>
                <w:szCs w:val="17"/>
                <w:color w:val="auto"/>
                <w:w w:val="98"/>
              </w:rPr>
            </w:pPr>
            <w:hyperlink r:id="rId469">
              <w:r>
                <w:rPr>
                  <w:rFonts w:ascii="Times New Roman" w:cs="Times New Roman" w:eastAsia="Times New Roman" w:hAnsi="Times New Roman"/>
                  <w:sz w:val="17"/>
                  <w:szCs w:val="17"/>
                  <w:color w:val="auto"/>
                  <w:w w:val="98"/>
                </w:rPr>
                <w:t>time to time may be party thereto, and Hercules Capital, Inc., in its capacity as administrative agent and collateral agent for itself and the Lenders</w:t>
              </w:r>
            </w:hyperlink>
          </w:p>
        </w:tc>
        <w:tc>
          <w:tcPr>
            <w:tcW w:w="340" w:type="dxa"/>
            <w:vAlign w:val="bottom"/>
            <w:gridSpan w:val="8"/>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40" w:type="dxa"/>
            <w:vAlign w:val="bottom"/>
            <w:tcBorders>
              <w:bottom w:val="single" w:sz="8" w:color="0000EE"/>
            </w:tcBorders>
            <w:gridSpan w:val="13"/>
          </w:tcPr>
          <w:p>
            <w:pPr>
              <w:spacing w:after="0" w:line="181" w:lineRule="exact"/>
              <w:rPr>
                <w:rFonts w:ascii="Times New Roman" w:cs="Times New Roman" w:eastAsia="Times New Roman" w:hAnsi="Times New Roman"/>
                <w:sz w:val="17"/>
                <w:szCs w:val="17"/>
                <w:color w:val="auto"/>
                <w:w w:val="97"/>
              </w:rPr>
            </w:pPr>
            <w:hyperlink r:id="rId469">
              <w:r>
                <w:rPr>
                  <w:rFonts w:ascii="Times New Roman" w:cs="Times New Roman" w:eastAsia="Times New Roman" w:hAnsi="Times New Roman"/>
                  <w:sz w:val="17"/>
                  <w:szCs w:val="17"/>
                  <w:color w:val="auto"/>
                  <w:w w:val="97"/>
                </w:rPr>
                <w:t>(Incorporated by reference, Exhibit 10.1 to the Company’s Quarterly Report on Form 10-Q, filed May 2, 2022).8</w:t>
              </w:r>
            </w:hyperlink>
          </w:p>
        </w:tc>
        <w:tc>
          <w:tcPr>
            <w:tcW w:w="2540" w:type="dxa"/>
            <w:vAlign w:val="bottom"/>
            <w:gridSpan w:val="15"/>
          </w:tcPr>
          <w:p>
            <w:pPr>
              <w:spacing w:after="0"/>
              <w:rPr>
                <w:sz w:val="15"/>
                <w:szCs w:val="15"/>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10.19</w:t>
            </w:r>
          </w:p>
        </w:tc>
        <w:tc>
          <w:tcPr>
            <w:tcW w:w="220" w:type="dxa"/>
            <w:vAlign w:val="bottom"/>
          </w:tcPr>
          <w:p>
            <w:pPr>
              <w:spacing w:after="0"/>
              <w:rPr>
                <w:sz w:val="24"/>
                <w:szCs w:val="24"/>
                <w:color w:val="auto"/>
              </w:rPr>
            </w:pPr>
          </w:p>
        </w:tc>
        <w:tc>
          <w:tcPr>
            <w:tcW w:w="10040" w:type="dxa"/>
            <w:vAlign w:val="bottom"/>
            <w:tcBorders>
              <w:bottom w:val="single" w:sz="8" w:color="0000EE"/>
            </w:tcBorders>
            <w:gridSpan w:val="26"/>
          </w:tcPr>
          <w:p>
            <w:pPr>
              <w:spacing w:after="0"/>
              <w:rPr>
                <w:rFonts w:ascii="Times New Roman" w:cs="Times New Roman" w:eastAsia="Times New Roman" w:hAnsi="Times New Roman"/>
                <w:sz w:val="17"/>
                <w:szCs w:val="17"/>
                <w:color w:val="auto"/>
                <w:w w:val="98"/>
              </w:rPr>
            </w:pPr>
            <w:hyperlink r:id="rId470">
              <w:r>
                <w:rPr>
                  <w:rFonts w:ascii="Times New Roman" w:cs="Times New Roman" w:eastAsia="Times New Roman" w:hAnsi="Times New Roman"/>
                  <w:sz w:val="17"/>
                  <w:szCs w:val="17"/>
                  <w:color w:val="auto"/>
                  <w:w w:val="98"/>
                </w:rPr>
                <w:t>Direct Agreement, by and among Axsome Therapeutics, Inc., Antecip Bioventures II LLC, and Hercules Capital Inc., as collateral agent for itself and</w:t>
              </w:r>
            </w:hyperlink>
          </w:p>
        </w:tc>
        <w:tc>
          <w:tcPr>
            <w:tcW w:w="40" w:type="dxa"/>
            <w:vAlign w:val="bottom"/>
            <w:gridSpan w:val="2"/>
          </w:tcPr>
          <w:p>
            <w:pPr>
              <w:spacing w:after="0"/>
              <w:rPr>
                <w:sz w:val="24"/>
                <w:szCs w:val="24"/>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80" w:type="dxa"/>
            <w:vAlign w:val="bottom"/>
            <w:tcBorders>
              <w:bottom w:val="single" w:sz="8" w:color="0000EE"/>
            </w:tcBorders>
            <w:gridSpan w:val="15"/>
          </w:tcPr>
          <w:p>
            <w:pPr>
              <w:spacing w:after="0" w:line="181" w:lineRule="exact"/>
              <w:rPr>
                <w:rFonts w:ascii="Times New Roman" w:cs="Times New Roman" w:eastAsia="Times New Roman" w:hAnsi="Times New Roman"/>
                <w:sz w:val="17"/>
                <w:szCs w:val="17"/>
                <w:color w:val="auto"/>
                <w:w w:val="97"/>
              </w:rPr>
            </w:pPr>
            <w:hyperlink r:id="rId470">
              <w:r>
                <w:rPr>
                  <w:rFonts w:ascii="Times New Roman" w:cs="Times New Roman" w:eastAsia="Times New Roman" w:hAnsi="Times New Roman"/>
                  <w:sz w:val="17"/>
                  <w:szCs w:val="17"/>
                  <w:color w:val="auto"/>
                  <w:w w:val="97"/>
                </w:rPr>
                <w:t>the Lenders (Incorporated by reference, Exhibit 10.5 to the Company’s Quarterly Report on Form 10-Q, filed November 5, 2020).</w:t>
              </w:r>
            </w:hyperlink>
          </w:p>
        </w:tc>
        <w:tc>
          <w:tcPr>
            <w:tcW w:w="1400" w:type="dxa"/>
            <w:vAlign w:val="bottom"/>
            <w:gridSpan w:val="13"/>
          </w:tcPr>
          <w:p>
            <w:pPr>
              <w:spacing w:after="0"/>
              <w:rPr>
                <w:sz w:val="15"/>
                <w:szCs w:val="15"/>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10.20</w:t>
            </w:r>
          </w:p>
        </w:tc>
        <w:tc>
          <w:tcPr>
            <w:tcW w:w="220" w:type="dxa"/>
            <w:vAlign w:val="bottom"/>
          </w:tcPr>
          <w:p>
            <w:pPr>
              <w:spacing w:after="0"/>
              <w:rPr>
                <w:sz w:val="24"/>
                <w:szCs w:val="24"/>
                <w:color w:val="auto"/>
              </w:rPr>
            </w:pPr>
          </w:p>
        </w:tc>
        <w:tc>
          <w:tcPr>
            <w:tcW w:w="9760" w:type="dxa"/>
            <w:vAlign w:val="bottom"/>
            <w:tcBorders>
              <w:bottom w:val="single" w:sz="8" w:color="0000EE"/>
            </w:tcBorders>
            <w:gridSpan w:val="21"/>
          </w:tcPr>
          <w:p>
            <w:pPr>
              <w:spacing w:after="0"/>
              <w:rPr>
                <w:rFonts w:ascii="Times New Roman" w:cs="Times New Roman" w:eastAsia="Times New Roman" w:hAnsi="Times New Roman"/>
                <w:sz w:val="17"/>
                <w:szCs w:val="17"/>
                <w:color w:val="auto"/>
                <w:w w:val="98"/>
              </w:rPr>
            </w:pPr>
            <w:hyperlink r:id="rId471">
              <w:r>
                <w:rPr>
                  <w:rFonts w:ascii="Times New Roman" w:cs="Times New Roman" w:eastAsia="Times New Roman" w:hAnsi="Times New Roman"/>
                  <w:sz w:val="17"/>
                  <w:szCs w:val="17"/>
                  <w:color w:val="auto"/>
                  <w:w w:val="98"/>
                </w:rPr>
                <w:t>Form of Warrant Agreement, dated as of May 9, 2022, between Axsome Therapeutics, Inc. and Hercules Capital, Inc. (Incorporated by reference,</w:t>
              </w:r>
            </w:hyperlink>
          </w:p>
        </w:tc>
        <w:tc>
          <w:tcPr>
            <w:tcW w:w="320" w:type="dxa"/>
            <w:vAlign w:val="bottom"/>
            <w:gridSpan w:val="7"/>
          </w:tcPr>
          <w:p>
            <w:pPr>
              <w:spacing w:after="0"/>
              <w:rPr>
                <w:sz w:val="24"/>
                <w:szCs w:val="24"/>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20" w:type="dxa"/>
            <w:vAlign w:val="bottom"/>
            <w:tcBorders>
              <w:bottom w:val="single" w:sz="8" w:color="0000EE"/>
            </w:tcBorders>
            <w:gridSpan w:val="7"/>
          </w:tcPr>
          <w:p>
            <w:pPr>
              <w:spacing w:after="0" w:line="181" w:lineRule="exact"/>
              <w:rPr>
                <w:rFonts w:ascii="Times New Roman" w:cs="Times New Roman" w:eastAsia="Times New Roman" w:hAnsi="Times New Roman"/>
                <w:sz w:val="17"/>
                <w:szCs w:val="17"/>
                <w:color w:val="auto"/>
                <w:w w:val="98"/>
              </w:rPr>
            </w:pPr>
            <w:hyperlink r:id="rId471">
              <w:r>
                <w:rPr>
                  <w:rFonts w:ascii="Times New Roman" w:cs="Times New Roman" w:eastAsia="Times New Roman" w:hAnsi="Times New Roman"/>
                  <w:sz w:val="17"/>
                  <w:szCs w:val="17"/>
                  <w:color w:val="auto"/>
                  <w:w w:val="98"/>
                </w:rPr>
                <w:t>Exhibit 10.1 to the Company’s Quarterly Report on Form 10-Q, filed August 9, 2022).</w:t>
              </w:r>
            </w:hyperlink>
          </w:p>
        </w:tc>
        <w:tc>
          <w:tcPr>
            <w:tcW w:w="4260" w:type="dxa"/>
            <w:vAlign w:val="bottom"/>
            <w:gridSpan w:val="21"/>
          </w:tcPr>
          <w:p>
            <w:pPr>
              <w:spacing w:after="0"/>
              <w:rPr>
                <w:sz w:val="15"/>
                <w:szCs w:val="15"/>
                <w:color w:val="auto"/>
              </w:rPr>
            </w:pPr>
          </w:p>
        </w:tc>
      </w:tr>
      <w:tr>
        <w:trPr>
          <w:trHeight w:val="430"/>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10.21</w:t>
            </w:r>
          </w:p>
        </w:tc>
        <w:tc>
          <w:tcPr>
            <w:tcW w:w="220" w:type="dxa"/>
            <w:vAlign w:val="bottom"/>
          </w:tcPr>
          <w:p>
            <w:pPr>
              <w:spacing w:after="0"/>
              <w:rPr>
                <w:sz w:val="24"/>
                <w:szCs w:val="24"/>
                <w:color w:val="auto"/>
              </w:rPr>
            </w:pPr>
          </w:p>
        </w:tc>
        <w:tc>
          <w:tcPr>
            <w:tcW w:w="9760" w:type="dxa"/>
            <w:vAlign w:val="bottom"/>
            <w:tcBorders>
              <w:bottom w:val="single" w:sz="8" w:color="0000EE"/>
            </w:tcBorders>
            <w:gridSpan w:val="21"/>
          </w:tcPr>
          <w:p>
            <w:pPr>
              <w:spacing w:after="0"/>
              <w:rPr>
                <w:rFonts w:ascii="Times New Roman" w:cs="Times New Roman" w:eastAsia="Times New Roman" w:hAnsi="Times New Roman"/>
                <w:sz w:val="17"/>
                <w:szCs w:val="17"/>
                <w:color w:val="auto"/>
                <w:w w:val="98"/>
              </w:rPr>
            </w:pPr>
            <w:hyperlink r:id="rId472">
              <w:r>
                <w:rPr>
                  <w:rFonts w:ascii="Times New Roman" w:cs="Times New Roman" w:eastAsia="Times New Roman" w:hAnsi="Times New Roman"/>
                  <w:sz w:val="17"/>
                  <w:szCs w:val="17"/>
                  <w:color w:val="auto"/>
                  <w:w w:val="98"/>
                </w:rPr>
                <w:t>Share Transfer Agreement, dated as of May 9, 2022, between Axsome Therapeutics, Inc., Hercules Capital, Inc., Hercules Private Global Venture</w:t>
              </w:r>
            </w:hyperlink>
          </w:p>
        </w:tc>
        <w:tc>
          <w:tcPr>
            <w:tcW w:w="320" w:type="dxa"/>
            <w:vAlign w:val="bottom"/>
            <w:gridSpan w:val="7"/>
          </w:tcPr>
          <w:p>
            <w:pPr>
              <w:spacing w:after="0"/>
              <w:rPr>
                <w:sz w:val="24"/>
                <w:szCs w:val="24"/>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80" w:type="dxa"/>
            <w:vAlign w:val="bottom"/>
            <w:gridSpan w:val="28"/>
          </w:tcPr>
          <w:p>
            <w:pPr>
              <w:spacing w:after="0" w:line="181" w:lineRule="exact"/>
              <w:rPr>
                <w:rFonts w:ascii="Times New Roman" w:cs="Times New Roman" w:eastAsia="Times New Roman" w:hAnsi="Times New Roman"/>
                <w:sz w:val="17"/>
                <w:szCs w:val="17"/>
                <w:color w:val="auto"/>
                <w:w w:val="98"/>
              </w:rPr>
            </w:pPr>
            <w:hyperlink r:id="rId472">
              <w:r>
                <w:rPr>
                  <w:rFonts w:ascii="Times New Roman" w:cs="Times New Roman" w:eastAsia="Times New Roman" w:hAnsi="Times New Roman"/>
                  <w:sz w:val="17"/>
                  <w:szCs w:val="17"/>
                  <w:color w:val="auto"/>
                  <w:w w:val="98"/>
                </w:rPr>
                <w:t>Growth Fund I L.P. and Hercules Private Credit Fund I L.P. (Incorporated by reference, Exhibit 10.2 to the Company’s Quarterly Report on Form 10-</w:t>
              </w:r>
            </w:hyperlink>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2"/>
          </w:tcPr>
          <w:p>
            <w:pPr>
              <w:spacing w:after="0" w:line="181" w:lineRule="exact"/>
              <w:rPr>
                <w:rFonts w:ascii="Times New Roman" w:cs="Times New Roman" w:eastAsia="Times New Roman" w:hAnsi="Times New Roman"/>
                <w:sz w:val="17"/>
                <w:szCs w:val="17"/>
                <w:color w:val="auto"/>
                <w:w w:val="97"/>
              </w:rPr>
            </w:pPr>
            <w:hyperlink r:id="rId472">
              <w:r>
                <w:rPr>
                  <w:rFonts w:ascii="Times New Roman" w:cs="Times New Roman" w:eastAsia="Times New Roman" w:hAnsi="Times New Roman"/>
                  <w:sz w:val="17"/>
                  <w:szCs w:val="17"/>
                  <w:color w:val="auto"/>
                  <w:w w:val="97"/>
                </w:rPr>
                <w:t>Q, filed August 9, 2022).</w:t>
              </w:r>
            </w:hyperlink>
          </w:p>
        </w:tc>
        <w:tc>
          <w:tcPr>
            <w:tcW w:w="8280" w:type="dxa"/>
            <w:vAlign w:val="bottom"/>
            <w:tcBorders>
              <w:top w:val="single" w:sz="8" w:color="0000EE"/>
            </w:tcBorders>
            <w:gridSpan w:val="23"/>
          </w:tcPr>
          <w:p>
            <w:pPr>
              <w:spacing w:after="0"/>
              <w:rPr>
                <w:sz w:val="15"/>
                <w:szCs w:val="15"/>
                <w:color w:val="auto"/>
              </w:rPr>
            </w:pPr>
          </w:p>
        </w:tc>
        <w:tc>
          <w:tcPr>
            <w:tcW w:w="120" w:type="dxa"/>
            <w:vAlign w:val="bottom"/>
            <w:gridSpan w:val="3"/>
          </w:tcPr>
          <w:p>
            <w:pPr>
              <w:spacing w:after="0"/>
              <w:rPr>
                <w:sz w:val="15"/>
                <w:szCs w:val="15"/>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21.1**</w:t>
            </w:r>
          </w:p>
        </w:tc>
        <w:tc>
          <w:tcPr>
            <w:tcW w:w="22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Subsidiaries of the Company.</w:t>
            </w: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40" w:type="dxa"/>
            <w:vAlign w:val="bottom"/>
            <w:gridSpan w:val="24"/>
          </w:tcPr>
          <w:p>
            <w:pPr>
              <w:spacing w:after="0" w:line="20" w:lineRule="exact"/>
              <w:rPr>
                <w:sz w:val="1"/>
                <w:szCs w:val="1"/>
                <w:color w:val="auto"/>
              </w:rPr>
            </w:pPr>
          </w:p>
        </w:tc>
      </w:tr>
      <w:tr>
        <w:trPr>
          <w:trHeight w:val="343"/>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23.1**</w:t>
            </w:r>
          </w:p>
        </w:tc>
        <w:tc>
          <w:tcPr>
            <w:tcW w:w="220" w:type="dxa"/>
            <w:vAlign w:val="bottom"/>
          </w:tcPr>
          <w:p>
            <w:pPr>
              <w:spacing w:after="0"/>
              <w:rPr>
                <w:sz w:val="24"/>
                <w:szCs w:val="24"/>
                <w:color w:val="auto"/>
              </w:rPr>
            </w:pPr>
          </w:p>
        </w:tc>
        <w:tc>
          <w:tcPr>
            <w:tcW w:w="21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auto"/>
                <w:w w:val="95"/>
              </w:rPr>
              <w:t>Consent of Ernst &amp; Young LLP.</w:t>
            </w:r>
          </w:p>
        </w:tc>
        <w:tc>
          <w:tcPr>
            <w:tcW w:w="7940" w:type="dxa"/>
            <w:vAlign w:val="bottom"/>
            <w:gridSpan w:val="24"/>
          </w:tcPr>
          <w:p>
            <w:pPr>
              <w:spacing w:after="0"/>
              <w:rPr>
                <w:sz w:val="24"/>
                <w:szCs w:val="24"/>
                <w:color w:val="auto"/>
              </w:rPr>
            </w:pPr>
          </w:p>
        </w:tc>
      </w:tr>
      <w:tr>
        <w:trPr>
          <w:trHeight w:val="568"/>
        </w:trPr>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gridSpan w:val="7"/>
          </w:tcPr>
          <w:p>
            <w:pPr>
              <w:ind w:left="4340"/>
              <w:spacing w:after="0"/>
              <w:rPr>
                <w:sz w:val="20"/>
                <w:szCs w:val="20"/>
                <w:color w:val="auto"/>
              </w:rPr>
            </w:pPr>
            <w:r>
              <w:rPr>
                <w:rFonts w:ascii="Times New Roman" w:cs="Times New Roman" w:eastAsia="Times New Roman" w:hAnsi="Times New Roman"/>
                <w:sz w:val="17"/>
                <w:szCs w:val="17"/>
                <w:color w:val="auto"/>
              </w:rPr>
              <w:t>129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49"/>
        </w:trPr>
        <w:tc>
          <w:tcPr>
            <w:tcW w:w="11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68"/>
        </w:trPr>
        <w:tc>
          <w:tcPr>
            <w:tcW w:w="940" w:type="dxa"/>
            <w:vAlign w:val="bottom"/>
            <w:tcBorders>
              <w:top w:val="single" w:sz="8" w:color="0000EE"/>
            </w:tcBorders>
          </w:tcPr>
          <w:p>
            <w:pPr>
              <w:jc w:val="center"/>
              <w:ind w:right="198"/>
              <w:spacing w:after="0"/>
              <w:rPr>
                <w:sz w:val="20"/>
                <w:szCs w:val="20"/>
                <w:color w:val="auto"/>
              </w:rPr>
            </w:pPr>
            <w:r>
              <w:rPr>
                <w:rFonts w:ascii="Times New Roman" w:cs="Times New Roman" w:eastAsia="Times New Roman" w:hAnsi="Times New Roman"/>
                <w:sz w:val="17"/>
                <w:szCs w:val="17"/>
                <w:color w:val="auto"/>
                <w:w w:val="98"/>
              </w:rPr>
              <w:t>31.1**</w:t>
            </w:r>
          </w:p>
        </w:tc>
        <w:tc>
          <w:tcPr>
            <w:tcW w:w="220" w:type="dxa"/>
            <w:vAlign w:val="bottom"/>
          </w:tcPr>
          <w:p>
            <w:pPr>
              <w:spacing w:after="0"/>
              <w:rPr>
                <w:sz w:val="23"/>
                <w:szCs w:val="23"/>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7"/>
                <w:szCs w:val="17"/>
                <w:color w:val="auto"/>
                <w:w w:val="99"/>
              </w:rPr>
              <w:t>Certification of Principal Executive Officer pursuant to Rule 13a-14(a)/15d-14(a), as adopted pursuant to Section 302 of the Sarbanes-Oxley Act of</w:t>
            </w: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0000EE"/>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auto"/>
                <w:w w:val="93"/>
              </w:rPr>
              <w:t>2002.</w:t>
            </w:r>
          </w:p>
        </w:tc>
        <w:tc>
          <w:tcPr>
            <w:tcW w:w="1040" w:type="dxa"/>
            <w:vAlign w:val="bottom"/>
            <w:tcBorders>
              <w:top w:val="single" w:sz="8" w:color="0000EE"/>
            </w:tcBorders>
          </w:tcPr>
          <w:p>
            <w:pPr>
              <w:spacing w:after="0"/>
              <w:rPr>
                <w:sz w:val="15"/>
                <w:szCs w:val="15"/>
                <w:color w:val="auto"/>
              </w:rPr>
            </w:pPr>
          </w:p>
        </w:tc>
        <w:tc>
          <w:tcPr>
            <w:tcW w:w="8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r>
      <w:tr>
        <w:trPr>
          <w:trHeight w:val="343"/>
        </w:trPr>
        <w:tc>
          <w:tcPr>
            <w:tcW w:w="940" w:type="dxa"/>
            <w:vAlign w:val="bottom"/>
          </w:tcPr>
          <w:p>
            <w:pPr>
              <w:jc w:val="center"/>
              <w:ind w:right="198"/>
              <w:spacing w:after="0"/>
              <w:rPr>
                <w:sz w:val="20"/>
                <w:szCs w:val="20"/>
                <w:color w:val="auto"/>
              </w:rPr>
            </w:pPr>
            <w:r>
              <w:rPr>
                <w:rFonts w:ascii="Times New Roman" w:cs="Times New Roman" w:eastAsia="Times New Roman" w:hAnsi="Times New Roman"/>
                <w:sz w:val="17"/>
                <w:szCs w:val="17"/>
                <w:color w:val="auto"/>
                <w:w w:val="98"/>
              </w:rPr>
              <w:t>31.2**</w:t>
            </w:r>
          </w:p>
        </w:tc>
        <w:tc>
          <w:tcPr>
            <w:tcW w:w="220" w:type="dxa"/>
            <w:vAlign w:val="bottom"/>
          </w:tcPr>
          <w:p>
            <w:pPr>
              <w:spacing w:after="0"/>
              <w:rPr>
                <w:sz w:val="24"/>
                <w:szCs w:val="24"/>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7"/>
                <w:szCs w:val="17"/>
                <w:color w:val="auto"/>
                <w:w w:val="99"/>
              </w:rPr>
              <w:t>Certification of Principal Financial Officer pursuant to Rule 13a-14(a)/15d-14(a), as adopted pursuant to Section 302 of the Sarbanes-Oxley Act of</w:t>
            </w: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0000EE"/>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auto"/>
                <w:w w:val="93"/>
              </w:rPr>
              <w:t>2002.</w:t>
            </w:r>
          </w:p>
        </w:tc>
        <w:tc>
          <w:tcPr>
            <w:tcW w:w="1040" w:type="dxa"/>
            <w:vAlign w:val="bottom"/>
            <w:tcBorders>
              <w:top w:val="single" w:sz="8" w:color="0000EE"/>
            </w:tcBorders>
          </w:tcPr>
          <w:p>
            <w:pPr>
              <w:spacing w:after="0"/>
              <w:rPr>
                <w:sz w:val="15"/>
                <w:szCs w:val="15"/>
                <w:color w:val="auto"/>
              </w:rPr>
            </w:pPr>
          </w:p>
        </w:tc>
        <w:tc>
          <w:tcPr>
            <w:tcW w:w="8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43"/>
        </w:trPr>
        <w:tc>
          <w:tcPr>
            <w:tcW w:w="940" w:type="dxa"/>
            <w:vAlign w:val="bottom"/>
          </w:tcPr>
          <w:p>
            <w:pPr>
              <w:jc w:val="center"/>
              <w:ind w:right="198"/>
              <w:spacing w:after="0"/>
              <w:rPr>
                <w:sz w:val="20"/>
                <w:szCs w:val="20"/>
                <w:color w:val="auto"/>
              </w:rPr>
            </w:pPr>
            <w:r>
              <w:rPr>
                <w:rFonts w:ascii="Times New Roman" w:cs="Times New Roman" w:eastAsia="Times New Roman" w:hAnsi="Times New Roman"/>
                <w:sz w:val="17"/>
                <w:szCs w:val="17"/>
                <w:color w:val="auto"/>
                <w:w w:val="98"/>
              </w:rPr>
              <w:t>32.1**</w:t>
            </w:r>
          </w:p>
        </w:tc>
        <w:tc>
          <w:tcPr>
            <w:tcW w:w="220" w:type="dxa"/>
            <w:vAlign w:val="bottom"/>
          </w:tcPr>
          <w:p>
            <w:pPr>
              <w:spacing w:after="0"/>
              <w:rPr>
                <w:sz w:val="24"/>
                <w:szCs w:val="24"/>
                <w:color w:val="auto"/>
              </w:rPr>
            </w:pPr>
          </w:p>
        </w:tc>
        <w:tc>
          <w:tcPr>
            <w:tcW w:w="9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auto"/>
                <w:w w:val="98"/>
              </w:rPr>
              <w:t>Certification of Principal Executive Officer pursuant to 18 U.S.C. §1350, as adopted pursuant to Section 906 of the Sarbanes-Oxley Act of 2002</w:t>
            </w:r>
          </w:p>
        </w:tc>
        <w:tc>
          <w:tcPr>
            <w:tcW w:w="280" w:type="dxa"/>
            <w:vAlign w:val="bottom"/>
            <w:gridSpan w:val="3"/>
          </w:tcPr>
          <w:p>
            <w:pPr>
              <w:spacing w:after="0"/>
              <w:rPr>
                <w:sz w:val="24"/>
                <w:szCs w:val="24"/>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color w:val="auto"/>
                <w:w w:val="97"/>
              </w:rPr>
              <w:t>(furnished herewith).</w:t>
            </w:r>
          </w:p>
        </w:tc>
        <w:tc>
          <w:tcPr>
            <w:tcW w:w="8540" w:type="dxa"/>
            <w:vAlign w:val="bottom"/>
            <w:gridSpan w:val="5"/>
          </w:tcPr>
          <w:p>
            <w:pPr>
              <w:spacing w:after="0"/>
              <w:rPr>
                <w:sz w:val="15"/>
                <w:szCs w:val="15"/>
                <w:color w:val="auto"/>
              </w:rPr>
            </w:pPr>
          </w:p>
        </w:tc>
      </w:tr>
      <w:tr>
        <w:trPr>
          <w:trHeight w:val="343"/>
        </w:trPr>
        <w:tc>
          <w:tcPr>
            <w:tcW w:w="940" w:type="dxa"/>
            <w:vAlign w:val="bottom"/>
          </w:tcPr>
          <w:p>
            <w:pPr>
              <w:jc w:val="center"/>
              <w:ind w:right="198"/>
              <w:spacing w:after="0"/>
              <w:rPr>
                <w:sz w:val="20"/>
                <w:szCs w:val="20"/>
                <w:color w:val="auto"/>
              </w:rPr>
            </w:pPr>
            <w:r>
              <w:rPr>
                <w:rFonts w:ascii="Times New Roman" w:cs="Times New Roman" w:eastAsia="Times New Roman" w:hAnsi="Times New Roman"/>
                <w:sz w:val="17"/>
                <w:szCs w:val="17"/>
                <w:color w:val="auto"/>
                <w:w w:val="98"/>
              </w:rPr>
              <w:t>32.2**</w:t>
            </w:r>
          </w:p>
        </w:tc>
        <w:tc>
          <w:tcPr>
            <w:tcW w:w="220" w:type="dxa"/>
            <w:vAlign w:val="bottom"/>
          </w:tcPr>
          <w:p>
            <w:pPr>
              <w:spacing w:after="0"/>
              <w:rPr>
                <w:sz w:val="24"/>
                <w:szCs w:val="24"/>
                <w:color w:val="auto"/>
              </w:rPr>
            </w:pPr>
          </w:p>
        </w:tc>
        <w:tc>
          <w:tcPr>
            <w:tcW w:w="96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auto"/>
                <w:w w:val="98"/>
              </w:rPr>
              <w:t>Certification of Principal Financial Officer pursuant to 18 U.S.C. §1350, as adopted pursuant to Section 906 of the Sarbanes-Oxley Act of 2002</w:t>
            </w:r>
          </w:p>
        </w:tc>
        <w:tc>
          <w:tcPr>
            <w:tcW w:w="340" w:type="dxa"/>
            <w:vAlign w:val="bottom"/>
            <w:gridSpan w:val="4"/>
          </w:tcPr>
          <w:p>
            <w:pPr>
              <w:spacing w:after="0"/>
              <w:rPr>
                <w:sz w:val="24"/>
                <w:szCs w:val="24"/>
                <w:color w:val="auto"/>
              </w:rPr>
            </w:pPr>
          </w:p>
        </w:tc>
      </w:tr>
      <w:tr>
        <w:trPr>
          <w:trHeight w:val="180"/>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color w:val="auto"/>
                <w:w w:val="97"/>
              </w:rPr>
              <w:t>(furnished herewith).</w:t>
            </w:r>
          </w:p>
        </w:tc>
        <w:tc>
          <w:tcPr>
            <w:tcW w:w="8540" w:type="dxa"/>
            <w:vAlign w:val="bottom"/>
            <w:gridSpan w:val="5"/>
          </w:tcPr>
          <w:p>
            <w:pPr>
              <w:spacing w:after="0"/>
              <w:rPr>
                <w:sz w:val="15"/>
                <w:szCs w:val="15"/>
                <w:color w:val="auto"/>
              </w:rPr>
            </w:pPr>
          </w:p>
        </w:tc>
      </w:tr>
      <w:tr>
        <w:trPr>
          <w:trHeight w:val="364"/>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9960" w:type="dxa"/>
            <w:vAlign w:val="bottom"/>
            <w:gridSpan w:val="7"/>
          </w:tcPr>
          <w:p>
            <w:pPr>
              <w:spacing w:after="0"/>
              <w:rPr>
                <w:sz w:val="20"/>
                <w:szCs w:val="20"/>
                <w:color w:val="auto"/>
              </w:rPr>
            </w:pPr>
            <w:r>
              <w:rPr>
                <w:rFonts w:ascii="Times New Roman" w:cs="Times New Roman" w:eastAsia="Times New Roman" w:hAnsi="Times New Roman"/>
                <w:sz w:val="17"/>
                <w:szCs w:val="17"/>
                <w:color w:val="auto"/>
                <w:w w:val="97"/>
              </w:rPr>
              <w:t>Inline XBRL Instance Document (the instance document does not appear in the Interactive Data File because its XBRL tags are embedded within the</w:t>
            </w:r>
          </w:p>
        </w:tc>
      </w:tr>
      <w:tr>
        <w:trPr>
          <w:trHeight w:val="217"/>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document)</w:t>
            </w:r>
          </w:p>
        </w:tc>
      </w:tr>
      <w:tr>
        <w:trPr>
          <w:trHeight w:val="450"/>
        </w:trPr>
        <w:tc>
          <w:tcPr>
            <w:tcW w:w="116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95"/>
              </w:rPr>
              <w:t>101.SCH</w:t>
            </w:r>
          </w:p>
        </w:tc>
        <w:tc>
          <w:tcPr>
            <w:tcW w:w="99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450"/>
        </w:trPr>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auto"/>
                <w:w w:val="97"/>
              </w:rPr>
              <w:t>101.CAL</w:t>
            </w:r>
          </w:p>
        </w:tc>
        <w:tc>
          <w:tcPr>
            <w:tcW w:w="99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Database Document</w:t>
            </w:r>
          </w:p>
        </w:tc>
      </w:tr>
      <w:tr>
        <w:trPr>
          <w:trHeight w:val="425"/>
        </w:trPr>
        <w:tc>
          <w:tcPr>
            <w:tcW w:w="116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96"/>
              </w:rPr>
              <w:t>101.DEF</w:t>
            </w:r>
          </w:p>
        </w:tc>
        <w:tc>
          <w:tcPr>
            <w:tcW w:w="99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450"/>
        </w:trPr>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auto"/>
                <w:w w:val="97"/>
              </w:rPr>
              <w:t>101.LAB</w:t>
            </w:r>
          </w:p>
        </w:tc>
        <w:tc>
          <w:tcPr>
            <w:tcW w:w="99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450"/>
        </w:trPr>
        <w:tc>
          <w:tcPr>
            <w:tcW w:w="116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98"/>
              </w:rPr>
              <w:t>101.PRE</w:t>
            </w:r>
          </w:p>
        </w:tc>
        <w:tc>
          <w:tcPr>
            <w:tcW w:w="99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234" w:lineRule="exact"/>
        <w:rPr>
          <w:sz w:val="20"/>
          <w:szCs w:val="20"/>
          <w:color w:val="auto"/>
        </w:rPr>
      </w:pPr>
    </w:p>
    <w:p>
      <w:pPr>
        <w:ind w:left="1160" w:hanging="1147"/>
        <w:spacing w:after="0"/>
        <w:tabs>
          <w:tab w:leader="none" w:pos="116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304" w:lineRule="exact"/>
        <w:rPr>
          <w:rFonts w:ascii="Times New Roman" w:cs="Times New Roman" w:eastAsia="Times New Roman" w:hAnsi="Times New Roman"/>
          <w:sz w:val="17"/>
          <w:szCs w:val="17"/>
          <w:color w:val="auto"/>
        </w:rPr>
      </w:pPr>
    </w:p>
    <w:p>
      <w:pPr>
        <w:ind w:left="340" w:hanging="340"/>
        <w:spacing w:after="0"/>
        <w:tabs>
          <w:tab w:leader="none" w:pos="3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w:t>
      </w:r>
    </w:p>
    <w:p>
      <w:pPr>
        <w:spacing w:after="0" w:line="105" w:lineRule="exact"/>
        <w:rPr>
          <w:sz w:val="20"/>
          <w:szCs w:val="20"/>
          <w:color w:val="auto"/>
        </w:rPr>
      </w:pPr>
    </w:p>
    <w:p>
      <w:pPr>
        <w:ind w:left="740" w:right="480" w:hanging="740"/>
        <w:spacing w:after="0" w:line="271" w:lineRule="auto"/>
        <w:tabs>
          <w:tab w:leader="none" w:pos="32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Confidential treatment has been granted with respect to certain portions of this exhibit. Omitted portions have been filed separately with the Securities and Exchange Commission.</w:t>
      </w:r>
    </w:p>
    <w:p>
      <w:pPr>
        <w:spacing w:after="0" w:line="59" w:lineRule="exact"/>
        <w:rPr>
          <w:sz w:val="20"/>
          <w:szCs w:val="20"/>
          <w:color w:val="auto"/>
        </w:rPr>
      </w:pPr>
    </w:p>
    <w:p>
      <w:pPr>
        <w:ind w:right="3980"/>
        <w:spacing w:after="0" w:line="394" w:lineRule="auto"/>
        <w:tabs>
          <w:tab w:leader="none" w:pos="33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this exhibit have been redacted pursuant to Item 601(b)(10)(iv) of Regulation S-K. ** Filed herewith.</w:t>
      </w:r>
    </w:p>
    <w:p>
      <w:pPr>
        <w:spacing w:after="0" w:line="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20"/>
          </w:cols>
          <w:pgMar w:left="320" w:top="11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6">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09" w:lineRule="exact"/>
        <w:rPr>
          <w:sz w:val="20"/>
          <w:szCs w:val="20"/>
          <w:color w:val="auto"/>
        </w:rPr>
      </w:pPr>
    </w:p>
    <w:p>
      <w:pPr>
        <w:ind w:firstLine="750"/>
        <w:spacing w:after="0" w:line="271" w:lineRule="auto"/>
        <w:rPr>
          <w:sz w:val="20"/>
          <w:szCs w:val="20"/>
          <w:color w:val="auto"/>
        </w:rPr>
      </w:pPr>
      <w:r>
        <w:rPr>
          <w:rFonts w:ascii="Times New Roman" w:cs="Times New Roman" w:eastAsia="Times New Roman" w:hAnsi="Times New Roman"/>
          <w:sz w:val="17"/>
          <w:szCs w:val="17"/>
          <w:color w:val="auto"/>
        </w:rPr>
        <w:t>We may voluntarily include a summary of information required by Form 10-K under this Item 16. We have elected not to include such summary information.</w:t>
      </w:r>
    </w:p>
    <w:p>
      <w:pPr>
        <w:spacing w:after="0" w:line="3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67880" cy="412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380"/>
          </w:cols>
          <w:pgMar w:left="320" w:top="120" w:right="11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3"/>
          <w:szCs w:val="13"/>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7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9" w:lineRule="exact"/>
        <w:rPr>
          <w:sz w:val="20"/>
          <w:szCs w:val="20"/>
          <w:color w:val="auto"/>
        </w:rPr>
      </w:pPr>
    </w:p>
    <w:p>
      <w:pPr>
        <w:ind w:right="380" w:firstLine="75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 on this 27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of February 2023.</w:t>
      </w:r>
    </w:p>
    <w:p>
      <w:pPr>
        <w:spacing w:after="0" w:line="33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AXSOME THERAPEUTICS, INC.</w:t>
      </w:r>
    </w:p>
    <w:p>
      <w:pPr>
        <w:spacing w:after="0" w:line="255" w:lineRule="exact"/>
        <w:rPr>
          <w:sz w:val="20"/>
          <w:szCs w:val="20"/>
          <w:color w:val="auto"/>
        </w:rPr>
      </w:pPr>
    </w:p>
    <w:p>
      <w:pPr>
        <w:ind w:left="5680"/>
        <w:spacing w:after="0"/>
        <w:tabs>
          <w:tab w:leader="none" w:pos="78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13335</wp:posOffset>
            </wp:positionV>
            <wp:extent cx="31381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9">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3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7"/>
          <w:szCs w:val="17"/>
          <w:color w:val="auto"/>
        </w:rPr>
        <w:t>Herriot Tabuteau, M.D.</w:t>
      </w:r>
    </w:p>
    <w:p>
      <w:pPr>
        <w:spacing w:after="0" w:line="2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46" w:lineRule="exact"/>
        <w:rPr>
          <w:sz w:val="20"/>
          <w:szCs w:val="20"/>
          <w:color w:val="auto"/>
        </w:rPr>
      </w:pPr>
    </w:p>
    <w:p>
      <w:pPr>
        <w:ind w:right="400" w:firstLine="750"/>
        <w:spacing w:after="0" w:line="27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by the following persons on behalf of the registrant and in the capacities and on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Signature</w:t>
            </w:r>
          </w:p>
        </w:tc>
        <w:tc>
          <w:tcPr>
            <w:tcW w:w="320" w:type="dxa"/>
            <w:vAlign w:val="bottom"/>
          </w:tcPr>
          <w:p>
            <w:pPr>
              <w:spacing w:after="0"/>
              <w:rPr>
                <w:sz w:val="19"/>
                <w:szCs w:val="19"/>
                <w:color w:val="auto"/>
              </w:rPr>
            </w:pPr>
          </w:p>
        </w:tc>
        <w:tc>
          <w:tcPr>
            <w:tcW w:w="4700" w:type="dxa"/>
            <w:vAlign w:val="bottom"/>
            <w:tcBorders>
              <w:bottom w:val="single" w:sz="8" w:color="auto"/>
            </w:tcBorders>
          </w:tcPr>
          <w:p>
            <w:pPr>
              <w:jc w:val="right"/>
              <w:ind w:right="2097"/>
              <w:spacing w:after="0"/>
              <w:rPr>
                <w:sz w:val="20"/>
                <w:szCs w:val="20"/>
                <w:color w:val="auto"/>
              </w:rPr>
            </w:pPr>
            <w:r>
              <w:rPr>
                <w:rFonts w:ascii="Times New Roman" w:cs="Times New Roman" w:eastAsia="Times New Roman" w:hAnsi="Times New Roman"/>
                <w:sz w:val="17"/>
                <w:szCs w:val="17"/>
                <w:b w:val="1"/>
                <w:bCs w:val="1"/>
                <w:color w:val="auto"/>
              </w:rPr>
              <w:t>Title</w:t>
            </w:r>
          </w:p>
        </w:tc>
        <w:tc>
          <w:tcPr>
            <w:tcW w:w="440" w:type="dxa"/>
            <w:vAlign w:val="bottom"/>
          </w:tcPr>
          <w:p>
            <w:pPr>
              <w:spacing w:after="0"/>
              <w:rPr>
                <w:sz w:val="19"/>
                <w:szCs w:val="19"/>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60" w:type="dxa"/>
            <w:vAlign w:val="bottom"/>
          </w:tcPr>
          <w:p>
            <w:pPr>
              <w:spacing w:after="0"/>
              <w:rPr>
                <w:sz w:val="24"/>
                <w:szCs w:val="24"/>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 Herriot Tabuteau, M.D.</w:t>
            </w:r>
          </w:p>
        </w:tc>
        <w:tc>
          <w:tcPr>
            <w:tcW w:w="50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Chief Executive Officer and Chairman of the Board (Principal</w:t>
            </w:r>
          </w:p>
        </w:tc>
        <w:tc>
          <w:tcPr>
            <w:tcW w:w="22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auto"/>
              </w:rPr>
              <w:t>February 27,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Herriot Tabuteau, M.D.</w:t>
            </w:r>
          </w:p>
        </w:tc>
        <w:tc>
          <w:tcPr>
            <w:tcW w:w="5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Executive Officer)</w:t>
            </w:r>
          </w:p>
        </w:tc>
        <w:tc>
          <w:tcPr>
            <w:tcW w:w="22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880" w:type="dxa"/>
            <w:vAlign w:val="bottom"/>
            <w:vMerge w:val="continue"/>
          </w:tcPr>
          <w:p>
            <w:pPr>
              <w:spacing w:after="0"/>
              <w:rPr>
                <w:sz w:val="10"/>
                <w:szCs w:val="10"/>
                <w:color w:val="auto"/>
              </w:rPr>
            </w:pPr>
          </w:p>
        </w:tc>
        <w:tc>
          <w:tcPr>
            <w:tcW w:w="50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9"/>
        </w:trPr>
        <w:tc>
          <w:tcPr>
            <w:tcW w:w="60" w:type="dxa"/>
            <w:vAlign w:val="bottom"/>
          </w:tcPr>
          <w:p>
            <w:pPr>
              <w:spacing w:after="0"/>
              <w:rPr>
                <w:sz w:val="24"/>
                <w:szCs w:val="24"/>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/s/ Nick Pizzie</w:t>
            </w:r>
          </w:p>
        </w:tc>
        <w:tc>
          <w:tcPr>
            <w:tcW w:w="50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Chief Financial Officer</w:t>
            </w:r>
          </w:p>
        </w:tc>
        <w:tc>
          <w:tcPr>
            <w:tcW w:w="22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auto"/>
              </w:rPr>
              <w:t>February 27,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0" w:type="dxa"/>
            <w:vAlign w:val="bottom"/>
          </w:tcPr>
          <w:p>
            <w:pPr>
              <w:spacing w:after="0"/>
              <w:rPr>
                <w:sz w:val="9"/>
                <w:szCs w:val="9"/>
                <w:color w:val="auto"/>
              </w:rPr>
            </w:pP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Nick Pizzie</w:t>
            </w:r>
          </w:p>
        </w:tc>
        <w:tc>
          <w:tcPr>
            <w:tcW w:w="5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2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3880" w:type="dxa"/>
            <w:vAlign w:val="bottom"/>
            <w:vMerge w:val="continue"/>
          </w:tcPr>
          <w:p>
            <w:pPr>
              <w:spacing w:after="0"/>
              <w:rPr>
                <w:sz w:val="9"/>
                <w:szCs w:val="9"/>
                <w:color w:val="auto"/>
              </w:rPr>
            </w:pPr>
          </w:p>
        </w:tc>
        <w:tc>
          <w:tcPr>
            <w:tcW w:w="50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2"/>
        </w:trPr>
        <w:tc>
          <w:tcPr>
            <w:tcW w:w="60" w:type="dxa"/>
            <w:vAlign w:val="bottom"/>
          </w:tcPr>
          <w:p>
            <w:pPr>
              <w:spacing w:after="0"/>
              <w:rPr>
                <w:sz w:val="24"/>
                <w:szCs w:val="24"/>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 Roger Jeffs, Ph.D.</w:t>
            </w:r>
          </w:p>
        </w:tc>
        <w:tc>
          <w:tcPr>
            <w:tcW w:w="5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Director</w:t>
            </w:r>
          </w:p>
        </w:tc>
        <w:tc>
          <w:tcPr>
            <w:tcW w:w="22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auto"/>
              </w:rPr>
              <w:t>February 27,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Roger Jeffs, Ph.D.</w:t>
            </w:r>
          </w:p>
        </w:tc>
        <w:tc>
          <w:tcPr>
            <w:tcW w:w="5020" w:type="dxa"/>
            <w:vAlign w:val="bottom"/>
            <w:gridSpan w:val="2"/>
            <w:vMerge w:val="continue"/>
          </w:tcPr>
          <w:p>
            <w:pPr>
              <w:spacing w:after="0"/>
              <w:rPr>
                <w:sz w:val="8"/>
                <w:szCs w:val="8"/>
                <w:color w:val="auto"/>
              </w:rPr>
            </w:pPr>
          </w:p>
        </w:tc>
        <w:tc>
          <w:tcPr>
            <w:tcW w:w="22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8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4"/>
        </w:trPr>
        <w:tc>
          <w:tcPr>
            <w:tcW w:w="60" w:type="dxa"/>
            <w:vAlign w:val="bottom"/>
          </w:tcPr>
          <w:p>
            <w:pPr>
              <w:spacing w:after="0"/>
              <w:rPr>
                <w:sz w:val="24"/>
                <w:szCs w:val="24"/>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Mark Coleman, M.D.</w:t>
            </w:r>
          </w:p>
        </w:tc>
        <w:tc>
          <w:tcPr>
            <w:tcW w:w="5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Director</w:t>
            </w:r>
          </w:p>
        </w:tc>
        <w:tc>
          <w:tcPr>
            <w:tcW w:w="22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auto"/>
              </w:rPr>
              <w:t>February 27,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Mark Coleman, M.D.</w:t>
            </w:r>
          </w:p>
        </w:tc>
        <w:tc>
          <w:tcPr>
            <w:tcW w:w="5020" w:type="dxa"/>
            <w:vAlign w:val="bottom"/>
            <w:gridSpan w:val="2"/>
            <w:vMerge w:val="continue"/>
          </w:tcPr>
          <w:p>
            <w:pPr>
              <w:spacing w:after="0"/>
              <w:rPr>
                <w:sz w:val="8"/>
                <w:szCs w:val="8"/>
                <w:color w:val="auto"/>
              </w:rPr>
            </w:pPr>
          </w:p>
        </w:tc>
        <w:tc>
          <w:tcPr>
            <w:tcW w:w="22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8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4"/>
        </w:trPr>
        <w:tc>
          <w:tcPr>
            <w:tcW w:w="60" w:type="dxa"/>
            <w:vAlign w:val="bottom"/>
          </w:tcPr>
          <w:p>
            <w:pPr>
              <w:spacing w:after="0"/>
              <w:rPr>
                <w:sz w:val="24"/>
                <w:szCs w:val="24"/>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 Mark Saad</w:t>
            </w:r>
          </w:p>
        </w:tc>
        <w:tc>
          <w:tcPr>
            <w:tcW w:w="5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Director</w:t>
            </w:r>
          </w:p>
        </w:tc>
        <w:tc>
          <w:tcPr>
            <w:tcW w:w="22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auto"/>
              </w:rPr>
              <w:t>February 27, 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60" w:type="dxa"/>
            <w:vAlign w:val="bottom"/>
          </w:tcPr>
          <w:p>
            <w:pPr>
              <w:spacing w:after="0"/>
              <w:rPr>
                <w:sz w:val="8"/>
                <w:szCs w:val="8"/>
                <w:color w:val="auto"/>
              </w:rPr>
            </w:pP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Mark Saad</w:t>
            </w:r>
          </w:p>
        </w:tc>
        <w:tc>
          <w:tcPr>
            <w:tcW w:w="5020" w:type="dxa"/>
            <w:vAlign w:val="bottom"/>
            <w:gridSpan w:val="2"/>
            <w:vMerge w:val="continue"/>
          </w:tcPr>
          <w:p>
            <w:pPr>
              <w:spacing w:after="0"/>
              <w:rPr>
                <w:sz w:val="8"/>
                <w:szCs w:val="8"/>
                <w:color w:val="auto"/>
              </w:rPr>
            </w:pPr>
          </w:p>
        </w:tc>
        <w:tc>
          <w:tcPr>
            <w:tcW w:w="22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8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4"/>
        </w:trPr>
        <w:tc>
          <w:tcPr>
            <w:tcW w:w="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020" w:type="dxa"/>
            <w:vAlign w:val="bottom"/>
            <w:gridSpan w:val="2"/>
          </w:tcPr>
          <w:p>
            <w:pPr>
              <w:jc w:val="right"/>
              <w:ind w:right="3137"/>
              <w:spacing w:after="0"/>
              <w:rPr>
                <w:sz w:val="20"/>
                <w:szCs w:val="20"/>
                <w:color w:val="auto"/>
              </w:rPr>
            </w:pPr>
            <w:r>
              <w:rPr>
                <w:rFonts w:ascii="Times New Roman" w:cs="Times New Roman" w:eastAsia="Times New Roman" w:hAnsi="Times New Roman"/>
                <w:sz w:val="17"/>
                <w:szCs w:val="17"/>
                <w:color w:val="auto"/>
              </w:rPr>
              <w:t>132</w:t>
            </w: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7"/>
          <w:szCs w:val="17"/>
          <w:b w:val="1"/>
          <w:bCs w:val="1"/>
          <w:color w:val="auto"/>
        </w:rPr>
        <w:t>Exhibit 21.1</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Subsidiaries of the Company</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740" w:type="dxa"/>
            <w:vAlign w:val="bottom"/>
          </w:tcPr>
          <w:p>
            <w:pPr>
              <w:spacing w:after="0"/>
              <w:rPr>
                <w:sz w:val="17"/>
                <w:szCs w:val="17"/>
                <w:color w:val="auto"/>
              </w:rPr>
            </w:pPr>
          </w:p>
        </w:tc>
      </w:tr>
      <w:tr>
        <w:trPr>
          <w:trHeight w:val="234"/>
        </w:trPr>
        <w:tc>
          <w:tcPr>
            <w:tcW w:w="1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151"/>
        </w:trPr>
        <w:tc>
          <w:tcPr>
            <w:tcW w:w="2280" w:type="dxa"/>
            <w:vAlign w:val="bottom"/>
            <w:tcBorders>
              <w:left w:val="single" w:sz="8" w:color="auto"/>
              <w:right w:val="single" w:sz="8" w:color="auto"/>
            </w:tcBorders>
            <w:gridSpan w:val="4"/>
          </w:tcPr>
          <w:p>
            <w:pPr>
              <w:ind w:left="120"/>
              <w:spacing w:after="0" w:line="151" w:lineRule="exact"/>
              <w:rPr>
                <w:sz w:val="20"/>
                <w:szCs w:val="20"/>
                <w:color w:val="auto"/>
              </w:rPr>
            </w:pPr>
            <w:r>
              <w:rPr>
                <w:rFonts w:ascii="Times New Roman" w:cs="Times New Roman" w:eastAsia="Times New Roman" w:hAnsi="Times New Roman"/>
                <w:sz w:val="17"/>
                <w:szCs w:val="17"/>
                <w:b w:val="1"/>
                <w:bCs w:val="1"/>
                <w:color w:val="auto"/>
              </w:rPr>
              <w:t>Name</w:t>
            </w:r>
          </w:p>
        </w:tc>
        <w:tc>
          <w:tcPr>
            <w:tcW w:w="60" w:type="dxa"/>
            <w:vAlign w:val="bottom"/>
          </w:tcPr>
          <w:p>
            <w:pPr>
              <w:spacing w:after="0"/>
              <w:rPr>
                <w:sz w:val="13"/>
                <w:szCs w:val="13"/>
                <w:color w:val="auto"/>
              </w:rPr>
            </w:pPr>
          </w:p>
        </w:tc>
        <w:tc>
          <w:tcPr>
            <w:tcW w:w="2160" w:type="dxa"/>
            <w:vAlign w:val="bottom"/>
            <w:tcBorders>
              <w:right w:val="single" w:sz="8" w:color="auto"/>
            </w:tcBorders>
            <w:gridSpan w:val="2"/>
          </w:tcPr>
          <w:p>
            <w:pPr>
              <w:spacing w:after="0" w:line="151" w:lineRule="exact"/>
              <w:rPr>
                <w:sz w:val="20"/>
                <w:szCs w:val="20"/>
                <w:color w:val="auto"/>
              </w:rPr>
            </w:pPr>
            <w:r>
              <w:rPr>
                <w:rFonts w:ascii="Times New Roman" w:cs="Times New Roman" w:eastAsia="Times New Roman" w:hAnsi="Times New Roman"/>
                <w:sz w:val="17"/>
                <w:szCs w:val="17"/>
                <w:b w:val="1"/>
                <w:bCs w:val="1"/>
                <w:color w:val="auto"/>
              </w:rPr>
              <w:t>Jurisdiction</w:t>
            </w:r>
          </w:p>
        </w:tc>
        <w:tc>
          <w:tcPr>
            <w:tcW w:w="6740" w:type="dxa"/>
            <w:vAlign w:val="bottom"/>
          </w:tcPr>
          <w:p>
            <w:pPr>
              <w:spacing w:after="0"/>
              <w:rPr>
                <w:sz w:val="13"/>
                <w:szCs w:val="13"/>
                <w:color w:val="auto"/>
              </w:rPr>
            </w:pPr>
          </w:p>
        </w:tc>
      </w:tr>
      <w:tr>
        <w:trPr>
          <w:trHeight w:val="59"/>
        </w:trPr>
        <w:tc>
          <w:tcPr>
            <w:tcW w:w="120" w:type="dxa"/>
            <w:vAlign w:val="bottom"/>
            <w:tcBorders>
              <w:left w:val="single" w:sz="8" w:color="auto"/>
              <w:bottom w:val="single" w:sz="8" w:color="auto"/>
            </w:tcBorders>
          </w:tcPr>
          <w:p>
            <w:pPr>
              <w:spacing w:after="0"/>
              <w:rPr>
                <w:sz w:val="5"/>
                <w:szCs w:val="5"/>
                <w:color w:val="auto"/>
              </w:rPr>
            </w:pPr>
          </w:p>
        </w:tc>
        <w:tc>
          <w:tcPr>
            <w:tcW w:w="400" w:type="dxa"/>
            <w:vAlign w:val="bottom"/>
            <w:tcBorders>
              <w:top w:val="single" w:sz="8" w:color="auto"/>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60" w:type="dxa"/>
            <w:vAlign w:val="bottom"/>
            <w:tcBorders>
              <w:top w:val="single" w:sz="8" w:color="auto"/>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6740" w:type="dxa"/>
            <w:vAlign w:val="bottom"/>
          </w:tcPr>
          <w:p>
            <w:pPr>
              <w:spacing w:after="0"/>
              <w:rPr>
                <w:sz w:val="5"/>
                <w:szCs w:val="5"/>
                <w:color w:val="auto"/>
              </w:rPr>
            </w:pPr>
          </w:p>
        </w:tc>
      </w:tr>
      <w:tr>
        <w:trPr>
          <w:trHeight w:val="172"/>
        </w:trPr>
        <w:tc>
          <w:tcPr>
            <w:tcW w:w="2280" w:type="dxa"/>
            <w:vAlign w:val="bottom"/>
            <w:tcBorders>
              <w:left w:val="single" w:sz="8" w:color="auto"/>
              <w:right w:val="single" w:sz="8" w:color="auto"/>
            </w:tcBorders>
            <w:gridSpan w:val="4"/>
          </w:tcPr>
          <w:p>
            <w:pPr>
              <w:ind w:left="120"/>
              <w:spacing w:after="0" w:line="172" w:lineRule="exact"/>
              <w:rPr>
                <w:sz w:val="20"/>
                <w:szCs w:val="20"/>
                <w:color w:val="auto"/>
              </w:rPr>
            </w:pPr>
            <w:r>
              <w:rPr>
                <w:rFonts w:ascii="Times New Roman" w:cs="Times New Roman" w:eastAsia="Times New Roman" w:hAnsi="Times New Roman"/>
                <w:sz w:val="17"/>
                <w:szCs w:val="17"/>
                <w:color w:val="auto"/>
              </w:rPr>
              <w:t>Axsome Therapeutics</w:t>
            </w:r>
          </w:p>
        </w:tc>
        <w:tc>
          <w:tcPr>
            <w:tcW w:w="60" w:type="dxa"/>
            <w:vAlign w:val="bottom"/>
          </w:tcPr>
          <w:p>
            <w:pPr>
              <w:spacing w:after="0"/>
              <w:rPr>
                <w:sz w:val="15"/>
                <w:szCs w:val="15"/>
                <w:color w:val="auto"/>
              </w:rPr>
            </w:pPr>
          </w:p>
        </w:tc>
        <w:tc>
          <w:tcPr>
            <w:tcW w:w="2160" w:type="dxa"/>
            <w:vAlign w:val="bottom"/>
            <w:tcBorders>
              <w:right w:val="single" w:sz="8" w:color="auto"/>
            </w:tcBorders>
            <w:gridSpan w:val="2"/>
          </w:tcPr>
          <w:p>
            <w:pPr>
              <w:spacing w:after="0" w:line="172" w:lineRule="exact"/>
              <w:rPr>
                <w:sz w:val="20"/>
                <w:szCs w:val="20"/>
                <w:color w:val="auto"/>
              </w:rPr>
            </w:pPr>
            <w:r>
              <w:rPr>
                <w:rFonts w:ascii="Times New Roman" w:cs="Times New Roman" w:eastAsia="Times New Roman" w:hAnsi="Times New Roman"/>
                <w:sz w:val="17"/>
                <w:szCs w:val="17"/>
                <w:color w:val="auto"/>
              </w:rPr>
              <w:t>Australia</w:t>
            </w:r>
          </w:p>
        </w:tc>
        <w:tc>
          <w:tcPr>
            <w:tcW w:w="6740" w:type="dxa"/>
            <w:vAlign w:val="bottom"/>
          </w:tcPr>
          <w:p>
            <w:pPr>
              <w:spacing w:after="0"/>
              <w:rPr>
                <w:sz w:val="15"/>
                <w:szCs w:val="15"/>
                <w:color w:val="auto"/>
              </w:rPr>
            </w:pPr>
          </w:p>
        </w:tc>
      </w:tr>
      <w:tr>
        <w:trPr>
          <w:trHeight w:val="223"/>
        </w:trPr>
        <w:tc>
          <w:tcPr>
            <w:tcW w:w="228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Australia Pty Ltd</w:t>
            </w:r>
          </w:p>
        </w:tc>
        <w:tc>
          <w:tcPr>
            <w:tcW w:w="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6740" w:type="dxa"/>
            <w:vAlign w:val="bottom"/>
          </w:tcPr>
          <w:p>
            <w:pPr>
              <w:spacing w:after="0"/>
              <w:rPr>
                <w:sz w:val="19"/>
                <w:szCs w:val="19"/>
                <w:color w:val="auto"/>
              </w:rPr>
            </w:pPr>
          </w:p>
        </w:tc>
      </w:tr>
      <w:tr>
        <w:trPr>
          <w:trHeight w:val="195"/>
        </w:trPr>
        <w:tc>
          <w:tcPr>
            <w:tcW w:w="22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Axsome Therapeutics,</w:t>
            </w:r>
          </w:p>
        </w:tc>
        <w:tc>
          <w:tcPr>
            <w:tcW w:w="60" w:type="dxa"/>
            <w:vAlign w:val="bottom"/>
          </w:tcPr>
          <w:p>
            <w:pPr>
              <w:spacing w:after="0"/>
              <w:rPr>
                <w:sz w:val="16"/>
                <w:szCs w:val="16"/>
                <w:color w:val="auto"/>
              </w:rPr>
            </w:pP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Ireland</w:t>
            </w:r>
          </w:p>
        </w:tc>
        <w:tc>
          <w:tcPr>
            <w:tcW w:w="6740" w:type="dxa"/>
            <w:vAlign w:val="bottom"/>
          </w:tcPr>
          <w:p>
            <w:pPr>
              <w:spacing w:after="0"/>
              <w:rPr>
                <w:sz w:val="16"/>
                <w:szCs w:val="16"/>
                <w:color w:val="auto"/>
              </w:rPr>
            </w:pPr>
          </w:p>
        </w:tc>
      </w:tr>
      <w:tr>
        <w:trPr>
          <w:trHeight w:val="223"/>
        </w:trPr>
        <w:tc>
          <w:tcPr>
            <w:tcW w:w="228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Limited</w:t>
            </w:r>
          </w:p>
        </w:tc>
        <w:tc>
          <w:tcPr>
            <w:tcW w:w="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6740" w:type="dxa"/>
            <w:vAlign w:val="bottom"/>
          </w:tcPr>
          <w:p>
            <w:pPr>
              <w:spacing w:after="0"/>
              <w:rPr>
                <w:sz w:val="19"/>
                <w:szCs w:val="19"/>
                <w:color w:val="auto"/>
              </w:rPr>
            </w:pPr>
          </w:p>
        </w:tc>
      </w:tr>
      <w:tr>
        <w:trPr>
          <w:trHeight w:val="195"/>
        </w:trPr>
        <w:tc>
          <w:tcPr>
            <w:tcW w:w="228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Axsome International</w:t>
            </w:r>
          </w:p>
        </w:tc>
        <w:tc>
          <w:tcPr>
            <w:tcW w:w="60" w:type="dxa"/>
            <w:vAlign w:val="bottom"/>
          </w:tcPr>
          <w:p>
            <w:pPr>
              <w:spacing w:after="0"/>
              <w:rPr>
                <w:sz w:val="16"/>
                <w:szCs w:val="16"/>
                <w:color w:val="auto"/>
              </w:rPr>
            </w:pP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Delaware</w:t>
            </w:r>
          </w:p>
        </w:tc>
        <w:tc>
          <w:tcPr>
            <w:tcW w:w="6740" w:type="dxa"/>
            <w:vAlign w:val="bottom"/>
          </w:tcPr>
          <w:p>
            <w:pPr>
              <w:spacing w:after="0"/>
              <w:rPr>
                <w:sz w:val="16"/>
                <w:szCs w:val="16"/>
                <w:color w:val="auto"/>
              </w:rPr>
            </w:pPr>
          </w:p>
        </w:tc>
      </w:tr>
      <w:tr>
        <w:trPr>
          <w:trHeight w:val="223"/>
        </w:trPr>
        <w:tc>
          <w:tcPr>
            <w:tcW w:w="228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Holdings LLC</w:t>
            </w:r>
          </w:p>
        </w:tc>
        <w:tc>
          <w:tcPr>
            <w:tcW w:w="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6740" w:type="dxa"/>
            <w:vAlign w:val="bottom"/>
          </w:tcPr>
          <w:p>
            <w:pPr>
              <w:spacing w:after="0"/>
              <w:rPr>
                <w:sz w:val="19"/>
                <w:szCs w:val="19"/>
                <w:color w:val="auto"/>
              </w:rPr>
            </w:pPr>
          </w:p>
        </w:tc>
      </w:tr>
      <w:tr>
        <w:trPr>
          <w:trHeight w:val="220"/>
        </w:trPr>
        <w:tc>
          <w:tcPr>
            <w:tcW w:w="228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Axsome Malta Holdings Ltd.</w:t>
            </w:r>
          </w:p>
        </w:tc>
        <w:tc>
          <w:tcPr>
            <w:tcW w:w="6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Malta</w:t>
            </w:r>
          </w:p>
        </w:tc>
        <w:tc>
          <w:tcPr>
            <w:tcW w:w="6740" w:type="dxa"/>
            <w:vAlign w:val="bottom"/>
          </w:tcPr>
          <w:p>
            <w:pPr>
              <w:spacing w:after="0"/>
              <w:rPr>
                <w:sz w:val="19"/>
                <w:szCs w:val="19"/>
                <w:color w:val="auto"/>
              </w:rPr>
            </w:pPr>
          </w:p>
        </w:tc>
      </w:tr>
      <w:tr>
        <w:trPr>
          <w:trHeight w:val="218"/>
        </w:trPr>
        <w:tc>
          <w:tcPr>
            <w:tcW w:w="228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Axsome Malta Ltd.</w:t>
            </w:r>
          </w:p>
        </w:tc>
        <w:tc>
          <w:tcPr>
            <w:tcW w:w="6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Malta</w:t>
            </w:r>
          </w:p>
        </w:tc>
        <w:tc>
          <w:tcPr>
            <w:tcW w:w="6740" w:type="dxa"/>
            <w:vAlign w:val="bottom"/>
          </w:tcPr>
          <w:p>
            <w:pPr>
              <w:spacing w:after="0"/>
              <w:rPr>
                <w:sz w:val="18"/>
                <w:szCs w:val="18"/>
                <w:color w:val="auto"/>
              </w:rPr>
            </w:pPr>
          </w:p>
        </w:tc>
      </w:tr>
      <w:tr>
        <w:trPr>
          <w:trHeight w:val="218"/>
        </w:trPr>
        <w:tc>
          <w:tcPr>
            <w:tcW w:w="228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7"/>
                <w:szCs w:val="17"/>
                <w:color w:val="auto"/>
              </w:rPr>
              <w:t>Axsome Canada, Inc.</w:t>
            </w:r>
          </w:p>
        </w:tc>
        <w:tc>
          <w:tcPr>
            <w:tcW w:w="6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Canada</w:t>
            </w:r>
          </w:p>
        </w:tc>
        <w:tc>
          <w:tcPr>
            <w:tcW w:w="6740" w:type="dxa"/>
            <w:vAlign w:val="bottom"/>
          </w:tcPr>
          <w:p>
            <w:pPr>
              <w:spacing w:after="0"/>
              <w:rPr>
                <w:sz w:val="18"/>
                <w:szCs w:val="18"/>
                <w:color w:val="auto"/>
              </w:rPr>
            </w:pPr>
          </w:p>
        </w:tc>
      </w:tr>
      <w:tr>
        <w:trPr>
          <w:trHeight w:val="302"/>
        </w:trPr>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9" w:name="page170"/>
    <w:bookmarkEnd w:id="169"/>
    <w:p>
      <w:pPr>
        <w:ind w:left="10100"/>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on:</w:t>
      </w:r>
    </w:p>
    <w:p>
      <w:pPr>
        <w:spacing w:after="0" w:line="220" w:lineRule="exact"/>
        <w:rPr>
          <w:sz w:val="20"/>
          <w:szCs w:val="20"/>
          <w:color w:val="auto"/>
        </w:rPr>
      </w:pPr>
    </w:p>
    <w:p>
      <w:pPr>
        <w:ind w:left="740" w:hanging="365"/>
        <w:spacing w:after="0"/>
        <w:tabs>
          <w:tab w:leader="none" w:pos="7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S-8 (No. 333-217002);</w:t>
      </w:r>
    </w:p>
    <w:p>
      <w:pPr>
        <w:spacing w:after="0" w:line="17" w:lineRule="exact"/>
        <w:rPr>
          <w:rFonts w:ascii="Times New Roman" w:cs="Times New Roman" w:eastAsia="Times New Roman" w:hAnsi="Times New Roman"/>
          <w:sz w:val="20"/>
          <w:szCs w:val="20"/>
          <w:color w:val="auto"/>
        </w:rPr>
      </w:pPr>
    </w:p>
    <w:p>
      <w:pPr>
        <w:ind w:left="740" w:hanging="365"/>
        <w:spacing w:after="0" w:line="235" w:lineRule="auto"/>
        <w:tabs>
          <w:tab w:leader="none" w:pos="7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S-8 (No. 333-208579);</w:t>
      </w:r>
    </w:p>
    <w:p>
      <w:pPr>
        <w:ind w:left="740" w:hanging="365"/>
        <w:spacing w:after="0" w:line="235" w:lineRule="auto"/>
        <w:tabs>
          <w:tab w:leader="none" w:pos="7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S-8 (No. 333-230296);</w:t>
      </w:r>
    </w:p>
    <w:p>
      <w:pPr>
        <w:ind w:left="740" w:hanging="365"/>
        <w:spacing w:after="0" w:line="235" w:lineRule="auto"/>
        <w:tabs>
          <w:tab w:leader="none" w:pos="7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S-8 (No. 333-226824);</w:t>
      </w:r>
    </w:p>
    <w:p>
      <w:pPr>
        <w:ind w:left="740" w:hanging="365"/>
        <w:spacing w:after="0" w:line="235" w:lineRule="auto"/>
        <w:tabs>
          <w:tab w:leader="none" w:pos="7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S-8 (No. 333-238174);</w:t>
      </w:r>
    </w:p>
    <w:p>
      <w:pPr>
        <w:ind w:left="800" w:hanging="425"/>
        <w:spacing w:after="0" w:line="235" w:lineRule="auto"/>
        <w:tabs>
          <w:tab w:leader="none" w:pos="8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S-8 (No. 333-256019);</w:t>
      </w:r>
    </w:p>
    <w:p>
      <w:pPr>
        <w:ind w:left="740" w:hanging="365"/>
        <w:spacing w:after="0" w:line="235" w:lineRule="auto"/>
        <w:tabs>
          <w:tab w:leader="none" w:pos="7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S-8 (No. 333-264621); and</w:t>
      </w:r>
    </w:p>
    <w:p>
      <w:pPr>
        <w:ind w:left="740" w:hanging="365"/>
        <w:spacing w:after="0"/>
        <w:tabs>
          <w:tab w:leader="none" w:pos="7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S-3 (No. 333-268664).</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of our reports dated February 27, 2023, with respect to the consolidated financial statements of Axsome Therapeutics, Inc., and the effectiveness of internal control over financial reporting of Axsome Therapeutics, Inc. included in this Annual Report (Form 10-K) of Axsome Therapeutics, Inc.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Calibri" w:cs="Calibri" w:eastAsia="Calibri" w:hAnsi="Calibri"/>
          <w:sz w:val="15"/>
          <w:szCs w:val="15"/>
          <w:color w:val="auto"/>
        </w:rPr>
        <w:t>IF " DOCVARIABLE "SWDocIDLocaton" 1" = "1" " DOCPROPERTY "SWDocID" EAST\179530792.1" "" EAST\179530792.1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67880" cy="412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PERIODIC REPORT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Herriot Tabuteau, certify that:</w:t>
      </w:r>
    </w:p>
    <w:p>
      <w:pPr>
        <w:spacing w:after="0" w:line="205" w:lineRule="exact"/>
        <w:rPr>
          <w:sz w:val="20"/>
          <w:szCs w:val="20"/>
          <w:color w:val="auto"/>
        </w:rPr>
      </w:pPr>
    </w:p>
    <w:p>
      <w:pPr>
        <w:ind w:left="200" w:hanging="200"/>
        <w:spacing w:after="0"/>
        <w:tabs>
          <w:tab w:leader="none" w:pos="2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Axsome Therapeutics, Inc.;</w:t>
      </w:r>
    </w:p>
    <w:p>
      <w:pPr>
        <w:spacing w:after="0" w:line="204" w:lineRule="exact"/>
        <w:rPr>
          <w:rFonts w:ascii="Times New Roman" w:cs="Times New Roman" w:eastAsia="Times New Roman" w:hAnsi="Times New Roman"/>
          <w:sz w:val="17"/>
          <w:szCs w:val="17"/>
          <w:color w:val="auto"/>
        </w:rPr>
      </w:pPr>
    </w:p>
    <w:p>
      <w:pPr>
        <w:ind w:left="320" w:right="140" w:hanging="320"/>
        <w:spacing w:after="0" w:line="271" w:lineRule="auto"/>
        <w:tabs>
          <w:tab w:leader="none" w:pos="20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7"/>
          <w:szCs w:val="17"/>
          <w:color w:val="auto"/>
        </w:rPr>
      </w:pPr>
    </w:p>
    <w:p>
      <w:pPr>
        <w:ind w:left="320" w:right="680" w:hanging="320"/>
        <w:spacing w:after="0" w:line="271" w:lineRule="auto"/>
        <w:tabs>
          <w:tab w:leader="none" w:pos="20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ind w:left="200" w:hanging="200"/>
        <w:spacing w:after="0"/>
        <w:tabs>
          <w:tab w:leader="none" w:pos="2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32"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16"/>
          <w:szCs w:val="16"/>
          <w:color w:val="auto"/>
        </w:rPr>
      </w:pPr>
    </w:p>
    <w:p>
      <w:pPr>
        <w:ind w:left="760" w:hanging="446"/>
        <w:spacing w:after="0" w:line="258" w:lineRule="auto"/>
        <w:tabs>
          <w:tab w:leader="none" w:pos="76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ind w:left="760" w:right="160" w:hanging="446"/>
        <w:spacing w:after="0" w:line="258" w:lineRule="auto"/>
        <w:tabs>
          <w:tab w:leader="none" w:pos="76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760" w:right="400" w:hanging="445"/>
        <w:spacing w:after="0" w:line="271" w:lineRule="auto"/>
        <w:tabs>
          <w:tab w:leader="none" w:pos="51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7"/>
          <w:szCs w:val="17"/>
          <w:color w:val="auto"/>
        </w:rPr>
      </w:pPr>
    </w:p>
    <w:p>
      <w:pPr>
        <w:ind w:left="760" w:right="40" w:hanging="445"/>
        <w:spacing w:after="0" w:line="258" w:lineRule="auto"/>
        <w:tabs>
          <w:tab w:leader="none" w:pos="51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7"/>
          <w:szCs w:val="17"/>
          <w:color w:val="auto"/>
        </w:rPr>
      </w:pPr>
    </w:p>
    <w:p>
      <w:pPr>
        <w:ind w:left="320" w:right="460" w:hanging="320"/>
        <w:spacing w:after="0" w:line="271" w:lineRule="auto"/>
        <w:tabs>
          <w:tab w:leader="none" w:pos="20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left="760" w:right="580" w:hanging="445"/>
        <w:spacing w:after="0" w:line="271" w:lineRule="auto"/>
        <w:tabs>
          <w:tab w:leader="none" w:pos="51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left="760" w:right="180" w:hanging="445"/>
        <w:spacing w:after="0" w:line="271" w:lineRule="auto"/>
        <w:tabs>
          <w:tab w:leader="none" w:pos="51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February 27, 2023</w:t>
      </w:r>
      <w:r>
        <w:rPr>
          <w:sz w:val="20"/>
          <w:szCs w:val="20"/>
          <w:color w:val="auto"/>
        </w:rPr>
        <w:tab/>
      </w:r>
      <w:r>
        <w:rPr>
          <w:rFonts w:ascii="Times New Roman" w:cs="Times New Roman" w:eastAsia="Times New Roman" w:hAnsi="Times New Roman"/>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21590</wp:posOffset>
            </wp:positionV>
            <wp:extent cx="356743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5">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Herriot Tabuteau, M.D.</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189230</wp:posOffset>
            </wp:positionV>
            <wp:extent cx="7167880" cy="412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CERTIFICATION OF PERIODIC REPORT PURSUANT TO SECTION 302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Nick Pizzie, certify that:</w:t>
      </w:r>
    </w:p>
    <w:p>
      <w:pPr>
        <w:spacing w:after="0" w:line="205" w:lineRule="exact"/>
        <w:rPr>
          <w:sz w:val="20"/>
          <w:szCs w:val="20"/>
          <w:color w:val="auto"/>
        </w:rPr>
      </w:pPr>
    </w:p>
    <w:p>
      <w:pPr>
        <w:ind w:left="200" w:hanging="200"/>
        <w:spacing w:after="0"/>
        <w:tabs>
          <w:tab w:leader="none" w:pos="2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Axsome Therapeutics, Inc.;</w:t>
      </w:r>
    </w:p>
    <w:p>
      <w:pPr>
        <w:spacing w:after="0" w:line="204" w:lineRule="exact"/>
        <w:rPr>
          <w:rFonts w:ascii="Times New Roman" w:cs="Times New Roman" w:eastAsia="Times New Roman" w:hAnsi="Times New Roman"/>
          <w:sz w:val="17"/>
          <w:szCs w:val="17"/>
          <w:color w:val="auto"/>
        </w:rPr>
      </w:pPr>
    </w:p>
    <w:p>
      <w:pPr>
        <w:ind w:left="320" w:right="140" w:hanging="320"/>
        <w:spacing w:after="0" w:line="271" w:lineRule="auto"/>
        <w:tabs>
          <w:tab w:leader="none" w:pos="20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7"/>
          <w:szCs w:val="17"/>
          <w:color w:val="auto"/>
        </w:rPr>
      </w:pPr>
    </w:p>
    <w:p>
      <w:pPr>
        <w:ind w:left="320" w:right="680" w:hanging="320"/>
        <w:spacing w:after="0" w:line="271" w:lineRule="auto"/>
        <w:tabs>
          <w:tab w:leader="none" w:pos="20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ind w:left="200" w:hanging="200"/>
        <w:spacing w:after="0"/>
        <w:tabs>
          <w:tab w:leader="none" w:pos="2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32"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16"/>
          <w:szCs w:val="16"/>
          <w:color w:val="auto"/>
        </w:rPr>
      </w:pPr>
    </w:p>
    <w:p>
      <w:pPr>
        <w:ind w:left="760" w:hanging="446"/>
        <w:spacing w:after="0" w:line="258" w:lineRule="auto"/>
        <w:tabs>
          <w:tab w:leader="none" w:pos="76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ind w:left="760" w:right="160" w:hanging="446"/>
        <w:spacing w:after="0" w:line="258" w:lineRule="auto"/>
        <w:tabs>
          <w:tab w:leader="none" w:pos="76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left="760" w:right="400" w:hanging="445"/>
        <w:spacing w:after="0" w:line="271" w:lineRule="auto"/>
        <w:tabs>
          <w:tab w:leader="none" w:pos="51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7"/>
          <w:szCs w:val="17"/>
          <w:color w:val="auto"/>
        </w:rPr>
      </w:pPr>
    </w:p>
    <w:p>
      <w:pPr>
        <w:ind w:left="760" w:right="40" w:hanging="445"/>
        <w:spacing w:after="0" w:line="258" w:lineRule="auto"/>
        <w:tabs>
          <w:tab w:leader="none" w:pos="51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7"/>
          <w:szCs w:val="17"/>
          <w:color w:val="auto"/>
        </w:rPr>
      </w:pPr>
    </w:p>
    <w:p>
      <w:pPr>
        <w:ind w:left="320" w:right="460" w:hanging="320"/>
        <w:spacing w:after="0" w:line="271" w:lineRule="auto"/>
        <w:tabs>
          <w:tab w:leader="none" w:pos="20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left="760" w:right="580" w:hanging="445"/>
        <w:spacing w:after="0" w:line="271" w:lineRule="auto"/>
        <w:tabs>
          <w:tab w:leader="none" w:pos="51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left="760" w:right="180" w:hanging="445"/>
        <w:spacing w:after="0" w:line="271" w:lineRule="auto"/>
        <w:tabs>
          <w:tab w:leader="none" w:pos="51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February 27, 2023</w:t>
      </w:r>
      <w:r>
        <w:rPr>
          <w:sz w:val="20"/>
          <w:szCs w:val="20"/>
          <w:color w:val="auto"/>
        </w:rPr>
        <w:tab/>
      </w:r>
      <w:r>
        <w:rPr>
          <w:rFonts w:ascii="Times New Roman" w:cs="Times New Roman" w:eastAsia="Times New Roman" w:hAnsi="Times New Roman"/>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21590</wp:posOffset>
            </wp:positionV>
            <wp:extent cx="35674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7">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Nick Pizzie</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189230</wp:posOffset>
            </wp:positionV>
            <wp:extent cx="7167880" cy="412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266700</wp:posOffset>
            </wp:positionV>
            <wp:extent cx="7167880" cy="412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STATEMENT OF PRINCIPAL EXECUTIVE OFFICER OF</w:t>
      </w:r>
    </w:p>
    <w:p>
      <w:pPr>
        <w:spacing w:after="0" w:line="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AXSOME THERAPEUTICS, INC.</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88" w:lineRule="exact"/>
        <w:rPr>
          <w:sz w:val="20"/>
          <w:szCs w:val="20"/>
          <w:color w:val="auto"/>
        </w:rPr>
      </w:pPr>
    </w:p>
    <w:p>
      <w:pPr>
        <w:jc w:val="both"/>
        <w:ind w:right="400" w:firstLine="499"/>
        <w:spacing w:after="0" w:line="258" w:lineRule="auto"/>
        <w:rPr>
          <w:sz w:val="20"/>
          <w:szCs w:val="20"/>
          <w:color w:val="auto"/>
        </w:rPr>
      </w:pPr>
      <w:r>
        <w:rPr>
          <w:rFonts w:ascii="Times New Roman" w:cs="Times New Roman" w:eastAsia="Times New Roman" w:hAnsi="Times New Roman"/>
          <w:sz w:val="17"/>
          <w:szCs w:val="17"/>
          <w:color w:val="auto"/>
        </w:rPr>
        <w:t>In connection with the annual report of Axsome Therapeutics, Inc. (the “Company”) on Form 10-K for the year ended December 31, 2022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70" w:lineRule="exact"/>
        <w:rPr>
          <w:sz w:val="20"/>
          <w:szCs w:val="20"/>
          <w:color w:val="auto"/>
        </w:rPr>
      </w:pPr>
    </w:p>
    <w:p>
      <w:pPr>
        <w:ind w:left="800" w:hanging="305"/>
        <w:spacing w:after="0"/>
        <w:tabs>
          <w:tab w:leader="none" w:pos="8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4" w:lineRule="exact"/>
        <w:rPr>
          <w:rFonts w:ascii="Times New Roman" w:cs="Times New Roman" w:eastAsia="Times New Roman" w:hAnsi="Times New Roman"/>
          <w:sz w:val="17"/>
          <w:szCs w:val="17"/>
          <w:color w:val="auto"/>
        </w:rPr>
      </w:pPr>
    </w:p>
    <w:p>
      <w:pPr>
        <w:ind w:left="800" w:hanging="305"/>
        <w:spacing w:after="0"/>
        <w:tabs>
          <w:tab w:leader="none" w:pos="8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February 27, 2023</w:t>
      </w:r>
      <w:r>
        <w:rPr>
          <w:sz w:val="20"/>
          <w:szCs w:val="20"/>
          <w:color w:val="auto"/>
        </w:rPr>
        <w:tab/>
      </w:r>
      <w:r>
        <w:rPr>
          <w:rFonts w:ascii="Times New Roman" w:cs="Times New Roman" w:eastAsia="Times New Roman" w:hAnsi="Times New Roman"/>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21590</wp:posOffset>
            </wp:positionV>
            <wp:extent cx="356743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0">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Herriot Tabuteau, M.D.</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316230</wp:posOffset>
            </wp:positionV>
            <wp:extent cx="7167880" cy="412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STATEMENT OF PRINCIPAL FINANCIAL OFFICER OF</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AXSOME THERAPEUTICS, INC.</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88" w:lineRule="exact"/>
        <w:rPr>
          <w:sz w:val="20"/>
          <w:szCs w:val="20"/>
          <w:color w:val="auto"/>
        </w:rPr>
      </w:pPr>
    </w:p>
    <w:p>
      <w:pPr>
        <w:ind w:right="80" w:firstLine="499"/>
        <w:spacing w:after="0" w:line="258" w:lineRule="auto"/>
        <w:rPr>
          <w:sz w:val="20"/>
          <w:szCs w:val="20"/>
          <w:color w:val="auto"/>
        </w:rPr>
      </w:pPr>
      <w:r>
        <w:rPr>
          <w:rFonts w:ascii="Times New Roman" w:cs="Times New Roman" w:eastAsia="Times New Roman" w:hAnsi="Times New Roman"/>
          <w:sz w:val="17"/>
          <w:szCs w:val="17"/>
          <w:color w:val="auto"/>
        </w:rPr>
        <w:t>In connection with the annual report of Axsome Therapeutics, Inc. (the “Company”) on Form 10-K for the year ended December 31, 2022 as filed with the Securities and Exchange Commission (the “Report”), I, Nick Pizzie, Chief Financial Officer of the Company, certify, pursuant to 18 U.S.C. §1350, as adopted pursuant to §906 of the Sarbanes-Oxley Act of 2002, that, based on my knowledge:</w:t>
      </w:r>
    </w:p>
    <w:p>
      <w:pPr>
        <w:spacing w:after="0" w:line="170" w:lineRule="exact"/>
        <w:rPr>
          <w:sz w:val="20"/>
          <w:szCs w:val="20"/>
          <w:color w:val="auto"/>
        </w:rPr>
      </w:pPr>
    </w:p>
    <w:p>
      <w:pPr>
        <w:ind w:left="800" w:hanging="305"/>
        <w:spacing w:after="0"/>
        <w:tabs>
          <w:tab w:leader="none" w:pos="8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4" w:lineRule="exact"/>
        <w:rPr>
          <w:rFonts w:ascii="Times New Roman" w:cs="Times New Roman" w:eastAsia="Times New Roman" w:hAnsi="Times New Roman"/>
          <w:sz w:val="17"/>
          <w:szCs w:val="17"/>
          <w:color w:val="auto"/>
        </w:rPr>
      </w:pPr>
    </w:p>
    <w:p>
      <w:pPr>
        <w:ind w:left="800" w:hanging="305"/>
        <w:spacing w:after="0"/>
        <w:tabs>
          <w:tab w:leader="none" w:pos="8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February 27, 2023</w:t>
      </w:r>
      <w:r>
        <w:rPr>
          <w:sz w:val="20"/>
          <w:szCs w:val="20"/>
          <w:color w:val="auto"/>
        </w:rPr>
        <w:tab/>
      </w:r>
      <w:r>
        <w:rPr>
          <w:rFonts w:ascii="Times New Roman" w:cs="Times New Roman" w:eastAsia="Times New Roman" w:hAnsi="Times New Roman"/>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21590</wp:posOffset>
            </wp:positionV>
            <wp:extent cx="356743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2">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Nick Pizzie</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316230</wp:posOffset>
            </wp:positionV>
            <wp:extent cx="7167880" cy="412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5" w:name="page176"/>
    <w:bookmarkEnd w:id="1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decimal"/>
      <w:start w:val="3"/>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lowerRoman"/>
      <w:start w:val="5"/>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lvl w:ilvl="1">
      <w:lvlJc w:val="left"/>
      <w:lvlText w:val="%2"/>
      <w:numFmt w:val="decimal"/>
      <w:start w:val="104"/>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58" Type="http://schemas.openxmlformats.org/officeDocument/2006/relationships/image" Target="media/image436.png"/><Relationship Id="rId459" Type="http://schemas.openxmlformats.org/officeDocument/2006/relationships/image" Target="media/image437.png"/><Relationship Id="rId473" Type="http://schemas.openxmlformats.org/officeDocument/2006/relationships/image" Target="media/image438.png"/><Relationship Id="rId474" Type="http://schemas.openxmlformats.org/officeDocument/2006/relationships/image" Target="media/image439.png"/><Relationship Id="rId475" Type="http://schemas.openxmlformats.org/officeDocument/2006/relationships/image" Target="media/image440.png"/><Relationship Id="rId476" Type="http://schemas.openxmlformats.org/officeDocument/2006/relationships/image" Target="media/image441.png"/><Relationship Id="rId477" Type="http://schemas.openxmlformats.org/officeDocument/2006/relationships/image" Target="media/image442.png"/><Relationship Id="rId478" Type="http://schemas.openxmlformats.org/officeDocument/2006/relationships/image" Target="media/image443.png"/><Relationship Id="rId479" Type="http://schemas.openxmlformats.org/officeDocument/2006/relationships/image" Target="media/image444.png"/><Relationship Id="rId480" Type="http://schemas.openxmlformats.org/officeDocument/2006/relationships/image" Target="media/image445.png"/><Relationship Id="rId481" Type="http://schemas.openxmlformats.org/officeDocument/2006/relationships/image" Target="media/image446.png"/><Relationship Id="rId482" Type="http://schemas.openxmlformats.org/officeDocument/2006/relationships/image" Target="media/image447.png"/><Relationship Id="rId483" Type="http://schemas.openxmlformats.org/officeDocument/2006/relationships/image" Target="media/image448.png"/><Relationship Id="rId484" Type="http://schemas.openxmlformats.org/officeDocument/2006/relationships/image" Target="media/image449.png"/><Relationship Id="rId485" Type="http://schemas.openxmlformats.org/officeDocument/2006/relationships/image" Target="media/image450.png"/><Relationship Id="rId486" Type="http://schemas.openxmlformats.org/officeDocument/2006/relationships/image" Target="media/image451.png"/><Relationship Id="rId487" Type="http://schemas.openxmlformats.org/officeDocument/2006/relationships/image" Target="media/image452.png"/><Relationship Id="rId488" Type="http://schemas.openxmlformats.org/officeDocument/2006/relationships/image" Target="media/image453.png"/><Relationship Id="rId489" Type="http://schemas.openxmlformats.org/officeDocument/2006/relationships/image" Target="media/image454.png"/><Relationship Id="rId490" Type="http://schemas.openxmlformats.org/officeDocument/2006/relationships/image" Target="media/image455.png"/><Relationship Id="rId491" Type="http://schemas.openxmlformats.org/officeDocument/2006/relationships/image" Target="media/image456.png"/><Relationship Id="rId492" Type="http://schemas.openxmlformats.org/officeDocument/2006/relationships/image" Target="media/image457.png"/><Relationship Id="rId493" Type="http://schemas.openxmlformats.org/officeDocument/2006/relationships/image" Target="media/image458.png"/><Relationship Id="rId443" Type="http://schemas.openxmlformats.org/officeDocument/2006/relationships/hyperlink" Target="https://www.sec.gov/Archives/edgar/data/1579428/000110465915081125/a15-24048_1ex3d1.htm" TargetMode="External"/><Relationship Id="rId444" Type="http://schemas.openxmlformats.org/officeDocument/2006/relationships/hyperlink" Target="https://www.sec.gov/Archives/edgar/data/1579428/000110465915081125/a15-24048_1ex3d2.htm" TargetMode="External"/><Relationship Id="rId445" Type="http://schemas.openxmlformats.org/officeDocument/2006/relationships/hyperlink" Target="https://www.sec.gov/Archives/edgar/data/1579428/000104746915008199/a2226320zex-4_1.htm" TargetMode="External"/><Relationship Id="rId446" Type="http://schemas.openxmlformats.org/officeDocument/2006/relationships/hyperlink" Target="https://www.sec.gov/Archives/edgar/data/1579428/000104746915007821/a2226220zex-4_2.htm" TargetMode="External"/><Relationship Id="rId447" Type="http://schemas.openxmlformats.org/officeDocument/2006/relationships/hyperlink" Target="https://www.sec.gov/Archives/edgar/data/1579428/000104746915007821/a2226220zex-4_3.htm" TargetMode="External"/><Relationship Id="rId448" Type="http://schemas.openxmlformats.org/officeDocument/2006/relationships/hyperlink" Target="https://www.sec.gov/Archives/edgar/data/1579428/000110465917071533/a17-27901_1ex4d1.htm" TargetMode="External"/><Relationship Id="rId449" Type="http://schemas.openxmlformats.org/officeDocument/2006/relationships/hyperlink" Target="https://www.sec.gov/Archives/edgar/data/1579428/000155837020012949/axsm-20200930xex10d4.htm" TargetMode="External"/><Relationship Id="rId450" Type="http://schemas.openxmlformats.org/officeDocument/2006/relationships/hyperlink" Target="https://www.sec.gov/Archives/edgar/data/1579428/000155837020002573/axsm-20191231ex4132a1d5e.htm" TargetMode="External"/><Relationship Id="rId451" Type="http://schemas.openxmlformats.org/officeDocument/2006/relationships/hyperlink" Target="https://www.sec.gov/Archives/edgar/data/1579428/000104746915007821/a2226220zex-10_1.htm" TargetMode="External"/><Relationship Id="rId452" Type="http://schemas.openxmlformats.org/officeDocument/2006/relationships/hyperlink" Target="https://www.sec.gov/Archives/edgar/data/1579428/000155837020010231/axsm-20200630xex10d2.htm" TargetMode="External"/><Relationship Id="rId453" Type="http://schemas.openxmlformats.org/officeDocument/2006/relationships/hyperlink" Target="https://www.sec.gov/Archives/edgar/data/1579428/000110465915085196/a15-24973_1ex99d2.htm" TargetMode="External"/><Relationship Id="rId454" Type="http://schemas.openxmlformats.org/officeDocument/2006/relationships/hyperlink" Target="https://www.sec.gov/Archives/edgar/data/1579428/000155837020006307/axsm-20200508xex99d3.htm" TargetMode="External"/><Relationship Id="rId455" Type="http://schemas.openxmlformats.org/officeDocument/2006/relationships/hyperlink" Target="https://www.sec.gov/Archives/edgar/data/1579428/000155837020006307/axsm-20200508xex99d4.htm" TargetMode="External"/><Relationship Id="rId456" Type="http://schemas.openxmlformats.org/officeDocument/2006/relationships/hyperlink" Target="https://www.sec.gov/Archives/edgar/data/1579428/000104746915007821/a2226220zex-10_2.htm" TargetMode="External"/><Relationship Id="rId457" Type="http://schemas.openxmlformats.org/officeDocument/2006/relationships/hyperlink" Target="https://www.sec.gov/Archives/edgar/data/1579428/000104746915007821/a2226220zex-10_4.htm" TargetMode="External"/><Relationship Id="rId460" Type="http://schemas.openxmlformats.org/officeDocument/2006/relationships/hyperlink" Target="https://www.sec.gov/Archives/edgar/data/1579428/000104746915007821/a2226220zex-10_5.htm" TargetMode="External"/><Relationship Id="rId461" Type="http://schemas.openxmlformats.org/officeDocument/2006/relationships/hyperlink" Target="https://www.sec.gov/Archives/edgar/data/1579428/000110465917071533/a17-27901_1ex10d1.htm" TargetMode="External"/><Relationship Id="rId462" Type="http://schemas.openxmlformats.org/officeDocument/2006/relationships/hyperlink" Target="https://www.sec.gov/Archives/edgar/data/1579428/000155837018004333/axsm-20180331ex101d19ec4.htm" TargetMode="External"/><Relationship Id="rId463" Type="http://schemas.openxmlformats.org/officeDocument/2006/relationships/hyperlink" Target="https://www.sec.gov/Archives/edgar/data/1579428/000110465918059225/a18-36094_1ex10d1.htm" TargetMode="External"/><Relationship Id="rId464" Type="http://schemas.openxmlformats.org/officeDocument/2006/relationships/hyperlink" Target="https://www.sec.gov/Archives/edgar/data/1579428/000155837020002573/axsm-20191231ex1015f938b.htm" TargetMode="External"/><Relationship Id="rId465" Type="http://schemas.openxmlformats.org/officeDocument/2006/relationships/hyperlink" Target="https://www.sec.gov/Archives/edgar/data/1579428/000110465920003255/tm203196d1_ex10-1.htm" TargetMode="External"/><Relationship Id="rId466" Type="http://schemas.openxmlformats.org/officeDocument/2006/relationships/hyperlink" Target="https://www.sec.gov/Archives/edgar/data/1579428/000155837020010231/axsm-20200630xex10d1.htm" TargetMode="External"/><Relationship Id="rId467" Type="http://schemas.openxmlformats.org/officeDocument/2006/relationships/hyperlink" Target="https://www.sec.gov/Archives/edgar/data/1579428/000155837020013181/axsm-20200930xex10d2.htm" TargetMode="External"/><Relationship Id="rId468" Type="http://schemas.openxmlformats.org/officeDocument/2006/relationships/hyperlink" Target="https://www.sec.gov/Archives/edgar/data/1579428/000155837020012949/axsm-20200930xex10d3.htm" TargetMode="External"/><Relationship Id="rId469" Type="http://schemas.openxmlformats.org/officeDocument/2006/relationships/hyperlink" Target="https://www.sec.gov/Archives/edgar/data/0001579428/000095017021003466/axsm-ex10_1.htm" TargetMode="External"/><Relationship Id="rId470" Type="http://schemas.openxmlformats.org/officeDocument/2006/relationships/hyperlink" Target="https://www.sec.gov/Archives/edgar/data/1579428/000155837020012949/axsm-20200930xex10d5.htm" TargetMode="External"/><Relationship Id="rId471" Type="http://schemas.openxmlformats.org/officeDocument/2006/relationships/hyperlink" Target="https://www.sec.gov/Archives/edgar/data/1579428/000095017022016143/axsm-ex10_1.htm" TargetMode="External"/><Relationship Id="rId472" Type="http://schemas.openxmlformats.org/officeDocument/2006/relationships/hyperlink" Target="https://www.sec.gov/Archives/edgar/data/1579428/000095017022016143/axsm-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2023-02-28T07:54:19Z</dcterms:created>
  <dcterms:modified xsi:type="dcterms:W3CDTF">2023-02-28T07:54:19Z</dcterms:modified>
</cp:coreProperties>
</file>