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w:t>
      </w:r>
    </w:p>
    <w:p>
      <w:pPr>
        <w:ind w:left="44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1934</w:t>
      </w:r>
    </w:p>
    <w:p>
      <w:pPr>
        <w:spacing w:after="0" w:line="7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For the quarterly period ended March 31, 2018</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44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1934</w:t>
      </w:r>
    </w:p>
    <w:p>
      <w:pPr>
        <w:spacing w:after="0" w:line="160"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Arial" w:cs="Arial" w:eastAsia="Arial" w:hAnsi="Arial"/>
                <w:sz w:val="14"/>
                <w:szCs w:val="14"/>
                <w:color w:val="auto"/>
                <w:w w:val="94"/>
              </w:rPr>
              <w:t>(State or other jurisdiction of</w:t>
            </w:r>
          </w:p>
        </w:tc>
        <w:tc>
          <w:tcPr>
            <w:tcW w:w="3680" w:type="dxa"/>
            <w:vAlign w:val="bottom"/>
          </w:tcPr>
          <w:p>
            <w:pPr>
              <w:jc w:val="center"/>
              <w:ind w:left="863"/>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incorporation or organization)</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0"/>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25 Broadway</w:t>
            </w:r>
          </w:p>
        </w:tc>
        <w:tc>
          <w:tcPr>
            <w:tcW w:w="3680" w:type="dxa"/>
            <w:vAlign w:val="bottom"/>
            <w:vMerge w:val="restart"/>
          </w:tcPr>
          <w:p>
            <w:pPr>
              <w:jc w:val="right"/>
              <w:ind w:right="1083"/>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18"/>
              <w:spacing w:after="0"/>
              <w:rPr>
                <w:sz w:val="20"/>
                <w:szCs w:val="20"/>
                <w:color w:val="auto"/>
              </w:rPr>
            </w:pPr>
            <w:r>
              <w:rPr>
                <w:rFonts w:ascii="Arial" w:cs="Arial" w:eastAsia="Arial" w:hAnsi="Arial"/>
                <w:sz w:val="14"/>
                <w:szCs w:val="14"/>
                <w:color w:val="auto"/>
                <w:w w:val="95"/>
              </w:rPr>
              <w:t>(Address of principal executive offices)</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jc w:val="center"/>
              <w:ind w:right="3"/>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c>
          <w:tcPr>
            <w:tcW w:w="0" w:type="dxa"/>
            <w:vAlign w:val="bottom"/>
          </w:tcPr>
          <w:p>
            <w:pPr>
              <w:spacing w:after="0"/>
              <w:rPr>
                <w:sz w:val="1"/>
                <w:szCs w:val="1"/>
                <w:color w:val="auto"/>
              </w:rPr>
            </w:pPr>
          </w:p>
        </w:tc>
      </w:tr>
      <w:tr>
        <w:trPr>
          <w:trHeight w:val="292"/>
        </w:trPr>
        <w:tc>
          <w:tcPr>
            <w:tcW w:w="7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0"/>
        </w:trPr>
        <w:tc>
          <w:tcPr>
            <w:tcW w:w="3540" w:type="dxa"/>
            <w:vAlign w:val="bottom"/>
          </w:tcPr>
          <w:p>
            <w:pPr>
              <w:jc w:val="center"/>
              <w:ind w:right="838"/>
              <w:spacing w:after="0" w:line="141" w:lineRule="exact"/>
              <w:rPr>
                <w:sz w:val="20"/>
                <w:szCs w:val="20"/>
                <w:color w:val="auto"/>
              </w:rPr>
            </w:pPr>
            <w:r>
              <w:rPr>
                <w:rFonts w:ascii="Arial" w:cs="Arial" w:eastAsia="Arial" w:hAnsi="Arial"/>
                <w:sz w:val="14"/>
                <w:szCs w:val="14"/>
                <w:color w:val="auto"/>
                <w:w w:val="91"/>
              </w:rPr>
              <w:t>Common Stock, Par Value $0.0001 Per Share</w:t>
            </w:r>
          </w:p>
        </w:tc>
        <w:tc>
          <w:tcPr>
            <w:tcW w:w="3680" w:type="dxa"/>
            <w:vAlign w:val="bottom"/>
          </w:tcPr>
          <w:p>
            <w:pPr>
              <w:jc w:val="center"/>
              <w:ind w:left="843"/>
              <w:spacing w:after="0" w:line="141" w:lineRule="exact"/>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(Title of Class)</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21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169"/>
        </w:trPr>
        <w:tc>
          <w:tcPr>
            <w:tcW w:w="5060" w:type="dxa"/>
            <w:vAlign w:val="bottom"/>
          </w:tcPr>
          <w:p>
            <w:pPr>
              <w:spacing w:after="0" w:line="169"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p>
        </w:tc>
        <w:tc>
          <w:tcPr>
            <w:tcW w:w="3340" w:type="dxa"/>
            <w:vAlign w:val="bottom"/>
          </w:tcPr>
          <w:p>
            <w:pPr>
              <w:jc w:val="right"/>
              <w:spacing w:after="0" w:line="169"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8"/>
                <w:szCs w:val="18"/>
                <w:color w:val="auto"/>
                <w:highlight w:val="black"/>
              </w:rPr>
              <w:t>☒</w:t>
            </w: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(Do not check if a smaller reporting</w:t>
            </w:r>
          </w:p>
        </w:tc>
        <w:tc>
          <w:tcPr>
            <w:tcW w:w="3340" w:type="dxa"/>
            <w:vAlign w:val="bottom"/>
          </w:tcPr>
          <w:p>
            <w:pPr>
              <w:jc w:val="right"/>
              <w:spacing w:after="0" w:line="189"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p>
        </w:tc>
      </w:tr>
      <w:tr>
        <w:trPr>
          <w:trHeight w:val="283"/>
        </w:trPr>
        <w:tc>
          <w:tcPr>
            <w:tcW w:w="5060" w:type="dxa"/>
            <w:vAlign w:val="bottom"/>
          </w:tcPr>
          <w:p>
            <w:pPr>
              <w:spacing w:after="0"/>
              <w:rPr>
                <w:sz w:val="20"/>
                <w:szCs w:val="20"/>
                <w:color w:val="auto"/>
              </w:rPr>
            </w:pPr>
            <w:r>
              <w:rPr>
                <w:rFonts w:ascii="Arial" w:cs="Arial" w:eastAsia="Arial" w:hAnsi="Arial"/>
                <w:sz w:val="14"/>
                <w:szCs w:val="14"/>
                <w:color w:val="auto"/>
              </w:rPr>
              <w:t>company)</w:t>
            </w:r>
          </w:p>
        </w:tc>
        <w:tc>
          <w:tcPr>
            <w:tcW w:w="3340" w:type="dxa"/>
            <w:vAlign w:val="bottom"/>
          </w:tcPr>
          <w:p>
            <w:pPr>
              <w:jc w:val="right"/>
              <w:spacing w:after="0" w:line="207"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8"/>
                <w:szCs w:val="18"/>
                <w:color w:val="auto"/>
                <w:highlight w:val="black"/>
              </w:rPr>
              <w:t>☒</w:t>
            </w:r>
          </w:p>
        </w:tc>
      </w:tr>
    </w:tbl>
    <w:p>
      <w:pPr>
        <w:spacing w:after="0" w:line="76" w:lineRule="exact"/>
        <w:rPr>
          <w:sz w:val="24"/>
          <w:szCs w:val="24"/>
          <w:color w:val="auto"/>
        </w:rPr>
      </w:pPr>
    </w:p>
    <w:p>
      <w:pPr>
        <w:ind w:right="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right="162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3"/>
          <w:szCs w:val="13"/>
          <w:color w:val="auto"/>
        </w:rPr>
        <w:t xml:space="preserve"> There were 25,685,492 shares of the registrant’s common stock, $0.0001 par value, outstanding as of May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20" w:type="dxa"/>
            <w:vAlign w:val="bottom"/>
            <w:gridSpan w:val="5"/>
          </w:tcPr>
          <w:p>
            <w:pPr>
              <w:jc w:val="center"/>
              <w:ind w:right="234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7"/>
          </w:tcPr>
          <w:p>
            <w:pPr>
              <w:jc w:val="center"/>
              <w:ind w:right="1840"/>
              <w:spacing w:after="0"/>
              <w:rPr>
                <w:sz w:val="20"/>
                <w:szCs w:val="20"/>
                <w:color w:val="auto"/>
              </w:rPr>
            </w:pPr>
            <w:r>
              <w:rPr>
                <w:rFonts w:ascii="Arial" w:cs="Arial" w:eastAsia="Arial" w:hAnsi="Arial"/>
                <w:sz w:val="18"/>
                <w:szCs w:val="18"/>
                <w:b w:val="1"/>
                <w:bCs w:val="1"/>
                <w:color w:val="auto"/>
                <w:w w:val="99"/>
              </w:rPr>
              <w:t>FOR THE QUARTER ENDED MARCH 31, 2018</w:t>
            </w:r>
          </w:p>
        </w:tc>
        <w:tc>
          <w:tcPr>
            <w:tcW w:w="500" w:type="dxa"/>
            <w:vAlign w:val="bottom"/>
          </w:tcPr>
          <w:p>
            <w:pPr>
              <w:spacing w:after="0"/>
              <w:rPr>
                <w:sz w:val="20"/>
                <w:szCs w:val="20"/>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31"/>
        </w:trPr>
        <w:tc>
          <w:tcPr>
            <w:tcW w:w="57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440" w:type="dxa"/>
            <w:vAlign w:val="bottom"/>
            <w:tcBorders>
              <w:bottom w:val="single" w:sz="8" w:color="0000EE"/>
            </w:tcBorders>
            <w:gridSpan w:val="10"/>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4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ITEM 3</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ITEM 4</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60" w:type="dxa"/>
            <w:vAlign w:val="bottom"/>
            <w:tcBorders>
              <w:bottom w:val="single" w:sz="8" w:color="0000EE"/>
            </w:tcBorders>
          </w:tcPr>
          <w:p>
            <w:pPr>
              <w:spacing w:after="0"/>
              <w:rPr>
                <w:sz w:val="24"/>
                <w:szCs w:val="24"/>
                <w:color w:val="auto"/>
              </w:rPr>
            </w:pPr>
          </w:p>
        </w:tc>
        <w:tc>
          <w:tcPr>
            <w:tcW w:w="2080" w:type="dxa"/>
            <w:vAlign w:val="bottom"/>
            <w:tcBorders>
              <w:bottom w:val="single" w:sz="8" w:color="0000EE"/>
            </w:tcBorders>
            <w:gridSpan w:val="8"/>
          </w:tcPr>
          <w:p>
            <w:pPr>
              <w:ind w:left="6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57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gridSpan w:val="2"/>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ITEM 1A</w:t>
              </w:r>
            </w:hyperlink>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86">
              <w:r>
                <w:rPr>
                  <w:rFonts w:ascii="Arial" w:cs="Arial" w:eastAsia="Arial" w:hAnsi="Arial"/>
                  <w:sz w:val="18"/>
                  <w:szCs w:val="18"/>
                  <w:color w:val="0000EE"/>
                  <w:w w:val="96"/>
                </w:rPr>
                <w:t>ITEM 6</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856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993"/>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380" w:type="dxa"/>
            <w:vAlign w:val="bottom"/>
            <w:gridSpan w:val="10"/>
          </w:tcPr>
          <w:p>
            <w:pPr>
              <w:jc w:val="center"/>
              <w:ind w:left="307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expectations for increases or decreases in expenses;</w:t>
      </w:r>
    </w:p>
    <w:p>
      <w:pPr>
        <w:ind w:left="920" w:right="679" w:firstLine="29"/>
        <w:spacing w:after="0" w:line="203" w:lineRule="auto"/>
        <w:rPr>
          <w:sz w:val="20"/>
          <w:szCs w:val="20"/>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29" w:lineRule="auto"/>
        <w:rPr>
          <w:sz w:val="20"/>
          <w:szCs w:val="20"/>
          <w:color w:val="auto"/>
        </w:rPr>
      </w:pPr>
      <w:r>
        <w:rPr>
          <w:rFonts w:ascii="Arial" w:cs="Arial" w:eastAsia="Arial" w:hAnsi="Arial"/>
          <w:sz w:val="16"/>
          <w:szCs w:val="16"/>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3" w:lineRule="auto"/>
        <w:rPr>
          <w:sz w:val="20"/>
          <w:szCs w:val="20"/>
          <w:color w:val="auto"/>
        </w:rPr>
      </w:pPr>
      <w:r>
        <w:rPr>
          <w:rFonts w:ascii="Arial" w:cs="Arial" w:eastAsia="Arial" w:hAnsi="Arial"/>
          <w:sz w:val="18"/>
          <w:szCs w:val="18"/>
          <w:color w:val="auto"/>
        </w:rPr>
        <w:t>expectations or ability to build our own commercial infrastructure to manufacture, market and sell our</w:t>
      </w:r>
    </w:p>
    <w:p>
      <w:pPr>
        <w:ind w:left="920"/>
        <w:spacing w:after="0" w:line="204" w:lineRule="auto"/>
        <w:rPr>
          <w:sz w:val="20"/>
          <w:szCs w:val="20"/>
          <w:color w:val="auto"/>
        </w:rPr>
      </w:pPr>
      <w:r>
        <w:rPr>
          <w:rFonts w:ascii="Arial" w:cs="Arial" w:eastAsia="Arial" w:hAnsi="Arial"/>
          <w:sz w:val="18"/>
          <w:szCs w:val="18"/>
          <w:color w:val="auto"/>
        </w:rPr>
        <w:t>product candidates;</w:t>
      </w:r>
    </w:p>
    <w:p>
      <w:pPr>
        <w:ind w:left="940"/>
        <w:spacing w:after="0" w:line="203" w:lineRule="auto"/>
        <w:rPr>
          <w:sz w:val="20"/>
          <w:szCs w:val="20"/>
          <w:color w:val="auto"/>
        </w:rPr>
      </w:pPr>
      <w:r>
        <w:rPr>
          <w:rFonts w:ascii="Arial" w:cs="Arial" w:eastAsia="Arial" w:hAnsi="Arial"/>
          <w:sz w:val="18"/>
          <w:szCs w:val="18"/>
          <w:color w:val="auto"/>
        </w:rPr>
        <w:t>expected losses;</w:t>
      </w:r>
    </w:p>
    <w:p>
      <w:pPr>
        <w:spacing w:after="0" w:line="1" w:lineRule="exact"/>
        <w:rPr>
          <w:sz w:val="20"/>
          <w:szCs w:val="20"/>
          <w:color w:val="auto"/>
        </w:rPr>
      </w:pPr>
    </w:p>
    <w:p>
      <w:pPr>
        <w:ind w:left="940" w:right="1719"/>
        <w:spacing w:after="0" w:line="203" w:lineRule="auto"/>
        <w:rPr>
          <w:sz w:val="20"/>
          <w:szCs w:val="20"/>
          <w:color w:val="auto"/>
        </w:rPr>
      </w:pPr>
      <w:r>
        <w:rPr>
          <w:rFonts w:ascii="Arial" w:cs="Arial" w:eastAsia="Arial" w:hAnsi="Arial"/>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Arial" w:cs="Arial" w:eastAsia="Arial" w:hAnsi="Arial"/>
          <w:sz w:val="18"/>
          <w:szCs w:val="18"/>
          <w:color w:val="auto"/>
        </w:rPr>
        <w:t>ability to attract and retain key personnel;</w:t>
      </w:r>
    </w:p>
    <w:p>
      <w:pPr>
        <w:ind w:left="940"/>
        <w:spacing w:after="0" w:line="203" w:lineRule="auto"/>
        <w:rPr>
          <w:sz w:val="20"/>
          <w:szCs w:val="20"/>
          <w:color w:val="auto"/>
        </w:rPr>
      </w:pPr>
      <w:r>
        <w:rPr>
          <w:rFonts w:ascii="Arial" w:cs="Arial" w:eastAsia="Arial" w:hAnsi="Arial"/>
          <w:sz w:val="18"/>
          <w:szCs w:val="18"/>
          <w:color w:val="auto"/>
        </w:rPr>
        <w:t>the performance of third-party manufacturers;</w:t>
      </w:r>
    </w:p>
    <w:p>
      <w:pPr>
        <w:ind w:left="940"/>
        <w:spacing w:after="0" w:line="204" w:lineRule="auto"/>
        <w:rPr>
          <w:sz w:val="20"/>
          <w:szCs w:val="20"/>
          <w:color w:val="auto"/>
        </w:rPr>
      </w:pPr>
      <w:r>
        <w:rPr>
          <w:rFonts w:ascii="Arial" w:cs="Arial" w:eastAsia="Arial" w:hAnsi="Arial"/>
          <w:sz w:val="18"/>
          <w:szCs w:val="18"/>
          <w:color w:val="auto"/>
        </w:rPr>
        <w:t>expectations for future capital requirements; and</w:t>
      </w:r>
    </w:p>
    <w:p>
      <w:pPr>
        <w:ind w:left="940"/>
        <w:spacing w:after="0"/>
        <w:rPr>
          <w:sz w:val="20"/>
          <w:szCs w:val="20"/>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26,632,695</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34,021,123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1,121,003</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1,278,418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27,753,698</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35,299,541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2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70,709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68,071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114,889</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187,952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27,939,296</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3,874,592</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3,435,456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2,153,051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2,679,534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3,275,308</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3,269,346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118,000</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2,791,000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9,420,951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12,175,336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Loan payable, long-term</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5,932,191</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6,663,005</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15,353,142</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18,838,341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Preferred stock, $0.0001 par value per share (10,000,000 shares authorized,</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none issued and outstanding at March 31, 2018 and December 31, 2017,</w:t>
            </w:r>
          </w:p>
        </w:tc>
        <w:tc>
          <w:tcPr>
            <w:tcW w:w="2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7"/>
                <w:szCs w:val="17"/>
                <w:color w:val="auto"/>
              </w:rPr>
              <w:t>Common stock, $0.0001 par value per share (150,000,000 shares authorized,</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w w:val="96"/>
              </w:rPr>
              <w:t>25,549,892 and 25,492,992 shares issued and outstanding at March 31, 2018</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2,555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and December 31, 2017, respectively)</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93,974,001</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93,299,517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5"/>
                <w:szCs w:val="15"/>
                <w:color w:val="auto"/>
              </w:rPr>
            </w:pPr>
          </w:p>
        </w:tc>
        <w:tc>
          <w:tcPr>
            <w:tcW w:w="136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(81,390,402)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(76,584,843)</w:t>
            </w:r>
          </w:p>
        </w:tc>
        <w:tc>
          <w:tcPr>
            <w:tcW w:w="0" w:type="dxa"/>
            <w:vAlign w:val="bottom"/>
          </w:tcPr>
          <w:p>
            <w:pPr>
              <w:spacing w:after="0"/>
              <w:rPr>
                <w:sz w:val="1"/>
                <w:szCs w:val="1"/>
                <w:color w:val="auto"/>
              </w:rPr>
            </w:pPr>
          </w:p>
        </w:tc>
      </w:tr>
      <w:tr>
        <w:trPr>
          <w:trHeight w:val="169"/>
        </w:trPr>
        <w:tc>
          <w:tcPr>
            <w:tcW w:w="6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12,586,154</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16,717,223</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27,939,296</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Three months ended</w:t>
      </w:r>
    </w:p>
    <w:p>
      <w:pPr>
        <w:ind w:left="69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5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72"/>
              <w:spacing w:after="0" w:line="136"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52"/>
              <w:spacing w:after="0" w:line="136"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1"/>
                <w:szCs w:val="11"/>
                <w:color w:val="auto"/>
              </w:rPr>
            </w:pPr>
          </w:p>
        </w:tc>
      </w:tr>
      <w:tr>
        <w:trPr>
          <w:trHeight w:val="129"/>
        </w:trPr>
        <w:tc>
          <w:tcPr>
            <w:tcW w:w="5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6"/>
        </w:trPr>
        <w:tc>
          <w:tcPr>
            <w:tcW w:w="52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880" w:type="dxa"/>
            <w:vAlign w:val="bottom"/>
            <w:gridSpan w:val="2"/>
          </w:tcPr>
          <w:p>
            <w:pPr>
              <w:jc w:val="right"/>
              <w:ind w:right="13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4,752,511</w:t>
            </w:r>
          </w:p>
        </w:tc>
        <w:tc>
          <w:tcPr>
            <w:tcW w:w="120" w:type="dxa"/>
            <w:vAlign w:val="bottom"/>
          </w:tcPr>
          <w:p>
            <w:pPr>
              <w:spacing w:after="0"/>
              <w:rPr>
                <w:sz w:val="15"/>
                <w:szCs w:val="15"/>
                <w:color w:val="auto"/>
              </w:rPr>
            </w:pPr>
          </w:p>
        </w:tc>
        <w:tc>
          <w:tcPr>
            <w:tcW w:w="440" w:type="dxa"/>
            <w:vAlign w:val="bottom"/>
            <w:gridSpan w:val="2"/>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5,985,219</w:t>
            </w:r>
          </w:p>
        </w:tc>
        <w:tc>
          <w:tcPr>
            <w:tcW w:w="260" w:type="dxa"/>
            <w:vAlign w:val="bottom"/>
          </w:tcPr>
          <w:p>
            <w:pPr>
              <w:spacing w:after="0"/>
              <w:rPr>
                <w:sz w:val="15"/>
                <w:szCs w:val="15"/>
                <w:color w:val="auto"/>
              </w:rPr>
            </w:pPr>
          </w:p>
        </w:tc>
      </w:tr>
      <w:tr>
        <w:trPr>
          <w:trHeight w:val="176"/>
        </w:trPr>
        <w:tc>
          <w:tcPr>
            <w:tcW w:w="5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2,410,699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1,686,814</w:t>
            </w:r>
          </w:p>
        </w:tc>
        <w:tc>
          <w:tcPr>
            <w:tcW w:w="260" w:type="dxa"/>
            <w:vAlign w:val="bottom"/>
            <w:shd w:val="clear" w:color="auto" w:fill="CCEEFF"/>
          </w:tcPr>
          <w:p>
            <w:pPr>
              <w:spacing w:after="0"/>
              <w:rPr>
                <w:sz w:val="15"/>
                <w:szCs w:val="15"/>
                <w:color w:val="auto"/>
              </w:rPr>
            </w:pPr>
          </w:p>
        </w:tc>
      </w:tr>
      <w:tr>
        <w:trPr>
          <w:trHeight w:val="169"/>
        </w:trPr>
        <w:tc>
          <w:tcPr>
            <w:tcW w:w="52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7,163,210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7,672,033</w:t>
            </w:r>
          </w:p>
        </w:tc>
        <w:tc>
          <w:tcPr>
            <w:tcW w:w="260" w:type="dxa"/>
            <w:vAlign w:val="bottom"/>
            <w:tcBorders>
              <w:bottom w:val="single" w:sz="8" w:color="CCEEFF"/>
            </w:tcBorders>
          </w:tcPr>
          <w:p>
            <w:pPr>
              <w:spacing w:after="0"/>
              <w:rPr>
                <w:sz w:val="14"/>
                <w:szCs w:val="14"/>
                <w:color w:val="auto"/>
              </w:rPr>
            </w:pPr>
          </w:p>
        </w:tc>
      </w:tr>
      <w:tr>
        <w:trPr>
          <w:trHeight w:val="169"/>
        </w:trPr>
        <w:tc>
          <w:tcPr>
            <w:tcW w:w="52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(7,163,210)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(7,672,033)</w:t>
            </w:r>
          </w:p>
        </w:tc>
        <w:tc>
          <w:tcPr>
            <w:tcW w:w="260" w:type="dxa"/>
            <w:vAlign w:val="bottom"/>
            <w:shd w:val="clear" w:color="auto" w:fill="CCEEFF"/>
          </w:tcPr>
          <w:p>
            <w:pPr>
              <w:spacing w:after="0"/>
              <w:rPr>
                <w:sz w:val="14"/>
                <w:szCs w:val="14"/>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(315,349)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(323,006)</w:t>
            </w:r>
          </w:p>
        </w:tc>
        <w:tc>
          <w:tcPr>
            <w:tcW w:w="260" w:type="dxa"/>
            <w:vAlign w:val="bottom"/>
          </w:tcPr>
          <w:p>
            <w:pPr>
              <w:spacing w:after="0"/>
              <w:rPr>
                <w:sz w:val="15"/>
                <w:szCs w:val="15"/>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2,673,000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r>
      <w:tr>
        <w:trPr>
          <w:trHeight w:val="176"/>
        </w:trPr>
        <w:tc>
          <w:tcPr>
            <w:tcW w:w="52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5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(4,805,559)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(7,995,039)</w:t>
            </w:r>
          </w:p>
        </w:tc>
        <w:tc>
          <w:tcPr>
            <w:tcW w:w="260" w:type="dxa"/>
            <w:vAlign w:val="bottom"/>
            <w:tcBorders>
              <w:bottom w:val="single" w:sz="8" w:color="CCEEFF"/>
            </w:tcBorders>
          </w:tcPr>
          <w:p>
            <w:pPr>
              <w:spacing w:after="0"/>
              <w:rPr>
                <w:sz w:val="15"/>
                <w:szCs w:val="15"/>
                <w:color w:val="auto"/>
              </w:rPr>
            </w:pPr>
          </w:p>
        </w:tc>
      </w:tr>
      <w:tr>
        <w:trPr>
          <w:trHeight w:val="196"/>
        </w:trPr>
        <w:tc>
          <w:tcPr>
            <w:tcW w:w="52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shd w:val="clear" w:color="auto" w:fill="CCEEFF"/>
          </w:tcPr>
          <w:p>
            <w:pPr>
              <w:spacing w:after="0"/>
              <w:rPr>
                <w:sz w:val="17"/>
                <w:szCs w:val="17"/>
                <w:color w:val="auto"/>
              </w:rPr>
            </w:pPr>
          </w:p>
        </w:tc>
      </w:tr>
      <w:tr>
        <w:trPr>
          <w:trHeight w:val="170"/>
        </w:trPr>
        <w:tc>
          <w:tcPr>
            <w:tcW w:w="5220" w:type="dxa"/>
            <w:vAlign w:val="bottom"/>
          </w:tcPr>
          <w:p>
            <w:pPr>
              <w:spacing w:after="0" w:line="163" w:lineRule="exact"/>
              <w:rPr>
                <w:sz w:val="20"/>
                <w:szCs w:val="20"/>
                <w:color w:val="auto"/>
              </w:rPr>
            </w:pPr>
            <w:r>
              <w:rPr>
                <w:rFonts w:ascii="Arial" w:cs="Arial" w:eastAsia="Arial" w:hAnsi="Arial"/>
                <w:sz w:val="18"/>
                <w:szCs w:val="18"/>
                <w:color w:val="auto"/>
                <w:w w:val="99"/>
              </w:rPr>
              <w:t>Weighted average common shares outstanding, basic and diluted</w:t>
            </w: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25,501,188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19,537,897</w:t>
            </w:r>
          </w:p>
        </w:tc>
        <w:tc>
          <w:tcPr>
            <w:tcW w:w="260" w:type="dxa"/>
            <w:vAlign w:val="bottom"/>
          </w:tcPr>
          <w:p>
            <w:pPr>
              <w:spacing w:after="0"/>
              <w:rPr>
                <w:sz w:val="14"/>
                <w:szCs w:val="14"/>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10"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5"/>
          </w:tcPr>
          <w:p>
            <w:pPr>
              <w:ind w:left="340"/>
              <w:spacing w:after="0" w:line="155" w:lineRule="exact"/>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40"/>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59"/>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r>
      <w:tr>
        <w:trPr>
          <w:trHeight w:val="156"/>
        </w:trPr>
        <w:tc>
          <w:tcPr>
            <w:tcW w:w="5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(4,805,559)</w:t>
            </w:r>
          </w:p>
        </w:tc>
        <w:tc>
          <w:tcPr>
            <w:tcW w:w="360" w:type="dxa"/>
            <w:vAlign w:val="bottom"/>
          </w:tcPr>
          <w:p>
            <w:pPr>
              <w:jc w:val="right"/>
              <w:ind w:right="204"/>
              <w:spacing w:after="0" w:line="162"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(7,995,039)</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534,570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663,615</w:t>
            </w: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108,481</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115,645</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(2,673,000)</w:t>
            </w:r>
          </w:p>
        </w:tc>
        <w:tc>
          <w:tcPr>
            <w:tcW w:w="3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11,938</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10,113</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157,415</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201,436</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ind w:left="220"/>
              <w:spacing w:after="0" w:line="162" w:lineRule="exact"/>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73,063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(6,470)</w:t>
            </w:r>
          </w:p>
        </w:tc>
      </w:tr>
      <w:tr>
        <w:trPr>
          <w:trHeight w:val="162"/>
        </w:trPr>
        <w:tc>
          <w:tcPr>
            <w:tcW w:w="518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439,136</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659,529</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ind w:left="22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(526,483)</w:t>
            </w:r>
          </w:p>
        </w:tc>
        <w:tc>
          <w:tcPr>
            <w:tcW w:w="360" w:type="dxa"/>
            <w:vAlign w:val="bottom"/>
          </w:tcPr>
          <w:p>
            <w:pPr>
              <w:spacing w:after="0"/>
              <w:rPr>
                <w:sz w:val="14"/>
                <w:szCs w:val="14"/>
                <w:color w:val="auto"/>
              </w:rPr>
            </w:pPr>
          </w:p>
        </w:tc>
        <w:tc>
          <w:tcPr>
            <w:tcW w:w="1260" w:type="dxa"/>
            <w:vAlign w:val="bottom"/>
            <w:gridSpan w:val="2"/>
          </w:tcPr>
          <w:p>
            <w:pPr>
              <w:jc w:val="right"/>
              <w:ind w:right="40"/>
              <w:spacing w:after="0" w:line="162" w:lineRule="exact"/>
              <w:rPr>
                <w:sz w:val="20"/>
                <w:szCs w:val="20"/>
                <w:color w:val="auto"/>
              </w:rPr>
            </w:pPr>
            <w:r>
              <w:rPr>
                <w:rFonts w:ascii="Arial" w:cs="Arial" w:eastAsia="Arial" w:hAnsi="Arial"/>
                <w:sz w:val="16"/>
                <w:szCs w:val="16"/>
                <w:color w:val="auto"/>
              </w:rPr>
              <w:t>(285,253)</w:t>
            </w:r>
          </w:p>
        </w:tc>
      </w:tr>
      <w:tr>
        <w:trPr>
          <w:trHeight w:val="156"/>
        </w:trPr>
        <w:tc>
          <w:tcPr>
            <w:tcW w:w="51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4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(6,680,439)</w:t>
            </w: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(6,636,424)</w:t>
            </w:r>
          </w:p>
        </w:tc>
        <w:tc>
          <w:tcPr>
            <w:tcW w:w="40" w:type="dxa"/>
            <w:vAlign w:val="bottom"/>
            <w:tcBorders>
              <w:top w:val="single" w:sz="8" w:color="CCEEFF"/>
            </w:tcBorders>
            <w:shd w:val="clear" w:color="auto" w:fill="CCEEFF"/>
          </w:tcPr>
          <w:p>
            <w:pPr>
              <w:spacing w:after="0"/>
              <w:rPr>
                <w:sz w:val="13"/>
                <w:szCs w:val="13"/>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6"/>
                <w:szCs w:val="16"/>
                <w:color w:val="auto"/>
              </w:rPr>
              <w:t>(14,576)</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(2,899)</w:t>
            </w:r>
          </w:p>
        </w:tc>
      </w:tr>
      <w:tr>
        <w:trPr>
          <w:trHeight w:val="156"/>
        </w:trPr>
        <w:tc>
          <w:tcPr>
            <w:tcW w:w="51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(14,576)</w:t>
            </w:r>
          </w:p>
        </w:tc>
        <w:tc>
          <w:tcPr>
            <w:tcW w:w="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(2,899)</w:t>
            </w:r>
          </w:p>
        </w:tc>
        <w:tc>
          <w:tcPr>
            <w:tcW w:w="40" w:type="dxa"/>
            <w:vAlign w:val="bottom"/>
            <w:tcBorders>
              <w:bottom w:val="single" w:sz="8" w:color="CCEEFF"/>
            </w:tcBorders>
          </w:tcPr>
          <w:p>
            <w:pPr>
              <w:spacing w:after="0"/>
              <w:rPr>
                <w:sz w:val="13"/>
                <w:szCs w:val="13"/>
                <w:color w:val="auto"/>
              </w:rPr>
            </w:pPr>
          </w:p>
        </w:tc>
      </w:tr>
      <w:tr>
        <w:trPr>
          <w:trHeight w:val="156"/>
        </w:trPr>
        <w:tc>
          <w:tcPr>
            <w:tcW w:w="518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60"/>
              <w:spacing w:after="0" w:line="162" w:lineRule="exact"/>
              <w:rPr>
                <w:sz w:val="20"/>
                <w:szCs w:val="20"/>
                <w:color w:val="auto"/>
              </w:rPr>
            </w:pPr>
            <w:r>
              <w:rPr>
                <w:rFonts w:ascii="Arial" w:cs="Arial" w:eastAsia="Arial" w:hAnsi="Arial"/>
                <w:sz w:val="16"/>
                <w:szCs w:val="16"/>
                <w:color w:val="auto"/>
              </w:rPr>
              <w:t>(833,333)</w:t>
            </w:r>
          </w:p>
        </w:tc>
        <w:tc>
          <w:tcPr>
            <w:tcW w:w="3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139,920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14,790,021</w:t>
            </w:r>
          </w:p>
        </w:tc>
        <w:tc>
          <w:tcPr>
            <w:tcW w:w="40" w:type="dxa"/>
            <w:vAlign w:val="bottom"/>
            <w:shd w:val="clear" w:color="auto" w:fill="CCEEFF"/>
          </w:tcPr>
          <w:p>
            <w:pPr>
              <w:spacing w:after="0"/>
              <w:rPr>
                <w:sz w:val="14"/>
                <w:szCs w:val="14"/>
                <w:color w:val="auto"/>
              </w:rPr>
            </w:pPr>
          </w:p>
        </w:tc>
      </w:tr>
      <w:tr>
        <w:trPr>
          <w:trHeight w:val="162"/>
        </w:trPr>
        <w:tc>
          <w:tcPr>
            <w:tcW w:w="518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300"/>
              <w:spacing w:after="0" w:line="162"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201,163</w:t>
            </w:r>
          </w:p>
        </w:tc>
        <w:tc>
          <w:tcPr>
            <w:tcW w:w="40" w:type="dxa"/>
            <w:vAlign w:val="bottom"/>
          </w:tcPr>
          <w:p>
            <w:pPr>
              <w:spacing w:after="0"/>
              <w:rPr>
                <w:sz w:val="14"/>
                <w:szCs w:val="14"/>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49,269</w:t>
            </w:r>
          </w:p>
        </w:tc>
        <w:tc>
          <w:tcPr>
            <w:tcW w:w="40" w:type="dxa"/>
            <w:vAlign w:val="bottom"/>
            <w:shd w:val="clear" w:color="auto" w:fill="CCEEFF"/>
          </w:tcPr>
          <w:p>
            <w:pPr>
              <w:spacing w:after="0"/>
              <w:rPr>
                <w:sz w:val="14"/>
                <w:szCs w:val="14"/>
                <w:color w:val="auto"/>
              </w:rPr>
            </w:pPr>
          </w:p>
        </w:tc>
      </w:tr>
      <w:tr>
        <w:trPr>
          <w:trHeight w:val="156"/>
        </w:trPr>
        <w:tc>
          <w:tcPr>
            <w:tcW w:w="51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provided by financing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(693,413)</w:t>
            </w:r>
          </w:p>
        </w:tc>
        <w:tc>
          <w:tcPr>
            <w:tcW w:w="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15,040,453</w:t>
            </w:r>
          </w:p>
        </w:tc>
        <w:tc>
          <w:tcPr>
            <w:tcW w:w="40" w:type="dxa"/>
            <w:vAlign w:val="bottom"/>
            <w:tcBorders>
              <w:bottom w:val="single" w:sz="8" w:color="CCEEFF"/>
            </w:tcBorders>
          </w:tcPr>
          <w:p>
            <w:pPr>
              <w:spacing w:after="0"/>
              <w:rPr>
                <w:sz w:val="13"/>
                <w:szCs w:val="13"/>
                <w:color w:val="auto"/>
              </w:rPr>
            </w:pPr>
          </w:p>
        </w:tc>
      </w:tr>
      <w:tr>
        <w:trPr>
          <w:trHeight w:val="156"/>
        </w:trPr>
        <w:tc>
          <w:tcPr>
            <w:tcW w:w="51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(7,388,428)</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8,401,130</w:t>
            </w:r>
          </w:p>
        </w:tc>
        <w:tc>
          <w:tcPr>
            <w:tcW w:w="40" w:type="dxa"/>
            <w:vAlign w:val="bottom"/>
            <w:shd w:val="clear" w:color="auto" w:fill="CCEEFF"/>
          </w:tcPr>
          <w:p>
            <w:pPr>
              <w:spacing w:after="0"/>
              <w:rPr>
                <w:sz w:val="13"/>
                <w:szCs w:val="13"/>
                <w:color w:val="auto"/>
              </w:rPr>
            </w:pPr>
          </w:p>
        </w:tc>
      </w:tr>
      <w:tr>
        <w:trPr>
          <w:trHeight w:val="162"/>
        </w:trPr>
        <w:tc>
          <w:tcPr>
            <w:tcW w:w="518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Cash at beginning of period</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34,021,123</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36,618,497</w:t>
            </w:r>
          </w:p>
        </w:tc>
        <w:tc>
          <w:tcPr>
            <w:tcW w:w="40" w:type="dxa"/>
            <w:vAlign w:val="bottom"/>
            <w:tcBorders>
              <w:bottom w:val="single" w:sz="8" w:color="CCEEFF"/>
            </w:tcBorders>
          </w:tcPr>
          <w:p>
            <w:pPr>
              <w:spacing w:after="0"/>
              <w:rPr>
                <w:sz w:val="14"/>
                <w:szCs w:val="14"/>
                <w:color w:val="auto"/>
              </w:rPr>
            </w:pPr>
          </w:p>
        </w:tc>
      </w:tr>
      <w:tr>
        <w:trPr>
          <w:trHeight w:val="163"/>
        </w:trPr>
        <w:tc>
          <w:tcPr>
            <w:tcW w:w="51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Cash at end of period</w:t>
            </w:r>
          </w:p>
        </w:tc>
        <w:tc>
          <w:tcPr>
            <w:tcW w:w="4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26,632,695</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45,019,627</w:t>
            </w:r>
          </w:p>
        </w:tc>
        <w:tc>
          <w:tcPr>
            <w:tcW w:w="40" w:type="dxa"/>
            <w:vAlign w:val="bottom"/>
            <w:tcBorders>
              <w:bottom w:val="single" w:sz="8" w:color="CCEEFF"/>
            </w:tcBorders>
            <w:shd w:val="clear" w:color="auto" w:fill="CCEEFF"/>
          </w:tcPr>
          <w:p>
            <w:pPr>
              <w:spacing w:after="0"/>
              <w:rPr>
                <w:sz w:val="14"/>
                <w:szCs w:val="14"/>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Axsome Therapeutics, Inc. (“Axsome” or the “Company”) is a clinical 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product candidate portfolio includes five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AXS-09, AXS-02, AXS-07, and AXS</w:t>
      </w:r>
      <w:r>
        <w:rPr>
          <w:rFonts w:ascii="MS PGothic" w:cs="MS PGothic" w:eastAsia="MS PGothic" w:hAnsi="MS PGothic"/>
          <w:sz w:val="16"/>
          <w:szCs w:val="16"/>
          <w:color w:val="auto"/>
        </w:rPr>
        <w:t>‑</w:t>
      </w:r>
      <w:r>
        <w:rPr>
          <w:rFonts w:ascii="Arial" w:cs="Arial" w:eastAsia="Arial" w:hAnsi="Arial"/>
          <w:sz w:val="16"/>
          <w:szCs w:val="16"/>
          <w:color w:val="auto"/>
        </w:rPr>
        <w:t>06,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2017 filed with the SEC on March 7, 2018.</w:t>
      </w:r>
    </w:p>
    <w:p>
      <w:pPr>
        <w:spacing w:after="0" w:line="163"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2018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March 31, 2018, the Company had an accumulated deficit of $81.4 million.</w:t>
      </w:r>
    </w:p>
    <w:p>
      <w:pPr>
        <w:spacing w:after="0" w:line="163"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of March 31, 2018, the Company had $26.6 million in cash. The Company currently anticipates its cash to be sufficient to fund its anticipated operating cash requirements into the third quarter of 2019.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March 31, 2018 or December 31, 2017.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March 31, 2018,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jc w:val="both"/>
        <w:ind w:right="340" w:firstLine="648"/>
        <w:spacing w:after="0" w:line="194"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The fair value of the warrant liabilities are discussed in Note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Company’s estimated effective tax rate as of March 31, 2018 was 0%, which differs from the statutory tax rate in effect following the Tax Cuts and Jobs Act of 2017 (“the Tax Act”) becoming effective due to the Company recording a full valuation allowance.</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2018,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ind w:left="160" w:right="120" w:firstLine="474"/>
        <w:spacing w:after="0" w:line="253" w:lineRule="auto"/>
        <w:rPr>
          <w:sz w:val="20"/>
          <w:szCs w:val="20"/>
          <w:color w:val="auto"/>
        </w:rPr>
      </w:pPr>
      <w:r>
        <w:rPr>
          <w:rFonts w:ascii="Arial" w:cs="Arial" w:eastAsia="Arial" w:hAnsi="Arial"/>
          <w:sz w:val="17"/>
          <w:szCs w:val="17"/>
          <w:color w:val="auto"/>
        </w:rPr>
        <w:t>The Tax Act, which was enacted in December 2017, reduces the U.S. federal corporate income tax rate from 35% to 21%, effective as of January 1, 2018, and creates a territorial-style taxing system. The Tax Act also requires companies to pay a one-time transition tax on accumulated earnings of certain foreign subsidiaries that were previously deferred and also creates new taxes on certain types of foreign earnings. As of March 31, 2018, the Company has not completed its accounting for all the tax effects associated with the enactment of the Tax Act. However, the Company has made a reasonable estimate of the effects on its existing deferred tax balances and recorded a provisional amount during the fourth quarter of 2017. The Company anticipates that the Internal Revenue Service will issue additional guidance related to the impacts of the Tax Act later in 2018. The Company may further adjust the provisional amounts recorded upon completion of its accounting for the tax effects associated with the enactment of the Tax Act and input from anticipated guidance interpreting the Tax Act.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For stock options issued to employees and members of the Company’s board of directors for their services,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awards expected to vest and accounts for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payments issued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The Company records compensation expense based on the fair value of the award at the reporting date. The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then revalued, or the total compensation is recalculated based on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at each subsequent reporting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months ended March 31, 2018 and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The Company is currently evaluating the potential impact of the new guidance.</w:t>
      </w:r>
    </w:p>
    <w:p>
      <w:pPr>
        <w:spacing w:after="0" w:line="16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1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18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In accordance with Accounting Standards Codificiation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financial instruments were measured at fair value using a three-level hierarchy which maximizes use of observable inputs and minimizes use of unobservable inputs:</w:t>
      </w:r>
    </w:p>
    <w:p>
      <w:pPr>
        <w:spacing w:after="0" w:line="163"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In connection with the Company’s December 4, 2017 registered direct offering (the “Registered Direct Offering”), the Company issued common stock warrants (“Common Warrants”) to certain investors to purchase an aggregate of 1,783,587 shares of its common stock. The Common Warrants are exercisable at $5.25 per share and expire on December 11, 2018. Additionally, as part of the Registered Direct Offering, the Company issued warrants (the “Placement Agent Warrants’) to certain investors affiliated with H.C. Wainwright &amp; Co., LLC, the placement agent in the Registered Direct Offering to purchase an aggregate of 107,015 shares of its common stock. The Placement Agent Warrants are exercisable at $6.6562 and expire on December 11, 2018. The Common Warrants and Placement Agent Warrants were analyzed and it was determined that they require liability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w:t>
      </w:r>
    </w:p>
    <w:p>
      <w:pPr>
        <w:spacing w:after="0" w:line="16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fair value of the Common Warrants at March 31, 2018 and December 31, 2017 was determined to be approximately $115,000 and $2,683,000, respectively, as calculated using Black-Scholes with the following assumptions: (1) stock price of $2.45 and $5.60, respectively; (2) a risk-free rate of 1.99% and 1.76%, respectively; and (3) an expected volatility of 63% and 62%, respectively. The change in the fair value between December 31, 2017 and March 31, 2018 is reported as a change in fair value of the warrant liability on the statement of operations.</w:t>
      </w:r>
    </w:p>
    <w:p>
      <w:pPr>
        <w:spacing w:after="0" w:line="161"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The fair value of the Placement Agent Warrants at March 31, 2018 and December 31, 2017 were determined to be approximately $3,000 and $108,000, respectively, as calculated using Black-Scholes with the following assumptions: (1) stock price of $2.45 and $5.60, respectively; (2) a risk-free rate of 1.99% and 1.76%, respectively; and (3) an expected volatility of 63% and 62%, respectively. The change in the fair value between December 31, 2017 and March 31, 2018 is reported as a change in fair value of the warrant liability on the statement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Sensitivity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 of March 31, 2018, the fair value of the warrant liability utilizes inputs including: share price, expected volatility and risk-free rate.</w:t>
      </w:r>
    </w:p>
    <w:p>
      <w:pPr>
        <w:spacing w:after="0" w:line="162" w:lineRule="exact"/>
        <w:rPr>
          <w:sz w:val="20"/>
          <w:szCs w:val="20"/>
          <w:color w:val="auto"/>
        </w:rPr>
      </w:pPr>
    </w:p>
    <w:p>
      <w:pPr>
        <w:ind w:left="660" w:right="10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share price will result in an estimated increase/decrease of $0.1 million in the value of the warrant liability,</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expected volatility will result in an estimated increase/decrease of $0.1 million in the value of the warrant liability, and</w:t>
      </w:r>
    </w:p>
    <w:p>
      <w:pPr>
        <w:spacing w:after="0" w:line="161"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risk-free interest rate will result in an immaterial change in the value of the warrant liability.</w:t>
      </w:r>
    </w:p>
    <w:p>
      <w:pPr>
        <w:spacing w:after="0" w:line="37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There were no financial liabilities measured at fair value on a recurring basis as of March 31, 2017.</w:t>
      </w:r>
    </w:p>
    <w:p>
      <w:pPr>
        <w:spacing w:after="0" w:line="185"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three months ended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Arial" w:cs="Arial" w:eastAsia="Arial" w:hAnsi="Arial"/>
                <w:sz w:val="14"/>
                <w:szCs w:val="14"/>
                <w:b w:val="1"/>
                <w:bCs w:val="1"/>
                <w:color w:val="auto"/>
              </w:rPr>
              <w:t>March 31, 2018</w:t>
            </w:r>
          </w:p>
        </w:tc>
        <w:tc>
          <w:tcPr>
            <w:tcW w:w="1420" w:type="dxa"/>
            <w:vAlign w:val="bottom"/>
            <w:gridSpan w:val="3"/>
          </w:tcPr>
          <w:p>
            <w:pPr>
              <w:ind w:left="200"/>
              <w:spacing w:after="0"/>
              <w:rPr>
                <w:sz w:val="20"/>
                <w:szCs w:val="20"/>
                <w:color w:val="auto"/>
              </w:rPr>
            </w:pPr>
            <w:r>
              <w:rPr>
                <w:rFonts w:ascii="Arial" w:cs="Arial" w:eastAsia="Arial" w:hAnsi="Arial"/>
                <w:sz w:val="14"/>
                <w:szCs w:val="14"/>
                <w:b w:val="1"/>
                <w:bCs w:val="1"/>
                <w:color w:val="auto"/>
                <w:w w:val="90"/>
              </w:rPr>
              <w:t>Beginning of period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Issuances</w:t>
            </w: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in fair value</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Extinguishments</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End of period</w:t>
            </w:r>
          </w:p>
        </w:tc>
      </w:tr>
      <w:tr>
        <w:trPr>
          <w:trHeight w:val="169"/>
        </w:trPr>
        <w:tc>
          <w:tcPr>
            <w:tcW w:w="21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80"/>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(2,673,000)</w:t>
            </w:r>
          </w:p>
        </w:tc>
        <w:tc>
          <w:tcPr>
            <w:tcW w:w="2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296"/>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2140" w:type="dxa"/>
            <w:vAlign w:val="bottom"/>
          </w:tcPr>
          <w:p>
            <w:pPr>
              <w:ind w:left="220"/>
              <w:spacing w:after="0" w:line="170"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2,791,000</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80"/>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(2,673,000)</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ind w:right="296"/>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ind w:left="400"/>
              <w:spacing w:after="0" w:line="17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118,000</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2018 and December 31, 2017 accrued expenses and other current liabilities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2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1,697,554</w:t>
            </w:r>
          </w:p>
        </w:tc>
        <w:tc>
          <w:tcPr>
            <w:tcW w:w="22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1,642,154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220,746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704,556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234,751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332,824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2,153,051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2,679,534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 and Security Agreement</w:t>
      </w:r>
    </w:p>
    <w:p>
      <w:pPr>
        <w:spacing w:after="0" w:line="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The loan bears interest at an annual rate equal to 4.50% plus the prime rate, which is the greater of 3.50% or the Wall Street Journal prime rate, and is payable monthly. It matures in November 2020 and had an interest-only payment period until December 1, 2017, which was extendedable to May 2018 upon the drawing of the second tranche. Following the interest-only payment period, the Company began making monthly payments of principal and interest and such payments will continue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 Because the Company did not achieve the conditional criteria to access the second and third term advances before the specified dates, the $10.0 million in additional term loan advances expired and the Company began to repay principal in December 2017.</w:t>
      </w:r>
    </w:p>
    <w:p>
      <w:pPr>
        <w:spacing w:after="0" w:line="4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2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Interest expense was $206,868 and amortization of the final payment was $76,586 for the three months ended March 31, 2018.</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169"/>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6"/>
        </w:trPr>
        <w:tc>
          <w:tcPr>
            <w:tcW w:w="7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8,888,889</w:t>
            </w:r>
          </w:p>
        </w:tc>
        <w:tc>
          <w:tcPr>
            <w:tcW w:w="220" w:type="dxa"/>
            <w:vAlign w:val="bottom"/>
            <w:shd w:val="clear" w:color="auto" w:fill="CCEEFF"/>
          </w:tcPr>
          <w:p>
            <w:pPr>
              <w:spacing w:after="0"/>
              <w:rPr>
                <w:sz w:val="15"/>
                <w:szCs w:val="15"/>
                <w:color w:val="auto"/>
              </w:rPr>
            </w:pPr>
          </w:p>
        </w:tc>
      </w:tr>
      <w:tr>
        <w:trPr>
          <w:trHeight w:val="176"/>
        </w:trPr>
        <w:tc>
          <w:tcPr>
            <w:tcW w:w="758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Less debt discount, net of current portion</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376,635</w:t>
            </w:r>
          </w:p>
        </w:tc>
        <w:tc>
          <w:tcPr>
            <w:tcW w:w="220" w:type="dxa"/>
            <w:vAlign w:val="bottom"/>
            <w:tcBorders>
              <w:bottom w:val="single" w:sz="8" w:color="CCEEFF"/>
            </w:tcBorders>
          </w:tcPr>
          <w:p>
            <w:pPr>
              <w:spacing w:after="0"/>
              <w:rPr>
                <w:sz w:val="15"/>
                <w:szCs w:val="15"/>
                <w:color w:val="auto"/>
              </w:rPr>
            </w:pPr>
          </w:p>
        </w:tc>
      </w:tr>
      <w:tr>
        <w:trPr>
          <w:trHeight w:val="169"/>
        </w:trPr>
        <w:tc>
          <w:tcPr>
            <w:tcW w:w="7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9,265,524</w:t>
            </w:r>
          </w:p>
        </w:tc>
        <w:tc>
          <w:tcPr>
            <w:tcW w:w="220" w:type="dxa"/>
            <w:vAlign w:val="bottom"/>
            <w:shd w:val="clear" w:color="auto" w:fill="CCEEFF"/>
          </w:tcPr>
          <w:p>
            <w:pPr>
              <w:spacing w:after="0"/>
              <w:rPr>
                <w:sz w:val="14"/>
                <w:szCs w:val="14"/>
                <w:color w:val="auto"/>
              </w:rPr>
            </w:pPr>
          </w:p>
        </w:tc>
      </w:tr>
      <w:tr>
        <w:trPr>
          <w:trHeight w:val="176"/>
        </w:trPr>
        <w:tc>
          <w:tcPr>
            <w:tcW w:w="758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Borders>
              <w:bottom w:val="single" w:sz="8" w:color="CCEEFF"/>
            </w:tcBorders>
          </w:tcPr>
          <w:p>
            <w:pPr>
              <w:spacing w:after="0"/>
              <w:rPr>
                <w:sz w:val="15"/>
                <w:szCs w:val="15"/>
                <w:color w:val="auto"/>
              </w:rPr>
            </w:pPr>
          </w:p>
        </w:tc>
      </w:tr>
      <w:tr>
        <w:trPr>
          <w:trHeight w:val="23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5,932,191</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3"/>
        </w:trPr>
        <w:tc>
          <w:tcPr>
            <w:tcW w:w="7580" w:type="dxa"/>
            <w:vAlign w:val="bottom"/>
          </w:tcPr>
          <w:p>
            <w:pPr>
              <w:spacing w:after="0" w:line="203" w:lineRule="exact"/>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7"/>
                <w:szCs w:val="17"/>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(58,025)</w:t>
            </w:r>
          </w:p>
        </w:tc>
      </w:tr>
      <w:tr>
        <w:trPr>
          <w:trHeight w:val="217"/>
        </w:trPr>
        <w:tc>
          <w:tcPr>
            <w:tcW w:w="7580" w:type="dxa"/>
            <w:vAlign w:val="bottom"/>
          </w:tcPr>
          <w:p>
            <w:pPr>
              <w:spacing w:after="0"/>
              <w:rPr>
                <w:sz w:val="20"/>
                <w:szCs w:val="20"/>
                <w:color w:val="auto"/>
              </w:rPr>
            </w:pPr>
            <w:r>
              <w:rPr>
                <w:rFonts w:ascii="Arial" w:cs="Arial" w:eastAsia="Arial" w:hAnsi="Arial"/>
                <w:sz w:val="18"/>
                <w:szCs w:val="18"/>
                <w:color w:val="auto"/>
              </w:rPr>
              <w:t>Loan payable, current portion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3,275,308</w:t>
            </w:r>
          </w:p>
        </w:tc>
        <w:tc>
          <w:tcPr>
            <w:tcW w:w="220" w:type="dxa"/>
            <w:vAlign w:val="bottom"/>
          </w:tcPr>
          <w:p>
            <w:pPr>
              <w:spacing w:after="0"/>
              <w:rPr>
                <w:sz w:val="18"/>
                <w:szCs w:val="18"/>
                <w:color w:val="auto"/>
              </w:rPr>
            </w:pPr>
          </w:p>
        </w:tc>
      </w:tr>
    </w:tbl>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Term Loan, SVB and Life Science Loans, LLC received warrants to purchase an aggregate 65,228 shares of the Company’s common stock at an exercise price of $7.41 per share, which are exercisable for seven years from the date of issuance.</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$31,895 for the three months ended March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outstanding debt, as of March 31, 2018,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8"/>
                <w:szCs w:val="18"/>
                <w:color w:val="auto"/>
              </w:rPr>
            </w:pPr>
          </w:p>
        </w:tc>
      </w:tr>
      <w:tr>
        <w:trPr>
          <w:trHeight w:val="176"/>
        </w:trPr>
        <w:tc>
          <w:tcPr>
            <w:tcW w:w="240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5"/>
                <w:szCs w:val="15"/>
                <w:color w:val="auto"/>
              </w:rPr>
            </w:pPr>
          </w:p>
        </w:tc>
      </w:tr>
      <w:tr>
        <w:trPr>
          <w:trHeight w:val="176"/>
        </w:trPr>
        <w:tc>
          <w:tcPr>
            <w:tcW w:w="2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5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3,055,556</w:t>
            </w:r>
          </w:p>
        </w:tc>
        <w:tc>
          <w:tcPr>
            <w:tcW w:w="220" w:type="dxa"/>
            <w:vAlign w:val="bottom"/>
            <w:shd w:val="clear" w:color="auto" w:fill="CCEEFF"/>
          </w:tcPr>
          <w:p>
            <w:pPr>
              <w:spacing w:after="0"/>
              <w:rPr>
                <w:sz w:val="15"/>
                <w:szCs w:val="15"/>
                <w:color w:val="auto"/>
              </w:rPr>
            </w:pPr>
          </w:p>
        </w:tc>
      </w:tr>
      <w:tr>
        <w:trPr>
          <w:trHeight w:val="176"/>
        </w:trPr>
        <w:tc>
          <w:tcPr>
            <w:tcW w:w="240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520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8,888,889</w:t>
            </w:r>
          </w:p>
        </w:tc>
        <w:tc>
          <w:tcPr>
            <w:tcW w:w="220" w:type="dxa"/>
            <w:vAlign w:val="bottom"/>
          </w:tcPr>
          <w:p>
            <w:pPr>
              <w:spacing w:after="0"/>
              <w:rPr>
                <w:sz w:val="15"/>
                <w:szCs w:val="15"/>
                <w:color w:val="auto"/>
              </w:rPr>
            </w:pPr>
          </w:p>
        </w:tc>
      </w:tr>
      <w:tr>
        <w:trPr>
          <w:trHeight w:val="743"/>
        </w:trPr>
        <w:tc>
          <w:tcPr>
            <w:tcW w:w="2400" w:type="dxa"/>
            <w:vAlign w:val="bottom"/>
          </w:tcPr>
          <w:p>
            <w:pPr>
              <w:spacing w:after="0"/>
              <w:rPr>
                <w:sz w:val="24"/>
                <w:szCs w:val="24"/>
                <w:color w:val="auto"/>
              </w:rPr>
            </w:pPr>
          </w:p>
        </w:tc>
        <w:tc>
          <w:tcPr>
            <w:tcW w:w="5200" w:type="dxa"/>
            <w:vAlign w:val="bottom"/>
          </w:tcPr>
          <w:p>
            <w:pPr>
              <w:jc w:val="right"/>
              <w:ind w:right="28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2"/>
        </w:trPr>
        <w:tc>
          <w:tcPr>
            <w:tcW w:w="2400" w:type="dxa"/>
            <w:vAlign w:val="bottom"/>
            <w:tcBorders>
              <w:bottom w:val="single" w:sz="8" w:color="auto"/>
            </w:tcBorders>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66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66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w w:val="99"/>
              </w:rPr>
              <w:t>(4,805,559)</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9"/>
              </w:rPr>
              <w:t>(7,995,039)</w:t>
            </w:r>
          </w:p>
        </w:tc>
        <w:tc>
          <w:tcPr>
            <w:tcW w:w="20" w:type="dxa"/>
            <w:vAlign w:val="bottom"/>
          </w:tcPr>
          <w:p>
            <w:pPr>
              <w:spacing w:after="0"/>
              <w:rPr>
                <w:sz w:val="15"/>
                <w:szCs w:val="15"/>
                <w:color w:val="auto"/>
              </w:rPr>
            </w:pPr>
          </w:p>
        </w:tc>
      </w:tr>
      <w:tr>
        <w:trPr>
          <w:trHeight w:val="176"/>
        </w:trPr>
        <w:tc>
          <w:tcPr>
            <w:tcW w:w="6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outstanding—basic and diluted</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25,501,188</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19,537,897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662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(0.19)</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(0.41)</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2"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March 31, 2018 and 2017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980" w:type="dxa"/>
            <w:vAlign w:val="bottom"/>
            <w:tcBorders>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r>
      <w:tr>
        <w:trPr>
          <w:trHeight w:val="169"/>
        </w:trPr>
        <w:tc>
          <w:tcPr>
            <w:tcW w:w="6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2,760,862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2,144,808</w:t>
            </w:r>
          </w:p>
        </w:tc>
        <w:tc>
          <w:tcPr>
            <w:tcW w:w="60" w:type="dxa"/>
            <w:vAlign w:val="bottom"/>
            <w:shd w:val="clear" w:color="auto" w:fill="CCEEFF"/>
          </w:tcPr>
          <w:p>
            <w:pPr>
              <w:spacing w:after="0"/>
              <w:rPr>
                <w:sz w:val="15"/>
                <w:szCs w:val="15"/>
                <w:color w:val="auto"/>
              </w:rPr>
            </w:pPr>
          </w:p>
        </w:tc>
      </w:tr>
      <w:tr>
        <w:trPr>
          <w:trHeight w:val="176"/>
        </w:trPr>
        <w:tc>
          <w:tcPr>
            <w:tcW w:w="6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2,099,149</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299,797</w:t>
            </w:r>
          </w:p>
        </w:tc>
        <w:tc>
          <w:tcPr>
            <w:tcW w:w="60" w:type="dxa"/>
            <w:vAlign w:val="bottom"/>
            <w:tcBorders>
              <w:bottom w:val="single" w:sz="8" w:color="CCEEFF"/>
            </w:tcBorders>
          </w:tcPr>
          <w:p>
            <w:pPr>
              <w:spacing w:after="0"/>
              <w:rPr>
                <w:sz w:val="15"/>
                <w:szCs w:val="15"/>
                <w:color w:val="auto"/>
              </w:rPr>
            </w:pPr>
          </w:p>
        </w:tc>
      </w:tr>
      <w:tr>
        <w:trPr>
          <w:trHeight w:val="176"/>
        </w:trPr>
        <w:tc>
          <w:tcPr>
            <w:tcW w:w="6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4,860,011</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2,444,605</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w:t>
      </w:r>
    </w:p>
    <w:p>
      <w:pPr>
        <w:spacing w:after="0" w:line="4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March 2017, the Company utilized the 2016 Shelf Registration Statement and completed an underwritten public offering, whereby it sold 4,304,813 shares of common stock at a public offering price of $3.74 per share. The Company received gross proceeds of approximately $16.1 million and net proceeds of approximately $14.8 million, net of underwriting discounts and offering expenses.</w:t>
      </w:r>
    </w:p>
    <w:p>
      <w:pPr>
        <w:spacing w:after="0" w:line="28" w:lineRule="exact"/>
        <w:rPr>
          <w:sz w:val="20"/>
          <w:szCs w:val="20"/>
          <w:color w:val="auto"/>
        </w:rPr>
      </w:pPr>
    </w:p>
    <w:p>
      <w:pPr>
        <w:ind w:right="160" w:firstLine="648"/>
        <w:spacing w:after="0" w:line="225" w:lineRule="auto"/>
        <w:rPr>
          <w:sz w:val="20"/>
          <w:szCs w:val="20"/>
          <w:color w:val="auto"/>
        </w:rPr>
      </w:pPr>
      <w:r>
        <w:rPr>
          <w:rFonts w:ascii="Arial" w:cs="Arial" w:eastAsia="Arial" w:hAnsi="Arial"/>
          <w:sz w:val="17"/>
          <w:szCs w:val="17"/>
          <w:color w:val="auto"/>
        </w:rPr>
        <w:t>In October 2017, the Company entered into a sales agreement (the “Sales Agreement”) with Leerink Partners LLC ("Leerink"), pursuant to which the Company may sell up to $30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the Sales Agreement. The Company received approximately $0.2 million in gross proceeds from the sales of its common stock to Leerink under the Sales Agreement during the three months ended March 31, 2018, for cumulative gross proceeds of approximately $0.3 million since entering into the Sales Agreement.</w:t>
      </w:r>
    </w:p>
    <w:p>
      <w:pPr>
        <w:spacing w:after="0" w:line="122"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In December 2017, the Company utilized the 2016 Shelf Registration Statement and completed the Registered Direct Offering, whereby it sold an aggregate of $9.5 million worth of units (“Units”) at a purchase price of $5.325 per Unit with each Unit consisting of (i) one share of the Company’s common stock, and (ii) a warrant to purchase one share of common stock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49" w:lineRule="auto"/>
        <w:rPr>
          <w:sz w:val="20"/>
          <w:szCs w:val="20"/>
          <w:color w:val="auto"/>
        </w:rPr>
      </w:pPr>
      <w:r>
        <w:rPr>
          <w:rFonts w:ascii="Arial" w:cs="Arial" w:eastAsia="Arial" w:hAnsi="Arial"/>
          <w:sz w:val="16"/>
          <w:szCs w:val="16"/>
          <w:color w:val="auto"/>
        </w:rPr>
        <w:t>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w:t>
      </w:r>
    </w:p>
    <w:p>
      <w:pPr>
        <w:spacing w:after="0" w:line="114" w:lineRule="exact"/>
        <w:rPr>
          <w:sz w:val="20"/>
          <w:szCs w:val="20"/>
          <w:color w:val="auto"/>
        </w:rPr>
      </w:pPr>
    </w:p>
    <w:p>
      <w:pPr>
        <w:ind w:right="19" w:firstLine="648"/>
        <w:spacing w:after="0" w:line="226" w:lineRule="auto"/>
        <w:rPr>
          <w:sz w:val="20"/>
          <w:szCs w:val="20"/>
          <w:color w:val="auto"/>
        </w:rPr>
      </w:pPr>
      <w:r>
        <w:rPr>
          <w:rFonts w:ascii="Arial" w:cs="Arial" w:eastAsia="Arial" w:hAnsi="Arial"/>
          <w:sz w:val="17"/>
          <w:szCs w:val="17"/>
          <w:color w:val="auto"/>
        </w:rPr>
        <w:t>Each of the warrants issued in December 2017 in connection with the Registered Direct Offering are liabilities pursuant to ASC 815 because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 The initial fair value of the Common Warrants and Placement Agent Warrants was estimated to be approximately $2,145,000 and was deducted from the gross proceeds of the Unit offering with the residual amount recorded to equity.</w:t>
      </w:r>
    </w:p>
    <w:p>
      <w:pPr>
        <w:spacing w:after="0" w:line="125" w:lineRule="exact"/>
        <w:rPr>
          <w:sz w:val="20"/>
          <w:szCs w:val="20"/>
          <w:color w:val="auto"/>
        </w:rPr>
      </w:pPr>
    </w:p>
    <w:p>
      <w:pPr>
        <w:ind w:right="59"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23" w:lineRule="exact"/>
        <w:rPr>
          <w:sz w:val="20"/>
          <w:szCs w:val="20"/>
          <w:color w:val="auto"/>
        </w:rPr>
      </w:pPr>
    </w:p>
    <w:p>
      <w:pPr>
        <w:ind w:right="99"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right="19" w:firstLine="648"/>
        <w:spacing w:after="0" w:line="235" w:lineRule="auto"/>
        <w:rPr>
          <w:sz w:val="20"/>
          <w:szCs w:val="20"/>
          <w:color w:val="auto"/>
        </w:rPr>
      </w:pPr>
      <w:r>
        <w:rPr>
          <w:rFonts w:ascii="Arial" w:cs="Arial" w:eastAsia="Arial" w:hAnsi="Arial"/>
          <w:sz w:val="18"/>
          <w:szCs w:val="18"/>
          <w:color w:val="auto"/>
        </w:rPr>
        <w:t>There were 2,407,327 shares available for the issuance of stock options or stock-based awards under the Company’s 2015 Omnibus Incentive Compensation Plan at March 31, 2018.</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three months ended March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1"/>
                <w:szCs w:val="11"/>
                <w:color w:val="auto"/>
              </w:rPr>
            </w:pPr>
          </w:p>
        </w:tc>
        <w:tc>
          <w:tcPr>
            <w:tcW w:w="90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shares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0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2,315,638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452,259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2.90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(6,275)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5.70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Outstanding at March 31, 2018</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2,760,862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220"/>
              <w:spacing w:after="0" w:line="170" w:lineRule="exact"/>
              <w:rPr>
                <w:sz w:val="20"/>
                <w:szCs w:val="20"/>
                <w:color w:val="auto"/>
              </w:rPr>
            </w:pPr>
            <w:r>
              <w:rPr>
                <w:rFonts w:ascii="Arial" w:cs="Arial" w:eastAsia="Arial" w:hAnsi="Arial"/>
                <w:sz w:val="18"/>
                <w:szCs w:val="18"/>
                <w:color w:val="auto"/>
                <w:w w:val="95"/>
              </w:rPr>
              <w:t>463,708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March 31, 2018</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2,754,693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5.14</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456,613</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80" w:type="dxa"/>
            <w:vAlign w:val="bottom"/>
          </w:tcPr>
          <w:p>
            <w:pPr>
              <w:spacing w:after="0" w:line="163" w:lineRule="exact"/>
              <w:rPr>
                <w:sz w:val="20"/>
                <w:szCs w:val="20"/>
                <w:color w:val="auto"/>
              </w:rPr>
            </w:pPr>
            <w:r>
              <w:rPr>
                <w:rFonts w:ascii="Arial" w:cs="Arial" w:eastAsia="Arial" w:hAnsi="Arial"/>
                <w:sz w:val="18"/>
                <w:szCs w:val="18"/>
                <w:color w:val="auto"/>
              </w:rPr>
              <w:t>Exercisable at March 31,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1,409,478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4.79</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7.5</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220"/>
              <w:spacing w:after="0" w:line="163" w:lineRule="exact"/>
              <w:rPr>
                <w:sz w:val="20"/>
                <w:szCs w:val="20"/>
                <w:color w:val="auto"/>
              </w:rPr>
            </w:pPr>
            <w:r>
              <w:rPr>
                <w:rFonts w:ascii="Arial" w:cs="Arial" w:eastAsia="Arial" w:hAnsi="Arial"/>
                <w:sz w:val="18"/>
                <w:szCs w:val="18"/>
                <w:color w:val="auto"/>
                <w:w w:val="95"/>
              </w:rPr>
              <w:t>456,613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periodically remeasures the fair value of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4"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The weighted average valuation date fair value of options granted was $1.92 and $3.19 per option for the three months ended March 31, 2018 and 2017, respectively. As of March 31, 2018, there was $4.0 million of total unrecognized compensation cost related to non</w:t>
      </w:r>
      <w:r>
        <w:rPr>
          <w:rFonts w:ascii="MS PGothic" w:cs="MS PGothic" w:eastAsia="MS PGothic" w:hAnsi="MS PGothic"/>
          <w:sz w:val="18"/>
          <w:szCs w:val="18"/>
          <w:color w:val="auto"/>
        </w:rPr>
        <w:t>‑</w:t>
      </w:r>
      <w:r>
        <w:rPr>
          <w:rFonts w:ascii="Arial" w:cs="Arial" w:eastAsia="Arial" w:hAnsi="Arial"/>
          <w:sz w:val="18"/>
          <w:szCs w:val="18"/>
          <w:color w:val="auto"/>
        </w:rPr>
        <w:t>vested stock options which is expected to be recognized over a weighted average period of 2.8 years. These amounts do not include 33,594 options outstanding as of March 31, 2018, which are performance</w:t>
      </w:r>
      <w:r>
        <w:rPr>
          <w:rFonts w:ascii="MS PGothic" w:cs="MS PGothic" w:eastAsia="MS PGothic" w:hAnsi="MS PGothic"/>
          <w:sz w:val="18"/>
          <w:szCs w:val="18"/>
          <w:color w:val="auto"/>
        </w:rPr>
        <w:t>‑</w:t>
      </w:r>
      <w:r>
        <w:rPr>
          <w:rFonts w:ascii="Arial" w:cs="Arial" w:eastAsia="Arial" w:hAnsi="Arial"/>
          <w:sz w:val="18"/>
          <w:szCs w:val="18"/>
          <w:color w:val="auto"/>
        </w:rPr>
        <w:t>based and vest upon the achievement of certain corporate milestones.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will be measured and recorded if and when it is probable that the milestone will occur.</w:t>
      </w:r>
    </w:p>
    <w:p>
      <w:pPr>
        <w:spacing w:after="0" w:line="162"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months ended March 31, 2018 and 2017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32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1"/>
                <w:szCs w:val="11"/>
                <w:color w:val="auto"/>
              </w:rPr>
            </w:pPr>
          </w:p>
        </w:tc>
      </w:tr>
      <w:tr>
        <w:trPr>
          <w:trHeight w:val="169"/>
        </w:trPr>
        <w:tc>
          <w:tcPr>
            <w:tcW w:w="3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6"/>
        </w:trPr>
        <w:tc>
          <w:tcPr>
            <w:tcW w:w="3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90,797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139,953</w:t>
            </w:r>
          </w:p>
        </w:tc>
        <w:tc>
          <w:tcPr>
            <w:tcW w:w="380" w:type="dxa"/>
            <w:vAlign w:val="bottom"/>
            <w:shd w:val="clear" w:color="auto" w:fill="CCEEFF"/>
          </w:tcPr>
          <w:p>
            <w:pPr>
              <w:spacing w:after="0"/>
              <w:rPr>
                <w:sz w:val="15"/>
                <w:szCs w:val="15"/>
                <w:color w:val="auto"/>
              </w:rPr>
            </w:pPr>
          </w:p>
        </w:tc>
      </w:tr>
      <w:tr>
        <w:trPr>
          <w:trHeight w:val="176"/>
        </w:trPr>
        <w:tc>
          <w:tcPr>
            <w:tcW w:w="32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3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443,773</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523,662</w:t>
            </w:r>
          </w:p>
        </w:tc>
        <w:tc>
          <w:tcPr>
            <w:tcW w:w="380" w:type="dxa"/>
            <w:vAlign w:val="bottom"/>
            <w:tcBorders>
              <w:bottom w:val="single" w:sz="8" w:color="CCEEFF"/>
            </w:tcBorders>
          </w:tcPr>
          <w:p>
            <w:pPr>
              <w:spacing w:after="0"/>
              <w:rPr>
                <w:sz w:val="15"/>
                <w:szCs w:val="15"/>
                <w:color w:val="auto"/>
              </w:rPr>
            </w:pPr>
          </w:p>
        </w:tc>
      </w:tr>
      <w:tr>
        <w:trPr>
          <w:trHeight w:val="189"/>
        </w:trPr>
        <w:tc>
          <w:tcPr>
            <w:tcW w:w="32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3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534,570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663,615</w:t>
            </w:r>
          </w:p>
        </w:tc>
        <w:tc>
          <w:tcPr>
            <w:tcW w:w="380" w:type="dxa"/>
            <w:vAlign w:val="bottom"/>
            <w:tcBorders>
              <w:bottom w:val="single" w:sz="8" w:color="CCEEFF"/>
            </w:tcBorders>
            <w:shd w:val="clear" w:color="auto" w:fill="CCEEFF"/>
          </w:tcPr>
          <w:p>
            <w:pPr>
              <w:spacing w:after="0"/>
              <w:rPr>
                <w:sz w:val="16"/>
                <w:szCs w:val="16"/>
                <w:color w:val="auto"/>
              </w:rPr>
            </w:pPr>
          </w:p>
        </w:tc>
      </w:tr>
      <w:tr>
        <w:trPr>
          <w:trHeight w:val="622"/>
        </w:trPr>
        <w:tc>
          <w:tcPr>
            <w:tcW w:w="3200" w:type="dxa"/>
            <w:vAlign w:val="bottom"/>
          </w:tcPr>
          <w:p>
            <w:pPr>
              <w:spacing w:after="0"/>
              <w:rPr>
                <w:sz w:val="24"/>
                <w:szCs w:val="24"/>
                <w:color w:val="auto"/>
              </w:rPr>
            </w:pPr>
          </w:p>
        </w:tc>
        <w:tc>
          <w:tcPr>
            <w:tcW w:w="3200" w:type="dxa"/>
            <w:vAlign w:val="bottom"/>
          </w:tcPr>
          <w:p>
            <w:pPr>
              <w:jc w:val="right"/>
              <w:ind w:right="16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02"/>
        </w:trPr>
        <w:tc>
          <w:tcPr>
            <w:tcW w:w="320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220" w:firstLine="648"/>
        <w:spacing w:after="0" w:line="185" w:lineRule="exact"/>
        <w:rPr>
          <w:sz w:val="20"/>
          <w:szCs w:val="20"/>
          <w:color w:val="auto"/>
        </w:rPr>
      </w:pPr>
      <w:r>
        <w:rPr>
          <w:rFonts w:ascii="Arial" w:cs="Arial" w:eastAsia="Arial" w:hAnsi="Arial"/>
          <w:sz w:val="17"/>
          <w:szCs w:val="17"/>
          <w:color w:val="auto"/>
        </w:rPr>
        <w:t>The Company did not issue any performance-based awards during the three months ended March 31, 2018 and 2017.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will recognize the lowest aggregate amount within the range of potential values as expense until the measurement date is established. For the three months ended March 31, 2018, Company recognized income of $9,415 and expense of $25,109 for the three months ended March 31, 2017 related to performance</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69"/>
        </w:trPr>
        <w:tc>
          <w:tcPr>
            <w:tcW w:w="66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2,099,149</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116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00" w:type="dxa"/>
            <w:vAlign w:val="bottom"/>
          </w:tcPr>
          <w:p>
            <w:pPr>
              <w:spacing w:after="0" w:line="170" w:lineRule="exact"/>
              <w:rPr>
                <w:sz w:val="20"/>
                <w:szCs w:val="20"/>
                <w:color w:val="auto"/>
              </w:rPr>
            </w:pPr>
            <w:r>
              <w:rPr>
                <w:rFonts w:ascii="Arial" w:cs="Arial" w:eastAsia="Arial" w:hAnsi="Arial"/>
                <w:sz w:val="18"/>
                <w:szCs w:val="18"/>
                <w:color w:val="auto"/>
              </w:rPr>
              <w:t>Outstanding at March 31, 2018</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2,099,149</w:t>
            </w:r>
          </w:p>
        </w:tc>
        <w:tc>
          <w:tcPr>
            <w:tcW w:w="20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30"/>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 which was filed with the Securities and Exchange Commission, or SEC, on March 7, 2018</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five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AXS-09, AXS</w:t>
      </w:r>
      <w:r>
        <w:rPr>
          <w:rFonts w:ascii="MS PGothic" w:cs="MS PGothic" w:eastAsia="MS PGothic" w:hAnsi="MS PGothic"/>
          <w:sz w:val="16"/>
          <w:szCs w:val="16"/>
          <w:color w:val="auto"/>
        </w:rPr>
        <w:t>‑</w:t>
      </w:r>
      <w:r>
        <w:rPr>
          <w:rFonts w:ascii="Arial" w:cs="Arial" w:eastAsia="Arial" w:hAnsi="Arial"/>
          <w:sz w:val="16"/>
          <w:szCs w:val="16"/>
          <w:color w:val="auto"/>
        </w:rPr>
        <w:t>02, AXS-07, and AXS-06 which we are developing for multiple indications. We are conducting a Phase 3 trial with AXS-05 in treatment resistant depression, or TRD, which we refer to as the STRIDE-1 study, and a Phase 2/3 trial in agitation associated with Alzheimer's disease, or AD, which we refer to as the ADVANCE-1 study. Additionally, AXS-05 is being developed for smoking cessation. AXS-09 is being developed for CNS disorders. We are also conducting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AXS-07 is initially being developed for the acute treatment of migraine. Lastly, AXS-06 is being developed for the treatment of osteoarthritis and rheumatoid arthritis and for the reduction of the risk of nonsteroidal anti-inflammatory drug, or NSAID, associated gastric ulcers. Additionally, we are currently evaluating other preclinical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is a novel, oral, investigational medicine consisting of dextromethorphan, or DM, and bupropion.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for the following three indications: TRD, agitation associated with AD, and as an aid to smoking cessation.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6"/>
          <w:szCs w:val="16"/>
          <w:color w:val="auto"/>
        </w:rPr>
        <w:t>‑</w:t>
      </w:r>
      <w:r>
        <w:rPr>
          <w:rFonts w:ascii="Arial" w:cs="Arial" w:eastAsia="Arial" w:hAnsi="Arial"/>
          <w:sz w:val="16"/>
          <w:szCs w:val="16"/>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Bupropion is itself active at distinct CNS receptors providing the potential for an additive or synergistic effect.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w:t>
      </w:r>
    </w:p>
    <w:p>
      <w:pPr>
        <w:spacing w:after="0" w:line="16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 xml:space="preserve">AXS-09 is an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initially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The results of our Phase 1 trial demonstrated that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which is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and the free acid form of disodium zoledronate tetrahydrate, and substantial suppression of bone resorption markers, which are proteins indicative of bone tissue breakdown.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6" w:lineRule="exact"/>
        <w:rPr>
          <w:sz w:val="20"/>
          <w:szCs w:val="20"/>
          <w:color w:val="auto"/>
        </w:rPr>
      </w:pPr>
    </w:p>
    <w:p>
      <w:pPr>
        <w:ind w:right="120" w:firstLine="648"/>
        <w:spacing w:after="0" w:line="219" w:lineRule="auto"/>
        <w:rPr>
          <w:sz w:val="20"/>
          <w:szCs w:val="20"/>
          <w:color w:val="auto"/>
        </w:rPr>
      </w:pPr>
      <w:r>
        <w:rPr>
          <w:rFonts w:ascii="Arial" w:cs="Arial" w:eastAsia="Arial" w:hAnsi="Arial"/>
          <w:sz w:val="16"/>
          <w:szCs w:val="16"/>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w:t>
      </w:r>
    </w:p>
    <w:p>
      <w:pPr>
        <w:spacing w:after="0" w:line="3" w:lineRule="exact"/>
        <w:rPr>
          <w:sz w:val="20"/>
          <w:szCs w:val="20"/>
          <w:color w:val="auto"/>
        </w:rPr>
      </w:pPr>
    </w:p>
    <w:p>
      <w:pPr>
        <w:ind w:right="280"/>
        <w:spacing w:after="0" w:line="208" w:lineRule="auto"/>
        <w:rPr>
          <w:sz w:val="20"/>
          <w:szCs w:val="20"/>
          <w:color w:val="auto"/>
        </w:rPr>
      </w:pPr>
      <w:r>
        <w:rPr>
          <w:rFonts w:ascii="Arial" w:cs="Arial" w:eastAsia="Arial" w:hAnsi="Arial"/>
          <w:sz w:val="16"/>
          <w:szCs w:val="16"/>
          <w:color w:val="auto"/>
        </w:rPr>
        <w:t>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(CGRP)-mediated vasodilation,</w:t>
      </w:r>
    </w:p>
    <w:p>
      <w:pPr>
        <w:spacing w:after="0" w:line="3"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6"/>
          <w:szCs w:val="16"/>
          <w:color w:val="auto"/>
        </w:rPr>
        <w:t>AXS-06 is a novel, oral, non-opioid, investigational medicine consisting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compared to standard meloxicam. We intend to seek FDA approval for AXS-06 utilizing the 505(b)(2) regulatory development pathway.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In January 2018, we announced that an independent data monitoring committee, or IDMC, had conducted an interim efficacy analysis for our then-ongoing Phase 3 clinical trial of AXS-02 for the treatment of complex regional pain syndrome, or CRPS, which we referred to as the CREATE-1 trial, and for the Phase 3 clinicial trial of AXS-02 in knee osteoarthritis, or OA, associated with bone marrow lesions, or BMLs, which we refer to as the COAST-1 trial. Based on the recommendation we received from the IDMC, we will continue our COAST-1 trial to full enrollment and have discontinued our CREATE-1 trial for futility.</w:t>
      </w:r>
    </w:p>
    <w:p>
      <w:pPr>
        <w:spacing w:after="0" w:line="16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 xml:space="preserve">In February 2018, we announced that AXS-09 met the primary endpoint in a recently completed Phase 1 clinical trial, which contains the chirally pure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and dextromethorphan.</w:t>
      </w:r>
    </w:p>
    <w:p>
      <w:pPr>
        <w:spacing w:after="0" w:line="16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April 2018, we announced the enrollment of the first patient into a Phase 2 clinical trial of AXS-05 for smoking cessation treatment, which is being conducted under a research collaboration agreement between us and Duke University.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In April 2018, we announced that an IDMC had conducted an interim futility analysis for the STRIDE-1 study. Based on the results of the analysis, the IDMC recommended that the trial continue. The IDMC also reviewed the available safety information from the study and indicated that, based on the interim results, AXS-05 appears safe and well-tolerated.</w:t>
      </w:r>
    </w:p>
    <w:p>
      <w:pPr>
        <w:spacing w:after="0" w:line="147"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12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23"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We have incurred significant operating and net losses since inception. We incurred net losses of $4.8 million and $8.0 million for the three months ended March 31, 2018 and 2017, respectively. Our accumulated deficit as of March 31, 2018 was $81.4 million, and we expect to incur significant expenses and increasing operating losses for the foreseeable future. We expect our expenses to increase in connection with our ongoing activities, as we continue the development and clinical trials of, and seek regulatory approval for,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05, AXS -06, AXS-07, AXS-09, and any other 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or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163" w:lineRule="exact"/>
        <w:rPr>
          <w:sz w:val="20"/>
          <w:szCs w:val="20"/>
          <w:color w:val="auto"/>
        </w:rPr>
      </w:pPr>
    </w:p>
    <w:p>
      <w:pPr>
        <w:ind w:right="40" w:firstLine="648"/>
        <w:spacing w:after="0" w:line="256" w:lineRule="auto"/>
        <w:rPr>
          <w:sz w:val="20"/>
          <w:szCs w:val="20"/>
          <w:color w:val="auto"/>
        </w:rPr>
      </w:pPr>
      <w:r>
        <w:rPr>
          <w:rFonts w:ascii="Arial" w:cs="Arial" w:eastAsia="Arial" w:hAnsi="Arial"/>
          <w:sz w:val="16"/>
          <w:szCs w:val="16"/>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research and development expenses by program for the three months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4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r>
      <w:tr>
        <w:trPr>
          <w:trHeight w:val="129"/>
        </w:trPr>
        <w:tc>
          <w:tcPr>
            <w:tcW w:w="4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19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372,184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2,724,910</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2,958,341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w w:val="94"/>
              </w:rPr>
              <w:t>2,605,763</w:t>
            </w:r>
          </w:p>
        </w:tc>
        <w:tc>
          <w:tcPr>
            <w:tcW w:w="200" w:type="dxa"/>
            <w:vAlign w:val="bottom"/>
          </w:tcPr>
          <w:p>
            <w:pPr>
              <w:spacing w:after="0"/>
              <w:rPr>
                <w:sz w:val="15"/>
                <w:szCs w:val="15"/>
                <w:color w:val="auto"/>
              </w:rPr>
            </w:pP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51,122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113,543</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189,253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r>
      <w:tr>
        <w:trPr>
          <w:trHeight w:val="176"/>
        </w:trPr>
        <w:tc>
          <w:tcPr>
            <w:tcW w:w="4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1,090,814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401,050</w:t>
            </w:r>
          </w:p>
        </w:tc>
        <w:tc>
          <w:tcPr>
            <w:tcW w:w="200" w:type="dxa"/>
            <w:vAlign w:val="bottom"/>
            <w:shd w:val="clear" w:color="auto" w:fill="CCEEFF"/>
          </w:tcPr>
          <w:p>
            <w:pPr>
              <w:spacing w:after="0"/>
              <w:rPr>
                <w:sz w:val="15"/>
                <w:szCs w:val="15"/>
                <w:color w:val="auto"/>
              </w:rPr>
            </w:pPr>
          </w:p>
        </w:tc>
      </w:tr>
      <w:tr>
        <w:trPr>
          <w:trHeight w:val="176"/>
        </w:trPr>
        <w:tc>
          <w:tcPr>
            <w:tcW w:w="4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90,797</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139,953</w:t>
            </w:r>
          </w:p>
        </w:tc>
        <w:tc>
          <w:tcPr>
            <w:tcW w:w="200" w:type="dxa"/>
            <w:vAlign w:val="bottom"/>
            <w:tcBorders>
              <w:bottom w:val="single" w:sz="8" w:color="CCEEFF"/>
            </w:tcBorders>
          </w:tcPr>
          <w:p>
            <w:pPr>
              <w:spacing w:after="0"/>
              <w:rPr>
                <w:sz w:val="15"/>
                <w:szCs w:val="15"/>
                <w:color w:val="auto"/>
              </w:rPr>
            </w:pPr>
          </w:p>
        </w:tc>
      </w:tr>
      <w:tr>
        <w:trPr>
          <w:trHeight w:val="176"/>
        </w:trPr>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1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4,752,511</w:t>
            </w: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5,985,219</w:t>
            </w:r>
          </w:p>
        </w:tc>
        <w:tc>
          <w:tcPr>
            <w:tcW w:w="20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Other research and development expenses primarily consist of employee salaries and benefits, and facilities and overhead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Interest and amortization of debt discount (expense) primarily consists of cash interest and non</w:t>
      </w:r>
      <w:r>
        <w:rPr>
          <w:rFonts w:ascii="MS PGothic" w:cs="MS PGothic" w:eastAsia="MS PGothic" w:hAnsi="MS PGothic"/>
          <w:sz w:val="18"/>
          <w:szCs w:val="18"/>
          <w:color w:val="auto"/>
        </w:rPr>
        <w:t>‑</w:t>
      </w:r>
      <w:r>
        <w:rPr>
          <w:rFonts w:ascii="Arial" w:cs="Arial" w:eastAsia="Arial" w:hAnsi="Arial"/>
          <w:sz w:val="18"/>
          <w:szCs w:val="18"/>
          <w:color w:val="auto"/>
        </w:rPr>
        <w:t>cash costs related to our term loan with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were classified as a warrant liability and recorded at fair value. The warrant liability is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2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 on March 7,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8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w:t>
      </w:r>
    </w:p>
    <w:p>
      <w:pPr>
        <w:ind w:left="73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5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2"/>
              <w:spacing w:after="0" w:line="136"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2"/>
              <w:spacing w:after="0" w:line="136"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29"/>
        </w:trPr>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6"/>
        </w:trPr>
        <w:tc>
          <w:tcPr>
            <w:tcW w:w="6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6"/>
        </w:trPr>
        <w:tc>
          <w:tcPr>
            <w:tcW w:w="654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4,752,511</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5,985,219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6"/>
        </w:trPr>
        <w:tc>
          <w:tcPr>
            <w:tcW w:w="6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2,410,699</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1,686,814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9"/>
        </w:trPr>
        <w:tc>
          <w:tcPr>
            <w:tcW w:w="65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7,163,210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7,672,033</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169"/>
        </w:trPr>
        <w:tc>
          <w:tcPr>
            <w:tcW w:w="6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(7,163,210)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(7,672,033)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6"/>
        </w:trPr>
        <w:tc>
          <w:tcPr>
            <w:tcW w:w="6540" w:type="dxa"/>
            <w:vAlign w:val="bottom"/>
          </w:tcPr>
          <w:p>
            <w:pPr>
              <w:spacing w:after="0" w:line="176" w:lineRule="exact"/>
              <w:rPr>
                <w:sz w:val="20"/>
                <w:szCs w:val="20"/>
                <w:color w:val="auto"/>
              </w:rPr>
            </w:pPr>
            <w:r>
              <w:rPr>
                <w:rFonts w:ascii="Arial" w:cs="Arial" w:eastAsia="Arial" w:hAnsi="Arial"/>
                <w:sz w:val="18"/>
                <w:szCs w:val="18"/>
                <w:color w:val="auto"/>
              </w:rPr>
              <w:t>Interest and amortization of debt discount (expense)</w:t>
            </w:r>
          </w:p>
        </w:tc>
        <w:tc>
          <w:tcPr>
            <w:tcW w:w="160" w:type="dxa"/>
            <w:vAlign w:val="bottom"/>
          </w:tcPr>
          <w:p>
            <w:pPr>
              <w:spacing w:after="0"/>
              <w:rPr>
                <w:sz w:val="15"/>
                <w:szCs w:val="15"/>
                <w:color w:val="auto"/>
              </w:rPr>
            </w:pPr>
          </w:p>
        </w:tc>
        <w:tc>
          <w:tcPr>
            <w:tcW w:w="11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(315,349)</w:t>
            </w:r>
          </w:p>
        </w:tc>
        <w:tc>
          <w:tcPr>
            <w:tcW w:w="140" w:type="dxa"/>
            <w:vAlign w:val="bottom"/>
          </w:tcPr>
          <w:p>
            <w:pPr>
              <w:spacing w:after="0"/>
              <w:rPr>
                <w:sz w:val="15"/>
                <w:szCs w:val="15"/>
                <w:color w:val="auto"/>
              </w:rPr>
            </w:pPr>
          </w:p>
        </w:tc>
        <w:tc>
          <w:tcPr>
            <w:tcW w:w="9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(323,006)</w:t>
            </w:r>
          </w:p>
        </w:tc>
        <w:tc>
          <w:tcPr>
            <w:tcW w:w="200" w:type="dxa"/>
            <w:vAlign w:val="bottom"/>
          </w:tcPr>
          <w:p>
            <w:pPr>
              <w:spacing w:after="0"/>
              <w:rPr>
                <w:sz w:val="15"/>
                <w:szCs w:val="15"/>
                <w:color w:val="auto"/>
              </w:rPr>
            </w:pPr>
          </w:p>
        </w:tc>
      </w:tr>
      <w:tr>
        <w:trPr>
          <w:trHeight w:val="176"/>
        </w:trPr>
        <w:tc>
          <w:tcPr>
            <w:tcW w:w="6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2,673,000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r>
      <w:tr>
        <w:trPr>
          <w:trHeight w:val="176"/>
        </w:trPr>
        <w:tc>
          <w:tcPr>
            <w:tcW w:w="654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(4,805,559)</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(7,995,039)</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were $4.8 million, compared to $6.0 million for the three months ended March 31, 2017, a decrease of $1.2 million. The decrease was primarily due to a reduction in the costs of our previously initiated clinical trials, which was partially offset by the conduct our ADVANCE-1 study, the conduct of pre-clinical work on AXS-05, and manufacturing costs associated with our product candidates.</w:t>
      </w:r>
    </w:p>
    <w:p>
      <w:pPr>
        <w:spacing w:after="0" w:line="162"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were $2.4 million, compared to $1.7 million for the three months ended March 31, 2017, an increase of $0.7 million. The increase was primarily due to higher intellectual property and legal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was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each of the three month periods ended March 31, 2018 and 2017, and was related to interest and the amortization of the debt discount associated with our loan and security agreement with SVB.</w:t>
      </w:r>
    </w:p>
    <w:p>
      <w:pPr>
        <w:spacing w:after="0" w:line="163"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three months ended March 31, 2018 of $2.7 million. There was no warrant liability outstanding during the three months ended March 31,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November 2016, we entered into a loan and security agreement with SVB for a term loan of up to $20.0 million. The initial tranche of $10.0 million was funded shortly after executing the loan agreement. Because we did not achieve the conditional criteria to access the second and third tranches before the specified dates, the $10.0 million in additional term loan advances expired.</w:t>
      </w:r>
    </w:p>
    <w:p>
      <w:pPr>
        <w:spacing w:after="0" w:line="41"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pursuant to which we may sell shares of our common stock from time to time in an at-the-market offering in October 2017, and completed a registered direct offering priced at the market in December 2017,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2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In October 2017, we entered into a sales agreement, or the Sales Agreement, with Leerink Partners, LLC, or Leerink, pursuant to which we may sell up to $30 million in shares of our common stock from time to time through Leerink, acting as our sales agent, in one or more at-the-market offerings. Leerink is entitled to receive a commission of 3.0% of the gross proceeds for any shares sold under the Sales Agreement. We have received approximately $0.2 million under the Sales Agreement during the three months ended March 31, 2018, for cumulative gross proceeds of approximately $0.3 million since entering into the Sales Agreement.</w:t>
      </w:r>
    </w:p>
    <w:p>
      <w:pPr>
        <w:spacing w:after="0" w:line="12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w:t>
      </w:r>
    </w:p>
    <w:p>
      <w:pPr>
        <w:spacing w:after="0" w:line="121"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At March 31, 2018, we had cash of $26.6 million. We currently anticipate our cash to be sufficient to fund our anticipated operating cash requirements into the third quarter of 2019.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6"/>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(6,680,439)</w:t>
            </w:r>
          </w:p>
        </w:tc>
        <w:tc>
          <w:tcPr>
            <w:tcW w:w="160" w:type="dxa"/>
            <w:vAlign w:val="bottom"/>
          </w:tcPr>
          <w:p>
            <w:pPr>
              <w:spacing w:after="0"/>
              <w:rPr>
                <w:sz w:val="15"/>
                <w:szCs w:val="15"/>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(6,636,424)</w:t>
            </w:r>
          </w:p>
        </w:tc>
        <w:tc>
          <w:tcPr>
            <w:tcW w:w="140" w:type="dxa"/>
            <w:vAlign w:val="bottom"/>
          </w:tcPr>
          <w:p>
            <w:pPr>
              <w:spacing w:after="0"/>
              <w:rPr>
                <w:sz w:val="15"/>
                <w:szCs w:val="15"/>
                <w:color w:val="auto"/>
              </w:rPr>
            </w:pPr>
          </w:p>
        </w:tc>
      </w:tr>
      <w:tr>
        <w:trPr>
          <w:trHeight w:val="176"/>
        </w:trPr>
        <w:tc>
          <w:tcPr>
            <w:tcW w:w="4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(14,576)</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(2,899)</w:t>
            </w: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(693,413)</w:t>
            </w:r>
          </w:p>
        </w:tc>
        <w:tc>
          <w:tcPr>
            <w:tcW w:w="1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w w:val="99"/>
              </w:rPr>
              <w:t>15,040,453</w:t>
            </w:r>
          </w:p>
        </w:tc>
        <w:tc>
          <w:tcPr>
            <w:tcW w:w="140" w:type="dxa"/>
            <w:vAlign w:val="bottom"/>
          </w:tcPr>
          <w:p>
            <w:pPr>
              <w:spacing w:after="0"/>
              <w:rPr>
                <w:sz w:val="15"/>
                <w:szCs w:val="15"/>
                <w:color w:val="auto"/>
              </w:rPr>
            </w:pPr>
          </w:p>
        </w:tc>
      </w:tr>
      <w:tr>
        <w:trPr>
          <w:trHeight w:val="176"/>
        </w:trPr>
        <w:tc>
          <w:tcPr>
            <w:tcW w:w="43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(7,388,428)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8,401,130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used in operating activities for the three months ended March 31, 2018 was $6.7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$6.6 million for the three months ended March 31, 2017. The increase of $0.1 million in net cash used was primarily related to higher intellectual property and legal costs, conduct for our ADVANCE-1 study, conduct of pre-clinical work on AXS-05, and manufacturing costs associated with our product candidates, which was partially offset by a reduction in the costs of our previously initiated clinical trials.</w:t>
      </w:r>
    </w:p>
    <w:p>
      <w:pPr>
        <w:spacing w:after="0" w:line="162"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three months ended March 31, 2018 and 2017.</w:t>
      </w:r>
    </w:p>
    <w:p>
      <w:pPr>
        <w:spacing w:after="0" w:line="162"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used in financing activities was $0.7 million for the three months ended March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included principal payment on our term loan with SVB of $0.8 million, offset by the net proceeds from the sale of common stock through our Sales Agreement with Leerink of $0.1 million. Cash provided by financing activities was $15.0 million for the three months ended March 31, 2017, which included the net proceeds from the sale of common stock in the March 2017 public offering of $14.8 million as well as $0.3 million from the exercise of options and warrants.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1" w:lineRule="exact"/>
        <w:rPr>
          <w:sz w:val="20"/>
          <w:szCs w:val="20"/>
          <w:color w:val="auto"/>
        </w:rPr>
      </w:pPr>
    </w:p>
    <w:p>
      <w:pPr>
        <w:ind w:left="940" w:right="1580"/>
        <w:spacing w:after="0" w:line="483" w:lineRule="auto"/>
        <w:rPr>
          <w:sz w:val="20"/>
          <w:szCs w:val="20"/>
          <w:color w:val="auto"/>
        </w:rPr>
      </w:pPr>
      <w:r>
        <w:rPr>
          <w:rFonts w:ascii="Arial" w:cs="Arial" w:eastAsia="Arial" w:hAnsi="Arial"/>
          <w:sz w:val="16"/>
          <w:szCs w:val="16"/>
          <w:color w:val="auto"/>
        </w:rPr>
        <w:t>the number and development requirements of any other product candidates that we pursue; the costs, timing, and outcome of regulatory reviews of our product candidates;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20" w:right="160" w:firstLine="29"/>
        <w:spacing w:after="0" w:line="258" w:lineRule="auto"/>
        <w:rPr>
          <w:sz w:val="20"/>
          <w:szCs w:val="20"/>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79" w:lineRule="exact"/>
        <w:rPr>
          <w:sz w:val="20"/>
          <w:szCs w:val="20"/>
          <w:color w:val="auto"/>
        </w:rPr>
      </w:pPr>
    </w:p>
    <w:p>
      <w:pPr>
        <w:ind w:left="940" w:right="2960"/>
        <w:spacing w:after="0" w:line="413" w:lineRule="auto"/>
        <w:rPr>
          <w:sz w:val="20"/>
          <w:szCs w:val="20"/>
          <w:color w:val="auto"/>
        </w:rPr>
      </w:pPr>
      <w:r>
        <w:rPr>
          <w:rFonts w:ascii="Arial" w:cs="Arial" w:eastAsia="Arial" w:hAnsi="Arial"/>
          <w:sz w:val="16"/>
          <w:szCs w:val="16"/>
          <w:color w:val="auto"/>
        </w:rPr>
        <w:t>any product liability or other lawsuits related to our product candidates; the expenses needed to attract and retain skilled personnel;</w:t>
      </w:r>
    </w:p>
    <w:p>
      <w:pPr>
        <w:spacing w:after="0" w:line="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general and administrative expenses related to being a public company;</w:t>
      </w:r>
    </w:p>
    <w:p>
      <w:pPr>
        <w:spacing w:after="0" w:line="117"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81" w:lineRule="exact"/>
        <w:rPr>
          <w:sz w:val="20"/>
          <w:szCs w:val="20"/>
          <w:color w:val="auto"/>
        </w:rPr>
      </w:pPr>
    </w:p>
    <w:p>
      <w:pPr>
        <w:ind w:left="920" w:right="520" w:firstLine="29"/>
        <w:spacing w:after="0" w:line="203" w:lineRule="exact"/>
        <w:rPr>
          <w:sz w:val="20"/>
          <w:szCs w:val="20"/>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Please see “Risk Factors” for additional risks associated with our substantial capital requirements. </w:t>
      </w:r>
      <w:r>
        <w:rPr>
          <w:rFonts w:ascii="Arial" w:cs="Arial" w:eastAsia="Arial" w:hAnsi="Arial"/>
          <w:sz w:val="18"/>
          <w:szCs w:val="18"/>
          <w:b w:val="1"/>
          <w:bCs w:val="1"/>
          <w:color w:val="auto"/>
        </w:rPr>
        <w:t>Contractual Obligations and Commitments</w:t>
      </w: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November 2016, we entered into a loan and security agreement with SVB for a term loan of up to $20.0 million. The initial tranche of $10.0 million was funded shortly after executing the loan agreement. We made interest only payments on the loan until December 1, 2017.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SVB loan accrues interest at an annual rate equal to 4.50% plus the prime rate, which is the greater of 3.50% or the Wall Street Journal prime rate, and is payable monthly. Following the interest only payment period, we began making monthly payments of principal and interest and these payments will continue until the maturity date of November 1, 2020. In addition, we are required to pay a final payment fee of 8.5% of the principal amount extended to us on the date of repayment of the outstanding loan.</w:t>
      </w:r>
    </w:p>
    <w:p>
      <w:pPr>
        <w:spacing w:after="0" w:line="4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2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4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7"/>
        <w:spacing w:after="0" w:line="236" w:lineRule="auto"/>
        <w:rPr>
          <w:sz w:val="20"/>
          <w:szCs w:val="20"/>
          <w:color w:val="auto"/>
        </w:rPr>
      </w:pPr>
      <w:r>
        <w:rPr>
          <w:rFonts w:ascii="Arial" w:cs="Arial" w:eastAsia="Arial" w:hAnsi="Arial"/>
          <w:sz w:val="16"/>
          <w:szCs w:val="16"/>
          <w:color w:val="auto"/>
        </w:rPr>
        <w:t>In February 2016, the Financial Accounting Standards Board, or FASB, issued Accounting Standards Update, or ASU, No. 2016-02, Leases (Topic 842),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The standard will be effective for annual and interim periods beginning after December 15, 2018, with early adoption permitted upon issuance. We are currently evaluating the potential impact of the new guidance.</w:t>
      </w:r>
    </w:p>
    <w:p>
      <w:pPr>
        <w:spacing w:after="0" w:line="55" w:lineRule="exact"/>
        <w:rPr>
          <w:sz w:val="20"/>
          <w:szCs w:val="20"/>
          <w:color w:val="auto"/>
        </w:rPr>
      </w:pPr>
    </w:p>
    <w:p>
      <w:pPr>
        <w:ind w:firstLine="647"/>
        <w:spacing w:after="0" w:line="24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Cash Receipts and Cash Payments, </w:t>
      </w:r>
      <w:r>
        <w:rPr>
          <w:rFonts w:ascii="Arial" w:cs="Arial" w:eastAsia="Arial" w:hAnsi="Arial"/>
          <w:sz w:val="16"/>
          <w:szCs w:val="16"/>
          <w:color w:val="auto"/>
        </w:rPr>
        <w:t>which is guidance to address diversity in practice with respect to how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have adopted this guidance effective January 1, 2018 and the adoption of the guidance did not have a material impact to our financial statements.</w:t>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In May 2017, the FASB issued No. ASU 2017-09, </w:t>
      </w:r>
      <w:r>
        <w:rPr>
          <w:rFonts w:ascii="Arial" w:cs="Arial" w:eastAsia="Arial" w:hAnsi="Arial"/>
          <w:sz w:val="17"/>
          <w:szCs w:val="17"/>
          <w:i w:val="1"/>
          <w:iCs w:val="1"/>
          <w:color w:val="auto"/>
        </w:rPr>
        <w:t>Compensation-Stock Compensation (Topic 718): Scope of</w:t>
      </w:r>
    </w:p>
    <w:p>
      <w:pPr>
        <w:spacing w:after="0" w:line="23"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We have adopted this guidance effective January 1, 2018 and the adoption of the guidance did not have a material impact to our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$26.6 million and $34.0 million as of March 31, 2018 and December 31, 2017,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We do not believe a 10% change in these currencies on March 31, 2018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AXS-02, AXS-05, AXS-06, AXS-07 and AXS-09, which we refer to herein as our product candidates, with the goal of achieving regulatory approval. Since inception, we have incurred significant operating losses. Our net losses were $4.8 million and $28.9 million for three months ended March 31, 2018 and the year ended December 31, 2017, respectively. As of March 31, 2018, we had an accumulated deficit of $81.4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3" w:lineRule="exact"/>
        <w:rPr>
          <w:sz w:val="20"/>
          <w:szCs w:val="20"/>
          <w:color w:val="auto"/>
        </w:rPr>
      </w:pPr>
    </w:p>
    <w:p>
      <w:pPr>
        <w:ind w:left="660" w:right="6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1"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rFonts w:ascii="Arial" w:cs="Arial" w:eastAsia="Arial" w:hAnsi="Arial"/>
          <w:sz w:val="17"/>
          <w:szCs w:val="17"/>
          <w:color w:val="auto"/>
        </w:rPr>
      </w:pPr>
    </w:p>
    <w:p>
      <w:pPr>
        <w:ind w:left="660" w:right="2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 and enroll patients in our Phase 3 clinical trials in other indications for AXS</w:t>
      </w:r>
      <w:r>
        <w:rPr>
          <w:rFonts w:ascii="MS PGothic" w:cs="MS PGothic" w:eastAsia="MS PGothic" w:hAnsi="MS PGothic"/>
          <w:sz w:val="18"/>
          <w:szCs w:val="18"/>
          <w:color w:val="auto"/>
        </w:rPr>
        <w:t>‑</w:t>
      </w:r>
      <w:r>
        <w:rPr>
          <w:rFonts w:ascii="Arial" w:cs="Arial" w:eastAsia="Arial" w:hAnsi="Arial"/>
          <w:sz w:val="18"/>
          <w:szCs w:val="18"/>
          <w:color w:val="auto"/>
        </w:rPr>
        <w:t>02 and for AXS</w:t>
      </w:r>
      <w:r>
        <w:rPr>
          <w:rFonts w:ascii="MS PGothic" w:cs="MS PGothic" w:eastAsia="MS PGothic" w:hAnsi="MS PGothic"/>
          <w:sz w:val="18"/>
          <w:szCs w:val="18"/>
          <w:color w:val="auto"/>
        </w:rPr>
        <w:t>‑</w:t>
      </w:r>
      <w:r>
        <w:rPr>
          <w:rFonts w:ascii="Arial" w:cs="Arial" w:eastAsia="Arial" w:hAnsi="Arial"/>
          <w:sz w:val="18"/>
          <w:szCs w:val="18"/>
          <w:color w:val="auto"/>
        </w:rPr>
        <w:t>05;</w:t>
      </w:r>
    </w:p>
    <w:p>
      <w:pPr>
        <w:spacing w:after="0" w:line="184" w:lineRule="exact"/>
        <w:rPr>
          <w:rFonts w:ascii="Arial" w:cs="Arial" w:eastAsia="Arial" w:hAnsi="Arial"/>
          <w:sz w:val="18"/>
          <w:szCs w:val="18"/>
          <w:color w:val="auto"/>
        </w:rPr>
      </w:pPr>
    </w:p>
    <w:p>
      <w:pPr>
        <w:ind w:left="660" w:right="160" w:hanging="333"/>
        <w:spacing w:after="0" w:line="28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AXS-06 for the treatment of osteoarthritis and rheumatoid arthritis, AXS-07 for the acute treatment of migraine, and AXS-09 for the treatment of CNS disorders;</w:t>
      </w:r>
    </w:p>
    <w:p>
      <w:pPr>
        <w:spacing w:after="0" w:line="124" w:lineRule="exact"/>
        <w:rPr>
          <w:rFonts w:ascii="Arial" w:cs="Arial" w:eastAsia="Arial" w:hAnsi="Arial"/>
          <w:sz w:val="16"/>
          <w:szCs w:val="16"/>
          <w:color w:val="auto"/>
        </w:rPr>
      </w:pPr>
    </w:p>
    <w:p>
      <w:pPr>
        <w:ind w:left="660" w:hanging="333"/>
        <w:spacing w:after="0" w:line="207"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for any product candidates that successfully complete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660" w:right="75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660" w:right="319"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62"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5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17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660" w:right="4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660" w:right="28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660" w:right="520" w:hanging="333"/>
        <w:spacing w:after="0" w:line="203"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We believe that with our available cash as of March 31, 2018, we will have sufficient funds to meet our anticipated operating cash requirements into the third quarter of 2019.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1"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84" w:lineRule="exact"/>
        <w:rPr>
          <w:rFonts w:ascii="Arial" w:cs="Arial" w:eastAsia="Arial" w:hAnsi="Arial"/>
          <w:sz w:val="18"/>
          <w:szCs w:val="18"/>
          <w:color w:val="auto"/>
        </w:rPr>
      </w:pPr>
    </w:p>
    <w:p>
      <w:pPr>
        <w:ind w:left="660" w:right="20" w:hanging="333"/>
        <w:spacing w:after="0" w:line="194"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660" w:right="120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was conditioned upon the achievement of both a clinical and financial milestone on or prior to November 9, 2017. The clinical milestone required our receipt of positive interim results of our then-ongoing CREATE-1 study of AXS-02 in CRPS, while the financial milestone required that we receive unrestricted and unencumbered net cash proceeds of at least $30.0 million from the issuance and sale of our equity securities to investors. Availability of $5.0 million under the third term advance was tied to achievement of the clinical and financial milestones described above, as well as our receipt of positive data with respect to our then-ongoing CREATE-1 study by December 31, 2017 sufficient to file a new drug application with the FDA. Because we did not achieve the conditional criteria to access the second and third term advances before the specified dates, the $10.0 million in additional term loan advances expired.</w:t>
      </w:r>
    </w:p>
    <w:p>
      <w:pPr>
        <w:spacing w:after="0" w:line="167"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loan advances mature on November 1, 2020 and had an interest</w:t>
      </w:r>
      <w:r>
        <w:rPr>
          <w:rFonts w:ascii="MS PGothic" w:cs="MS PGothic" w:eastAsia="MS PGothic" w:hAnsi="MS PGothic"/>
          <w:sz w:val="18"/>
          <w:szCs w:val="18"/>
          <w:color w:val="auto"/>
        </w:rPr>
        <w:t>‑</w:t>
      </w:r>
      <w:r>
        <w:rPr>
          <w:rFonts w:ascii="Arial" w:cs="Arial" w:eastAsia="Arial" w:hAnsi="Arial"/>
          <w:sz w:val="18"/>
          <w:szCs w:val="18"/>
          <w:color w:val="auto"/>
        </w:rPr>
        <w:t>only monthly payment period until December 1, 2017. Following the interest-only payment period, we began making monthly payments of principal and interest and will continue to do so until the maturity date. Interest will accrue on the unpaid principal balance of the outstanding loan advances at a floating per annum rate of 4.50% above the prime rate.</w:t>
      </w:r>
    </w:p>
    <w:p>
      <w:pPr>
        <w:spacing w:after="0" w:line="163"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Further, we initiated our Phase 3 clinical trial with AXS-05 for the treatment of TRD in March 2016 and our Phase 2/3 trial with AXS-05 for the treatment of agitation associated with AD in July 2017. As a result of one or more risks discussed in this section, we cannot assure you that we will meet projected timelines related to these trials.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6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two of which were conducted with two tablets, one tablet consisting of dextromethorphan, or DM, and one tablet consisting of bupropion. Our third Phase 1 trial with AXS-05 was conducted with one tablet containing both DM and bupropion. We are also conducting our Phase 3 clinical trial with AXS-05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 For AXS-07, we have not conducted a Phase 1 pharmacokinetic study of one tablet consisting of MoSEIC meloxicam and rizatriptan and additional manufacturing work is required before we may submit an IND and begin late-stage clinical trials. Finally, for AXS-09, we have only completed one Phase 1 clinical trial.</w:t>
      </w:r>
    </w:p>
    <w:p>
      <w:pPr>
        <w:spacing w:after="0" w:line="155" w:lineRule="exact"/>
        <w:rPr>
          <w:sz w:val="20"/>
          <w:szCs w:val="20"/>
          <w:color w:val="auto"/>
        </w:rPr>
      </w:pPr>
    </w:p>
    <w:p>
      <w:pPr>
        <w:ind w:right="20" w:firstLine="648"/>
        <w:spacing w:after="0" w:line="241" w:lineRule="auto"/>
        <w:rPr>
          <w:sz w:val="20"/>
          <w:szCs w:val="20"/>
          <w:color w:val="auto"/>
        </w:rPr>
      </w:pPr>
      <w:r>
        <w:rPr>
          <w:rFonts w:ascii="Arial" w:cs="Arial" w:eastAsia="Arial" w:hAnsi="Arial"/>
          <w:sz w:val="19"/>
          <w:szCs w:val="19"/>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plan to conduct two interim analyses for both the ongoing Phase 3 trial of AXS-05 in TRD and the ongoing Phase 2/3 trial of AXS-05 for the treatment of AD agitation, and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660" w:right="37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660" w:right="85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660" w:right="4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660" w:right="419" w:hanging="333"/>
        <w:spacing w:after="0" w:line="203"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agitation associated with AD, and smoking cessation, and AXS-07 for the acute treatment of migraine. As a result, we may forego or delay pursuit of opportunities with other product candidates or for other indications that may prove to have greater commercial potential. Additionally, as more fully described in “Business— 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164" w:lineRule="exact"/>
        <w:rPr>
          <w:sz w:val="20"/>
          <w:szCs w:val="20"/>
          <w:color w:val="auto"/>
        </w:rPr>
      </w:pPr>
    </w:p>
    <w:p>
      <w:pPr>
        <w:ind w:right="79"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660" w:right="160" w:hanging="333"/>
        <w:spacing w:after="0" w:line="23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279"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rFonts w:ascii="Arial" w:cs="Arial" w:eastAsia="Arial" w:hAnsi="Arial"/>
          <w:sz w:val="18"/>
          <w:szCs w:val="18"/>
          <w:color w:val="auto"/>
        </w:rPr>
      </w:pPr>
    </w:p>
    <w:p>
      <w:pPr>
        <w:ind w:left="660" w:right="259"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Arial" w:cs="Arial" w:eastAsia="Arial" w:hAnsi="Arial"/>
          <w:sz w:val="18"/>
          <w:szCs w:val="18"/>
          <w:color w:val="auto"/>
        </w:rPr>
      </w:pPr>
    </w:p>
    <w:p>
      <w:pPr>
        <w:ind w:left="660" w:right="299" w:hanging="333"/>
        <w:spacing w:after="0" w:line="194"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660" w:right="159" w:hanging="333"/>
        <w:spacing w:after="0" w:line="24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660" w:right="39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660" w:right="259" w:hanging="333"/>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660" w:right="11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660" w:right="79" w:hanging="333"/>
        <w:spacing w:after="0" w:line="181" w:lineRule="exact"/>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studies.The outcome of our studies may further necessitate additional clinical or preclinical work;</w:t>
      </w:r>
    </w:p>
    <w:p>
      <w:pPr>
        <w:spacing w:after="0" w:line="163" w:lineRule="exact"/>
        <w:rPr>
          <w:rFonts w:ascii="Arial" w:cs="Arial" w:eastAsia="Arial" w:hAnsi="Arial"/>
          <w:sz w:val="17"/>
          <w:szCs w:val="17"/>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660" w:right="239" w:hanging="333"/>
        <w:spacing w:after="0" w:line="23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38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660" w:right="140" w:hanging="333"/>
        <w:spacing w:after="0" w:line="184" w:lineRule="exact"/>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rFonts w:ascii="Arial" w:cs="Arial" w:eastAsia="Arial" w:hAnsi="Arial"/>
          <w:sz w:val="17"/>
          <w:szCs w:val="17"/>
          <w:color w:val="auto"/>
        </w:rPr>
      </w:pPr>
    </w:p>
    <w:p>
      <w:pPr>
        <w:ind w:left="660" w:hanging="333"/>
        <w:spacing w:after="0" w:line="2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660" w:right="580" w:hanging="333"/>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660" w:right="220" w:hanging="333"/>
        <w:spacing w:after="0" w:line="23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1" w:lineRule="exact"/>
        <w:rPr>
          <w:rFonts w:ascii="Arial" w:cs="Arial" w:eastAsia="Arial" w:hAnsi="Arial"/>
          <w:sz w:val="17"/>
          <w:szCs w:val="17"/>
          <w:color w:val="auto"/>
        </w:rPr>
      </w:pPr>
    </w:p>
    <w:p>
      <w:pPr>
        <w:ind w:left="660" w:hanging="333"/>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65"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6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660" w:right="720" w:hanging="333"/>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treatement of agitation associated with AD, we exclude patients who have been treated with certain classes of medications.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3"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Development of fixed-dose combination product candidates may present more or different challenges than development of a single agent product candidate.</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Certain of our product candidates, including AXS-05, AXS-06, AXS-07, and AXS-09 are fixed-dose combination therapies. A fixed-dose combination therapy is a single drug product composed of two or more active ingredients, with each component making a contribution to the claimed effect of the drug. The development of fixed-dose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fixed-dose combinations. Finally, the FDA’s requirements concerning fixed-dose combination products may change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63"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4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2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trials;clinical holds or termination of clinical trials;</w:t>
      </w:r>
    </w:p>
    <w:p>
      <w:pPr>
        <w:spacing w:after="0" w:line="196" w:lineRule="exact"/>
        <w:rPr>
          <w:rFonts w:ascii="Arial" w:cs="Arial" w:eastAsia="Arial" w:hAnsi="Arial"/>
          <w:sz w:val="17"/>
          <w:szCs w:val="17"/>
          <w:color w:val="auto"/>
        </w:rPr>
      </w:pPr>
    </w:p>
    <w:p>
      <w:pPr>
        <w:ind w:left="660" w:right="240" w:hanging="333"/>
        <w:spacing w:after="0" w:line="23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660" w:right="1080" w:hanging="333"/>
        <w:spacing w:after="0" w:line="25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660" w:right="540"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jc w:val="both"/>
        <w:ind w:left="660" w:right="80" w:hanging="333"/>
        <w:spacing w:after="0" w:line="194" w:lineRule="exact"/>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for so</w:t>
      </w:r>
      <w:r>
        <w:rPr>
          <w:rFonts w:ascii="MS PGothic" w:cs="MS PGothic" w:eastAsia="MS PGothic" w:hAnsi="MS PGothic"/>
          <w:sz w:val="17"/>
          <w:szCs w:val="17"/>
          <w:color w:val="auto"/>
        </w:rPr>
        <w:t>‑</w:t>
      </w:r>
      <w:r>
        <w:rPr>
          <w:rFonts w:ascii="Arial" w:cs="Arial" w:eastAsia="Arial" w:hAnsi="Arial"/>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61" w:lineRule="exact"/>
        <w:rPr>
          <w:rFonts w:ascii="Arial" w:cs="Arial" w:eastAsia="Arial" w:hAnsi="Arial"/>
          <w:sz w:val="17"/>
          <w:szCs w:val="17"/>
          <w:color w:val="auto"/>
        </w:rPr>
      </w:pPr>
    </w:p>
    <w:p>
      <w:pPr>
        <w:ind w:left="660" w:right="400" w:hanging="333"/>
        <w:spacing w:after="0" w:line="25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stricter harmonised EU rules on data privacy particularly in relation to health data than is the case in the United States which are being further toughened with a new regulation coming into force on May 25, 2018;</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Alder Biopharmaceuticals, Inc.; Alkermes plc; Allergan plc; Amgen Inc.; Biohaven Pharmaceutical Holding Company Ltd.; Carbylan Therapeutics, Inc.; Eli Lilly and Company; Flexion Therapeutics, Inc.; Grunenthal GmbH; Janssen Research &amp; Development, LLC; Levolta Pharmaceuticals, Inc.; Otsuka Pharmaceutical Co. Ltd.; OPKO Health, Inc.; Acadia Pharmaceuticals, Inc.; and Intra-Cellular Therapies, Inc.</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Generic forms of the active ingredients of our product candidates, including zoledronic acid, DM, bupropion, meloxicam, rizatripan, and esomeprazole,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194"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received Orphan Drug Designation from the FDA for the treatment of CRPS. Although we are no longer pursuing CRPS, we may also seek Orphan Drug Designation for our other product candidates, as appropriate.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European Union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4440"/>
        <w:spacing w:after="0"/>
        <w:rPr>
          <w:rFonts w:ascii="Arial" w:cs="Arial" w:eastAsia="Arial" w:hAnsi="Arial"/>
          <w:sz w:val="17"/>
          <w:szCs w:val="17"/>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62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660" w:right="3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07" w:lineRule="exact"/>
        <w:rPr>
          <w:rFonts w:ascii="Arial" w:cs="Arial" w:eastAsia="Arial" w:hAnsi="Arial"/>
          <w:sz w:val="16"/>
          <w:szCs w:val="16"/>
          <w:color w:val="auto"/>
        </w:rPr>
      </w:pPr>
    </w:p>
    <w:p>
      <w:pPr>
        <w:ind w:left="660" w:right="9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660" w:right="5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660" w:right="599" w:hanging="333"/>
        <w:spacing w:after="0" w:line="203" w:lineRule="exact"/>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660" w:right="45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660" w:right="39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660" w:right="4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660" w:right="1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660" w:right="40" w:hanging="333"/>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660" w:right="60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660" w:hanging="333"/>
        <w:spacing w:after="0" w:line="25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7" w:lineRule="exact"/>
        <w:rPr>
          <w:rFonts w:ascii="Arial" w:cs="Arial" w:eastAsia="Arial" w:hAnsi="Arial"/>
          <w:sz w:val="16"/>
          <w:szCs w:val="16"/>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660" w:right="320" w:hanging="333"/>
        <w:spacing w:after="0" w:line="24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660" w:right="50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660" w:right="22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660" w:right="24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3"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and October 2017, petitions for post-grant review of U.S. Patent No. 9,408,862, which we refer to as the ‘862 patent, and of U.S. Patent No. 9,539,268, which we refer to as the ‘268 patent, respectively, were filed at the USPTO by Grunenthal. 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petitions request that the Patent Trial and Appeal Board, or PTAB, initiate proceedings to review the validity of the ‘239, the ‘862, and the ‘268 patents.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We cannot predict what the outcomes of the proceedings for the ‘239 patent will be. In August 2017, we responded to and opposed the petition for the ‘862 patent. In November 2017, the PTAB rendered a decision to initiate a post-grant review for that patent. Any patent claim the PTAB determines to be unpatentable as a result of these proceedings would be stricken from the challenged patents or modified. We cannot predict what the outcomes of the proceeding on the ‘862 patent will be.</w:t>
      </w:r>
    </w:p>
    <w:p>
      <w:pPr>
        <w:spacing w:after="0" w:line="170"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In February 2018, we responded to and opposed the petition for the ‘268 patent. The PTAB is expected to render a decision as to whether it will initiate a post-grant review for that patent. Any patent claim the PTAB determines to be unpatentable as a result of these proceedings would be stricken from the challenged patents or modified. We cannot predict if the PTAB will initiate a proceeding on the ‘268 patent, or what the outcomes of the proceeding would be if it is initiated. If the PTAB decides to initiate a proceeding, it may determine that all the claims of the challenged patent are unpatentable.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6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660" w:right="260" w:hanging="333"/>
        <w:spacing w:after="0" w:line="25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660" w:right="4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50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16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w:t>
      </w:r>
    </w:p>
    <w:p>
      <w:pPr>
        <w:spacing w:after="0"/>
        <w:rPr>
          <w:sz w:val="20"/>
          <w:szCs w:val="20"/>
          <w:color w:val="auto"/>
        </w:rPr>
      </w:pPr>
      <w:r>
        <w:rPr>
          <w:rFonts w:ascii="Arial" w:cs="Arial" w:eastAsia="Arial" w:hAnsi="Arial"/>
          <w:sz w:val="16"/>
          <w:szCs w:val="16"/>
          <w:color w:val="auto"/>
        </w:rPr>
        <w:t>the “Business—Government Regulation and Product Approval” section of our Annual Report on Form 10-K, filed with the</w:t>
      </w:r>
    </w:p>
    <w:p>
      <w:pPr>
        <w:spacing w:after="0" w:line="176" w:lineRule="exact"/>
        <w:rPr>
          <w:sz w:val="20"/>
          <w:szCs w:val="20"/>
          <w:color w:val="auto"/>
        </w:rPr>
      </w:pPr>
      <w:r>
        <w:rPr>
          <w:rFonts w:ascii="Arial" w:cs="Arial" w:eastAsia="Arial" w:hAnsi="Arial"/>
          <w:sz w:val="16"/>
          <w:szCs w:val="16"/>
          <w:color w:val="auto"/>
        </w:rPr>
        <w:t>Securities and Exchange Commission, or SEC, on March 7, 2018,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w:t>
      </w:r>
    </w:p>
    <w:p>
      <w:pPr>
        <w:spacing w:after="0" w:line="215" w:lineRule="auto"/>
        <w:rPr>
          <w:sz w:val="20"/>
          <w:szCs w:val="20"/>
          <w:color w:val="auto"/>
        </w:rPr>
      </w:pPr>
      <w:r>
        <w:rPr>
          <w:rFonts w:ascii="Arial" w:cs="Arial" w:eastAsia="Arial" w:hAnsi="Arial"/>
          <w:sz w:val="17"/>
          <w:szCs w:val="17"/>
          <w:color w:val="auto"/>
        </w:rPr>
        <w:t>and criminal False Claims Act, the civil monetary penalties statute, the Medicaid Drug Rebate statute and other price</w:t>
      </w:r>
    </w:p>
    <w:p>
      <w:pPr>
        <w:spacing w:after="0" w:line="229" w:lineRule="auto"/>
        <w:rPr>
          <w:sz w:val="20"/>
          <w:szCs w:val="20"/>
          <w:color w:val="auto"/>
        </w:rPr>
      </w:pPr>
      <w:r>
        <w:rPr>
          <w:rFonts w:ascii="Arial" w:cs="Arial" w:eastAsia="Arial" w:hAnsi="Arial"/>
          <w:sz w:val="16"/>
          <w:szCs w:val="16"/>
          <w:color w:val="auto"/>
        </w:rPr>
        <w:t>reporting requirements, the Veterans Health Care Act of 1992, the federal Health Insurance Portability and Accountability</w:t>
      </w:r>
    </w:p>
    <w:p>
      <w:pPr>
        <w:spacing w:after="0" w:line="229" w:lineRule="auto"/>
        <w:rPr>
          <w:sz w:val="20"/>
          <w:szCs w:val="20"/>
          <w:color w:val="auto"/>
        </w:rPr>
      </w:pPr>
      <w:r>
        <w:rPr>
          <w:rFonts w:ascii="Arial" w:cs="Arial" w:eastAsia="Arial" w:hAnsi="Arial"/>
          <w:sz w:val="16"/>
          <w:szCs w:val="16"/>
          <w:color w:val="auto"/>
        </w:rPr>
        <w:t>Act of 1996 (as amended by the Health Information Technology for Economics and Clinical Health Act), the Foreign Corrupt</w:t>
      </w:r>
    </w:p>
    <w:p>
      <w:pPr>
        <w:spacing w:after="0" w:line="216" w:lineRule="auto"/>
        <w:rPr>
          <w:sz w:val="20"/>
          <w:szCs w:val="20"/>
          <w:color w:val="auto"/>
        </w:rPr>
      </w:pPr>
      <w:r>
        <w:rPr>
          <w:rFonts w:ascii="Arial" w:cs="Arial" w:eastAsia="Arial" w:hAnsi="Arial"/>
          <w:sz w:val="17"/>
          <w:szCs w:val="17"/>
          <w:color w:val="auto"/>
        </w:rPr>
        <w:t>Practices Act of 1977, the Patient Protection and Affordable Care Act of 2010, and similar state and foreign laws. Even</w:t>
      </w:r>
    </w:p>
    <w:p>
      <w:pPr>
        <w:spacing w:after="0" w:line="215" w:lineRule="auto"/>
        <w:rPr>
          <w:sz w:val="20"/>
          <w:szCs w:val="20"/>
          <w:color w:val="auto"/>
        </w:rPr>
      </w:pPr>
      <w:r>
        <w:rPr>
          <w:rFonts w:ascii="Arial" w:cs="Arial" w:eastAsia="Arial" w:hAnsi="Arial"/>
          <w:sz w:val="17"/>
          <w:szCs w:val="17"/>
          <w:color w:val="auto"/>
        </w:rPr>
        <w:t>though we do not and will not control referrals of healthcare services or bill directly to Medicare, Medicaid, or other</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w:t>
      </w:r>
    </w:p>
    <w:p>
      <w:pPr>
        <w:spacing w:after="0" w:line="229" w:lineRule="auto"/>
        <w:rPr>
          <w:sz w:val="20"/>
          <w:szCs w:val="20"/>
          <w:color w:val="auto"/>
        </w:rPr>
      </w:pPr>
      <w:r>
        <w:rPr>
          <w:rFonts w:ascii="Arial" w:cs="Arial" w:eastAsia="Arial" w:hAnsi="Arial"/>
          <w:sz w:val="16"/>
          <w:szCs w:val="16"/>
          <w:color w:val="auto"/>
        </w:rPr>
        <w:t>are and will be applicable to our business. We would be subject to healthcare fraud and abuse by both the federal government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the states in which we conduct our business.</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current administration, would repeal certain aspects of the ACA. Further, 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w:t>
      </w:r>
    </w:p>
    <w:p>
      <w:pPr>
        <w:spacing w:after="0" w:line="167"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is also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63"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As of May 4, 2018, we had only 27 full</w:t>
      </w:r>
      <w:r>
        <w:rPr>
          <w:rFonts w:ascii="MS PGothic" w:cs="MS PGothic" w:eastAsia="MS PGothic" w:hAnsi="MS PGothic"/>
          <w:sz w:val="16"/>
          <w:szCs w:val="16"/>
          <w:color w:val="auto"/>
        </w:rPr>
        <w:t>‑</w:t>
      </w:r>
      <w:r>
        <w:rPr>
          <w:rFonts w:ascii="Arial" w:cs="Arial" w:eastAsia="Arial" w:hAnsi="Arial"/>
          <w:sz w:val="16"/>
          <w:szCs w:val="16"/>
          <w:color w:val="auto"/>
        </w:rPr>
        <w:t>time employees and 4 key consultants.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3" w:lineRule="exact"/>
        <w:rPr>
          <w:sz w:val="20"/>
          <w:szCs w:val="20"/>
          <w:color w:val="auto"/>
        </w:rPr>
      </w:pPr>
    </w:p>
    <w:p>
      <w:pPr>
        <w:ind w:left="660" w:hanging="333"/>
        <w:spacing w:after="0" w:line="22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80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660" w:right="34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660" w:right="70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660" w:right="280" w:hanging="333"/>
        <w:spacing w:after="0" w:line="289"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rFonts w:ascii="Arial" w:cs="Arial" w:eastAsia="Arial" w:hAnsi="Arial"/>
          <w:sz w:val="16"/>
          <w:szCs w:val="16"/>
          <w:color w:val="auto"/>
        </w:rPr>
      </w:pPr>
    </w:p>
    <w:p>
      <w:pPr>
        <w:ind w:left="660" w:right="180" w:hanging="333"/>
        <w:spacing w:after="0" w:line="21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40" w:hanging="333"/>
        <w:spacing w:after="0" w:line="203" w:lineRule="exact"/>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660" w:right="54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660" w:right="28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As of May 4, 2018,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As of May 4, 2018, we have outstanding 25,685,492 shares of common stock and 4,875,825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17,635,351 are freely tradable. The remainder of the outstanding shares of common stock are held by our affiliates and may be considered “control securities” for purposes of Rule 144 under the Securities Act.</w:t>
      </w:r>
    </w:p>
    <w:p>
      <w:pPr>
        <w:spacing w:after="0" w:line="162" w:lineRule="exact"/>
        <w:rPr>
          <w:sz w:val="20"/>
          <w:szCs w:val="20"/>
          <w:color w:val="auto"/>
        </w:rPr>
      </w:pPr>
    </w:p>
    <w:p>
      <w:pPr>
        <w:ind w:right="320"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5,257,843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March 2017 public offering, our December 2017 registered direct offering, and any proceeds from sales pursuant to the Sales Agreement, and may not use them effectively.</w:t>
      </w:r>
    </w:p>
    <w:p>
      <w:pPr>
        <w:spacing w:after="0" w:line="163" w:lineRule="exact"/>
        <w:rPr>
          <w:sz w:val="20"/>
          <w:szCs w:val="20"/>
          <w:color w:val="auto"/>
        </w:rPr>
      </w:pPr>
    </w:p>
    <w:p>
      <w:pPr>
        <w:ind w:right="60" w:firstLine="648"/>
        <w:spacing w:after="0" w:line="233"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March 2017 public offering, our December 2017 registered direct offering and proceeds from sales pursuant to our “at-the-market” sales agreement with Leerink Partners LLC, or the Sales Agreement, if any, and our stockholders will not have the opportunity as part of their investment decision to assess whether the net proceeds from those capital raises are being used appropriately. You may not agree with our decisions, and our use of the proceeds may not yield any return on your investment. Because of the number and variability of factors that will determine our use of the net proceeds from our capital raises, including our March 2017 public offering, our December 2017 registered direct offering and proceeds from sales pursuant to the Sales Agreement, if any, their ultimate use may vary substantially from their currently intended use. Our failure to apply the net proceeds of our capital raises, including our March 2017 public offering, our December 2017 registered direct offering and proceeds from sales pursuant to the Sales Agreement, if any,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March 2017 public offering, our December 2017 registered direct offering and proceeds from sales pursuant to the Sales Agreement, if any. Pending their use, we may invest the net proceeds from our capital raises, including our March 2017 public offering, and our December 2017 registered direct offering, in short-term, investment-grade, interest-bearing instruments and U.S. government securities. These temporary investments are not likely to yield a significant return.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2017, we had U.S. net operating loss carryforwards of approximately $61 million. Our net operating loss carryforwards arising in taxable years ending on or prior to December 31, 2017 will begin expiring in 2033 if we have not used them prior to that time.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and December 2017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4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6"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previously disclosed, on April 15, 2018, our board of directors appointed Nick Pizzie, CPA, MBA, as our Chief Financial Officer, effective May 16, 2018, or the Effective Date, to serve until such time as his removal or resignation.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Pizzie’s offer letter from us, which we refer to as the Offer Letter, provides for an annual base salary of</w:t>
      </w:r>
    </w:p>
    <w:p>
      <w:pPr>
        <w:spacing w:after="0" w:line="229" w:lineRule="auto"/>
        <w:rPr>
          <w:sz w:val="20"/>
          <w:szCs w:val="20"/>
          <w:color w:val="auto"/>
        </w:rPr>
      </w:pPr>
      <w:r>
        <w:rPr>
          <w:rFonts w:ascii="Arial" w:cs="Arial" w:eastAsia="Arial" w:hAnsi="Arial"/>
          <w:sz w:val="16"/>
          <w:szCs w:val="16"/>
          <w:color w:val="auto"/>
        </w:rPr>
        <w:t>$325,000, which will be prorated based on the Effective Date, and a target bonus of 40% of his annual base salary, which will</w:t>
      </w:r>
    </w:p>
    <w:p>
      <w:pPr>
        <w:spacing w:after="0" w:line="229" w:lineRule="auto"/>
        <w:rPr>
          <w:sz w:val="20"/>
          <w:szCs w:val="20"/>
          <w:color w:val="auto"/>
        </w:rPr>
      </w:pPr>
      <w:r>
        <w:rPr>
          <w:rFonts w:ascii="Arial" w:cs="Arial" w:eastAsia="Arial" w:hAnsi="Arial"/>
          <w:sz w:val="16"/>
          <w:szCs w:val="16"/>
          <w:color w:val="auto"/>
        </w:rPr>
        <w:t>not be prorated based on the Effective Date. He will also receive a sign-on bonus of $15,000, which must be repaid in full if</w:t>
      </w:r>
    </w:p>
    <w:p>
      <w:pPr>
        <w:spacing w:after="0" w:line="215" w:lineRule="auto"/>
        <w:rPr>
          <w:sz w:val="20"/>
          <w:szCs w:val="20"/>
          <w:color w:val="auto"/>
        </w:rPr>
      </w:pPr>
      <w:r>
        <w:rPr>
          <w:rFonts w:ascii="Arial" w:cs="Arial" w:eastAsia="Arial" w:hAnsi="Arial"/>
          <w:sz w:val="17"/>
          <w:szCs w:val="17"/>
          <w:color w:val="auto"/>
        </w:rPr>
        <w:t>he voluntarily leaves our company within one year of the Effective Date. On the Effective Date, Mr. Pizzie will receive an</w:t>
      </w:r>
    </w:p>
    <w:p>
      <w:pPr>
        <w:spacing w:after="0" w:line="229" w:lineRule="auto"/>
        <w:rPr>
          <w:sz w:val="20"/>
          <w:szCs w:val="20"/>
          <w:color w:val="auto"/>
        </w:rPr>
      </w:pPr>
      <w:r>
        <w:rPr>
          <w:rFonts w:ascii="Arial" w:cs="Arial" w:eastAsia="Arial" w:hAnsi="Arial"/>
          <w:sz w:val="16"/>
          <w:szCs w:val="16"/>
          <w:color w:val="auto"/>
        </w:rPr>
        <w:t>initial grant of 132,000 options to purchase shares of our common stock under the Plan. The options will have an exercise</w:t>
      </w:r>
    </w:p>
    <w:p>
      <w:pPr>
        <w:spacing w:after="0" w:line="229" w:lineRule="auto"/>
        <w:rPr>
          <w:sz w:val="20"/>
          <w:szCs w:val="20"/>
          <w:color w:val="auto"/>
        </w:rPr>
      </w:pPr>
      <w:r>
        <w:rPr>
          <w:rFonts w:ascii="Arial" w:cs="Arial" w:eastAsia="Arial" w:hAnsi="Arial"/>
          <w:sz w:val="16"/>
          <w:szCs w:val="16"/>
          <w:color w:val="auto"/>
        </w:rPr>
        <w:t>price equal to the fair market value on the date of grant and will vest over a four-year period as follows: 25% of the shares</w:t>
      </w:r>
    </w:p>
    <w:p>
      <w:pPr>
        <w:spacing w:after="0" w:line="216" w:lineRule="auto"/>
        <w:rPr>
          <w:sz w:val="20"/>
          <w:szCs w:val="20"/>
          <w:color w:val="auto"/>
        </w:rPr>
      </w:pPr>
      <w:r>
        <w:rPr>
          <w:rFonts w:ascii="Arial" w:cs="Arial" w:eastAsia="Arial" w:hAnsi="Arial"/>
          <w:sz w:val="17"/>
          <w:szCs w:val="17"/>
          <w:color w:val="auto"/>
        </w:rPr>
        <w:t>will vest on the first anniversary of the date of grant and the remaining 75% of the shares will vest in equal increments</w:t>
      </w:r>
    </w:p>
    <w:p>
      <w:pPr>
        <w:spacing w:after="0" w:line="229" w:lineRule="auto"/>
        <w:rPr>
          <w:sz w:val="20"/>
          <w:szCs w:val="20"/>
          <w:color w:val="auto"/>
        </w:rPr>
      </w:pPr>
      <w:r>
        <w:rPr>
          <w:rFonts w:ascii="Arial" w:cs="Arial" w:eastAsia="Arial" w:hAnsi="Arial"/>
          <w:sz w:val="16"/>
          <w:szCs w:val="16"/>
          <w:color w:val="auto"/>
        </w:rPr>
        <w:t>thereafter each quarter of the remaining three years. Mr. Pizzie will be eligible to receive future long-term incentive awards in</w:t>
      </w:r>
    </w:p>
    <w:p>
      <w:pPr>
        <w:spacing w:after="0"/>
        <w:rPr>
          <w:sz w:val="20"/>
          <w:szCs w:val="20"/>
          <w:color w:val="auto"/>
        </w:rPr>
      </w:pPr>
      <w:r>
        <w:rPr>
          <w:rFonts w:ascii="Arial" w:cs="Arial" w:eastAsia="Arial" w:hAnsi="Arial"/>
          <w:sz w:val="18"/>
          <w:szCs w:val="18"/>
          <w:color w:val="auto"/>
        </w:rPr>
        <w:t>accordance with the Plan.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Pursuant to the Offer Letter, Mr. Pizzie will be eligible to receive a severance payment equal to 6 months of his base salary at the time of his termination if, within 12 months following a change in control, we terminate his employment without cause, contingent upon us and Mr. Pizzie entering into a comprehensive separation and general release agreement.</w:t>
      </w:r>
    </w:p>
    <w:p>
      <w:pPr>
        <w:spacing w:after="0" w:line="14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the terms and conditions of the Offer Letter, which is attached as Exhibit 10.1 to this report.</w:t>
      </w:r>
    </w:p>
    <w:p>
      <w:pPr>
        <w:spacing w:after="0" w:line="162"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On April 13, 2018, we received a resignation letter from John Golubieski, our current Chief Financial Officer, effective May 9, 2018. Mr. Golubieski clarified that his resignation was to pursue other opportunities and not due to any disagreement with us, our management or our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3300" w:type="dxa"/>
            <w:vAlign w:val="bottom"/>
          </w:tcPr>
          <w:p>
            <w:pPr>
              <w:ind w:left="152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left="160"/>
        <w:spacing w:after="0"/>
        <w:tabs>
          <w:tab w:leader="none" w:pos="840" w:val="left"/>
        </w:tabs>
        <w:rPr>
          <w:rFonts w:ascii="Arial" w:cs="Arial" w:eastAsia="Arial" w:hAnsi="Arial"/>
          <w:sz w:val="16"/>
          <w:szCs w:val="16"/>
          <w:u w:val="single" w:color="auto"/>
          <w:color w:val="0000EE"/>
        </w:rPr>
      </w:pPr>
      <w:hyperlink w:anchor="page89">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89">
        <w:r>
          <w:rPr>
            <w:rFonts w:ascii="Arial" w:cs="Arial" w:eastAsia="Arial" w:hAnsi="Arial"/>
            <w:sz w:val="16"/>
            <w:szCs w:val="16"/>
            <w:u w:val="single" w:color="auto"/>
            <w:color w:val="0000EE"/>
          </w:rPr>
          <w:t>Nick Pizzie Offer Letter, dated April 16, 2018.</w:t>
        </w:r>
      </w:hyperlink>
    </w:p>
    <w:p>
      <w:pPr>
        <w:ind w:left="860" w:right="599" w:hanging="706"/>
        <w:spacing w:after="0" w:line="219" w:lineRule="auto"/>
        <w:tabs>
          <w:tab w:leader="none" w:pos="840" w:val="left"/>
        </w:tabs>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93">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Section 302 of the Sarbanes-Oxley Act of 2002.</w:t>
        </w:r>
      </w:hyperlink>
    </w:p>
    <w:p>
      <w:pPr>
        <w:ind w:left="860" w:right="659" w:hanging="706"/>
        <w:spacing w:after="0" w:line="219" w:lineRule="auto"/>
        <w:tabs>
          <w:tab w:leader="none" w:pos="840" w:val="left"/>
        </w:tabs>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94">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Section 302 of the Sarbanes-Oxley Act of 2002.</w:t>
        </w:r>
      </w:hyperlink>
    </w:p>
    <w:p>
      <w:pPr>
        <w:ind w:left="860" w:right="139" w:hanging="706"/>
        <w:spacing w:after="0" w:line="219" w:lineRule="auto"/>
        <w:tabs>
          <w:tab w:leader="none" w:pos="84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Certification of Principal Executive Officer pursuant to 18 U.S.C. §1350, as adopted pursuant to Section 906 of</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the Sarbanes-Oxley Act of 2002 (furnished herewith).</w:t>
        </w:r>
      </w:hyperlink>
    </w:p>
    <w:p>
      <w:pPr>
        <w:ind w:left="860" w:right="199" w:hanging="706"/>
        <w:spacing w:after="0" w:line="219" w:lineRule="auto"/>
        <w:tabs>
          <w:tab w:leader="none" w:pos="840" w:val="left"/>
        </w:tabs>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96">
        <w:r>
          <w:rPr>
            <w:rFonts w:ascii="Arial" w:cs="Arial" w:eastAsia="Arial" w:hAnsi="Arial"/>
            <w:sz w:val="18"/>
            <w:szCs w:val="18"/>
            <w:u w:val="single" w:color="auto"/>
            <w:color w:val="0000EE"/>
          </w:rPr>
          <w:t>Certification of Principal Financial Officer pursuant to 18 U.S.C. §1350, as adopted pursuant to Section 906 of</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the Sarbanes-Oxley Act of 2002 (furnished herewith).</w:t>
        </w:r>
      </w:hyperlink>
    </w:p>
    <w:p>
      <w:pPr>
        <w:ind w:left="860" w:right="119" w:hanging="654"/>
        <w:spacing w:after="0" w:line="229"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rFonts w:ascii="Arial" w:cs="Arial" w:eastAsia="Arial" w:hAnsi="Arial"/>
          <w:sz w:val="18"/>
          <w:szCs w:val="18"/>
          <w:u w:val="single" w:color="auto"/>
          <w:color w:val="0000EE"/>
        </w:rPr>
      </w:pPr>
    </w:p>
    <w:p>
      <w:pPr>
        <w:spacing w:after="0" w:line="366"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Herriot Tabuteau, M.D.</w:t>
      </w:r>
    </w:p>
    <w:p>
      <w:pPr>
        <w:ind w:left="51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5140"/>
        <w:spacing w:after="0"/>
        <w:rPr>
          <w:sz w:val="20"/>
          <w:szCs w:val="20"/>
          <w:color w:val="auto"/>
        </w:rPr>
      </w:pPr>
      <w:r>
        <w:rPr>
          <w:rFonts w:ascii="Arial" w:cs="Arial" w:eastAsia="Arial" w:hAnsi="Arial"/>
          <w:sz w:val="18"/>
          <w:szCs w:val="18"/>
          <w:i w:val="1"/>
          <w:iCs w:val="1"/>
          <w:color w:val="auto"/>
        </w:rPr>
        <w:t>(Principal Executive Officer)</w:t>
      </w:r>
    </w:p>
    <w:p>
      <w:pPr>
        <w:spacing w:after="0" w:line="358"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John Golubieski</w:t>
      </w:r>
    </w:p>
    <w:p>
      <w:pPr>
        <w:ind w:left="5140"/>
        <w:spacing w:after="0" w:line="219" w:lineRule="auto"/>
        <w:rPr>
          <w:sz w:val="20"/>
          <w:szCs w:val="20"/>
          <w:color w:val="auto"/>
        </w:rPr>
      </w:pPr>
      <w:r>
        <w:rPr>
          <w:rFonts w:ascii="Arial" w:cs="Arial" w:eastAsia="Arial" w:hAnsi="Arial"/>
          <w:sz w:val="18"/>
          <w:szCs w:val="18"/>
          <w:i w:val="1"/>
          <w:iCs w:val="1"/>
          <w:color w:val="auto"/>
        </w:rPr>
        <w:t>Chief Financial Officer</w:t>
      </w:r>
    </w:p>
    <w:p>
      <w:pPr>
        <w:ind w:left="51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8" w:name="page89"/>
    <w:bookmarkEnd w:id="88"/>
    <w:p>
      <w:pPr>
        <w:ind w:left="6620"/>
        <w:spacing w:after="0"/>
        <w:rPr>
          <w:sz w:val="20"/>
          <w:szCs w:val="20"/>
          <w:color w:val="auto"/>
        </w:rPr>
      </w:pPr>
      <w:r>
        <w:rPr>
          <w:rFonts w:ascii="Arial" w:cs="Arial" w:eastAsia="Arial" w:hAnsi="Arial"/>
          <w:sz w:val="18"/>
          <w:szCs w:val="18"/>
          <w:b w:val="1"/>
          <w:bCs w:val="1"/>
          <w:color w:val="767171"/>
        </w:rPr>
        <w:t>Exhibit 10.1</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767171"/>
        </w:rPr>
        <w:t>Axsome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-50800</wp:posOffset>
            </wp:positionV>
            <wp:extent cx="1586230" cy="471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6230" cy="47180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25 Broadway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9</w:t>
      </w:r>
      <w:r>
        <w:rPr>
          <w:rFonts w:ascii="Arial" w:cs="Arial" w:eastAsia="Arial" w:hAnsi="Arial"/>
          <w:sz w:val="8"/>
          <w:szCs w:val="8"/>
          <w:color w:val="767171"/>
        </w:rPr>
        <w:t>th</w:t>
      </w:r>
      <w:r>
        <w:rPr>
          <w:rFonts w:ascii="Arial" w:cs="Arial" w:eastAsia="Arial" w:hAnsi="Arial"/>
          <w:sz w:val="18"/>
          <w:szCs w:val="18"/>
          <w:color w:val="767171"/>
        </w:rPr>
        <w:t xml:space="preserve"> Floor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New York, NY 10004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Tel: +1 212.332.3241</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Fax: +1 212.320.0245</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767171"/>
        </w:rPr>
        <w:t>www.axsome.com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April 16,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Nick X. Pizzie, C.P.A., M.B.A.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 Smithwold Road</w:t>
      </w:r>
    </w:p>
    <w:p>
      <w:pPr>
        <w:spacing w:after="0"/>
        <w:rPr>
          <w:sz w:val="20"/>
          <w:szCs w:val="20"/>
          <w:color w:val="auto"/>
        </w:rPr>
      </w:pPr>
      <w:r>
        <w:rPr>
          <w:rFonts w:ascii="Arial" w:cs="Arial" w:eastAsia="Arial" w:hAnsi="Arial"/>
          <w:sz w:val="20"/>
          <w:szCs w:val="20"/>
          <w:color w:val="auto"/>
        </w:rPr>
        <w:t>Somerset, NJ 08873</w:t>
      </w:r>
    </w:p>
    <w:p>
      <w:pPr>
        <w:spacing w:after="0"/>
        <w:rPr>
          <w:sz w:val="20"/>
          <w:szCs w:val="20"/>
          <w:color w:val="auto"/>
        </w:rPr>
      </w:pPr>
      <w:r>
        <w:rPr>
          <w:rFonts w:ascii="Arial" w:cs="Arial" w:eastAsia="Arial" w:hAnsi="Arial"/>
          <w:sz w:val="20"/>
          <w:szCs w:val="20"/>
          <w:color w:val="auto"/>
        </w:rPr>
        <w:t>Dear Nick:</w:t>
      </w:r>
    </w:p>
    <w:p>
      <w:pPr>
        <w:spacing w:after="0" w:line="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 am pleased to officially offer you the opportunity to join us at Axsome Therapeutics, Inc. (the “Company”). I truly believe that you will be a great addition to our team. Subject to compliance with the terms and conditions of this letter, we are pleased to offer you employment in the position of Chief Financial Officer. The terms of your employment will include:</w:t>
      </w:r>
    </w:p>
    <w:p>
      <w:pPr>
        <w:spacing w:after="0" w:line="83" w:lineRule="exact"/>
        <w:rPr>
          <w:sz w:val="20"/>
          <w:szCs w:val="20"/>
          <w:color w:val="auto"/>
        </w:rPr>
      </w:pPr>
    </w:p>
    <w:p>
      <w:pPr>
        <w:jc w:val="both"/>
        <w:ind w:left="660" w:hanging="333"/>
        <w:spacing w:after="0" w:line="25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9"/>
          <w:szCs w:val="19"/>
          <w:color w:val="auto"/>
        </w:rPr>
        <w:t>Your initial annual base salary will be $325,000 with an anticipated start date of May 16, 2018. Your base salary, less payroll deductions and required withholdings, will be payable in accordance with the Company’s normal payroll practices. You may also receive a discretionary cash bonus up to 40% of your base salary, contingent upon your performance and that of the Company against goals established by the Board of Directors of the Company (“the Board”), and availability of funds. Your bonus for 2018 will be non-prorated, which for the avoidance of doubt means you are eligible, subject to your performance during 2018, to receive the full 2018 bonus amount you would have been eligible for if you were an employee of the Company for the entirety of the 2018 performance year. You will receive a sign-on payment of $15,000. You shall be required to immediately repay to the Company in full all amounts you receive as part of your non-prorated 2018 bonus and the sign-on payment if you terminate your employment with the Company on or prior to the one-year anniversary of your first day of employment with the Company.</w:t>
      </w:r>
    </w:p>
    <w:p>
      <w:pPr>
        <w:spacing w:after="0" w:line="77" w:lineRule="exact"/>
        <w:rPr>
          <w:rFonts w:ascii="Arial" w:cs="Arial" w:eastAsia="Arial" w:hAnsi="Arial"/>
          <w:sz w:val="17"/>
          <w:szCs w:val="17"/>
          <w:color w:val="auto"/>
        </w:rPr>
      </w:pPr>
    </w:p>
    <w:p>
      <w:pPr>
        <w:jc w:val="both"/>
        <w:ind w:left="660" w:hanging="333"/>
        <w:spacing w:after="0" w:line="273"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8"/>
          <w:szCs w:val="18"/>
          <w:color w:val="auto"/>
        </w:rPr>
        <w:t>Subject to approval by the Board, you will receive options to purchase 132,000 shares (the “Shares”) of common stock under the Company’s Equity Compensation Plan (the “Plan”). Such date on which the options are granted to you is referred to as the “Date of Grant.” The options will have an exercise price equal to the fair market value on the Date of Grant, which will be determined by the Board on such date. The options, if approved, will vest over a four-year period as follows: 25% of the Shares will vest on the first anniversary of the Date of Grant, and the remaining 75% of the Shares in equal increments thereafter each quarter of the remaining three years. The options are governed and subject to the Plan and any grant agreements, which you will receive under separate cover.</w:t>
      </w:r>
    </w:p>
    <w:p>
      <w:pPr>
        <w:spacing w:after="0" w:line="61" w:lineRule="exact"/>
        <w:rPr>
          <w:rFonts w:ascii="Arial" w:cs="Arial" w:eastAsia="Arial" w:hAnsi="Arial"/>
          <w:sz w:val="16"/>
          <w:szCs w:val="16"/>
          <w:color w:val="auto"/>
        </w:rPr>
      </w:pPr>
    </w:p>
    <w:p>
      <w:pPr>
        <w:jc w:val="both"/>
        <w:ind w:left="660" w:hanging="333"/>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20"/>
          <w:szCs w:val="20"/>
          <w:color w:val="auto"/>
        </w:rPr>
        <w:t>Naturally, your compensation, including base salary, bonus and options, is contingent upon your continued employment with the Company. Your title and compensation will be reviewed periodically (not less often than annually) by the Chief Executive Officer and the Board.</w:t>
      </w:r>
    </w:p>
    <w:p>
      <w:pPr>
        <w:spacing w:after="0" w:line="78" w:lineRule="exact"/>
        <w:rPr>
          <w:rFonts w:ascii="Arial" w:cs="Arial" w:eastAsia="Arial" w:hAnsi="Arial"/>
          <w:sz w:val="18"/>
          <w:szCs w:val="18"/>
          <w:color w:val="auto"/>
        </w:rPr>
      </w:pPr>
    </w:p>
    <w:p>
      <w:pPr>
        <w:jc w:val="both"/>
        <w:ind w:left="660" w:hanging="333"/>
        <w:spacing w:after="0" w:line="26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9"/>
          <w:szCs w:val="19"/>
          <w:color w:val="auto"/>
        </w:rPr>
        <w:t>You will be eligible to participate in all employee benefit plans or programs of the Company established hereafter and offered generally to similarly situated employees of the Company, subject to the terms and provisions of such plans including applicable waiting periods. Details about these benefits will be made available for your review. The Company retains the right to modify, replace or terminate any or all of its employee benefits plans or programs from time to time.</w:t>
      </w:r>
    </w:p>
    <w:p>
      <w:pPr>
        <w:spacing w:after="0" w:line="72" w:lineRule="exact"/>
        <w:rPr>
          <w:rFonts w:ascii="Arial" w:cs="Arial" w:eastAsia="Arial" w:hAnsi="Arial"/>
          <w:sz w:val="17"/>
          <w:szCs w:val="17"/>
          <w:color w:val="auto"/>
        </w:rPr>
      </w:pPr>
    </w:p>
    <w:p>
      <w:pPr>
        <w:jc w:val="both"/>
        <w:ind w:left="660" w:hanging="333"/>
        <w:spacing w:after="0" w:line="263"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9"/>
          <w:szCs w:val="19"/>
          <w:color w:val="auto"/>
        </w:rPr>
        <w:t>You may terminate your employment with the Company at any time and for any reason whatsoever. Likewise, the Company may terminate your employment at any time and for any reason whatsoever, with or without cause or advance notice. This at-will employment relationship cannot be changed except in writing signed by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9" w:name="page90"/>
    <w:bookmarkEnd w:id="89"/>
    <w:p>
      <w:pPr>
        <w:jc w:val="both"/>
        <w:ind w:left="640" w:hanging="333"/>
        <w:spacing w:after="0" w:line="267"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8"/>
          <w:szCs w:val="18"/>
          <w:color w:val="auto"/>
        </w:rPr>
        <w:t xml:space="preserve">Notwithstanding your at-will employment, in the event the Company terminates your employment without Cause within 12 months of a Change in Control of the Company, you will be eligible to receive severance payments equal to six (6) months of your then existing base salary, with payment beginning within 10 days after the Release (as defined below) becomes irrevocable, effective and enforceable. Payments shall be made in equal monthly installments over a period of 6 months from the date on which the Release becomes irrevocable, effective and enforceable, with each such payment due by the 15th of each month thereafter with the exception of the first payment, which shall be due within 10 days after the Release become irrevocable, effective and enforceable. The Company’s obligation to make any payment or provide any benefit pursuant to this paragraph is contingent upon, and is the consideration for, you executing a comprehensive separation and general release agreement that includes provisions relating to cooperation, non-admissions, non-disclosure, non-disparagement, return of all property and other terms in a form acceptable to the Company (“the Release”) and that becomes effective in accordance with its terms on or before the 60th day after the date of termination. You also must comply and continue to comply with your obligations under the Release and the attached </w:t>
      </w:r>
      <w:r>
        <w:rPr>
          <w:rFonts w:ascii="Arial" w:cs="Arial" w:eastAsia="Arial" w:hAnsi="Arial"/>
          <w:sz w:val="18"/>
          <w:szCs w:val="18"/>
          <w:i w:val="1"/>
          <w:iCs w:val="1"/>
          <w:color w:val="auto"/>
        </w:rPr>
        <w:t>Employee Proprietary Information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Inventions Agreement</w:t>
      </w:r>
      <w:r>
        <w:rPr>
          <w:rFonts w:ascii="Arial" w:cs="Arial" w:eastAsia="Arial" w:hAnsi="Arial"/>
          <w:sz w:val="18"/>
          <w:szCs w:val="18"/>
          <w:color w:val="auto"/>
        </w:rPr>
        <w:t>, and you must reasonably cooperate and be responsive and available upon</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requests by the Company to assist the Company pertaining to areas of the Company’s business of which you have knowledge as a result of your employment hereunder. For the purposes of this paragraph, “Cause” means (i) your repeated intentional failure to perform, or repeated gross negligence in the performance of, one or more of your essential duties and responsibilities to the Company and/or your failure to follow the lawful directives of the Company; (ii) your extended or repeated absence from the Company’s offices or unavailability to perform services hereunder other than as a result of Company-related travel or paid time off; (iii) your conviction of a felony or your commission of any act of fraud, embezzlement, dishonesty or any other willful misconduct that has caused or is reasonably expected to result in material injury to the Company; (iv) your unauthorized use or disclosure of any material proprietary information or trade secrets of the Company or any other party to whom you owe an obligation of nondisclosure as a result of your relationship with the Company; (v) any material breach by you of this Agreement or any related agreements with the Company including, but not limited to, any non-competition or non-solicitation provision; (vi) your deliberate and material violation of any Company policy; (vii) your death or any disability that renders you, in the good faith determination of the Company, unable to perform the essential duties and responsibilities of your job with or without a reasonable accommodation. “Change in Control” means the sale of all or substantially all the assets of the Company; any merger, consolidation or acquisition of the Company with, by or into another corporation, entity or person; or any change in the ownership of more than fifty percent (50%) of the voting capital stock of the Company in one or more related transactions.</w:t>
      </w:r>
    </w:p>
    <w:p>
      <w:pPr>
        <w:spacing w:after="0" w:line="85" w:lineRule="exact"/>
        <w:rPr>
          <w:rFonts w:ascii="Arial" w:cs="Arial" w:eastAsia="Arial" w:hAnsi="Arial"/>
          <w:sz w:val="16"/>
          <w:szCs w:val="16"/>
          <w:color w:val="auto"/>
        </w:rPr>
      </w:pPr>
    </w:p>
    <w:p>
      <w:pPr>
        <w:jc w:val="both"/>
        <w:ind w:left="640" w:hanging="333"/>
        <w:spacing w:after="0" w:line="328" w:lineRule="auto"/>
        <w:tabs>
          <w:tab w:leader="none" w:pos="640" w:val="left"/>
        </w:tabs>
        <w:numPr>
          <w:ilvl w:val="0"/>
          <w:numId w:val="41"/>
        </w:numPr>
        <w:rPr>
          <w:rFonts w:ascii="Arial" w:cs="Arial" w:eastAsia="Arial" w:hAnsi="Arial"/>
          <w:sz w:val="15"/>
          <w:szCs w:val="15"/>
          <w:color w:val="auto"/>
        </w:rPr>
      </w:pPr>
      <w:r>
        <w:rPr>
          <w:rFonts w:ascii="Arial" w:cs="Arial" w:eastAsia="Arial" w:hAnsi="Arial"/>
          <w:sz w:val="16"/>
          <w:szCs w:val="16"/>
          <w:color w:val="auto"/>
        </w:rPr>
        <w:t>Without the express written consent of the Chief Executive Officer, you shall have no apparent or implied authority to pledge the credit of the Company, to bind the Company under any contract, note, mortgage or other agreement outside the ordinary course of the Company’s business, to release or discharge any debt due to the Company, or to sell, mortgage, transfer or otherwise dispose of any assets of the Company.</w:t>
      </w:r>
    </w:p>
    <w:p>
      <w:pPr>
        <w:spacing w:after="0" w:line="20" w:lineRule="exact"/>
        <w:rPr>
          <w:rFonts w:ascii="Arial" w:cs="Arial" w:eastAsia="Arial" w:hAnsi="Arial"/>
          <w:sz w:val="15"/>
          <w:szCs w:val="15"/>
          <w:color w:val="auto"/>
        </w:rPr>
      </w:pPr>
    </w:p>
    <w:p>
      <w:pPr>
        <w:jc w:val="both"/>
        <w:ind w:left="640" w:hanging="333"/>
        <w:spacing w:after="0" w:line="256"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9"/>
          <w:szCs w:val="19"/>
          <w:color w:val="auto"/>
        </w:rPr>
        <w:t xml:space="preserve">You will abide by the Company’s rules and regulations, now existing or established hereafter, including without limitation the Company’s Insider Trading Policy and Code of Conduct and Ethics. As a condition of employment, you must sign and comply with the </w:t>
      </w:r>
      <w:r>
        <w:rPr>
          <w:rFonts w:ascii="Arial" w:cs="Arial" w:eastAsia="Arial" w:hAnsi="Arial"/>
          <w:sz w:val="19"/>
          <w:szCs w:val="19"/>
          <w:i w:val="1"/>
          <w:iCs w:val="1"/>
          <w:color w:val="auto"/>
        </w:rPr>
        <w:t>Employee Proprietary Information and Inventions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Agreement </w:t>
      </w:r>
      <w:r>
        <w:rPr>
          <w:rFonts w:ascii="Arial" w:cs="Arial" w:eastAsia="Arial" w:hAnsi="Arial"/>
          <w:sz w:val="19"/>
          <w:szCs w:val="19"/>
          <w:color w:val="auto"/>
        </w:rPr>
        <w:t>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which includes a prohibition on the unauthorized use or</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 of the Company’s confidential or proprietary information, a prohibition against engaging in competitive activities or soliciting employees of the Company during, and for one year after the end of, your employment with the Company, and provisions acknowledging the Company’s ownership in, and assigning to the Company all rights to, any inventions developed by you during your employment with the Company.</w:t>
      </w:r>
    </w:p>
    <w:p>
      <w:pPr>
        <w:spacing w:after="0" w:line="76" w:lineRule="exact"/>
        <w:rPr>
          <w:rFonts w:ascii="Arial" w:cs="Arial" w:eastAsia="Arial" w:hAnsi="Arial"/>
          <w:sz w:val="17"/>
          <w:szCs w:val="17"/>
          <w:color w:val="auto"/>
        </w:rPr>
      </w:pPr>
    </w:p>
    <w:p>
      <w:pPr>
        <w:ind w:left="640" w:hanging="333"/>
        <w:spacing w:after="0" w:line="287"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9"/>
          <w:szCs w:val="19"/>
          <w:color w:val="auto"/>
        </w:rPr>
        <w:t>You represent to the Company that your performance will not breach any other agreement to which you are a party and that you have not, and will not during the term of your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176530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21" w:right="1419" w:bottom="1440" w:gutter="0" w:footer="0" w:header="0"/>
        </w:sectPr>
      </w:pPr>
    </w:p>
    <w:bookmarkStart w:id="90" w:name="page91"/>
    <w:bookmarkEnd w:id="90"/>
    <w:p>
      <w:pPr>
        <w:jc w:val="both"/>
        <w:ind w:left="660"/>
        <w:spacing w:after="0" w:line="276" w:lineRule="auto"/>
        <w:rPr>
          <w:sz w:val="20"/>
          <w:szCs w:val="20"/>
          <w:color w:val="auto"/>
        </w:rPr>
      </w:pPr>
      <w:r>
        <w:rPr>
          <w:rFonts w:ascii="Arial" w:cs="Arial" w:eastAsia="Arial" w:hAnsi="Arial"/>
          <w:sz w:val="18"/>
          <w:szCs w:val="18"/>
          <w:color w:val="auto"/>
        </w:rPr>
        <w:t>Company, enter into any oral or written agreement in conflict with any of the provisions of this letter agreement or the Company’s policies. You will not use or disclose to any person associated with the Company, any confidential or proprietary information belonging to any former employer or other third party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w:t>
      </w:r>
    </w:p>
    <w:p>
      <w:pPr>
        <w:spacing w:after="0" w:line="58" w:lineRule="exact"/>
        <w:rPr>
          <w:sz w:val="20"/>
          <w:szCs w:val="20"/>
          <w:color w:val="auto"/>
        </w:rPr>
      </w:pPr>
    </w:p>
    <w:p>
      <w:pPr>
        <w:jc w:val="both"/>
        <w:ind w:left="660" w:hanging="333"/>
        <w:spacing w:after="0" w:line="28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8"/>
          <w:szCs w:val="18"/>
          <w:color w:val="auto"/>
        </w:rPr>
        <w:t>In the event of a breach by you of any of your obligations of this letter agreement, including Exhibit A, you shall cease to be entitled to any further benefits under this letter agreement. You agree that all bonuses, equity compensation and other incentive compensation provided by the Company shall be subject to any applicable clawback policy implemented by the Board of Directors from time to time.</w:t>
      </w:r>
    </w:p>
    <w:p>
      <w:pPr>
        <w:spacing w:after="0" w:line="53" w:lineRule="exact"/>
        <w:rPr>
          <w:rFonts w:ascii="Arial" w:cs="Arial" w:eastAsia="Arial" w:hAnsi="Arial"/>
          <w:sz w:val="16"/>
          <w:szCs w:val="16"/>
          <w:color w:val="auto"/>
        </w:rPr>
      </w:pPr>
    </w:p>
    <w:p>
      <w:pPr>
        <w:jc w:val="both"/>
        <w:ind w:left="660" w:hanging="333"/>
        <w:spacing w:after="0" w:line="321"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6"/>
          <w:szCs w:val="16"/>
          <w:color w:val="auto"/>
        </w:rPr>
        <w:t>This letter agreement is binding upon and inures to the benefit of both parties and the Company’s assigns and successors, including without limitation any entity with which, or into which, the Company may be merged or which may succeed to the Company’s assets or business, provided, however, that any assignee, or successor in interest, assumes the Company’s obligations hereunder. Your rights and obligations under this letter agreement are personal and cannot be transferred or assigned by you at any time.</w:t>
      </w:r>
    </w:p>
    <w:p>
      <w:pPr>
        <w:spacing w:after="0" w:line="25" w:lineRule="exact"/>
        <w:rPr>
          <w:rFonts w:ascii="Arial" w:cs="Arial" w:eastAsia="Arial" w:hAnsi="Arial"/>
          <w:sz w:val="15"/>
          <w:szCs w:val="15"/>
          <w:color w:val="auto"/>
        </w:rPr>
      </w:pPr>
    </w:p>
    <w:p>
      <w:pPr>
        <w:jc w:val="both"/>
        <w:ind w:left="660" w:hanging="333"/>
        <w:spacing w:after="0" w:line="25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9"/>
          <w:szCs w:val="19"/>
          <w:color w:val="auto"/>
        </w:rPr>
        <w:t>This letter agreement, together with (i) any equity award agreements, and (ii) all agreements attached hereto or referenced herein, constitute the entire agreement and understanding of the Company and you with respect to the terms and conditions of your employment with the Company and the eligibility for any potential severance payments following separation from employment with the Company, and this letter agreement shall supersede all prior and contemporaneous written or oral agreements, promises and understandings between you and the Company relating to such subject matter. This letter agreement may only be amended by written instrument signed by you and the Chief Executive Officer. This letter agreement shall be construed and interpreted under the laws of the State of New York without regard to the conflicts of laws provisions thereof.</w:t>
      </w:r>
    </w:p>
    <w:p>
      <w:pPr>
        <w:spacing w:after="0" w:line="76" w:lineRule="exact"/>
        <w:rPr>
          <w:rFonts w:ascii="Arial" w:cs="Arial" w:eastAsia="Arial" w:hAnsi="Arial"/>
          <w:sz w:val="17"/>
          <w:szCs w:val="17"/>
          <w:color w:val="auto"/>
        </w:rPr>
      </w:pPr>
    </w:p>
    <w:p>
      <w:pPr>
        <w:jc w:val="both"/>
        <w:ind w:left="660" w:hanging="333"/>
        <w:spacing w:after="0" w:line="233" w:lineRule="exact"/>
        <w:tabs>
          <w:tab w:leader="none" w:pos="660" w:val="left"/>
        </w:tabs>
        <w:numPr>
          <w:ilvl w:val="0"/>
          <w:numId w:val="42"/>
        </w:numPr>
        <w:rPr>
          <w:rFonts w:ascii="Arial" w:cs="Arial" w:eastAsia="Arial" w:hAnsi="Arial"/>
          <w:sz w:val="18"/>
          <w:szCs w:val="18"/>
          <w:color w:val="auto"/>
        </w:rPr>
      </w:pPr>
      <w:r>
        <w:rPr>
          <w:rFonts w:ascii="Arial" w:cs="Arial" w:eastAsia="Arial" w:hAnsi="Arial"/>
          <w:sz w:val="20"/>
          <w:szCs w:val="20"/>
          <w:color w:val="auto"/>
        </w:rPr>
        <w:t>You will be required to complete and return a W</w:t>
      </w:r>
      <w:r>
        <w:rPr>
          <w:rFonts w:ascii="MS PGothic" w:cs="MS PGothic" w:eastAsia="MS PGothic" w:hAnsi="MS PGothic"/>
          <w:sz w:val="20"/>
          <w:szCs w:val="20"/>
          <w:color w:val="auto"/>
        </w:rPr>
        <w:t>‑</w:t>
      </w:r>
      <w:r>
        <w:rPr>
          <w:rFonts w:ascii="Arial" w:cs="Arial" w:eastAsia="Arial" w:hAnsi="Arial"/>
          <w:sz w:val="20"/>
          <w:szCs w:val="20"/>
          <w:color w:val="auto"/>
        </w:rPr>
        <w:t>9 federal tax withholding form so that we can process your first pay period. In preparing your W</w:t>
      </w:r>
      <w:r>
        <w:rPr>
          <w:rFonts w:ascii="MS PGothic" w:cs="MS PGothic" w:eastAsia="MS PGothic" w:hAnsi="MS PGothic"/>
          <w:sz w:val="20"/>
          <w:szCs w:val="20"/>
          <w:color w:val="auto"/>
        </w:rPr>
        <w:t>‑</w:t>
      </w:r>
      <w:r>
        <w:rPr>
          <w:rFonts w:ascii="Arial" w:cs="Arial" w:eastAsia="Arial" w:hAnsi="Arial"/>
          <w:sz w:val="20"/>
          <w:szCs w:val="20"/>
          <w:color w:val="auto"/>
        </w:rPr>
        <w:t>9, remember to write your name exactly as it appears on your social security card or work visa. To the extent required by law, this offer is subject to satisfactory proof of your right to work in the United States. This offer is contingent upon the successful completion of reference and background checks.</w:t>
      </w:r>
    </w:p>
    <w:p>
      <w:pPr>
        <w:spacing w:after="0" w:line="91" w:lineRule="exact"/>
        <w:rPr>
          <w:rFonts w:ascii="Arial" w:cs="Arial" w:eastAsia="Arial" w:hAnsi="Arial"/>
          <w:sz w:val="18"/>
          <w:szCs w:val="18"/>
          <w:color w:val="auto"/>
        </w:rPr>
      </w:pPr>
    </w:p>
    <w:p>
      <w:pPr>
        <w:ind w:left="660" w:hanging="333"/>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20"/>
          <w:szCs w:val="20"/>
          <w:color w:val="auto"/>
        </w:rPr>
        <w:t>By signing below, you represent that you are not relying on any representation, promise or agreement that is not expressly written in this letter agreement or in Exhibit A.</w:t>
      </w:r>
    </w:p>
    <w:p>
      <w:pPr>
        <w:spacing w:after="0" w:line="6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Once again, I am thrilled you are joining us. I believe you are really going to enjoy working here, and I know you will add tremendous value. Feel free to call me with any questions.</w:t>
      </w:r>
    </w:p>
    <w:p>
      <w:pPr>
        <w:spacing w:after="0" w:line="200" w:lineRule="exact"/>
        <w:rPr>
          <w:sz w:val="20"/>
          <w:szCs w:val="20"/>
          <w:color w:val="auto"/>
        </w:rPr>
      </w:pPr>
    </w:p>
    <w:p>
      <w:pPr>
        <w:spacing w:after="0" w:line="220"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Sincerely,</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 Herriot Tabuteau, MD</w:t>
      </w:r>
    </w:p>
    <w:p>
      <w:pPr>
        <w:ind w:left="5320"/>
        <w:spacing w:after="0"/>
        <w:rPr>
          <w:sz w:val="20"/>
          <w:szCs w:val="20"/>
          <w:color w:val="auto"/>
        </w:rPr>
      </w:pPr>
      <w:r>
        <w:rPr>
          <w:rFonts w:ascii="Arial" w:cs="Arial" w:eastAsia="Arial" w:hAnsi="Arial"/>
          <w:sz w:val="20"/>
          <w:szCs w:val="20"/>
          <w:color w:val="auto"/>
        </w:rPr>
        <w:t>Herriot Tabuteau, MD</w:t>
      </w:r>
    </w:p>
    <w:p>
      <w:pPr>
        <w:ind w:left="5320"/>
        <w:spacing w:after="0"/>
        <w:rPr>
          <w:sz w:val="20"/>
          <w:szCs w:val="20"/>
          <w:color w:val="auto"/>
        </w:rPr>
      </w:pPr>
      <w:r>
        <w:rPr>
          <w:rFonts w:ascii="Arial" w:cs="Arial" w:eastAsia="Arial" w:hAnsi="Arial"/>
          <w:sz w:val="20"/>
          <w:szCs w:val="20"/>
          <w:color w:val="auto"/>
        </w:rPr>
        <w:t>Chief Executive Officer</w:t>
      </w:r>
    </w:p>
    <w:p>
      <w:pPr>
        <w:ind w:left="120"/>
        <w:spacing w:after="0"/>
        <w:rPr>
          <w:sz w:val="20"/>
          <w:szCs w:val="20"/>
          <w:color w:val="auto"/>
        </w:rPr>
      </w:pPr>
      <w:r>
        <w:rPr>
          <w:rFonts w:ascii="Arial" w:cs="Arial" w:eastAsia="Arial" w:hAnsi="Arial"/>
          <w:sz w:val="20"/>
          <w:szCs w:val="20"/>
          <w:b w:val="1"/>
          <w:bCs w:val="1"/>
          <w:color w:val="auto"/>
        </w:rPr>
        <w:t>AGREED TO AND ACCEPTED: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/s/ </w:t>
      </w:r>
      <w:r>
        <w:rPr>
          <w:rFonts w:ascii="Arial" w:cs="Arial" w:eastAsia="Arial" w:hAnsi="Arial"/>
          <w:sz w:val="20"/>
          <w:szCs w:val="20"/>
          <w:color w:val="auto"/>
        </w:rPr>
        <w:t>Nick X.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075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Nick X. Pizzie, C.P.A., M.B.A.</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April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20"/>
          <w:szCs w:val="20"/>
          <w:color w:val="auto"/>
        </w:rPr>
        <w:t>EXHIBIT A</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369570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John Golubieski, certify that:</w:t>
      </w:r>
    </w:p>
    <w:p>
      <w:pPr>
        <w:spacing w:after="0" w:line="144" w:lineRule="exact"/>
        <w:rPr>
          <w:sz w:val="20"/>
          <w:szCs w:val="20"/>
          <w:color w:val="auto"/>
        </w:rPr>
      </w:pPr>
    </w:p>
    <w:p>
      <w:pPr>
        <w:ind w:left="320" w:hanging="317"/>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2018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18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March 31, 2018 as filed with the Securities and Exchange Commission (the “Report”), I, John Golubieski,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6"/>
          <w:szCs w:val="16"/>
          <w:color w:val="auto"/>
        </w:rPr>
        <w:t>/s/ John Golubieski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John Golubieski</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2"/>
    </w:lvl>
  </w:abstractNum>
  <w:abstractNum w:abstractNumId="12">
    <w:nsid w:val="3A95F874"/>
    <w:multiLevelType w:val="hybridMultilevel"/>
    <w:lvl w:ilvl="0">
      <w:lvlJc w:val="left"/>
      <w:lvlText w:val="(%1)"/>
      <w:numFmt w:val="decimal"/>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0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2019-12-28T22:04:46Z</dcterms:created>
  <dcterms:modified xsi:type="dcterms:W3CDTF">2019-12-28T22:04:46Z</dcterms:modified>
</cp:coreProperties>
</file>