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333-235372</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 SUPPLEMENT</w:t>
      </w:r>
    </w:p>
    <w:p>
      <w:pPr>
        <w:spacing w:after="0"/>
        <w:rPr>
          <w:sz w:val="20"/>
          <w:szCs w:val="20"/>
          <w:color w:val="auto"/>
        </w:rPr>
      </w:pPr>
      <w:r>
        <w:rPr>
          <w:rFonts w:ascii="Arial" w:cs="Arial" w:eastAsia="Arial" w:hAnsi="Arial"/>
          <w:sz w:val="16"/>
          <w:szCs w:val="16"/>
          <w:b w:val="1"/>
          <w:bCs w:val="1"/>
          <w:color w:val="auto"/>
        </w:rPr>
        <w:t>(To Prospectus dated December 5, 2019)</w:t>
      </w:r>
    </w:p>
    <w:p>
      <w:pPr>
        <w:jc w:val="center"/>
        <w:ind w:right="-119"/>
        <w:spacing w:after="0"/>
        <w:rPr>
          <w:sz w:val="20"/>
          <w:szCs w:val="20"/>
          <w:color w:val="auto"/>
        </w:rPr>
      </w:pPr>
      <w:r>
        <w:rPr>
          <w:rFonts w:ascii="Arial" w:cs="Arial" w:eastAsia="Arial" w:hAnsi="Arial"/>
          <w:sz w:val="19"/>
          <w:szCs w:val="19"/>
          <w:b w:val="1"/>
          <w:bCs w:val="1"/>
          <w:color w:val="auto"/>
        </w:rPr>
        <w:t>Up to $200,000,000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223520</wp:posOffset>
            </wp:positionV>
            <wp:extent cx="1607185" cy="916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7185" cy="916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Axsome Therapeutics,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23" w:lineRule="exact"/>
        <w:rPr>
          <w:sz w:val="24"/>
          <w:szCs w:val="24"/>
          <w:color w:val="auto"/>
        </w:rPr>
      </w:pPr>
    </w:p>
    <w:p>
      <w:pPr>
        <w:jc w:val="both"/>
        <w:ind w:right="160"/>
        <w:spacing w:after="0" w:line="243" w:lineRule="auto"/>
        <w:rPr>
          <w:sz w:val="20"/>
          <w:szCs w:val="20"/>
          <w:color w:val="auto"/>
        </w:rPr>
      </w:pPr>
      <w:r>
        <w:rPr>
          <w:rFonts w:ascii="Arial" w:cs="Arial" w:eastAsia="Arial" w:hAnsi="Arial"/>
          <w:sz w:val="14"/>
          <w:szCs w:val="14"/>
          <w:color w:val="auto"/>
        </w:rPr>
        <w:t>We have entered into a sales agreement, or the Sales Agreement, with SVB Securities LLC, or SVB Securities, dated March 1, 2022,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$200 million from time to time through SVB Securities, acting as our agent.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Our common stock is listed on the Nasdaq Global Market under the symbol “AXSM.” On February 25, 2022, the last reported sale price of our common stock was $28.19 per share.</w:t>
      </w:r>
    </w:p>
    <w:p>
      <w:pPr>
        <w:spacing w:after="0" w:line="87" w:lineRule="exact"/>
        <w:rPr>
          <w:sz w:val="24"/>
          <w:szCs w:val="24"/>
          <w:color w:val="auto"/>
        </w:rPr>
      </w:pPr>
    </w:p>
    <w:p>
      <w:pPr>
        <w:ind w:right="40"/>
        <w:spacing w:after="0" w:line="239" w:lineRule="auto"/>
        <w:rPr>
          <w:sz w:val="20"/>
          <w:szCs w:val="20"/>
          <w:color w:val="auto"/>
        </w:rPr>
      </w:pPr>
      <w:r>
        <w:rPr>
          <w:rFonts w:ascii="Arial" w:cs="Arial" w:eastAsia="Arial" w:hAnsi="Arial"/>
          <w:sz w:val="14"/>
          <w:szCs w:val="14"/>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SVB Securities is not required to sell any specific number or dollar amount of shares of our common stock, but will act as our sales agent using commercially reasonable efforts consistent with its normal trading and sales practices, on mutually agreed terms between SVB Securities and us. There is no arrangement for funds to be received in any escrow, trust or similar arrangement.</w:t>
      </w:r>
    </w:p>
    <w:p>
      <w:pPr>
        <w:spacing w:after="0" w:line="68" w:lineRule="exact"/>
        <w:rPr>
          <w:sz w:val="24"/>
          <w:szCs w:val="24"/>
          <w:color w:val="auto"/>
        </w:rPr>
      </w:pPr>
    </w:p>
    <w:p>
      <w:pPr>
        <w:ind w:right="80"/>
        <w:spacing w:after="0" w:line="237" w:lineRule="auto"/>
        <w:rPr>
          <w:sz w:val="20"/>
          <w:szCs w:val="20"/>
          <w:color w:val="auto"/>
        </w:rPr>
      </w:pPr>
      <w:r>
        <w:rPr>
          <w:rFonts w:ascii="Arial" w:cs="Arial" w:eastAsia="Arial" w:hAnsi="Arial"/>
          <w:sz w:val="14"/>
          <w:szCs w:val="14"/>
          <w:color w:val="auto"/>
        </w:rPr>
        <w:t>The compensation payable to SVB Securities for sales of common stock sold pursuant to the Sales Agreement will be an amount equal to 3.0% of the gross proceeds of any shares of common stock sold under the Sales Agreement. See “Plan of Distribution” beginning on page S-11 for additional information regarding the compensation to be paid to SVB Securities. In connection with the sale of the common stock on our behalf, SVB Securities will be deemed to be an "underwriter" within the meaning of the Securities Act and the compensation paid to SVB Securities will be deemed to be underwriting commissions or discounts. We have also agreed in the Sales Agreement to provide indemnification and contribution to SVB Securities with respect to certain liabilities, including liabilities under the Securities Act or the Securities Exchange Act of 1934, as amended.</w:t>
      </w:r>
    </w:p>
    <w:p>
      <w:pPr>
        <w:spacing w:after="0" w:line="64" w:lineRule="exact"/>
        <w:rPr>
          <w:sz w:val="24"/>
          <w:szCs w:val="24"/>
          <w:color w:val="auto"/>
        </w:rPr>
      </w:pPr>
    </w:p>
    <w:p>
      <w:pPr>
        <w:ind w:right="60"/>
        <w:spacing w:after="0" w:line="302" w:lineRule="auto"/>
        <w:rPr>
          <w:sz w:val="20"/>
          <w:szCs w:val="20"/>
          <w:color w:val="auto"/>
        </w:rPr>
      </w:pPr>
      <w:r>
        <w:rPr>
          <w:rFonts w:ascii="Arial" w:cs="Arial" w:eastAsia="Arial" w:hAnsi="Arial"/>
          <w:sz w:val="13"/>
          <w:szCs w:val="13"/>
          <w:b w:val="1"/>
          <w:bCs w:val="1"/>
          <w:color w:val="auto"/>
        </w:rPr>
        <w:t>Investing in our common stock involves a high degree of risk. See “Risk Factors” beginning on page S-6 of this prospectus supplement and the risk factors in the documents incorporated by reference in this prospectus supplement and the accompanying prospectus, including in our Annual Report on Form 10-K and our Quarterly Reports on Form 10-Q.</w:t>
      </w:r>
    </w:p>
    <w:p>
      <w:pPr>
        <w:spacing w:after="0" w:line="26" w:lineRule="exact"/>
        <w:rPr>
          <w:sz w:val="24"/>
          <w:szCs w:val="24"/>
          <w:color w:val="auto"/>
        </w:rPr>
      </w:pPr>
    </w:p>
    <w:p>
      <w:pPr>
        <w:ind w:right="420"/>
        <w:spacing w:after="0" w:line="248"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SVB Leerink</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date of this prospectus supplement is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351155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3640" w:type="dxa"/>
            <w:vAlign w:val="bottom"/>
            <w:gridSpan w:val="21"/>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0"/>
        </w:trPr>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20" w:type="dxa"/>
            <w:vAlign w:val="bottom"/>
            <w:gridSpan w:val="2"/>
          </w:tcPr>
          <w:p>
            <w:pPr>
              <w:jc w:val="right"/>
              <w:ind w:right="4721"/>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52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99"/>
        </w:trPr>
        <w:tc>
          <w:tcPr>
            <w:tcW w:w="3640" w:type="dxa"/>
            <w:vAlign w:val="bottom"/>
            <w:gridSpan w:val="21"/>
          </w:tcPr>
          <w:p>
            <w:pPr>
              <w:spacing w:after="0"/>
              <w:rPr>
                <w:sz w:val="20"/>
                <w:szCs w:val="20"/>
                <w:color w:val="auto"/>
              </w:rPr>
            </w:pPr>
            <w:r>
              <w:rPr>
                <w:rFonts w:ascii="Arial" w:cs="Arial" w:eastAsia="Arial" w:hAnsi="Arial"/>
                <w:sz w:val="16"/>
                <w:szCs w:val="16"/>
                <w:b w:val="1"/>
                <w:bCs w:val="1"/>
                <w:color w:val="auto"/>
              </w:rPr>
              <w:t>Prospectus Supplement</w:t>
            </w:r>
          </w:p>
        </w:tc>
        <w:tc>
          <w:tcPr>
            <w:tcW w:w="6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80" w:type="dxa"/>
            <w:vAlign w:val="bottom"/>
            <w:tcBorders>
              <w:bottom w:val="single" w:sz="8" w:color="0000FF"/>
            </w:tcBorders>
            <w:gridSpan w:val="18"/>
          </w:tcPr>
          <w:p>
            <w:pPr>
              <w:spacing w:after="0" w:line="166" w:lineRule="exact"/>
              <w:rPr>
                <w:rFonts w:ascii="Arial" w:cs="Arial" w:eastAsia="Arial" w:hAnsi="Arial"/>
                <w:sz w:val="16"/>
                <w:szCs w:val="16"/>
                <w:color w:val="0000FF"/>
                <w:w w:val="87"/>
              </w:rPr>
            </w:pPr>
            <w:hyperlink w:anchor="page3">
              <w:r>
                <w:rPr>
                  <w:rFonts w:ascii="Arial" w:cs="Arial" w:eastAsia="Arial" w:hAnsi="Arial"/>
                  <w:sz w:val="16"/>
                  <w:szCs w:val="16"/>
                  <w:color w:val="0000FF"/>
                  <w:w w:val="87"/>
                </w:rPr>
                <w:t>About this Prospectus Supplement</w:t>
              </w:r>
            </w:hyperlink>
          </w:p>
        </w:tc>
        <w:tc>
          <w:tcPr>
            <w:tcW w:w="1460" w:type="dxa"/>
            <w:vAlign w:val="bottom"/>
            <w:gridSpan w:val="3"/>
          </w:tcPr>
          <w:p>
            <w:pPr>
              <w:spacing w:after="0"/>
              <w:rPr>
                <w:sz w:val="14"/>
                <w:szCs w:val="14"/>
                <w:color w:val="auto"/>
              </w:rPr>
            </w:pPr>
          </w:p>
        </w:tc>
        <w:tc>
          <w:tcPr>
            <w:tcW w:w="660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6"/>
                <w:szCs w:val="16"/>
                <w:color w:val="auto"/>
              </w:rPr>
              <w:t>S-ii</w:t>
            </w:r>
          </w:p>
        </w:tc>
        <w:tc>
          <w:tcPr>
            <w:tcW w:w="0" w:type="dxa"/>
            <w:vAlign w:val="bottom"/>
          </w:tcPr>
          <w:p>
            <w:pPr>
              <w:spacing w:after="0"/>
              <w:rPr>
                <w:sz w:val="1"/>
                <w:szCs w:val="1"/>
                <w:color w:val="auto"/>
              </w:rPr>
            </w:pPr>
          </w:p>
        </w:tc>
      </w:tr>
      <w:tr>
        <w:trPr>
          <w:trHeight w:val="146"/>
        </w:trPr>
        <w:tc>
          <w:tcPr>
            <w:tcW w:w="3640" w:type="dxa"/>
            <w:vAlign w:val="bottom"/>
            <w:tcBorders>
              <w:bottom w:val="single" w:sz="8" w:color="0000FF"/>
            </w:tcBorders>
            <w:gridSpan w:val="21"/>
          </w:tcPr>
          <w:p>
            <w:pPr>
              <w:spacing w:after="0" w:line="14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Cautionary Note Regarding Forward-Looking Statements</w:t>
              </w:r>
            </w:hyperlink>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S-iii</w:t>
            </w:r>
          </w:p>
        </w:tc>
        <w:tc>
          <w:tcPr>
            <w:tcW w:w="0" w:type="dxa"/>
            <w:vAlign w:val="bottom"/>
          </w:tcPr>
          <w:p>
            <w:pPr>
              <w:spacing w:after="0"/>
              <w:rPr>
                <w:sz w:val="1"/>
                <w:szCs w:val="1"/>
                <w:color w:val="auto"/>
              </w:rPr>
            </w:pPr>
          </w:p>
        </w:tc>
      </w:tr>
      <w:tr>
        <w:trPr>
          <w:trHeight w:val="146"/>
        </w:trPr>
        <w:tc>
          <w:tcPr>
            <w:tcW w:w="3640" w:type="dxa"/>
            <w:vAlign w:val="bottom"/>
            <w:gridSpan w:val="21"/>
          </w:tcPr>
          <w:p>
            <w:pPr>
              <w:spacing w:after="0" w:line="145" w:lineRule="exact"/>
              <w:rPr>
                <w:rFonts w:ascii="Arial" w:cs="Arial" w:eastAsia="Arial" w:hAnsi="Arial"/>
                <w:sz w:val="16"/>
                <w:szCs w:val="16"/>
                <w:color w:val="0000FF"/>
              </w:rPr>
            </w:pPr>
            <w:hyperlink w:anchor="page5">
              <w:r>
                <w:rPr>
                  <w:rFonts w:ascii="Arial" w:cs="Arial" w:eastAsia="Arial" w:hAnsi="Arial"/>
                  <w:sz w:val="16"/>
                  <w:szCs w:val="16"/>
                  <w:color w:val="0000FF"/>
                </w:rPr>
                <w:t>Prospectus Supplement Summary</w:t>
              </w:r>
            </w:hyperlink>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46"/>
        </w:trPr>
        <w:tc>
          <w:tcPr>
            <w:tcW w:w="800" w:type="dxa"/>
            <w:vAlign w:val="bottom"/>
            <w:tcBorders>
              <w:top w:val="single" w:sz="8" w:color="0000FF"/>
              <w:bottom w:val="single" w:sz="8" w:color="0000FF"/>
            </w:tcBorders>
            <w:gridSpan w:val="3"/>
          </w:tcPr>
          <w:p>
            <w:pPr>
              <w:spacing w:after="0" w:line="145" w:lineRule="exact"/>
              <w:rPr>
                <w:rFonts w:ascii="Arial" w:cs="Arial" w:eastAsia="Arial" w:hAnsi="Arial"/>
                <w:sz w:val="16"/>
                <w:szCs w:val="16"/>
                <w:color w:val="0000FF"/>
                <w:w w:val="87"/>
              </w:rPr>
            </w:pPr>
            <w:hyperlink w:anchor="page10">
              <w:r>
                <w:rPr>
                  <w:rFonts w:ascii="Arial" w:cs="Arial" w:eastAsia="Arial" w:hAnsi="Arial"/>
                  <w:sz w:val="16"/>
                  <w:szCs w:val="16"/>
                  <w:color w:val="0000FF"/>
                  <w:w w:val="87"/>
                </w:rPr>
                <w:t>Risk Factors</w:t>
              </w:r>
            </w:hyperlink>
          </w:p>
        </w:tc>
        <w:tc>
          <w:tcPr>
            <w:tcW w:w="1320" w:type="dxa"/>
            <w:vAlign w:val="bottom"/>
            <w:tcBorders>
              <w:top w:val="single" w:sz="8" w:color="0000FF"/>
            </w:tcBorders>
            <w:gridSpan w:val="14"/>
          </w:tcPr>
          <w:p>
            <w:pPr>
              <w:spacing w:after="0"/>
              <w:rPr>
                <w:sz w:val="12"/>
                <w:szCs w:val="12"/>
                <w:color w:val="auto"/>
              </w:rPr>
            </w:pPr>
          </w:p>
        </w:tc>
        <w:tc>
          <w:tcPr>
            <w:tcW w:w="3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S-6</w:t>
            </w:r>
          </w:p>
        </w:tc>
        <w:tc>
          <w:tcPr>
            <w:tcW w:w="0" w:type="dxa"/>
            <w:vAlign w:val="bottom"/>
          </w:tcPr>
          <w:p>
            <w:pPr>
              <w:spacing w:after="0"/>
              <w:rPr>
                <w:sz w:val="1"/>
                <w:szCs w:val="1"/>
                <w:color w:val="auto"/>
              </w:rPr>
            </w:pPr>
          </w:p>
        </w:tc>
      </w:tr>
      <w:tr>
        <w:trPr>
          <w:trHeight w:val="146"/>
        </w:trPr>
        <w:tc>
          <w:tcPr>
            <w:tcW w:w="3640" w:type="dxa"/>
            <w:vAlign w:val="bottom"/>
            <w:gridSpan w:val="21"/>
          </w:tcPr>
          <w:p>
            <w:pPr>
              <w:spacing w:after="0" w:line="145" w:lineRule="exact"/>
              <w:rPr>
                <w:rFonts w:ascii="Arial" w:cs="Arial" w:eastAsia="Arial" w:hAnsi="Arial"/>
                <w:sz w:val="16"/>
                <w:szCs w:val="16"/>
                <w:color w:val="0000FF"/>
              </w:rPr>
            </w:pPr>
            <w:hyperlink w:anchor="page13">
              <w:r>
                <w:rPr>
                  <w:rFonts w:ascii="Arial" w:cs="Arial" w:eastAsia="Arial" w:hAnsi="Arial"/>
                  <w:sz w:val="16"/>
                  <w:szCs w:val="16"/>
                  <w:color w:val="0000FF"/>
                </w:rPr>
                <w:t>Use of Proceeds</w:t>
              </w:r>
            </w:hyperlink>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S-9</w:t>
            </w:r>
          </w:p>
        </w:tc>
        <w:tc>
          <w:tcPr>
            <w:tcW w:w="0" w:type="dxa"/>
            <w:vAlign w:val="bottom"/>
          </w:tcPr>
          <w:p>
            <w:pPr>
              <w:spacing w:after="0"/>
              <w:rPr>
                <w:sz w:val="1"/>
                <w:szCs w:val="1"/>
                <w:color w:val="auto"/>
              </w:rPr>
            </w:pPr>
          </w:p>
        </w:tc>
      </w:tr>
      <w:tr>
        <w:trPr>
          <w:trHeight w:val="146"/>
        </w:trPr>
        <w:tc>
          <w:tcPr>
            <w:tcW w:w="1020" w:type="dxa"/>
            <w:vAlign w:val="bottom"/>
            <w:tcBorders>
              <w:top w:val="single" w:sz="8" w:color="0000FF"/>
            </w:tcBorders>
            <w:gridSpan w:val="5"/>
          </w:tcPr>
          <w:p>
            <w:pPr>
              <w:spacing w:after="0" w:line="145" w:lineRule="exact"/>
              <w:rPr>
                <w:rFonts w:ascii="Arial" w:cs="Arial" w:eastAsia="Arial" w:hAnsi="Arial"/>
                <w:sz w:val="16"/>
                <w:szCs w:val="16"/>
                <w:color w:val="0000FF"/>
              </w:rPr>
            </w:pPr>
            <w:hyperlink w:anchor="page14">
              <w:r>
                <w:rPr>
                  <w:rFonts w:ascii="Arial" w:cs="Arial" w:eastAsia="Arial" w:hAnsi="Arial"/>
                  <w:sz w:val="16"/>
                  <w:szCs w:val="16"/>
                  <w:color w:val="0000FF"/>
                </w:rPr>
                <w:t>Dilution</w:t>
              </w:r>
            </w:hyperlink>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S-10</w:t>
            </w:r>
          </w:p>
        </w:tc>
        <w:tc>
          <w:tcPr>
            <w:tcW w:w="0" w:type="dxa"/>
            <w:vAlign w:val="bottom"/>
          </w:tcPr>
          <w:p>
            <w:pPr>
              <w:spacing w:after="0"/>
              <w:rPr>
                <w:sz w:val="1"/>
                <w:szCs w:val="1"/>
                <w:color w:val="auto"/>
              </w:rPr>
            </w:pPr>
          </w:p>
        </w:tc>
      </w:tr>
      <w:tr>
        <w:trPr>
          <w:trHeight w:val="146"/>
        </w:trPr>
        <w:tc>
          <w:tcPr>
            <w:tcW w:w="520" w:type="dxa"/>
            <w:vAlign w:val="bottom"/>
            <w:tcBorders>
              <w:top w:val="single" w:sz="8" w:color="0000FF"/>
            </w:tcBorders>
            <w:gridSpan w:val="2"/>
          </w:tcPr>
          <w:p>
            <w:pPr>
              <w:spacing w:after="0" w:line="145" w:lineRule="exact"/>
              <w:rPr>
                <w:rFonts w:ascii="Arial" w:cs="Arial" w:eastAsia="Arial" w:hAnsi="Arial"/>
                <w:sz w:val="16"/>
                <w:szCs w:val="16"/>
                <w:color w:val="0000FF"/>
              </w:rPr>
            </w:pPr>
            <w:hyperlink w:anchor="page15">
              <w:r>
                <w:rPr>
                  <w:rFonts w:ascii="Arial" w:cs="Arial" w:eastAsia="Arial" w:hAnsi="Arial"/>
                  <w:sz w:val="16"/>
                  <w:szCs w:val="16"/>
                  <w:color w:val="0000FF"/>
                </w:rPr>
                <w:t>Plan of</w:t>
              </w:r>
            </w:hyperlink>
          </w:p>
        </w:tc>
        <w:tc>
          <w:tcPr>
            <w:tcW w:w="3120" w:type="dxa"/>
            <w:vAlign w:val="bottom"/>
            <w:gridSpan w:val="19"/>
          </w:tcPr>
          <w:p>
            <w:pPr>
              <w:spacing w:after="0" w:line="145" w:lineRule="exact"/>
              <w:rPr>
                <w:rFonts w:ascii="Arial" w:cs="Arial" w:eastAsia="Arial" w:hAnsi="Arial"/>
                <w:sz w:val="16"/>
                <w:szCs w:val="16"/>
                <w:color w:val="0000FF"/>
              </w:rPr>
            </w:pPr>
            <w:hyperlink w:anchor="page15">
              <w:r>
                <w:rPr>
                  <w:rFonts w:ascii="Arial" w:cs="Arial" w:eastAsia="Arial" w:hAnsi="Arial"/>
                  <w:sz w:val="16"/>
                  <w:szCs w:val="16"/>
                  <w:color w:val="0000FF"/>
                </w:rPr>
                <w:t>Distribution</w:t>
              </w:r>
            </w:hyperlink>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S-11</w:t>
            </w:r>
          </w:p>
        </w:tc>
        <w:tc>
          <w:tcPr>
            <w:tcW w:w="0" w:type="dxa"/>
            <w:vAlign w:val="bottom"/>
          </w:tcPr>
          <w:p>
            <w:pPr>
              <w:spacing w:after="0"/>
              <w:rPr>
                <w:sz w:val="1"/>
                <w:szCs w:val="1"/>
                <w:color w:val="auto"/>
              </w:rPr>
            </w:pPr>
          </w:p>
        </w:tc>
      </w:tr>
      <w:tr>
        <w:trPr>
          <w:trHeight w:val="146"/>
        </w:trPr>
        <w:tc>
          <w:tcPr>
            <w:tcW w:w="1260" w:type="dxa"/>
            <w:vAlign w:val="bottom"/>
            <w:tcBorders>
              <w:top w:val="single" w:sz="8" w:color="0000FF"/>
            </w:tcBorders>
            <w:gridSpan w:val="8"/>
          </w:tcPr>
          <w:p>
            <w:pPr>
              <w:spacing w:after="0" w:line="145" w:lineRule="exact"/>
              <w:rPr>
                <w:rFonts w:ascii="Arial" w:cs="Arial" w:eastAsia="Arial" w:hAnsi="Arial"/>
                <w:sz w:val="16"/>
                <w:szCs w:val="16"/>
                <w:color w:val="0000FF"/>
              </w:rPr>
            </w:pPr>
            <w:hyperlink w:anchor="page42">
              <w:r>
                <w:rPr>
                  <w:rFonts w:ascii="Arial" w:cs="Arial" w:eastAsia="Arial" w:hAnsi="Arial"/>
                  <w:sz w:val="16"/>
                  <w:szCs w:val="16"/>
                  <w:color w:val="0000FF"/>
                </w:rPr>
                <w:t>Legal Matters</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S-23</w:t>
            </w:r>
          </w:p>
        </w:tc>
        <w:tc>
          <w:tcPr>
            <w:tcW w:w="0" w:type="dxa"/>
            <w:vAlign w:val="bottom"/>
          </w:tcPr>
          <w:p>
            <w:pPr>
              <w:spacing w:after="0"/>
              <w:rPr>
                <w:sz w:val="1"/>
                <w:szCs w:val="1"/>
                <w:color w:val="auto"/>
              </w:rPr>
            </w:pPr>
          </w:p>
        </w:tc>
      </w:tr>
      <w:tr>
        <w:trPr>
          <w:trHeight w:val="146"/>
        </w:trPr>
        <w:tc>
          <w:tcPr>
            <w:tcW w:w="880" w:type="dxa"/>
            <w:vAlign w:val="bottom"/>
            <w:tcBorders>
              <w:top w:val="single" w:sz="8" w:color="0000FF"/>
            </w:tcBorders>
            <w:gridSpan w:val="4"/>
          </w:tcPr>
          <w:p>
            <w:pPr>
              <w:spacing w:after="0" w:line="145" w:lineRule="exact"/>
              <w:rPr>
                <w:rFonts w:ascii="Arial" w:cs="Arial" w:eastAsia="Arial" w:hAnsi="Arial"/>
                <w:sz w:val="16"/>
                <w:szCs w:val="16"/>
                <w:color w:val="0000FF"/>
              </w:rPr>
            </w:pPr>
            <w:hyperlink w:anchor="page42">
              <w:r>
                <w:rPr>
                  <w:rFonts w:ascii="Arial" w:cs="Arial" w:eastAsia="Arial" w:hAnsi="Arial"/>
                  <w:sz w:val="16"/>
                  <w:szCs w:val="16"/>
                  <w:color w:val="0000FF"/>
                </w:rPr>
                <w:t>Experts</w:t>
              </w:r>
            </w:hyperlink>
          </w:p>
        </w:tc>
        <w:tc>
          <w:tcPr>
            <w:tcW w:w="16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S-23</w:t>
            </w:r>
          </w:p>
        </w:tc>
        <w:tc>
          <w:tcPr>
            <w:tcW w:w="0" w:type="dxa"/>
            <w:vAlign w:val="bottom"/>
          </w:tcPr>
          <w:p>
            <w:pPr>
              <w:spacing w:after="0"/>
              <w:rPr>
                <w:sz w:val="1"/>
                <w:szCs w:val="1"/>
                <w:color w:val="auto"/>
              </w:rPr>
            </w:pPr>
          </w:p>
        </w:tc>
      </w:tr>
      <w:tr>
        <w:trPr>
          <w:trHeight w:val="146"/>
        </w:trPr>
        <w:tc>
          <w:tcPr>
            <w:tcW w:w="480" w:type="dxa"/>
            <w:vAlign w:val="bottom"/>
            <w:tcBorders>
              <w:top w:val="single" w:sz="8" w:color="0000FF"/>
            </w:tcBorders>
          </w:tcPr>
          <w:p>
            <w:pPr>
              <w:spacing w:after="0" w:line="145" w:lineRule="exact"/>
              <w:rPr>
                <w:rFonts w:ascii="Arial" w:cs="Arial" w:eastAsia="Arial" w:hAnsi="Arial"/>
                <w:sz w:val="16"/>
                <w:szCs w:val="16"/>
                <w:color w:val="0000FF"/>
                <w:w w:val="97"/>
              </w:rPr>
            </w:pPr>
            <w:hyperlink w:anchor="page42">
              <w:r>
                <w:rPr>
                  <w:rFonts w:ascii="Arial" w:cs="Arial" w:eastAsia="Arial" w:hAnsi="Arial"/>
                  <w:sz w:val="16"/>
                  <w:szCs w:val="16"/>
                  <w:color w:val="0000FF"/>
                  <w:w w:val="97"/>
                </w:rPr>
                <w:t>Where</w:t>
              </w:r>
            </w:hyperlink>
          </w:p>
        </w:tc>
        <w:tc>
          <w:tcPr>
            <w:tcW w:w="3160" w:type="dxa"/>
            <w:vAlign w:val="bottom"/>
            <w:gridSpan w:val="20"/>
          </w:tcPr>
          <w:p>
            <w:pPr>
              <w:spacing w:after="0" w:line="145" w:lineRule="exact"/>
              <w:rPr>
                <w:rFonts w:ascii="Arial" w:cs="Arial" w:eastAsia="Arial" w:hAnsi="Arial"/>
                <w:sz w:val="16"/>
                <w:szCs w:val="16"/>
                <w:color w:val="0000FF"/>
              </w:rPr>
            </w:pPr>
            <w:hyperlink w:anchor="page42">
              <w:r>
                <w:rPr>
                  <w:rFonts w:ascii="Arial" w:cs="Arial" w:eastAsia="Arial" w:hAnsi="Arial"/>
                  <w:sz w:val="16"/>
                  <w:szCs w:val="16"/>
                  <w:color w:val="0000FF"/>
                </w:rPr>
                <w:t>You Can Find More Information</w:t>
              </w:r>
            </w:hyperlink>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S-23</w:t>
            </w:r>
          </w:p>
        </w:tc>
        <w:tc>
          <w:tcPr>
            <w:tcW w:w="0" w:type="dxa"/>
            <w:vAlign w:val="bottom"/>
          </w:tcPr>
          <w:p>
            <w:pPr>
              <w:spacing w:after="0"/>
              <w:rPr>
                <w:sz w:val="1"/>
                <w:szCs w:val="1"/>
                <w:color w:val="auto"/>
              </w:rPr>
            </w:pPr>
          </w:p>
        </w:tc>
      </w:tr>
      <w:tr>
        <w:trPr>
          <w:trHeight w:val="146"/>
        </w:trPr>
        <w:tc>
          <w:tcPr>
            <w:tcW w:w="2480" w:type="dxa"/>
            <w:vAlign w:val="bottom"/>
            <w:tcBorders>
              <w:top w:val="single" w:sz="8" w:color="0000FF"/>
              <w:bottom w:val="single" w:sz="8" w:color="0000FF"/>
            </w:tcBorders>
            <w:gridSpan w:val="19"/>
          </w:tcPr>
          <w:p>
            <w:pPr>
              <w:spacing w:after="0" w:line="145" w:lineRule="exact"/>
              <w:rPr>
                <w:rFonts w:ascii="Arial" w:cs="Arial" w:eastAsia="Arial" w:hAnsi="Arial"/>
                <w:sz w:val="16"/>
                <w:szCs w:val="16"/>
                <w:color w:val="0000FF"/>
                <w:w w:val="89"/>
              </w:rPr>
            </w:pPr>
            <w:hyperlink w:anchor="page17">
              <w:r>
                <w:rPr>
                  <w:rFonts w:ascii="Arial" w:cs="Arial" w:eastAsia="Arial" w:hAnsi="Arial"/>
                  <w:sz w:val="16"/>
                  <w:szCs w:val="16"/>
                  <w:color w:val="0000FF"/>
                  <w:w w:val="89"/>
                </w:rPr>
                <w:t>Information Incorporated by Reference</w:t>
              </w:r>
            </w:hyperlink>
          </w:p>
        </w:tc>
        <w:tc>
          <w:tcPr>
            <w:tcW w:w="20" w:type="dxa"/>
            <w:vAlign w:val="bottom"/>
            <w:tcBorders>
              <w:top w:val="single" w:sz="8" w:color="0000FF"/>
            </w:tcBorders>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6"/>
                <w:szCs w:val="16"/>
                <w:color w:val="auto"/>
              </w:rPr>
              <w:t>S-24</w:t>
            </w:r>
          </w:p>
        </w:tc>
        <w:tc>
          <w:tcPr>
            <w:tcW w:w="0" w:type="dxa"/>
            <w:vAlign w:val="bottom"/>
          </w:tcPr>
          <w:p>
            <w:pPr>
              <w:spacing w:after="0"/>
              <w:rPr>
                <w:sz w:val="1"/>
                <w:szCs w:val="1"/>
                <w:color w:val="auto"/>
              </w:rPr>
            </w:pPr>
          </w:p>
        </w:tc>
      </w:tr>
      <w:tr>
        <w:trPr>
          <w:trHeight w:val="310"/>
        </w:trPr>
        <w:tc>
          <w:tcPr>
            <w:tcW w:w="3640" w:type="dxa"/>
            <w:vAlign w:val="bottom"/>
            <w:gridSpan w:val="21"/>
          </w:tcPr>
          <w:p>
            <w:pPr>
              <w:spacing w:after="0"/>
              <w:rPr>
                <w:sz w:val="20"/>
                <w:szCs w:val="20"/>
                <w:color w:val="auto"/>
              </w:rPr>
            </w:pPr>
            <w:r>
              <w:rPr>
                <w:rFonts w:ascii="Arial" w:cs="Arial" w:eastAsia="Arial" w:hAnsi="Arial"/>
                <w:sz w:val="16"/>
                <w:szCs w:val="16"/>
                <w:b w:val="1"/>
                <w:bCs w:val="1"/>
                <w:color w:val="auto"/>
              </w:rPr>
              <w:t>Prospectus</w:t>
            </w:r>
          </w:p>
        </w:tc>
        <w:tc>
          <w:tcPr>
            <w:tcW w:w="6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40" w:type="dxa"/>
            <w:vAlign w:val="bottom"/>
            <w:gridSpan w:val="21"/>
          </w:tcPr>
          <w:p>
            <w:pPr>
              <w:spacing w:after="0" w:line="146" w:lineRule="exact"/>
              <w:rPr>
                <w:rFonts w:ascii="Arial" w:cs="Arial" w:eastAsia="Arial" w:hAnsi="Arial"/>
                <w:sz w:val="16"/>
                <w:szCs w:val="16"/>
                <w:color w:val="0000FF"/>
              </w:rPr>
            </w:pPr>
            <w:hyperlink w:anchor="page20">
              <w:r>
                <w:rPr>
                  <w:rFonts w:ascii="Arial" w:cs="Arial" w:eastAsia="Arial" w:hAnsi="Arial"/>
                  <w:sz w:val="16"/>
                  <w:szCs w:val="16"/>
                  <w:color w:val="0000FF"/>
                </w:rPr>
                <w:t>About This Prospectus</w:t>
              </w:r>
            </w:hyperlink>
          </w:p>
        </w:tc>
        <w:tc>
          <w:tcPr>
            <w:tcW w:w="7620" w:type="dxa"/>
            <w:vAlign w:val="bottom"/>
            <w:gridSpan w:val="2"/>
          </w:tcPr>
          <w:p>
            <w:pPr>
              <w:jc w:val="right"/>
              <w:spacing w:after="0" w:line="14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6"/>
        </w:trPr>
        <w:tc>
          <w:tcPr>
            <w:tcW w:w="1440" w:type="dxa"/>
            <w:vAlign w:val="bottom"/>
            <w:tcBorders>
              <w:top w:val="single" w:sz="8" w:color="0000FF"/>
            </w:tcBorders>
            <w:gridSpan w:val="11"/>
          </w:tcPr>
          <w:p>
            <w:pPr>
              <w:spacing w:after="0" w:line="134" w:lineRule="exact"/>
              <w:rPr>
                <w:rFonts w:ascii="Arial" w:cs="Arial" w:eastAsia="Arial" w:hAnsi="Arial"/>
                <w:sz w:val="15"/>
                <w:szCs w:val="15"/>
                <w:color w:val="0000FF"/>
                <w:w w:val="95"/>
              </w:rPr>
            </w:pPr>
            <w:hyperlink w:anchor="page21">
              <w:r>
                <w:rPr>
                  <w:rFonts w:ascii="Arial" w:cs="Arial" w:eastAsia="Arial" w:hAnsi="Arial"/>
                  <w:sz w:val="15"/>
                  <w:szCs w:val="15"/>
                  <w:color w:val="0000FF"/>
                  <w:w w:val="95"/>
                </w:rPr>
                <w:t>Axsome Therapeutics,</w:t>
              </w:r>
            </w:hyperlink>
          </w:p>
        </w:tc>
        <w:tc>
          <w:tcPr>
            <w:tcW w:w="2200" w:type="dxa"/>
            <w:vAlign w:val="bottom"/>
            <w:gridSpan w:val="10"/>
          </w:tcPr>
          <w:p>
            <w:pPr>
              <w:ind w:left="20"/>
              <w:spacing w:after="0" w:line="126" w:lineRule="exact"/>
              <w:rPr>
                <w:rFonts w:ascii="Arial" w:cs="Arial" w:eastAsia="Arial" w:hAnsi="Arial"/>
                <w:sz w:val="14"/>
                <w:szCs w:val="14"/>
                <w:color w:val="0000FF"/>
              </w:rPr>
            </w:pPr>
            <w:hyperlink w:anchor="page21">
              <w:r>
                <w:rPr>
                  <w:rFonts w:ascii="Arial" w:cs="Arial" w:eastAsia="Arial" w:hAnsi="Arial"/>
                  <w:sz w:val="14"/>
                  <w:szCs w:val="14"/>
                  <w:color w:val="0000FF"/>
                </w:rPr>
                <w:t>Inc.</w:t>
              </w:r>
            </w:hyperlink>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6"/>
        </w:trPr>
        <w:tc>
          <w:tcPr>
            <w:tcW w:w="1700" w:type="dxa"/>
            <w:vAlign w:val="bottom"/>
            <w:tcBorders>
              <w:top w:val="single" w:sz="8" w:color="0000FF"/>
              <w:bottom w:val="single" w:sz="8" w:color="0000FF"/>
            </w:tcBorders>
            <w:gridSpan w:val="13"/>
          </w:tcPr>
          <w:p>
            <w:pPr>
              <w:spacing w:after="0" w:line="134" w:lineRule="exact"/>
              <w:rPr>
                <w:rFonts w:ascii="Arial" w:cs="Arial" w:eastAsia="Arial" w:hAnsi="Arial"/>
                <w:sz w:val="15"/>
                <w:szCs w:val="15"/>
                <w:color w:val="0000FF"/>
                <w:w w:val="87"/>
              </w:rPr>
            </w:pPr>
            <w:hyperlink w:anchor="page24">
              <w:r>
                <w:rPr>
                  <w:rFonts w:ascii="Arial" w:cs="Arial" w:eastAsia="Arial" w:hAnsi="Arial"/>
                  <w:sz w:val="15"/>
                  <w:szCs w:val="15"/>
                  <w:color w:val="0000FF"/>
                  <w:w w:val="87"/>
                </w:rPr>
                <w:t>Forward-Looking Statements</w:t>
              </w:r>
            </w:hyperlink>
          </w:p>
        </w:tc>
        <w:tc>
          <w:tcPr>
            <w:tcW w:w="10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6"/>
        </w:trPr>
        <w:tc>
          <w:tcPr>
            <w:tcW w:w="800" w:type="dxa"/>
            <w:vAlign w:val="bottom"/>
            <w:tcBorders>
              <w:bottom w:val="single" w:sz="8" w:color="0000FF"/>
            </w:tcBorders>
            <w:gridSpan w:val="3"/>
          </w:tcPr>
          <w:p>
            <w:pPr>
              <w:spacing w:after="0" w:line="134" w:lineRule="exact"/>
              <w:rPr>
                <w:rFonts w:ascii="Arial" w:cs="Arial" w:eastAsia="Arial" w:hAnsi="Arial"/>
                <w:sz w:val="15"/>
                <w:szCs w:val="15"/>
                <w:color w:val="0000FF"/>
                <w:w w:val="93"/>
              </w:rPr>
            </w:pPr>
            <w:hyperlink w:anchor="page24">
              <w:r>
                <w:rPr>
                  <w:rFonts w:ascii="Arial" w:cs="Arial" w:eastAsia="Arial" w:hAnsi="Arial"/>
                  <w:sz w:val="15"/>
                  <w:szCs w:val="15"/>
                  <w:color w:val="0000FF"/>
                  <w:w w:val="93"/>
                </w:rPr>
                <w:t>Risk Factors</w:t>
              </w:r>
            </w:hyperlink>
          </w:p>
        </w:tc>
        <w:tc>
          <w:tcPr>
            <w:tcW w:w="1040" w:type="dxa"/>
            <w:vAlign w:val="bottom"/>
            <w:gridSpan w:val="12"/>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6"/>
        </w:trPr>
        <w:tc>
          <w:tcPr>
            <w:tcW w:w="3640" w:type="dxa"/>
            <w:vAlign w:val="bottom"/>
            <w:gridSpan w:val="21"/>
          </w:tcPr>
          <w:p>
            <w:pPr>
              <w:spacing w:after="0" w:line="134" w:lineRule="exact"/>
              <w:rPr>
                <w:rFonts w:ascii="Arial" w:cs="Arial" w:eastAsia="Arial" w:hAnsi="Arial"/>
                <w:sz w:val="15"/>
                <w:szCs w:val="15"/>
                <w:color w:val="0000FF"/>
              </w:rPr>
            </w:pPr>
            <w:hyperlink w:anchor="page24">
              <w:r>
                <w:rPr>
                  <w:rFonts w:ascii="Arial" w:cs="Arial" w:eastAsia="Arial" w:hAnsi="Arial"/>
                  <w:sz w:val="15"/>
                  <w:szCs w:val="15"/>
                  <w:color w:val="0000FF"/>
                </w:rPr>
                <w:t>Use of Proceeds</w:t>
              </w:r>
            </w:hyperlink>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6"/>
        </w:trPr>
        <w:tc>
          <w:tcPr>
            <w:tcW w:w="1040" w:type="dxa"/>
            <w:vAlign w:val="bottom"/>
            <w:tcBorders>
              <w:top w:val="single" w:sz="8" w:color="0000FF"/>
            </w:tcBorders>
            <w:gridSpan w:val="6"/>
          </w:tcPr>
          <w:p>
            <w:pPr>
              <w:spacing w:after="0" w:line="134" w:lineRule="exact"/>
              <w:rPr>
                <w:rFonts w:ascii="Arial" w:cs="Arial" w:eastAsia="Arial" w:hAnsi="Arial"/>
                <w:sz w:val="15"/>
                <w:szCs w:val="15"/>
                <w:color w:val="0000FF"/>
              </w:rPr>
            </w:pPr>
            <w:hyperlink w:anchor="page25">
              <w:r>
                <w:rPr>
                  <w:rFonts w:ascii="Arial" w:cs="Arial" w:eastAsia="Arial" w:hAnsi="Arial"/>
                  <w:sz w:val="15"/>
                  <w:szCs w:val="15"/>
                  <w:color w:val="0000FF"/>
                </w:rPr>
                <w:t>Description of</w:t>
              </w:r>
            </w:hyperlink>
          </w:p>
        </w:tc>
        <w:tc>
          <w:tcPr>
            <w:tcW w:w="2600" w:type="dxa"/>
            <w:vAlign w:val="bottom"/>
            <w:gridSpan w:val="15"/>
          </w:tcPr>
          <w:p>
            <w:pPr>
              <w:spacing w:after="0" w:line="126" w:lineRule="exact"/>
              <w:rPr>
                <w:rFonts w:ascii="Arial" w:cs="Arial" w:eastAsia="Arial" w:hAnsi="Arial"/>
                <w:sz w:val="14"/>
                <w:szCs w:val="14"/>
                <w:color w:val="0000FF"/>
              </w:rPr>
            </w:pPr>
            <w:hyperlink w:anchor="page25">
              <w:r>
                <w:rPr>
                  <w:rFonts w:ascii="Arial" w:cs="Arial" w:eastAsia="Arial" w:hAnsi="Arial"/>
                  <w:sz w:val="14"/>
                  <w:szCs w:val="14"/>
                  <w:color w:val="0000FF"/>
                </w:rPr>
                <w:t>Capital Stock</w:t>
              </w:r>
            </w:hyperlink>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6"/>
        </w:trPr>
        <w:tc>
          <w:tcPr>
            <w:tcW w:w="1800" w:type="dxa"/>
            <w:vAlign w:val="bottom"/>
            <w:tcBorders>
              <w:top w:val="single" w:sz="8" w:color="0000FF"/>
            </w:tcBorders>
            <w:gridSpan w:val="14"/>
          </w:tcPr>
          <w:p>
            <w:pPr>
              <w:spacing w:after="0" w:line="134" w:lineRule="exact"/>
              <w:rPr>
                <w:rFonts w:ascii="Arial" w:cs="Arial" w:eastAsia="Arial" w:hAnsi="Arial"/>
                <w:sz w:val="15"/>
                <w:szCs w:val="15"/>
                <w:color w:val="0000FF"/>
              </w:rPr>
            </w:pPr>
            <w:hyperlink w:anchor="page28">
              <w:r>
                <w:rPr>
                  <w:rFonts w:ascii="Arial" w:cs="Arial" w:eastAsia="Arial" w:hAnsi="Arial"/>
                  <w:sz w:val="15"/>
                  <w:szCs w:val="15"/>
                  <w:color w:val="0000FF"/>
                </w:rPr>
                <w:t>Description of Warrants</w:t>
              </w:r>
            </w:hyperlink>
          </w:p>
        </w:tc>
        <w:tc>
          <w:tcPr>
            <w:tcW w:w="120" w:type="dxa"/>
            <w:vAlign w:val="bottom"/>
            <w:gridSpan w:val="2"/>
          </w:tcPr>
          <w:p>
            <w:pPr>
              <w:spacing w:after="0"/>
              <w:rPr>
                <w:sz w:val="12"/>
                <w:szCs w:val="12"/>
                <w:color w:val="auto"/>
              </w:rPr>
            </w:pPr>
          </w:p>
        </w:tc>
        <w:tc>
          <w:tcPr>
            <w:tcW w:w="560" w:type="dxa"/>
            <w:vAlign w:val="bottom"/>
            <w:gridSpan w:val="3"/>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128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20" w:type="dxa"/>
            <w:vAlign w:val="bottom"/>
            <w:gridSpan w:val="2"/>
            <w:vMerge w:val="restart"/>
          </w:tcPr>
          <w:p>
            <w:pPr>
              <w:jc w:val="right"/>
              <w:spacing w:after="0" w:line="145" w:lineRule="exact"/>
              <w:rPr>
                <w:sz w:val="20"/>
                <w:szCs w:val="20"/>
                <w:color w:val="auto"/>
              </w:rPr>
            </w:pPr>
            <w:r>
              <w:rPr>
                <w:rFonts w:ascii="Arial" w:cs="Arial" w:eastAsia="Arial" w:hAnsi="Arial"/>
                <w:sz w:val="16"/>
                <w:szCs w:val="16"/>
                <w:color w:val="auto"/>
              </w:rPr>
              <w:t>11</w:t>
            </w:r>
          </w:p>
        </w:tc>
        <w:tc>
          <w:tcPr>
            <w:tcW w:w="0" w:type="dxa"/>
            <w:vAlign w:val="bottom"/>
          </w:tcPr>
          <w:p>
            <w:pPr>
              <w:spacing w:after="0" w:line="20" w:lineRule="exact"/>
              <w:rPr>
                <w:sz w:val="1"/>
                <w:szCs w:val="1"/>
                <w:color w:val="auto"/>
              </w:rPr>
            </w:pPr>
          </w:p>
        </w:tc>
      </w:tr>
      <w:tr>
        <w:trPr>
          <w:trHeight w:val="146"/>
        </w:trPr>
        <w:tc>
          <w:tcPr>
            <w:tcW w:w="3640" w:type="dxa"/>
            <w:vAlign w:val="bottom"/>
            <w:gridSpan w:val="21"/>
          </w:tcPr>
          <w:p>
            <w:pPr>
              <w:spacing w:after="0" w:line="134" w:lineRule="exact"/>
              <w:rPr>
                <w:rFonts w:ascii="Arial" w:cs="Arial" w:eastAsia="Arial" w:hAnsi="Arial"/>
                <w:sz w:val="15"/>
                <w:szCs w:val="15"/>
                <w:color w:val="0000FF"/>
              </w:rPr>
            </w:pPr>
            <w:hyperlink w:anchor="page30">
              <w:r>
                <w:rPr>
                  <w:rFonts w:ascii="Arial" w:cs="Arial" w:eastAsia="Arial" w:hAnsi="Arial"/>
                  <w:sz w:val="15"/>
                  <w:szCs w:val="15"/>
                  <w:color w:val="0000FF"/>
                </w:rPr>
                <w:t>Description of Debt Securities</w:t>
              </w:r>
            </w:hyperlink>
          </w:p>
        </w:tc>
        <w:tc>
          <w:tcPr>
            <w:tcW w:w="7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20" w:type="dxa"/>
            <w:vAlign w:val="bottom"/>
            <w:tcBorders>
              <w:top w:val="single" w:sz="8" w:color="0000FF"/>
            </w:tcBorders>
            <w:gridSpan w:val="16"/>
          </w:tcPr>
          <w:p>
            <w:pPr>
              <w:spacing w:after="0" w:line="134" w:lineRule="exact"/>
              <w:rPr>
                <w:rFonts w:ascii="Arial" w:cs="Arial" w:eastAsia="Arial" w:hAnsi="Arial"/>
                <w:sz w:val="15"/>
                <w:szCs w:val="15"/>
                <w:color w:val="0000FF"/>
              </w:rPr>
            </w:pPr>
            <w:hyperlink w:anchor="page38">
              <w:r>
                <w:rPr>
                  <w:rFonts w:ascii="Arial" w:cs="Arial" w:eastAsia="Arial" w:hAnsi="Arial"/>
                  <w:sz w:val="15"/>
                  <w:szCs w:val="15"/>
                  <w:color w:val="0000FF"/>
                </w:rPr>
                <w:t>Description of Rights</w:t>
              </w:r>
            </w:hyperlink>
          </w:p>
        </w:tc>
        <w:tc>
          <w:tcPr>
            <w:tcW w:w="560" w:type="dxa"/>
            <w:vAlign w:val="bottom"/>
            <w:gridSpan w:val="3"/>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6"/>
        </w:trPr>
        <w:tc>
          <w:tcPr>
            <w:tcW w:w="1360" w:type="dxa"/>
            <w:vAlign w:val="bottom"/>
            <w:tcBorders>
              <w:top w:val="single" w:sz="8" w:color="0000FF"/>
            </w:tcBorders>
            <w:gridSpan w:val="10"/>
          </w:tcPr>
          <w:p>
            <w:pPr>
              <w:spacing w:after="0" w:line="134" w:lineRule="exact"/>
              <w:rPr>
                <w:rFonts w:ascii="Arial" w:cs="Arial" w:eastAsia="Arial" w:hAnsi="Arial"/>
                <w:sz w:val="15"/>
                <w:szCs w:val="15"/>
                <w:color w:val="0000FF"/>
              </w:rPr>
            </w:pPr>
            <w:hyperlink w:anchor="page39">
              <w:r>
                <w:rPr>
                  <w:rFonts w:ascii="Arial" w:cs="Arial" w:eastAsia="Arial" w:hAnsi="Arial"/>
                  <w:sz w:val="15"/>
                  <w:szCs w:val="15"/>
                  <w:color w:val="0000FF"/>
                </w:rPr>
                <w:t>Description of Units</w:t>
              </w:r>
            </w:hyperlink>
          </w:p>
        </w:tc>
        <w:tc>
          <w:tcPr>
            <w:tcW w:w="1120" w:type="dxa"/>
            <w:vAlign w:val="bottom"/>
            <w:gridSpan w:val="9"/>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6"/>
        </w:trPr>
        <w:tc>
          <w:tcPr>
            <w:tcW w:w="1280" w:type="dxa"/>
            <w:vAlign w:val="bottom"/>
            <w:tcBorders>
              <w:top w:val="single" w:sz="8" w:color="0000FF"/>
            </w:tcBorders>
            <w:gridSpan w:val="9"/>
          </w:tcPr>
          <w:p>
            <w:pPr>
              <w:spacing w:after="0" w:line="134" w:lineRule="exact"/>
              <w:rPr>
                <w:rFonts w:ascii="Arial" w:cs="Arial" w:eastAsia="Arial" w:hAnsi="Arial"/>
                <w:sz w:val="15"/>
                <w:szCs w:val="15"/>
                <w:color w:val="0000FF"/>
              </w:rPr>
            </w:pPr>
            <w:hyperlink w:anchor="page15">
              <w:r>
                <w:rPr>
                  <w:rFonts w:ascii="Arial" w:cs="Arial" w:eastAsia="Arial" w:hAnsi="Arial"/>
                  <w:sz w:val="15"/>
                  <w:szCs w:val="15"/>
                  <w:color w:val="0000FF"/>
                </w:rPr>
                <w:t>Plan of Distribution</w:t>
              </w:r>
            </w:hyperlink>
          </w:p>
        </w:tc>
        <w:tc>
          <w:tcPr>
            <w:tcW w:w="1200" w:type="dxa"/>
            <w:vAlign w:val="bottom"/>
            <w:gridSpan w:val="10"/>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6"/>
        </w:trPr>
        <w:tc>
          <w:tcPr>
            <w:tcW w:w="1260" w:type="dxa"/>
            <w:vAlign w:val="bottom"/>
            <w:tcBorders>
              <w:top w:val="single" w:sz="8" w:color="0000FF"/>
            </w:tcBorders>
            <w:gridSpan w:val="8"/>
          </w:tcPr>
          <w:p>
            <w:pPr>
              <w:spacing w:after="0" w:line="134" w:lineRule="exact"/>
              <w:rPr>
                <w:rFonts w:ascii="Arial" w:cs="Arial" w:eastAsia="Arial" w:hAnsi="Arial"/>
                <w:sz w:val="15"/>
                <w:szCs w:val="15"/>
                <w:color w:val="0000FF"/>
              </w:rPr>
            </w:pPr>
            <w:hyperlink w:anchor="page42">
              <w:r>
                <w:rPr>
                  <w:rFonts w:ascii="Arial" w:cs="Arial" w:eastAsia="Arial" w:hAnsi="Arial"/>
                  <w:sz w:val="15"/>
                  <w:szCs w:val="15"/>
                  <w:color w:val="0000FF"/>
                </w:rPr>
                <w:t>Legal Matters</w:t>
              </w:r>
            </w:hyperlink>
          </w:p>
        </w:tc>
        <w:tc>
          <w:tcPr>
            <w:tcW w:w="1220" w:type="dxa"/>
            <w:vAlign w:val="bottom"/>
            <w:gridSpan w:val="11"/>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6"/>
        </w:trPr>
        <w:tc>
          <w:tcPr>
            <w:tcW w:w="880" w:type="dxa"/>
            <w:vAlign w:val="bottom"/>
            <w:tcBorders>
              <w:top w:val="single" w:sz="8" w:color="0000FF"/>
            </w:tcBorders>
            <w:gridSpan w:val="4"/>
          </w:tcPr>
          <w:p>
            <w:pPr>
              <w:spacing w:after="0" w:line="134" w:lineRule="exact"/>
              <w:rPr>
                <w:rFonts w:ascii="Arial" w:cs="Arial" w:eastAsia="Arial" w:hAnsi="Arial"/>
                <w:sz w:val="15"/>
                <w:szCs w:val="15"/>
                <w:color w:val="0000FF"/>
              </w:rPr>
            </w:pPr>
            <w:hyperlink w:anchor="page42">
              <w:r>
                <w:rPr>
                  <w:rFonts w:ascii="Arial" w:cs="Arial" w:eastAsia="Arial" w:hAnsi="Arial"/>
                  <w:sz w:val="15"/>
                  <w:szCs w:val="15"/>
                  <w:color w:val="0000FF"/>
                </w:rPr>
                <w:t>Experts</w:t>
              </w:r>
            </w:hyperlink>
          </w:p>
        </w:tc>
        <w:tc>
          <w:tcPr>
            <w:tcW w:w="1600" w:type="dxa"/>
            <w:vAlign w:val="bottom"/>
            <w:gridSpan w:val="15"/>
          </w:tcPr>
          <w:p>
            <w:pPr>
              <w:spacing w:after="0"/>
              <w:rPr>
                <w:sz w:val="12"/>
                <w:szCs w:val="12"/>
                <w:color w:val="auto"/>
              </w:rPr>
            </w:pPr>
          </w:p>
        </w:tc>
        <w:tc>
          <w:tcPr>
            <w:tcW w:w="1160" w:type="dxa"/>
            <w:vAlign w:val="bottom"/>
            <w:gridSpan w:val="2"/>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6"/>
        </w:trPr>
        <w:tc>
          <w:tcPr>
            <w:tcW w:w="480" w:type="dxa"/>
            <w:vAlign w:val="bottom"/>
            <w:tcBorders>
              <w:top w:val="single" w:sz="8" w:color="0000FF"/>
            </w:tcBorders>
          </w:tcPr>
          <w:p>
            <w:pPr>
              <w:spacing w:after="0" w:line="134" w:lineRule="exact"/>
              <w:rPr>
                <w:rFonts w:ascii="Arial" w:cs="Arial" w:eastAsia="Arial" w:hAnsi="Arial"/>
                <w:sz w:val="15"/>
                <w:szCs w:val="15"/>
                <w:color w:val="0000FF"/>
              </w:rPr>
            </w:pPr>
            <w:hyperlink w:anchor="page42">
              <w:r>
                <w:rPr>
                  <w:rFonts w:ascii="Arial" w:cs="Arial" w:eastAsia="Arial" w:hAnsi="Arial"/>
                  <w:sz w:val="15"/>
                  <w:szCs w:val="15"/>
                  <w:color w:val="0000FF"/>
                </w:rPr>
                <w:t>Where</w:t>
              </w:r>
            </w:hyperlink>
          </w:p>
        </w:tc>
        <w:tc>
          <w:tcPr>
            <w:tcW w:w="3160" w:type="dxa"/>
            <w:vAlign w:val="bottom"/>
            <w:gridSpan w:val="20"/>
          </w:tcPr>
          <w:p>
            <w:pPr>
              <w:spacing w:after="0" w:line="126" w:lineRule="exact"/>
              <w:rPr>
                <w:rFonts w:ascii="Arial" w:cs="Arial" w:eastAsia="Arial" w:hAnsi="Arial"/>
                <w:sz w:val="14"/>
                <w:szCs w:val="14"/>
                <w:color w:val="0000FF"/>
              </w:rPr>
            </w:pPr>
            <w:hyperlink w:anchor="page42">
              <w:r>
                <w:rPr>
                  <w:rFonts w:ascii="Arial" w:cs="Arial" w:eastAsia="Arial" w:hAnsi="Arial"/>
                  <w:sz w:val="14"/>
                  <w:szCs w:val="14"/>
                  <w:color w:val="0000FF"/>
                </w:rPr>
                <w:t>You Can Find More Information</w:t>
              </w:r>
            </w:hyperlink>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6"/>
        </w:trPr>
        <w:tc>
          <w:tcPr>
            <w:tcW w:w="2480" w:type="dxa"/>
            <w:vAlign w:val="bottom"/>
            <w:tcBorders>
              <w:top w:val="single" w:sz="8" w:color="0000FF"/>
              <w:bottom w:val="single" w:sz="8" w:color="0000FF"/>
            </w:tcBorders>
            <w:gridSpan w:val="19"/>
          </w:tcPr>
          <w:p>
            <w:pPr>
              <w:spacing w:after="0" w:line="134" w:lineRule="exact"/>
              <w:rPr>
                <w:rFonts w:ascii="Arial" w:cs="Arial" w:eastAsia="Arial" w:hAnsi="Arial"/>
                <w:sz w:val="15"/>
                <w:szCs w:val="15"/>
                <w:color w:val="0000FF"/>
                <w:w w:val="95"/>
              </w:rPr>
            </w:pPr>
            <w:hyperlink w:anchor="page43">
              <w:r>
                <w:rPr>
                  <w:rFonts w:ascii="Arial" w:cs="Arial" w:eastAsia="Arial" w:hAnsi="Arial"/>
                  <w:sz w:val="15"/>
                  <w:szCs w:val="15"/>
                  <w:color w:val="0000FF"/>
                  <w:w w:val="95"/>
                </w:rPr>
                <w:t>Information Incorporated by Reference</w:t>
              </w:r>
            </w:hyperlink>
          </w:p>
        </w:tc>
        <w:tc>
          <w:tcPr>
            <w:tcW w:w="20" w:type="dxa"/>
            <w:vAlign w:val="bottom"/>
            <w:tcBorders>
              <w:top w:val="single" w:sz="8" w:color="0000FF"/>
            </w:tcBorders>
          </w:tcPr>
          <w:p>
            <w:pPr>
              <w:spacing w:after="0"/>
              <w:rPr>
                <w:sz w:val="12"/>
                <w:szCs w:val="12"/>
                <w:color w:val="auto"/>
              </w:rPr>
            </w:pPr>
          </w:p>
        </w:tc>
        <w:tc>
          <w:tcPr>
            <w:tcW w:w="1140" w:type="dxa"/>
            <w:vAlign w:val="bottom"/>
          </w:tcPr>
          <w:p>
            <w:pPr>
              <w:spacing w:after="0"/>
              <w:rPr>
                <w:sz w:val="12"/>
                <w:szCs w:val="12"/>
                <w:color w:val="auto"/>
              </w:rPr>
            </w:pPr>
          </w:p>
        </w:tc>
        <w:tc>
          <w:tcPr>
            <w:tcW w:w="76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b w:val="1"/>
          <w:bCs w:val="1"/>
          <w:color w:val="auto"/>
        </w:rPr>
        <w:t>Neither we nor SVB Securities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SVB Securities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when making your investment decision. You should also read and consider the information in the documents we have referred you to in the sections of this prospectus supplement and the accompanying prospectus entitled “Where You Can Find More Information” and “Information Incorporated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ABOUT THIS PROSPECTUS SUPPLEMENT</w:t>
      </w:r>
    </w:p>
    <w:p>
      <w:pPr>
        <w:spacing w:after="0" w:line="179" w:lineRule="exact"/>
        <w:rPr>
          <w:sz w:val="20"/>
          <w:szCs w:val="20"/>
          <w:color w:val="auto"/>
        </w:rPr>
      </w:pPr>
    </w:p>
    <w:p>
      <w:pPr>
        <w:ind w:right="40"/>
        <w:spacing w:after="0" w:line="234" w:lineRule="auto"/>
        <w:rPr>
          <w:sz w:val="20"/>
          <w:szCs w:val="20"/>
          <w:color w:val="auto"/>
        </w:rPr>
      </w:pPr>
      <w:r>
        <w:rPr>
          <w:rFonts w:ascii="Arial" w:cs="Arial" w:eastAsia="Arial" w:hAnsi="Arial"/>
          <w:sz w:val="14"/>
          <w:szCs w:val="14"/>
          <w:color w:val="auto"/>
        </w:rPr>
        <w:t>This prospectus supplement and the accompanying prospectus form part of an automatic “shelf” registration statement on Form S-3 (No. 333-235372)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28"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You should rely only on the information that we have included or incorporated by reference in this prospectus supplement, the accompanying prospectus and any related free writing prospectus that we have authorized for use in connection with this offering. Neither we nor SVB Securities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79"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In particular, our statements regarding trends and potential future results are examples of such forward-looking statements. The forward-looking statements include risks and uncertainties, including, but not limited to, our expectations regarding sales of our common stock pursuant to the Sales Agreement;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or the FDA,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ability to generate revenues in the future;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The forward-looking statements contained in this prospectus supplement and the accompanying prospectus reflect our views and assumptions only as of the date of this prospectus supplement.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Except as required by law, we assume no responsibility for updating any forward-looking statements.</w:t>
      </w:r>
    </w:p>
    <w:p>
      <w:pPr>
        <w:spacing w:after="0" w:line="134"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PROSPECTUS SUPPLEMENT SUMMARY</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3"/>
          <w:szCs w:val="13"/>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supplement and the accompanying prospectus, in our Annual Reports on Form 10-K, in any subsequent Quarterly Reports on Form 10-Q and in our other reports filed from time to time with the SEC, which are incorporated by reference into this prospectus supplement and the accompanying prospectus, before deciding to buy shares of our common stock. Unless the context requires otherwise, references in this prospectus supplement and the accompanying prospectus to “Axsome,” “we,” “us” and “our” refer to Axsome Therapeutics, Inc. and our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150"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are a biopharmaceutical company developing novel therapies for the management of central nervous system, or CNS, conditions that have limited treatment options. By focusing on this therapeutic area, we are addressing significant and growing markets where current treatment options are limited or inadequate. Our core CNS portfolio includes four CNS product candidates, AXS-05, AXS-07, AXS-12, and AXS-14, which are being developed for multiple indications.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AXS-05 is a novel, oral, investigational NMDA, or N-methyl-D-aspartate, receptor antagonist with multimodal activity under development for the treatment of CNS disorders.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and accepted for filing for AXS-05 for the treatment of MDD. The FDA had set a Prescription Drug User Fee Act (PDUFA) target action date for the AXS-05 NDA of August 22, 2021, which was not completed on such date and therefore the review of the application is ongoing. AXS-05 is also being evaluated as a treatment for treatment resistant depression, or TRD. We have completed a Phase 2/3 controlled study and a Phase 2 randomized withdraw study, which we refer to as the STRIDE study and MERIT study, respectively. We are conducting one long-term open-label study in patients with TRD. AXS-05 is also under development for the treatment of Alzheimer's disease agitation, or AD agitation. We have completed one Phase 2/3 controlled trial, which we refer to as the ADVANCE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w:t>
      </w:r>
    </w:p>
    <w:p>
      <w:pPr>
        <w:spacing w:after="0" w:line="119" w:lineRule="exact"/>
        <w:rPr>
          <w:sz w:val="20"/>
          <w:szCs w:val="20"/>
          <w:color w:val="auto"/>
        </w:rPr>
      </w:pPr>
    </w:p>
    <w:p>
      <w:pPr>
        <w:ind w:right="180"/>
        <w:spacing w:after="0" w:line="237" w:lineRule="auto"/>
        <w:rPr>
          <w:sz w:val="20"/>
          <w:szCs w:val="20"/>
          <w:color w:val="auto"/>
        </w:rPr>
      </w:pPr>
      <w:r>
        <w:rPr>
          <w:rFonts w:ascii="Arial" w:cs="Arial" w:eastAsia="Arial" w:hAnsi="Arial"/>
          <w:sz w:val="14"/>
          <w:szCs w:val="14"/>
          <w:color w:val="auto"/>
        </w:rPr>
        <w:t>AXS-05 consists of a proprietary formulation and dose of dextromethorphan and bupropion and utilizes our metabolic inhibition technology. The dextromethorphan component of AXS-05 is an uncompetitive antagonist of the NMDA, an ionotropic glutamate receptor. The dextromethorphan component of AXS-05 is also a sigma-1 receptor agonist. The bupropion component of AXS-05 serves to increase the bioavailability of dextromethorphan, and is a norepinephrine and dopamine reuptake inhibitor. We are seeking FDA, approval for AXS-05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12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AXS-07 is a novel, oral, rapidly absorbed, multi-mechanistic, investigational medicine under development for the acute treatment of migraine. We have completed two Phase 3 controlled trials, which we refer to as the MOMENTUM study and the INTERCEPT study, and one Phase 3 long-term open-label trial, which we refer to as the MOVEMENT study. An NDA has been submitted and accepted for filing for AXS-07 for the acute treatment of migraine. The FDA has set a PDUFA target action date for the AXS-07 NDA of April 30, 2022.</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5-HT1B/1D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are seeking FDA approval for AXS-07 utilizing the 505(b)(2) regulatory development pathway.</w:t>
      </w:r>
    </w:p>
    <w:p>
      <w:pPr>
        <w:spacing w:after="0" w:line="119"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AXS-12, reboxetine, is a novel, oral, investigational medicine in development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has also been initiated.</w:t>
      </w:r>
    </w:p>
    <w:p>
      <w:pPr>
        <w:jc w:val="both"/>
        <w:ind w:right="80"/>
        <w:spacing w:after="0" w:line="236" w:lineRule="auto"/>
        <w:rPr>
          <w:sz w:val="20"/>
          <w:szCs w:val="20"/>
          <w:color w:val="auto"/>
        </w:rPr>
      </w:pPr>
      <w:r>
        <w:rPr>
          <w:rFonts w:ascii="Arial" w:cs="Arial" w:eastAsia="Arial" w:hAnsi="Arial"/>
          <w:sz w:val="14"/>
          <w:szCs w:val="14"/>
          <w:color w:val="auto"/>
        </w:rPr>
        <w:t>AXS-12 is a highly selective and potent norepinephrine reuptake inhibitor. AXS-12 has been granted FDA Orphan Drug Designation for the treatment of narcolepsy. We have completed a Phase 2 trial with AXS-12, which we refer to as the CONCERT trial. A randomized, placebo-controlled Phase 3 trial with AXS-12 in narcolepsy was initiated in the third quarter of 2021, which we refer to as the SYMPHONY study, and an open-label safety extension study has also been initiated.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AXS-14, esreboxetine, is a novel, oral, investigational medicine in development for the treatment of fibromyalgia. AXS-14 is a highly selective and potent norepinephrine reuptake inhibitor. We are initially developing esreboxetine for the management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2023 for the management of fibromyalgia based on a pre-NDA meeting with the FDA that occurred in the second quarter of 2021.</w:t>
      </w:r>
    </w:p>
    <w:p>
      <w:pPr>
        <w:spacing w:after="0" w:line="127"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27" w:lineRule="exact"/>
        <w:rPr>
          <w:sz w:val="20"/>
          <w:szCs w:val="20"/>
          <w:color w:val="auto"/>
        </w:rPr>
      </w:pPr>
    </w:p>
    <w:p>
      <w:pPr>
        <w:ind w:right="600"/>
        <w:spacing w:after="0"/>
        <w:rPr>
          <w:sz w:val="20"/>
          <w:szCs w:val="20"/>
          <w:color w:val="auto"/>
        </w:rPr>
      </w:pPr>
      <w:r>
        <w:rPr>
          <w:rFonts w:ascii="Arial" w:cs="Arial" w:eastAsia="Arial" w:hAnsi="Arial"/>
          <w:sz w:val="14"/>
          <w:szCs w:val="14"/>
          <w:color w:val="auto"/>
        </w:rPr>
        <w:t>Our goal is to efficiently develop and commercialize novel, differentiated therapies for the management of CNS disorders. The primary elements of our strategy to achieve this goal are the following:</w:t>
      </w:r>
    </w:p>
    <w:p>
      <w:pPr>
        <w:spacing w:after="0" w:line="56" w:lineRule="exact"/>
        <w:rPr>
          <w:sz w:val="20"/>
          <w:szCs w:val="20"/>
          <w:color w:val="auto"/>
        </w:rPr>
      </w:pPr>
    </w:p>
    <w:p>
      <w:pPr>
        <w:ind w:left="1020" w:right="60" w:hanging="516"/>
        <w:spacing w:after="0" w:line="159" w:lineRule="exact"/>
        <w:tabs>
          <w:tab w:leader="none" w:pos="1020" w:val="left"/>
        </w:tabs>
        <w:numPr>
          <w:ilvl w:val="0"/>
          <w:numId w:val="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Pursue novel CNS indications with high unmet medical need. </w:t>
      </w:r>
      <w:r>
        <w:rPr>
          <w:rFonts w:ascii="Arial" w:cs="Arial" w:eastAsia="Arial" w:hAnsi="Arial"/>
          <w:sz w:val="13"/>
          <w:szCs w:val="13"/>
          <w:color w:val="auto"/>
        </w:rPr>
        <w:t>We believe that CNS disorders are significantly underserved therapeutic segments with currently limited treatment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options. We are developing our product candidates for CNS indications where there exist significant unmet medical needs, or that have no or few FDA</w:t>
      </w:r>
      <w:r>
        <w:rPr>
          <w:rFonts w:ascii="MS PGothic" w:cs="MS PGothic" w:eastAsia="MS PGothic" w:hAnsi="MS PGothic"/>
          <w:sz w:val="13"/>
          <w:szCs w:val="13"/>
          <w:color w:val="auto"/>
        </w:rPr>
        <w:t>‑</w:t>
      </w:r>
      <w:r>
        <w:rPr>
          <w:rFonts w:ascii="Arial" w:cs="Arial" w:eastAsia="Arial" w:hAnsi="Arial"/>
          <w:sz w:val="13"/>
          <w:szCs w:val="13"/>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69" w:lineRule="exact"/>
        <w:rPr>
          <w:rFonts w:ascii="Arial" w:cs="Arial" w:eastAsia="Arial" w:hAnsi="Arial"/>
          <w:sz w:val="13"/>
          <w:szCs w:val="13"/>
          <w:color w:val="auto"/>
        </w:rPr>
      </w:pPr>
    </w:p>
    <w:p>
      <w:pPr>
        <w:ind w:left="1020" w:hanging="516"/>
        <w:spacing w:after="0" w:line="237" w:lineRule="auto"/>
        <w:tabs>
          <w:tab w:leader="none" w:pos="1020" w:val="left"/>
        </w:tabs>
        <w:numPr>
          <w:ilvl w:val="0"/>
          <w:numId w:val="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Develop products with our proprietary medicinal chemistry and formulation technologies. </w:t>
      </w:r>
      <w:r>
        <w:rPr>
          <w:rFonts w:ascii="Arial" w:cs="Arial" w:eastAsia="Arial" w:hAnsi="Arial"/>
          <w:sz w:val="14"/>
          <w:szCs w:val="14"/>
          <w:color w:val="auto"/>
        </w:rPr>
        <w:t>Our proprietary medicinal chemistry and formulation technologies allow us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produce target drug molecules.</w:t>
      </w:r>
    </w:p>
    <w:p>
      <w:pPr>
        <w:spacing w:after="0" w:line="68" w:lineRule="exact"/>
        <w:rPr>
          <w:rFonts w:ascii="Arial" w:cs="Arial" w:eastAsia="Arial" w:hAnsi="Arial"/>
          <w:sz w:val="14"/>
          <w:szCs w:val="14"/>
          <w:color w:val="auto"/>
        </w:rPr>
      </w:pPr>
    </w:p>
    <w:p>
      <w:pPr>
        <w:ind w:left="1020" w:right="320" w:hanging="516"/>
        <w:spacing w:after="0" w:line="292" w:lineRule="auto"/>
        <w:tabs>
          <w:tab w:leader="none" w:pos="1020" w:val="left"/>
        </w:tabs>
        <w:numPr>
          <w:ilvl w:val="0"/>
          <w:numId w:val="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Develop products with differentiated profiles. </w:t>
      </w:r>
      <w:r>
        <w:rPr>
          <w:rFonts w:ascii="Arial" w:cs="Arial" w:eastAsia="Arial" w:hAnsi="Arial"/>
          <w:sz w:val="12"/>
          <w:szCs w:val="12"/>
          <w:color w:val="auto"/>
        </w:rPr>
        <w:t>We aim to develop products with novel mechanisms of action for the intended indications that may yield differentiated product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profiles. For example, AXS-05 combines several mechanisms of action resulting in a unique pharmacological profile that may be relevant to the treatment of numerous CNS disorders. The MoSEIC</w:t>
      </w:r>
      <w:r>
        <w:rPr>
          <w:rFonts w:ascii="Arial" w:cs="Arial" w:eastAsia="Arial" w:hAnsi="Arial"/>
          <w:sz w:val="8"/>
          <w:szCs w:val="8"/>
          <w:color w:val="auto"/>
        </w:rPr>
        <w:t>TM</w:t>
      </w:r>
      <w:r>
        <w:rPr>
          <w:rFonts w:ascii="Arial" w:cs="Arial" w:eastAsia="Arial" w:hAnsi="Arial"/>
          <w:sz w:val="12"/>
          <w:szCs w:val="12"/>
          <w:color w:val="auto"/>
        </w:rPr>
        <w:t xml:space="preserve"> technology is designed to improve the absorption of drug molecules after oral administration and is utilized in our AXS-07 product candidate. We believe that products with clearly differentiated features will be attractive to patients and their physicians, and will provide us with a competitive commercial advantage.</w:t>
      </w:r>
    </w:p>
    <w:p>
      <w:pPr>
        <w:spacing w:after="0" w:line="38" w:lineRule="exact"/>
        <w:rPr>
          <w:rFonts w:ascii="Arial" w:cs="Arial" w:eastAsia="Arial" w:hAnsi="Arial"/>
          <w:sz w:val="12"/>
          <w:szCs w:val="12"/>
          <w:color w:val="auto"/>
        </w:rPr>
      </w:pPr>
    </w:p>
    <w:p>
      <w:pPr>
        <w:ind w:left="1020" w:hanging="516"/>
        <w:spacing w:after="0" w:line="157" w:lineRule="exact"/>
        <w:tabs>
          <w:tab w:leader="none" w:pos="1020" w:val="left"/>
        </w:tabs>
        <w:numPr>
          <w:ilvl w:val="0"/>
          <w:numId w:val="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Reduce clinical and regulatory risk, limit development costs, and accelerate time to market. </w:t>
      </w:r>
      <w:r>
        <w:rPr>
          <w:rFonts w:ascii="Arial" w:cs="Arial" w:eastAsia="Arial" w:hAnsi="Arial"/>
          <w:sz w:val="13"/>
          <w:szCs w:val="13"/>
          <w:color w:val="auto"/>
        </w:rPr>
        <w:t>Some of our product candidates incorporate chemical entities with long histories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clinical use and well</w:t>
      </w:r>
      <w:r>
        <w:rPr>
          <w:rFonts w:ascii="MS PGothic" w:cs="MS PGothic" w:eastAsia="MS PGothic" w:hAnsi="MS PGothic"/>
          <w:sz w:val="13"/>
          <w:szCs w:val="13"/>
          <w:color w:val="auto"/>
        </w:rPr>
        <w:t>‑</w:t>
      </w:r>
      <w:r>
        <w:rPr>
          <w:rFonts w:ascii="Arial" w:cs="Arial" w:eastAsia="Arial" w:hAnsi="Arial"/>
          <w:sz w:val="13"/>
          <w:szCs w:val="13"/>
          <w:color w:val="auto"/>
        </w:rPr>
        <w:t>characterized safety profiles. Use of well</w:t>
      </w:r>
      <w:r>
        <w:rPr>
          <w:rFonts w:ascii="MS PGothic" w:cs="MS PGothic" w:eastAsia="MS PGothic" w:hAnsi="MS PGothic"/>
          <w:sz w:val="13"/>
          <w:szCs w:val="13"/>
          <w:color w:val="auto"/>
        </w:rPr>
        <w:t>‑</w:t>
      </w:r>
      <w:r>
        <w:rPr>
          <w:rFonts w:ascii="Arial" w:cs="Arial" w:eastAsia="Arial" w:hAnsi="Arial"/>
          <w:sz w:val="13"/>
          <w:szCs w:val="13"/>
          <w:color w:val="auto"/>
        </w:rPr>
        <w:t>characterized molecules has allowed us to rapidly complete early clinical development of our product candidates, and may reduce the risk of late</w:t>
      </w:r>
      <w:r>
        <w:rPr>
          <w:rFonts w:ascii="MS PGothic" w:cs="MS PGothic" w:eastAsia="MS PGothic" w:hAnsi="MS PGothic"/>
          <w:sz w:val="13"/>
          <w:szCs w:val="13"/>
          <w:color w:val="auto"/>
        </w:rPr>
        <w:t>‑</w:t>
      </w:r>
      <w:r>
        <w:rPr>
          <w:rFonts w:ascii="Arial" w:cs="Arial" w:eastAsia="Arial" w:hAnsi="Arial"/>
          <w:sz w:val="13"/>
          <w:szCs w:val="13"/>
          <w:color w:val="auto"/>
        </w:rPr>
        <w:t>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72" w:lineRule="exact"/>
        <w:rPr>
          <w:rFonts w:ascii="Arial" w:cs="Arial" w:eastAsia="Arial" w:hAnsi="Arial"/>
          <w:sz w:val="13"/>
          <w:szCs w:val="13"/>
          <w:color w:val="auto"/>
        </w:rPr>
      </w:pPr>
    </w:p>
    <w:p>
      <w:pPr>
        <w:ind w:left="1020" w:right="240" w:hanging="516"/>
        <w:spacing w:after="0" w:line="159" w:lineRule="exact"/>
        <w:tabs>
          <w:tab w:leader="none" w:pos="1020" w:val="left"/>
        </w:tabs>
        <w:numPr>
          <w:ilvl w:val="0"/>
          <w:numId w:val="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4"/>
          <w:szCs w:val="14"/>
          <w:color w:val="auto"/>
        </w:rPr>
        <w:t>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commercialize our product candidates, if approved, in the United States through the establishment of our own focused, cost</w:t>
      </w:r>
      <w:r>
        <w:rPr>
          <w:rFonts w:ascii="MS PGothic" w:cs="MS PGothic" w:eastAsia="MS PGothic" w:hAnsi="MS PGothic"/>
          <w:sz w:val="14"/>
          <w:szCs w:val="14"/>
          <w:color w:val="auto"/>
        </w:rPr>
        <w:t>‑</w:t>
      </w:r>
      <w:r>
        <w:rPr>
          <w:rFonts w:ascii="Arial" w:cs="Arial" w:eastAsia="Arial" w:hAnsi="Arial"/>
          <w:sz w:val="14"/>
          <w:szCs w:val="14"/>
          <w:color w:val="auto"/>
        </w:rPr>
        <w:t>effective sales and marketing organization targeting high</w:t>
      </w:r>
      <w:r>
        <w:rPr>
          <w:rFonts w:ascii="MS PGothic" w:cs="MS PGothic" w:eastAsia="MS PGothic" w:hAnsi="MS PGothic"/>
          <w:sz w:val="14"/>
          <w:szCs w:val="14"/>
          <w:color w:val="auto"/>
        </w:rPr>
        <w:t>‑</w:t>
      </w:r>
      <w:r>
        <w:rPr>
          <w:rFonts w:ascii="Arial" w:cs="Arial" w:eastAsia="Arial" w:hAnsi="Arial"/>
          <w:sz w:val="14"/>
          <w:szCs w:val="14"/>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04075" cy="2455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245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383" w:right="1440"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79" w:lineRule="exact"/>
        <w:rPr>
          <w:sz w:val="20"/>
          <w:szCs w:val="20"/>
          <w:color w:val="auto"/>
        </w:rPr>
      </w:pPr>
    </w:p>
    <w:p>
      <w:pPr>
        <w:ind w:right="200"/>
        <w:spacing w:after="0" w:line="168" w:lineRule="exact"/>
        <w:rPr>
          <w:sz w:val="20"/>
          <w:szCs w:val="20"/>
          <w:color w:val="auto"/>
        </w:rPr>
      </w:pPr>
      <w:r>
        <w:rPr>
          <w:rFonts w:ascii="Arial" w:cs="Arial" w:eastAsia="Arial" w:hAnsi="Arial"/>
          <w:sz w:val="14"/>
          <w:szCs w:val="14"/>
          <w:color w:val="auto"/>
        </w:rPr>
        <w:t>We were incorporated under the laws of the State of Delaware in January 2012. Our principal executive offices are located at 22 Cortlandt Street, 16th Floor, New York, New York 10007, and our telephone number is (212) 332</w:t>
      </w:r>
      <w:r>
        <w:rPr>
          <w:rFonts w:ascii="MS PGothic" w:cs="MS PGothic" w:eastAsia="MS PGothic" w:hAnsi="MS PGothic"/>
          <w:sz w:val="14"/>
          <w:szCs w:val="14"/>
          <w:color w:val="auto"/>
        </w:rPr>
        <w:t>‑</w:t>
      </w:r>
      <w:r>
        <w:rPr>
          <w:rFonts w:ascii="Arial" w:cs="Arial" w:eastAsia="Arial" w:hAnsi="Arial"/>
          <w:sz w:val="14"/>
          <w:szCs w:val="14"/>
          <w:color w:val="auto"/>
        </w:rPr>
        <w:t>3241.</w:t>
      </w:r>
    </w:p>
    <w:p>
      <w:pPr>
        <w:spacing w:after="0" w:line="127"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2"/>
          <w:szCs w:val="12"/>
          <w:i w:val="1"/>
          <w:iCs w:val="1"/>
          <w:color w:val="auto"/>
        </w:rPr>
        <w:t>www.sec.gov</w:t>
      </w:r>
      <w:r>
        <w:rPr>
          <w:rFonts w:ascii="Arial" w:cs="Arial" w:eastAsia="Arial" w:hAnsi="Arial"/>
          <w:sz w:val="12"/>
          <w:szCs w:val="12"/>
          <w:color w:val="auto"/>
        </w:rPr>
        <w:t>, and on our website at http://</w:t>
      </w:r>
      <w:r>
        <w:rPr>
          <w:rFonts w:ascii="Arial" w:cs="Arial" w:eastAsia="Arial" w:hAnsi="Arial"/>
          <w:sz w:val="12"/>
          <w:szCs w:val="12"/>
          <w:i w:val="1"/>
          <w:iCs w:val="1"/>
          <w:color w:val="auto"/>
        </w:rPr>
        <w:t>www.axsome.com</w:t>
      </w:r>
      <w:r>
        <w:rPr>
          <w:rFonts w:ascii="Arial" w:cs="Arial" w:eastAsia="Arial" w:hAnsi="Arial"/>
          <w:sz w:val="12"/>
          <w:szCs w:val="12"/>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60"/>
          </w:cols>
          <w:pgMar w:left="320" w:top="383" w:right="41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Common stock offered by us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having an aggregate offering price of up to $200 million.</w:t>
      </w:r>
    </w:p>
    <w:p>
      <w:pPr>
        <w:spacing w:after="0" w:line="170" w:lineRule="exact"/>
        <w:rPr>
          <w:sz w:val="20"/>
          <w:szCs w:val="20"/>
          <w:color w:val="auto"/>
        </w:rPr>
      </w:pPr>
    </w:p>
    <w:p>
      <w:pPr>
        <w:sectPr>
          <w:pgSz w:w="11900" w:h="16838" w:orient="portrait"/>
          <w:cols w:equalWidth="0" w:num="2">
            <w:col w:w="4480" w:space="720"/>
            <w:col w:w="5960"/>
          </w:cols>
          <w:pgMar w:left="320" w:top="383" w:right="419" w:bottom="1440" w:gutter="0" w:footer="0" w:header="0"/>
          <w:type w:val="continuous"/>
        </w:sectPr>
      </w:pPr>
    </w:p>
    <w:p>
      <w:pPr>
        <w:spacing w:after="0"/>
        <w:rPr>
          <w:sz w:val="20"/>
          <w:szCs w:val="20"/>
          <w:color w:val="auto"/>
        </w:rPr>
      </w:pPr>
      <w:r>
        <w:rPr>
          <w:rFonts w:ascii="Arial" w:cs="Arial" w:eastAsia="Arial" w:hAnsi="Arial"/>
          <w:sz w:val="13"/>
          <w:szCs w:val="13"/>
          <w:color w:val="auto"/>
        </w:rPr>
        <w:t>Manner of offering</w:t>
      </w:r>
    </w:p>
    <w:p>
      <w:pPr>
        <w:spacing w:after="0" w:line="20" w:lineRule="exact"/>
        <w:rPr>
          <w:sz w:val="20"/>
          <w:szCs w:val="20"/>
          <w:color w:val="auto"/>
        </w:rPr>
      </w:pPr>
      <w:r>
        <w:rPr>
          <w:sz w:val="20"/>
          <w:szCs w:val="20"/>
          <w:color w:val="auto"/>
        </w:rPr>
        <w:br w:type="column"/>
      </w:r>
    </w:p>
    <w:p>
      <w:pPr>
        <w:ind w:right="220"/>
        <w:spacing w:after="0"/>
        <w:rPr>
          <w:sz w:val="20"/>
          <w:szCs w:val="20"/>
          <w:color w:val="auto"/>
        </w:rPr>
      </w:pPr>
      <w:r>
        <w:rPr>
          <w:rFonts w:ascii="Arial" w:cs="Arial" w:eastAsia="Arial" w:hAnsi="Arial"/>
          <w:sz w:val="14"/>
          <w:szCs w:val="14"/>
          <w:color w:val="auto"/>
        </w:rPr>
        <w:t>“At the market offering” that may be made from time to time through our sales agent, SVB Securities LLC. See “Plan of Distribution” on page S-11.</w:t>
      </w:r>
    </w:p>
    <w:p>
      <w:pPr>
        <w:spacing w:after="0" w:line="123" w:lineRule="exact"/>
        <w:rPr>
          <w:sz w:val="20"/>
          <w:szCs w:val="20"/>
          <w:color w:val="auto"/>
        </w:rPr>
      </w:pPr>
    </w:p>
    <w:p>
      <w:pPr>
        <w:sectPr>
          <w:pgSz w:w="11900" w:h="16838" w:orient="portrait"/>
          <w:cols w:equalWidth="0" w:num="2">
            <w:col w:w="4440" w:space="720"/>
            <w:col w:w="6000"/>
          </w:cols>
          <w:pgMar w:left="320" w:top="383" w:right="419" w:bottom="1440" w:gutter="0" w:footer="0" w:header="0"/>
          <w:type w:val="continuous"/>
        </w:sectPr>
      </w:pPr>
    </w:p>
    <w:p>
      <w:pPr>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We intend to use the net proceeds from this offering to continue to fund the ongoing development of our</w:t>
      </w:r>
    </w:p>
    <w:p>
      <w:pPr>
        <w:spacing w:after="0" w:line="45" w:lineRule="exact"/>
        <w:rPr>
          <w:sz w:val="20"/>
          <w:szCs w:val="20"/>
          <w:color w:val="auto"/>
        </w:rPr>
      </w:pPr>
    </w:p>
    <w:p>
      <w:pPr>
        <w:sectPr>
          <w:pgSz w:w="11900" w:h="16838" w:orient="portrait"/>
          <w:cols w:equalWidth="0" w:num="2">
            <w:col w:w="4480" w:space="720"/>
            <w:col w:w="5960"/>
          </w:cols>
          <w:pgMar w:left="320" w:top="383" w:right="419" w:bottom="1440" w:gutter="0" w:footer="0" w:header="0"/>
          <w:type w:val="continuous"/>
        </w:sectPr>
      </w:pPr>
    </w:p>
    <w:p>
      <w:pPr>
        <w:ind w:left="5160" w:right="220"/>
        <w:spacing w:after="0" w:line="247" w:lineRule="auto"/>
        <w:rPr>
          <w:sz w:val="20"/>
          <w:szCs w:val="20"/>
          <w:color w:val="auto"/>
        </w:rPr>
      </w:pPr>
      <w:r>
        <w:rPr>
          <w:rFonts w:ascii="Arial" w:cs="Arial" w:eastAsia="Arial" w:hAnsi="Arial"/>
          <w:sz w:val="13"/>
          <w:szCs w:val="13"/>
          <w:color w:val="auto"/>
        </w:rPr>
        <w:t>late stage product candidates and for other general corporate purposes, including funding existing and potential new clinical programs, products and product candidates. See “Use of Proceeds.”</w:t>
      </w:r>
    </w:p>
    <w:p>
      <w:pPr>
        <w:sectPr>
          <w:pgSz w:w="11900" w:h="16838" w:orient="portrait"/>
          <w:cols w:equalWidth="0" w:num="1">
            <w:col w:w="11160"/>
          </w:cols>
          <w:pgMar w:left="320" w:top="383" w:right="41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Investing in our common stock involves a high degree of risk. You should read the “Risk Factors” section of this prospectus supplement beginning on page S-6 as well as those risk factors that are incorporated by reference in this prospectus supplement and the accompanying prospectus for a discussion of factors to consider carefully before deciding to invest in shares of our common stock.</w:t>
      </w:r>
    </w:p>
    <w:p>
      <w:pPr>
        <w:spacing w:after="0" w:line="121" w:lineRule="exact"/>
        <w:rPr>
          <w:sz w:val="20"/>
          <w:szCs w:val="20"/>
          <w:color w:val="auto"/>
        </w:rPr>
      </w:pPr>
    </w:p>
    <w:p>
      <w:pPr>
        <w:sectPr>
          <w:pgSz w:w="11900" w:h="16838" w:orient="portrait"/>
          <w:cols w:equalWidth="0" w:num="2">
            <w:col w:w="4440" w:space="720"/>
            <w:col w:w="6000"/>
          </w:cols>
          <w:pgMar w:left="320" w:top="383" w:right="419" w:bottom="1440" w:gutter="0" w:footer="0" w:header="0"/>
          <w:type w:val="continuous"/>
        </w:sectPr>
      </w:pPr>
    </w:p>
    <w:p>
      <w:pPr>
        <w:spacing w:after="0"/>
        <w:rPr>
          <w:sz w:val="20"/>
          <w:szCs w:val="20"/>
          <w:color w:val="auto"/>
        </w:rPr>
      </w:pPr>
      <w:r>
        <w:rPr>
          <w:rFonts w:ascii="Arial" w:cs="Arial" w:eastAsia="Arial" w:hAnsi="Arial"/>
          <w:sz w:val="14"/>
          <w:szCs w:val="14"/>
          <w:color w:val="auto"/>
        </w:rPr>
        <w:t>Nasdaq Global Market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“AXSM”</w:t>
      </w:r>
    </w:p>
    <w:p>
      <w:pPr>
        <w:spacing w:after="0" w:line="200" w:lineRule="exact"/>
        <w:rPr>
          <w:sz w:val="20"/>
          <w:szCs w:val="20"/>
          <w:color w:val="auto"/>
        </w:rPr>
      </w:pPr>
    </w:p>
    <w:p>
      <w:pPr>
        <w:sectPr>
          <w:pgSz w:w="11900" w:h="16838" w:orient="portrait"/>
          <w:cols w:equalWidth="0" w:num="2">
            <w:col w:w="4440" w:space="720"/>
            <w:col w:w="6000"/>
          </w:cols>
          <w:pgMar w:left="320" w:top="38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66040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383" w:right="41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179"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this Offering</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3"/>
          <w:szCs w:val="13"/>
          <w:color w:val="auto"/>
        </w:rPr>
        <w:t>We are a biopharmaceutical company with a limited operating history. For the last several years, we have focused our efforts primarily on developing CNS product candidates, AXS-05, AXS-07, AXS-12, and AXS-14, which we refer to herein as our product candidates, with the goal of achieving regulatory approval and commercialization. Since inception, we have incurred significant operating losses. Our net losses were $130.4 million and $102.9 million for twelve months ended December 31, 2021 and 2020, respectively. As of December 31, 2021, we had an accumulated deficit of $409.2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as we continue to develop our current and future product candidates. In addition, we expect to incur significant sales, marketing, and manufacturing expenses related to the commercialization of our current and future product candidates, if they are approved by the FDA. As a result, we expect to continue to incur significant losses for the foreseeable future. We anticipate that our expenses will increase substantially as we:</w:t>
      </w:r>
    </w:p>
    <w:p>
      <w:pPr>
        <w:spacing w:after="0" w:line="59" w:lineRule="exact"/>
        <w:rPr>
          <w:sz w:val="20"/>
          <w:szCs w:val="20"/>
          <w:color w:val="auto"/>
        </w:rPr>
      </w:pPr>
    </w:p>
    <w:p>
      <w:pPr>
        <w:ind w:left="1020" w:hanging="516"/>
        <w:spacing w:after="0" w:line="161" w:lineRule="exact"/>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seek regulatory approval for any product candidates that successfully complete late</w:t>
      </w:r>
      <w:r>
        <w:rPr>
          <w:rFonts w:ascii="MS PGothic" w:cs="MS PGothic" w:eastAsia="MS PGothic" w:hAnsi="MS PGothic"/>
          <w:sz w:val="14"/>
          <w:szCs w:val="14"/>
          <w:color w:val="auto"/>
        </w:rPr>
        <w:t>‑</w:t>
      </w:r>
      <w:r>
        <w:rPr>
          <w:rFonts w:ascii="Arial" w:cs="Arial" w:eastAsia="Arial" w:hAnsi="Arial"/>
          <w:sz w:val="14"/>
          <w:szCs w:val="14"/>
          <w:color w:val="auto"/>
        </w:rPr>
        <w:t>stage clinical trials;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hire additional commercial, clinical, medical, quality, regulatory, and scientific personnel;</w:t>
      </w:r>
    </w:p>
    <w:p>
      <w:pPr>
        <w:spacing w:after="0" w:line="87" w:lineRule="exact"/>
        <w:rPr>
          <w:rFonts w:ascii="Arial" w:cs="Arial" w:eastAsia="Arial" w:hAnsi="Arial"/>
          <w:sz w:val="14"/>
          <w:szCs w:val="14"/>
          <w:color w:val="auto"/>
        </w:rPr>
      </w:pPr>
    </w:p>
    <w:p>
      <w:pPr>
        <w:ind w:left="1020" w:right="780" w:hanging="516"/>
        <w:spacing w:after="0" w:line="258"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add operational, financial, and management information systems and personnel, including personnel to support our product candidate development and planned future commercialization efforts;</w:t>
      </w:r>
    </w:p>
    <w:p>
      <w:pPr>
        <w:spacing w:after="0" w:line="55"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further establish a sales, marketing, and distribution infrastructure;</w:t>
      </w:r>
    </w:p>
    <w:p>
      <w:pPr>
        <w:spacing w:after="0" w:line="87" w:lineRule="exact"/>
        <w:rPr>
          <w:rFonts w:ascii="Arial" w:cs="Arial" w:eastAsia="Arial" w:hAnsi="Arial"/>
          <w:sz w:val="14"/>
          <w:szCs w:val="14"/>
          <w:color w:val="auto"/>
        </w:rPr>
      </w:pPr>
    </w:p>
    <w:p>
      <w:pPr>
        <w:ind w:left="1020" w:hanging="516"/>
        <w:spacing w:after="0" w:line="258"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expand external manufacturing capabilities and production to commercialize any products for which we may obtain regulatory approval and that we choose not to license to a third-party;</w:t>
      </w:r>
    </w:p>
    <w:p>
      <w:pPr>
        <w:spacing w:after="0" w:line="55"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undertake additional manufacturing activities of our product candidates to satisfy FDA requirements for marketing application submissions;</w:t>
      </w:r>
    </w:p>
    <w:p>
      <w:pPr>
        <w:spacing w:after="0" w:line="87"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conduct our clinical trials with AXS</w:t>
      </w:r>
      <w:r>
        <w:rPr>
          <w:rFonts w:ascii="MS PGothic" w:cs="MS PGothic" w:eastAsia="MS PGothic" w:hAnsi="MS PGothic"/>
          <w:sz w:val="14"/>
          <w:szCs w:val="14"/>
          <w:color w:val="auto"/>
        </w:rPr>
        <w:t>‑</w:t>
      </w:r>
      <w:r>
        <w:rPr>
          <w:rFonts w:ascii="Arial" w:cs="Arial" w:eastAsia="Arial" w:hAnsi="Arial"/>
          <w:sz w:val="14"/>
          <w:szCs w:val="14"/>
          <w:color w:val="auto"/>
        </w:rPr>
        <w:t>05 in AD agitation;</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conduct our clinical trials with AXS-12 in narcolepsy;</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 to evaluate, plan for, and conduct, clinical trials for AXS-05 as an aid to smoking cessation and other CNS disorders;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 to evaluate, plan for, and submit an NDA for AXS-14 in fibromyalgia;</w:t>
      </w:r>
    </w:p>
    <w:p>
      <w:pPr>
        <w:spacing w:after="0" w:line="87"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develop, in</w:t>
      </w:r>
      <w:r>
        <w:rPr>
          <w:rFonts w:ascii="MS PGothic" w:cs="MS PGothic" w:eastAsia="MS PGothic" w:hAnsi="MS PGothic"/>
          <w:sz w:val="14"/>
          <w:szCs w:val="14"/>
          <w:color w:val="auto"/>
        </w:rPr>
        <w:t>‑</w:t>
      </w:r>
      <w:r>
        <w:rPr>
          <w:rFonts w:ascii="Arial" w:cs="Arial" w:eastAsia="Arial" w:hAnsi="Arial"/>
          <w:sz w:val="14"/>
          <w:szCs w:val="14"/>
          <w:color w:val="auto"/>
        </w:rPr>
        <w:t>license, or acquire additional product candidates;</w:t>
      </w:r>
    </w:p>
    <w:p>
      <w:pPr>
        <w:spacing w:after="0" w:line="87"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conduct late</w:t>
      </w:r>
      <w:r>
        <w:rPr>
          <w:rFonts w:ascii="MS PGothic" w:cs="MS PGothic" w:eastAsia="MS PGothic" w:hAnsi="MS PGothic"/>
          <w:sz w:val="14"/>
          <w:szCs w:val="14"/>
          <w:color w:val="auto"/>
        </w:rPr>
        <w:t>‑</w:t>
      </w:r>
      <w:r>
        <w:rPr>
          <w:rFonts w:ascii="Arial" w:cs="Arial" w:eastAsia="Arial" w:hAnsi="Arial"/>
          <w:sz w:val="14"/>
          <w:szCs w:val="14"/>
          <w:color w:val="auto"/>
        </w:rPr>
        <w:t>stage clinical trials for any product candidates that successfully complete early</w:t>
      </w:r>
      <w:r>
        <w:rPr>
          <w:rFonts w:ascii="MS PGothic" w:cs="MS PGothic" w:eastAsia="MS PGothic" w:hAnsi="MS PGothic"/>
          <w:sz w:val="14"/>
          <w:szCs w:val="14"/>
          <w:color w:val="auto"/>
        </w:rPr>
        <w:t>‑</w:t>
      </w:r>
      <w:r>
        <w:rPr>
          <w:rFonts w:ascii="Arial" w:cs="Arial" w:eastAsia="Arial" w:hAnsi="Arial"/>
          <w:sz w:val="14"/>
          <w:szCs w:val="14"/>
          <w:color w:val="auto"/>
        </w:rPr>
        <w:t>stage clinical trials;</w:t>
      </w:r>
    </w:p>
    <w:p>
      <w:pPr>
        <w:spacing w:after="0" w:line="87"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conduct additional non</w:t>
      </w:r>
      <w:r>
        <w:rPr>
          <w:rFonts w:ascii="MS PGothic" w:cs="MS PGothic" w:eastAsia="MS PGothic" w:hAnsi="MS PGothic"/>
          <w:sz w:val="14"/>
          <w:szCs w:val="14"/>
          <w:color w:val="auto"/>
        </w:rPr>
        <w:t>‑</w:t>
      </w:r>
      <w:r>
        <w:rPr>
          <w:rFonts w:ascii="Arial" w:cs="Arial" w:eastAsia="Arial" w:hAnsi="Arial"/>
          <w:sz w:val="14"/>
          <w:szCs w:val="14"/>
          <w:color w:val="auto"/>
        </w:rPr>
        <w:t>clinical studies with any product candidates;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conduct clinical studies with any additional product candidates;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require larger quantities of product; and</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70" w:lineRule="exact"/>
        <w:rPr>
          <w:sz w:val="20"/>
          <w:szCs w:val="20"/>
          <w:color w:val="auto"/>
        </w:rPr>
      </w:pPr>
    </w:p>
    <w:p>
      <w:pPr>
        <w:ind w:right="120"/>
        <w:spacing w:after="0" w:line="296" w:lineRule="auto"/>
        <w:rPr>
          <w:sz w:val="20"/>
          <w:szCs w:val="20"/>
          <w:color w:val="auto"/>
        </w:rPr>
      </w:pPr>
      <w:r>
        <w:rPr>
          <w:rFonts w:ascii="Arial" w:cs="Arial" w:eastAsia="Arial" w:hAnsi="Arial"/>
          <w:sz w:val="13"/>
          <w:szCs w:val="13"/>
          <w:color w:val="auto"/>
        </w:rPr>
        <w:t>To become and remain profitable, we must succeed in developing and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80"/>
        <w:spacing w:after="0" w:line="263" w:lineRule="auto"/>
        <w:rPr>
          <w:sz w:val="20"/>
          <w:szCs w:val="20"/>
          <w:color w:val="auto"/>
        </w:rPr>
      </w:pPr>
      <w:r>
        <w:rPr>
          <w:rFonts w:ascii="Arial" w:cs="Arial" w:eastAsia="Arial" w:hAnsi="Arial"/>
          <w:sz w:val="13"/>
          <w:szCs w:val="13"/>
          <w:color w:val="auto"/>
        </w:rPr>
        <w:t>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37"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0"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39" w:lineRule="exact"/>
        <w:rPr>
          <w:sz w:val="20"/>
          <w:szCs w:val="20"/>
          <w:color w:val="auto"/>
        </w:rPr>
      </w:pPr>
    </w:p>
    <w:p>
      <w:pPr>
        <w:ind w:right="180"/>
        <w:spacing w:after="0" w:line="168" w:lineRule="exact"/>
        <w:rPr>
          <w:sz w:val="20"/>
          <w:szCs w:val="20"/>
          <w:color w:val="auto"/>
        </w:rPr>
      </w:pPr>
      <w:r>
        <w:rPr>
          <w:rFonts w:ascii="Arial" w:cs="Arial" w:eastAsia="Arial" w:hAnsi="Arial"/>
          <w:sz w:val="14"/>
          <w:szCs w:val="14"/>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4"/>
          <w:szCs w:val="14"/>
          <w:color w:val="auto"/>
        </w:rPr>
        <w:t>‑</w:t>
      </w:r>
      <w:r>
        <w:rPr>
          <w:rFonts w:ascii="Arial" w:cs="Arial" w:eastAsia="Arial" w:hAnsi="Arial"/>
          <w:sz w:val="14"/>
          <w:szCs w:val="14"/>
          <w:color w:val="auto"/>
        </w:rPr>
        <w:t>consuming, expensive, and uncertain process that takes years to complete. We may need to raise additional capital to:</w:t>
      </w:r>
    </w:p>
    <w:p>
      <w:pPr>
        <w:spacing w:after="0" w:line="68" w:lineRule="exact"/>
        <w:rPr>
          <w:sz w:val="20"/>
          <w:szCs w:val="20"/>
          <w:color w:val="auto"/>
        </w:rPr>
      </w:pPr>
    </w:p>
    <w:p>
      <w:pPr>
        <w:ind w:left="1020" w:hanging="516"/>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fund our future clinical trials for our current product candidates, especially if we encounter any unforeseen delays or difficulties in our planned development activities;</w:t>
      </w:r>
    </w:p>
    <w:p>
      <w:pPr>
        <w:spacing w:after="0" w:line="87" w:lineRule="exact"/>
        <w:rPr>
          <w:rFonts w:ascii="Arial" w:cs="Arial" w:eastAsia="Arial" w:hAnsi="Arial"/>
          <w:sz w:val="14"/>
          <w:szCs w:val="14"/>
          <w:color w:val="auto"/>
        </w:rPr>
      </w:pPr>
    </w:p>
    <w:p>
      <w:pPr>
        <w:ind w:left="1020" w:right="420" w:hanging="516"/>
        <w:spacing w:after="0" w:line="258"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55"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qualify and outsource the commercial</w:t>
      </w:r>
      <w:r>
        <w:rPr>
          <w:rFonts w:ascii="MS PGothic" w:cs="MS PGothic" w:eastAsia="MS PGothic" w:hAnsi="MS PGothic"/>
          <w:sz w:val="14"/>
          <w:szCs w:val="14"/>
          <w:color w:val="auto"/>
        </w:rPr>
        <w:t>‑</w:t>
      </w:r>
      <w:r>
        <w:rPr>
          <w:rFonts w:ascii="Arial" w:cs="Arial" w:eastAsia="Arial" w:hAnsi="Arial"/>
          <w:sz w:val="14"/>
          <w:szCs w:val="14"/>
          <w:color w:val="auto"/>
        </w:rPr>
        <w:t>scale manufacturing of our products under current good manufacturing practices, or cGMP;</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 additional product candidates; and</w:t>
      </w:r>
    </w:p>
    <w:p>
      <w:pPr>
        <w:spacing w:after="0" w:line="87"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license other product candidates.</w:t>
      </w:r>
    </w:p>
    <w:p>
      <w:pPr>
        <w:spacing w:after="0" w:line="170"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We believe our current available cash, along with the remaining committed capital from the $300 million term loan facility with Hercules Capital, Inc., is sufficient to fund anticipated operations, based on the current operating plan, which includes costs for the potential commercial launch of AXS-05 in MDD and AXS-07 in migraine, into at least 2024.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68" w:lineRule="exact"/>
        <w:rPr>
          <w:sz w:val="20"/>
          <w:szCs w:val="20"/>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rate of progress and costs related to the development of our product candidates;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costs associated with conducting additional clinical and non-clinical studies with any of our product candidates;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potential for delays in our efforts to seek regulatory approval for our product candidates, and any costs associated with such delays;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costs of establishing a commercial organization to sell, market, and distribute our product candidates;</w:t>
      </w:r>
    </w:p>
    <w:p>
      <w:pPr>
        <w:spacing w:after="0" w:line="87" w:lineRule="exact"/>
        <w:rPr>
          <w:rFonts w:ascii="Arial" w:cs="Arial" w:eastAsia="Arial" w:hAnsi="Arial"/>
          <w:sz w:val="14"/>
          <w:szCs w:val="14"/>
          <w:color w:val="auto"/>
        </w:rPr>
      </w:pPr>
    </w:p>
    <w:p>
      <w:pPr>
        <w:ind w:left="1020" w:right="180" w:hanging="516"/>
        <w:spacing w:after="0" w:line="168" w:lineRule="exact"/>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rate of progress and costs of our efforts to prepare for the submission of an NDA, for any product candidates that we may in</w:t>
      </w:r>
      <w:r>
        <w:rPr>
          <w:rFonts w:ascii="MS PGothic" w:cs="MS PGothic" w:eastAsia="MS PGothic" w:hAnsi="MS PGothic"/>
          <w:sz w:val="14"/>
          <w:szCs w:val="14"/>
          <w:color w:val="auto"/>
        </w:rPr>
        <w:t>‑</w:t>
      </w:r>
      <w:r>
        <w:rPr>
          <w:rFonts w:ascii="Arial" w:cs="Arial" w:eastAsia="Arial" w:hAnsi="Arial"/>
          <w:sz w:val="14"/>
          <w:szCs w:val="14"/>
          <w:color w:val="auto"/>
        </w:rPr>
        <w:t>license or acquire in the future, and the potential that we may need to conduct additional clinical or preclinical trials to support applications for regulatory approval;</w:t>
      </w:r>
    </w:p>
    <w:p>
      <w:pPr>
        <w:spacing w:after="0" w:line="68"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costs of filing, prosecuting, defending, and enforcing any patent claims and other intellectual property rights associated with our product candidates;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cost and timing of manufacturing, or having third parties manufacture, sufficient supplies of our product candidates in preparation for commercialization;</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 if any, received from commercial sales of our product candidates, subject to the receipt of regulatory approval;</w:t>
      </w:r>
    </w:p>
    <w:p>
      <w:pPr>
        <w:spacing w:after="0" w:line="87" w:lineRule="exact"/>
        <w:rPr>
          <w:rFonts w:ascii="Arial" w:cs="Arial" w:eastAsia="Arial" w:hAnsi="Arial"/>
          <w:sz w:val="14"/>
          <w:szCs w:val="14"/>
          <w:color w:val="auto"/>
        </w:rPr>
      </w:pPr>
    </w:p>
    <w:p>
      <w:pPr>
        <w:ind w:left="1020" w:hanging="516"/>
        <w:spacing w:after="0" w:line="161" w:lineRule="exact"/>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terms and timing of any collaborative, licensing, co</w:t>
      </w:r>
      <w:r>
        <w:rPr>
          <w:rFonts w:ascii="MS PGothic" w:cs="MS PGothic" w:eastAsia="MS PGothic" w:hAnsi="MS PGothic"/>
          <w:sz w:val="14"/>
          <w:szCs w:val="14"/>
          <w:color w:val="auto"/>
        </w:rPr>
        <w:t>‑</w:t>
      </w:r>
      <w:r>
        <w:rPr>
          <w:rFonts w:ascii="Arial" w:cs="Arial" w:eastAsia="Arial" w:hAnsi="Arial"/>
          <w:sz w:val="14"/>
          <w:szCs w:val="14"/>
          <w:color w:val="auto"/>
        </w:rPr>
        <w:t>promotion, or other arrangements that we may establish; and</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success of the commercialization of any of our current or future product candidates.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500" w:right="160"/>
        <w:spacing w:after="0" w:line="263" w:lineRule="auto"/>
        <w:rPr>
          <w:sz w:val="20"/>
          <w:szCs w:val="20"/>
          <w:color w:val="auto"/>
        </w:rPr>
      </w:pPr>
      <w:r>
        <w:rPr>
          <w:rFonts w:ascii="Arial" w:cs="Arial" w:eastAsia="Arial" w:hAnsi="Arial"/>
          <w:sz w:val="13"/>
          <w:szCs w:val="13"/>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 will have broad discretion as to the use of any proceeds from this offering, and we may not use the proceeds effectively.</w:t>
      </w:r>
    </w:p>
    <w:p>
      <w:pPr>
        <w:spacing w:after="0" w:line="146"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is not possible to predict the aggregate proceeds resulting from sales made under the Sales Agreement.</w:t>
      </w:r>
    </w:p>
    <w:p>
      <w:pPr>
        <w:spacing w:after="0" w:line="146" w:lineRule="exact"/>
        <w:rPr>
          <w:sz w:val="20"/>
          <w:szCs w:val="20"/>
          <w:color w:val="auto"/>
        </w:rPr>
      </w:pPr>
    </w:p>
    <w:p>
      <w:pPr>
        <w:ind w:right="140"/>
        <w:spacing w:after="0" w:line="292" w:lineRule="auto"/>
        <w:rPr>
          <w:sz w:val="20"/>
          <w:szCs w:val="20"/>
          <w:color w:val="auto"/>
        </w:rPr>
      </w:pPr>
      <w:r>
        <w:rPr>
          <w:rFonts w:ascii="Arial" w:cs="Arial" w:eastAsia="Arial" w:hAnsi="Arial"/>
          <w:sz w:val="12"/>
          <w:szCs w:val="12"/>
          <w:color w:val="auto"/>
        </w:rPr>
        <w:t>Subject to certain limitations in the Sales Agreement and compliance with applicable law, we have the discretion to deliver a placement notice to SVB Securities at any time throughout the term of the Sales Agreement. The number of shares that are sold through SVB Securities after delivering a placement notice will fluctuate based on a number of factors, including the market price of our common stock during the sales period, any limits we may set with SVB Securities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common stock offered hereby will be sold in “at-the-market offerings” and investors who buy shares at different times will likely pay different prices.</w:t>
      </w:r>
    </w:p>
    <w:p>
      <w:pPr>
        <w:spacing w:after="0" w:line="146"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you purchase our common stock in this offering, you may incur immediate and substantial dilution in the book value of your shares.</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7,094,714 shares of our common stock are sold at an assumed offering price of $28.19 per share, the last reported sale price of our common stock on the Nasdaq Global Market on February 25, 2022, for aggregate gross proceeds of approximately $200 million, and after deducting commissions and estimated offering expenses payable by us, you would experience immediate dilution of $23.53 per share, representing the difference between our as adjusted net tangible book value per share as of December 31, 2021,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12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may issue and sell shares of our common stock having an aggregate offering price of up to $200 million from time to time. Because there is no minimum offering amount required as a condition to close this offering, the actual total public offering amount, commissions to SVB Securities and proceeds to us, if any, are not determinable at this time. There can be no assurance that we will sell any shares under the Sales Agreement as a source of financing.</w:t>
      </w:r>
    </w:p>
    <w:p>
      <w:pPr>
        <w:spacing w:after="0" w:line="126"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We intend to use the net proceeds from this offering to continue to fund the ongoing development of our late stage product candidates and for other general corporate purposes, including funding existing and potential new clinical programs, products and product candidates.</w:t>
      </w:r>
    </w:p>
    <w:p>
      <w:pPr>
        <w:spacing w:after="0" w:line="115" w:lineRule="exact"/>
        <w:rPr>
          <w:sz w:val="20"/>
          <w:szCs w:val="20"/>
          <w:color w:val="auto"/>
        </w:rPr>
      </w:pPr>
    </w:p>
    <w:p>
      <w:pPr>
        <w:ind w:right="480"/>
        <w:spacing w:after="0" w:line="271" w:lineRule="auto"/>
        <w:rPr>
          <w:sz w:val="20"/>
          <w:szCs w:val="20"/>
          <w:color w:val="auto"/>
        </w:rPr>
      </w:pPr>
      <w:r>
        <w:rPr>
          <w:rFonts w:ascii="Arial" w:cs="Arial" w:eastAsia="Arial" w:hAnsi="Arial"/>
          <w:sz w:val="13"/>
          <w:szCs w:val="13"/>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Until we use the net proceeds of this offering for the purposes described above, we intend to invest any funds we receive in short-term, investment-grade, interest-bearing instruments and U.S.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government securities. We cannot predict whether these investments will yield a favorable return.</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83" w:right="3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8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At December 31, 2021, our net tangible book value was $15,630,353, or $0.41 per share of common stock, based on 37,816,794 shares of common stock then outstanding. After giving effect to the assumed sale by us of an aggregate of 7,094,714 shares of our common stock at an assumed offering price of $28.19 per share, the last reported sale price of our common stock on the Nasdaq Global Market on February 25, 2022, for aggregate gross proceeds of approximately $200 million, and after deducting commissions and estimated offering expenses payable by us, our net tangible book value at December 31, 2021 would have been $209,430,340, or $4.66 per share of common stock. This represents an immediate increase in net tangible book value to existing stockholders of $4.25 per share and an immediate dilution of $23.53 per share to new investors purchasing common stock at the assumed offering price of $28.19 per share in this offering.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The following table illustrates this per share dilution to the new investors purchasing shares of common stock in this offering:</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1"/>
        </w:trPr>
        <w:tc>
          <w:tcPr>
            <w:tcW w:w="8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 per share</w:t>
            </w:r>
          </w:p>
        </w:tc>
        <w:tc>
          <w:tcPr>
            <w:tcW w:w="3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28.19</w:t>
            </w:r>
          </w:p>
        </w:tc>
      </w:tr>
      <w:tr>
        <w:trPr>
          <w:trHeight w:val="166"/>
        </w:trPr>
        <w:tc>
          <w:tcPr>
            <w:tcW w:w="8840" w:type="dxa"/>
            <w:vAlign w:val="bottom"/>
          </w:tcPr>
          <w:p>
            <w:pPr>
              <w:ind w:left="120"/>
              <w:spacing w:after="0"/>
              <w:rPr>
                <w:sz w:val="20"/>
                <w:szCs w:val="20"/>
                <w:color w:val="auto"/>
              </w:rPr>
            </w:pPr>
            <w:r>
              <w:rPr>
                <w:rFonts w:ascii="Arial" w:cs="Arial" w:eastAsia="Arial" w:hAnsi="Arial"/>
                <w:sz w:val="14"/>
                <w:szCs w:val="14"/>
                <w:color w:val="auto"/>
              </w:rPr>
              <w:t>Net tangible book value per share at December 31, 2021</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0.41</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Increase in net tangible book value per share attributable to new investors purchasing shares in this offering</w:t>
            </w:r>
          </w:p>
        </w:tc>
        <w:tc>
          <w:tcPr>
            <w:tcW w:w="3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4.25</w:t>
            </w:r>
          </w:p>
        </w:tc>
        <w:tc>
          <w:tcPr>
            <w:tcW w:w="2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57"/>
        </w:trPr>
        <w:tc>
          <w:tcPr>
            <w:tcW w:w="8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6"/>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As adjusted net tangible book value per share at December 31, 2021, after giving effect to this offering</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4.66</w:t>
            </w:r>
          </w:p>
        </w:tc>
      </w:tr>
      <w:tr>
        <w:trPr>
          <w:trHeight w:val="166"/>
        </w:trPr>
        <w:tc>
          <w:tcPr>
            <w:tcW w:w="8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r>
      <w:tr>
        <w:trPr>
          <w:trHeight w:val="197"/>
        </w:trPr>
        <w:tc>
          <w:tcPr>
            <w:tcW w:w="884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Dilution per share to investors purchasing shares in this offering</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9"/>
              <w:spacing w:after="0" w:line="146"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29"/>
              <w:spacing w:after="0" w:line="146" w:lineRule="exact"/>
              <w:rPr>
                <w:sz w:val="20"/>
                <w:szCs w:val="20"/>
                <w:color w:val="auto"/>
              </w:rPr>
            </w:pPr>
            <w:r>
              <w:rPr>
                <w:rFonts w:ascii="Arial" w:cs="Arial" w:eastAsia="Arial" w:hAnsi="Arial"/>
                <w:sz w:val="14"/>
                <w:szCs w:val="14"/>
                <w:color w:val="auto"/>
              </w:rPr>
              <w:t>23.53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6191885</wp:posOffset>
            </wp:positionH>
            <wp:positionV relativeFrom="paragraph">
              <wp:posOffset>-459740</wp:posOffset>
            </wp:positionV>
            <wp:extent cx="172720" cy="10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720" cy="101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The foregoing table and calculations are based on 37,816,794 shares of our common stock outstanding as of December 31, 2021, and excludes:</w:t>
      </w:r>
    </w:p>
    <w:p>
      <w:pPr>
        <w:spacing w:after="0" w:line="87" w:lineRule="exact"/>
        <w:rPr>
          <w:sz w:val="20"/>
          <w:szCs w:val="20"/>
          <w:color w:val="auto"/>
        </w:rPr>
      </w:pPr>
    </w:p>
    <w:p>
      <w:pPr>
        <w:ind w:left="1020" w:hanging="516"/>
        <w:spacing w:after="0" w:line="258"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326,625 shares of common stock covering an equal amount of restricted stock units outstanding as of December 31, 2021, at a weighed average grant date fair value price of $41.47 per share;</w:t>
      </w:r>
    </w:p>
    <w:p>
      <w:pPr>
        <w:spacing w:after="0" w:line="55" w:lineRule="exact"/>
        <w:rPr>
          <w:rFonts w:ascii="Arial" w:cs="Arial" w:eastAsia="Arial" w:hAnsi="Arial"/>
          <w:sz w:val="14"/>
          <w:szCs w:val="14"/>
          <w:color w:val="auto"/>
        </w:rPr>
      </w:pPr>
    </w:p>
    <w:p>
      <w:pPr>
        <w:ind w:left="1020" w:hanging="516"/>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5,090,377 shares of common stock issuable upon exercise of stock options outstanding as of December 31, 2021, at a weighted average exercise price of $29.17 per share;</w:t>
      </w:r>
    </w:p>
    <w:p>
      <w:pPr>
        <w:spacing w:after="0" w:line="98" w:lineRule="exact"/>
        <w:rPr>
          <w:rFonts w:ascii="Arial" w:cs="Arial" w:eastAsia="Arial" w:hAnsi="Arial"/>
          <w:sz w:val="13"/>
          <w:szCs w:val="13"/>
          <w:color w:val="auto"/>
        </w:rPr>
      </w:pPr>
    </w:p>
    <w:p>
      <w:pPr>
        <w:ind w:left="1020" w:hanging="516"/>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15,541 shares of common stock issuable upon the exercise of outstanding warrants as of December 31, 2021, with an exercise price of $80.43 per share; and</w:t>
      </w:r>
    </w:p>
    <w:p>
      <w:pPr>
        <w:spacing w:after="0" w:line="87" w:lineRule="exact"/>
        <w:rPr>
          <w:rFonts w:ascii="Arial" w:cs="Arial" w:eastAsia="Arial" w:hAnsi="Arial"/>
          <w:sz w:val="14"/>
          <w:szCs w:val="14"/>
          <w:color w:val="auto"/>
        </w:rPr>
      </w:pPr>
    </w:p>
    <w:p>
      <w:pPr>
        <w:ind w:left="1020" w:hanging="516"/>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3,740,858 shares of common stock available for future grant under our Amended and Restated 2015 Omnibus Incentive Compensation Plan as of December 31, 2021;</w:t>
      </w:r>
    </w:p>
    <w:p>
      <w:pPr>
        <w:spacing w:after="0" w:line="158" w:lineRule="exact"/>
        <w:rPr>
          <w:sz w:val="20"/>
          <w:szCs w:val="20"/>
          <w:color w:val="auto"/>
        </w:rPr>
      </w:pPr>
    </w:p>
    <w:p>
      <w:pPr>
        <w:ind w:right="60"/>
        <w:spacing w:after="0" w:line="234" w:lineRule="auto"/>
        <w:rPr>
          <w:sz w:val="20"/>
          <w:szCs w:val="20"/>
          <w:color w:val="auto"/>
        </w:rPr>
      </w:pPr>
      <w:r>
        <w:rPr>
          <w:rFonts w:ascii="Arial" w:cs="Arial" w:eastAsia="Arial" w:hAnsi="Arial"/>
          <w:sz w:val="14"/>
          <w:szCs w:val="14"/>
          <w:color w:val="auto"/>
        </w:rPr>
        <w:t>An increase of $1.00 per share in the price at which the shares are sold from the assumed offering price of $28.19 per share shown in the table above, assuming all of our common stock in the aggregate amount of $200 million during the term of the Sales Agreement with SVB Securities is sold at that price, would increase our as adjusted net tangible book value per share to $4.69 per share and would increase the dilution in net tangible book value per share to new investors in this offering to $24.50 per share, after deducting commissions and estimated offering expenses payable by us. A decrease of $1.00 per share in the price at which the shares are sold from the assumed offering price of $28.19 per share shown in the table above, assuming all of our common stock in the aggregate amount of $200 million during the term of the Sales Agreement with SVB Securities is sold at that price, would decrease our as adjusted net tangible book value per share to $4.64 per share and would decrease the dilution in net tangible book value per share to new investors in this offering to $22.55 per share, after deducting commissions and estimated offering expenses payable by us.</w:t>
      </w:r>
    </w:p>
    <w:p>
      <w:pPr>
        <w:spacing w:after="0" w:line="131"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The information discussed above is illustrative only and the shares subject to our Sales Agreement with SVB Securities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PLAN OF DISTRIBUTION</w:t>
      </w:r>
    </w:p>
    <w:p>
      <w:pPr>
        <w:spacing w:after="0" w:line="150" w:lineRule="exact"/>
        <w:rPr>
          <w:sz w:val="20"/>
          <w:szCs w:val="20"/>
          <w:color w:val="auto"/>
        </w:rPr>
      </w:pPr>
    </w:p>
    <w:p>
      <w:pPr>
        <w:ind w:right="140"/>
        <w:spacing w:after="0" w:line="271" w:lineRule="auto"/>
        <w:rPr>
          <w:sz w:val="20"/>
          <w:szCs w:val="20"/>
          <w:color w:val="auto"/>
        </w:rPr>
      </w:pPr>
      <w:r>
        <w:rPr>
          <w:rFonts w:ascii="Arial" w:cs="Arial" w:eastAsia="Arial" w:hAnsi="Arial"/>
          <w:sz w:val="13"/>
          <w:szCs w:val="13"/>
          <w:color w:val="auto"/>
        </w:rPr>
        <w:t>We have entered into a Sales Agreement with SVB Securities LLC, or SVB Securities, under which we may issue and sell up to $200 million of our common stock from time to time through SVB Securities as our sales agent.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SVB Securities will offer our common stock subject to the terms and conditions of the Sales Agreement on a daily basis or as otherwise agreed upon by us and SVB Securities. We will designate the maximum number or amount of common stock to be sold through SVB Securities on a daily basis or otherwise determine such maximum number or amount together with SVB Securities. Subject to the terms and conditions of the Sales Agreement, SVB Securities will use commercially reasonable efforts consistent with its normal trading and sales practices to sell on our behalf all of the common stock requested to be sold by us. We may instruct SVB Securities not to sell common stock if the sales cannot be effected at or above a minimum price designated by us in any such instruction. SVB Securities or we may suspend the offering of our common stock being made through SVB Securities under the Sales Agreement upon proper notice to the other party. SVB Securities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The compensation payable to SVB Securities as sales agent will be an amount equal to 3.0% of the gross proceeds of any shares of common stock sold through it pursuant to the Sales Agreement. We have also agreed to reimburse SVB Securities for actual outside legal expenses incurred by SVB Securities in connection with this offering, including SVB Securities’ counsel fees in an amount up to $50,000, plus an additional amount of up to $15,000 in connection with determining our compliance with the rules and regulations of the Financial Industry Regulatory Authority, Inc., or FINRA. In accordance with FINRA Rule 5110 these reimbursed fees and expenses are deemed sales compensation to SVB Securities in connection with this offering. We estimate that the total expenses of the offering payable by us, excluding commissions payable to SVB Securities under the Sales Agreement, will be approximately $150,000.</w:t>
      </w:r>
    </w:p>
    <w:p>
      <w:pPr>
        <w:spacing w:after="0" w:line="116"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ind w:right="40"/>
        <w:spacing w:after="0" w:line="236" w:lineRule="auto"/>
        <w:rPr>
          <w:sz w:val="20"/>
          <w:szCs w:val="20"/>
          <w:color w:val="auto"/>
        </w:rPr>
      </w:pPr>
      <w:r>
        <w:rPr>
          <w:rFonts w:ascii="Arial" w:cs="Arial" w:eastAsia="Arial" w:hAnsi="Arial"/>
          <w:sz w:val="14"/>
          <w:szCs w:val="14"/>
          <w:color w:val="auto"/>
        </w:rPr>
        <w:t>SVB Securities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128" w:lineRule="exact"/>
        <w:rPr>
          <w:sz w:val="20"/>
          <w:szCs w:val="20"/>
          <w:color w:val="auto"/>
        </w:rPr>
      </w:pPr>
    </w:p>
    <w:p>
      <w:pPr>
        <w:ind w:right="340"/>
        <w:spacing w:after="0" w:line="238" w:lineRule="auto"/>
        <w:rPr>
          <w:sz w:val="20"/>
          <w:szCs w:val="20"/>
          <w:color w:val="auto"/>
        </w:rPr>
      </w:pPr>
      <w:r>
        <w:rPr>
          <w:rFonts w:ascii="Arial" w:cs="Arial" w:eastAsia="Arial" w:hAnsi="Arial"/>
          <w:sz w:val="14"/>
          <w:szCs w:val="14"/>
          <w:color w:val="auto"/>
        </w:rPr>
        <w:t>We will report at least quarterly the number of shares of common stock sold through SVB Securities under the Sales Agreement, the net proceeds to us and the compensation paid by us to SVB Securities in connection with the sales of common stock during the relevant period.</w:t>
      </w:r>
    </w:p>
    <w:p>
      <w:pPr>
        <w:ind w:right="340"/>
        <w:spacing w:after="0"/>
        <w:rPr>
          <w:sz w:val="20"/>
          <w:szCs w:val="20"/>
          <w:color w:val="auto"/>
        </w:rPr>
      </w:pPr>
      <w:r>
        <w:rPr>
          <w:rFonts w:ascii="Arial" w:cs="Arial" w:eastAsia="Arial" w:hAnsi="Arial"/>
          <w:sz w:val="14"/>
          <w:szCs w:val="14"/>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127"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In connection with the sale of the common stock on our behalf pursuant to the Sales Agreement, SVB Securities will be deemed to be an “underwriter” within the meaning of the Securities Act and the compensation paid to SVB Securities will be deemed to be underwriting commissions or discounts. We have agreed in the Sales Agreement to provide indemnification and contribution to SVB Securities with respect to certain liabilities, including liabilities under the Securities Act or the Exchange Act. As sales agent, SVB Securities will not engage in any transactions that stabilize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Nasdaq Global Market and trade under the symbol “AXSM.” The transfer agent of our common stock is American Stock Transfer &amp; Trust Company, LLC.</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SVB Securities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MATTERS</w:t>
      </w:r>
    </w:p>
    <w:p>
      <w:pPr>
        <w:spacing w:after="0" w:line="150"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 validity of the common stock being offered by this prospectus supplement will be passed upon for us by DLA Piper LLP (US), Short Hills, New Jersey. Covington &amp; Burling LLP, New York, New York, is counsel to SVB Securities in connection with this offering.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EXPERTS</w:t>
      </w:r>
    </w:p>
    <w:p>
      <w:pPr>
        <w:spacing w:after="0" w:line="150"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(to the extent covered by consents filed with the Securities and Exchange Commission), given on the authority as experts in accounting and auditing.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YOU CAN FIND MORE INFORMATION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This prospectus supplement and the accompanying prospectus form part of an automatic “shelf” registration statement on Form S-3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4"/>
          <w:szCs w:val="14"/>
          <w:color w:val="auto"/>
        </w:rPr>
        <w:t>You should not assume that the information in this prospectus is accurate as of any date other than the date on the front page of this prospectus supplement, regardless of the time of delivery of this prospectus supplement or any sale of the securities offered hereby.</w:t>
      </w:r>
    </w:p>
    <w:p>
      <w:pPr>
        <w:spacing w:after="0" w:line="127"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We maintain a website at </w:t>
      </w:r>
      <w:r>
        <w:rPr>
          <w:rFonts w:ascii="Arial" w:cs="Arial" w:eastAsia="Arial" w:hAnsi="Arial"/>
          <w:sz w:val="14"/>
          <w:szCs w:val="14"/>
          <w:i w:val="1"/>
          <w:iCs w:val="1"/>
          <w:color w:val="auto"/>
        </w:rPr>
        <w:t>www.axsome.com</w:t>
      </w:r>
      <w:r>
        <w:rPr>
          <w:rFonts w:ascii="Arial" w:cs="Arial" w:eastAsia="Arial" w:hAnsi="Arial"/>
          <w:sz w:val="14"/>
          <w:szCs w:val="14"/>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INCORPORATED BY REFERENCE</w:t>
      </w:r>
    </w:p>
    <w:p>
      <w:pPr>
        <w:spacing w:after="0" w:line="179" w:lineRule="exact"/>
        <w:rPr>
          <w:sz w:val="20"/>
          <w:szCs w:val="20"/>
          <w:color w:val="auto"/>
        </w:rPr>
      </w:pPr>
    </w:p>
    <w:p>
      <w:pPr>
        <w:ind w:right="280"/>
        <w:spacing w:after="0" w:line="271" w:lineRule="auto"/>
        <w:rPr>
          <w:sz w:val="20"/>
          <w:szCs w:val="20"/>
          <w:color w:val="auto"/>
        </w:rPr>
      </w:pPr>
      <w:r>
        <w:rPr>
          <w:rFonts w:ascii="Arial" w:cs="Arial" w:eastAsia="Arial" w:hAnsi="Arial"/>
          <w:sz w:val="13"/>
          <w:szCs w:val="13"/>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09"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56" w:lineRule="exact"/>
        <w:rPr>
          <w:sz w:val="20"/>
          <w:szCs w:val="20"/>
          <w:color w:val="auto"/>
        </w:rPr>
      </w:pPr>
    </w:p>
    <w:p>
      <w:pPr>
        <w:ind w:left="1020" w:hanging="516"/>
        <w:spacing w:after="0" w:line="161" w:lineRule="exact"/>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our annual report on </w:t>
      </w:r>
      <w:hyperlink r:id="rId28">
        <w:r>
          <w:rPr>
            <w:rFonts w:ascii="Arial" w:cs="Arial" w:eastAsia="Arial" w:hAnsi="Arial"/>
            <w:sz w:val="14"/>
            <w:szCs w:val="14"/>
            <w:u w:val="single" w:color="auto"/>
            <w:color w:val="0000FF"/>
          </w:rPr>
          <w:t>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fiscal year ended December 31, 2021 filed with the SEC on March 1, 2022</w:t>
        </w:r>
      </w:hyperlink>
      <w:r>
        <w:rPr>
          <w:rFonts w:ascii="Arial" w:cs="Arial" w:eastAsia="Arial" w:hAnsi="Arial"/>
          <w:sz w:val="14"/>
          <w:szCs w:val="14"/>
          <w:color w:val="auto"/>
        </w:rPr>
        <w:t>;</w:t>
      </w:r>
    </w:p>
    <w:p>
      <w:pPr>
        <w:spacing w:after="0" w:line="87" w:lineRule="exact"/>
        <w:rPr>
          <w:rFonts w:ascii="Arial" w:cs="Arial" w:eastAsia="Arial" w:hAnsi="Arial"/>
          <w:sz w:val="14"/>
          <w:szCs w:val="14"/>
          <w:color w:val="auto"/>
        </w:rPr>
      </w:pPr>
    </w:p>
    <w:p>
      <w:pPr>
        <w:ind w:left="1020" w:right="280" w:hanging="516"/>
        <w:spacing w:after="0" w:line="258" w:lineRule="auto"/>
        <w:tabs>
          <w:tab w:leader="none" w:pos="1020" w:val="left"/>
        </w:tabs>
        <w:numPr>
          <w:ilvl w:val="0"/>
          <w:numId w:val="6"/>
        </w:numPr>
        <w:rPr>
          <w:rFonts w:ascii="Arial" w:cs="Arial" w:eastAsia="Arial" w:hAnsi="Arial"/>
          <w:sz w:val="14"/>
          <w:szCs w:val="14"/>
          <w:u w:val="single" w:color="auto"/>
          <w:color w:val="0000FF"/>
        </w:rPr>
      </w:pPr>
      <w:hyperlink r:id="rId29">
        <w:r>
          <w:rPr>
            <w:rFonts w:ascii="Arial" w:cs="Arial" w:eastAsia="Arial" w:hAnsi="Arial"/>
            <w:sz w:val="14"/>
            <w:szCs w:val="14"/>
            <w:u w:val="single" w:color="auto"/>
            <w:color w:val="0000FF"/>
          </w:rPr>
          <w:t>the information contained in our definitive proxy statement on Schedule 14A for our 2021 Annual Meeting of Stockholders, filed with the SEC on April 23, 2021, to the extent</w:t>
        </w:r>
      </w:hyperlink>
      <w:r>
        <w:rPr>
          <w:rFonts w:ascii="Arial" w:cs="Arial" w:eastAsia="Arial" w:hAnsi="Arial"/>
          <w:sz w:val="14"/>
          <w:szCs w:val="14"/>
          <w:u w:val="single" w:color="auto"/>
          <w:color w:val="0000FF"/>
        </w:rPr>
        <w:t xml:space="preserve"> </w:t>
      </w:r>
      <w:hyperlink r:id="rId29">
        <w:r>
          <w:rPr>
            <w:rFonts w:ascii="Arial" w:cs="Arial" w:eastAsia="Arial" w:hAnsi="Arial"/>
            <w:sz w:val="14"/>
            <w:szCs w:val="14"/>
            <w:u w:val="single" w:color="auto"/>
            <w:color w:val="0000FF"/>
          </w:rPr>
          <w:t>incorporated by reference in Part III of the Form 10 K for the fiscal year ended December 31, 2020;</w:t>
        </w:r>
      </w:hyperlink>
    </w:p>
    <w:p>
      <w:pPr>
        <w:spacing w:after="0" w:line="55" w:lineRule="exact"/>
        <w:rPr>
          <w:rFonts w:ascii="Arial" w:cs="Arial" w:eastAsia="Arial" w:hAnsi="Arial"/>
          <w:sz w:val="14"/>
          <w:szCs w:val="14"/>
          <w:u w:val="single" w:color="auto"/>
          <w:color w:val="0000FF"/>
        </w:rPr>
      </w:pPr>
    </w:p>
    <w:p>
      <w:pPr>
        <w:ind w:left="1020" w:hanging="51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our current reports on Form 8-K filed with the SEC on </w:t>
      </w:r>
      <w:hyperlink r:id="rId30">
        <w:r>
          <w:rPr>
            <w:rFonts w:ascii="Arial" w:cs="Arial" w:eastAsia="Arial" w:hAnsi="Arial"/>
            <w:sz w:val="14"/>
            <w:szCs w:val="14"/>
            <w:u w:val="single" w:color="auto"/>
            <w:color w:val="0000FF"/>
          </w:rPr>
          <w:t>January 18, 2022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31">
        <w:r>
          <w:rPr>
            <w:rFonts w:ascii="Arial" w:cs="Arial" w:eastAsia="Arial" w:hAnsi="Arial"/>
            <w:sz w:val="14"/>
            <w:szCs w:val="14"/>
            <w:u w:val="single" w:color="auto"/>
            <w:color w:val="0000FF"/>
          </w:rPr>
          <w:t>February 7, 2022</w:t>
        </w:r>
      </w:hyperlink>
      <w:r>
        <w:rPr>
          <w:rFonts w:ascii="Arial" w:cs="Arial" w:eastAsia="Arial" w:hAnsi="Arial"/>
          <w:sz w:val="14"/>
          <w:szCs w:val="14"/>
          <w:color w:val="auto"/>
        </w:rPr>
        <w:t>; and</w:t>
      </w:r>
    </w:p>
    <w:p>
      <w:pPr>
        <w:spacing w:after="0" w:line="87" w:lineRule="exact"/>
        <w:rPr>
          <w:rFonts w:ascii="Arial" w:cs="Arial" w:eastAsia="Arial" w:hAnsi="Arial"/>
          <w:sz w:val="14"/>
          <w:szCs w:val="14"/>
          <w:color w:val="auto"/>
        </w:rPr>
      </w:pPr>
    </w:p>
    <w:p>
      <w:pPr>
        <w:jc w:val="both"/>
        <w:ind w:left="1020" w:right="120" w:hanging="516"/>
        <w:spacing w:after="0" w:line="163" w:lineRule="exact"/>
        <w:tabs>
          <w:tab w:leader="none" w:pos="1020" w:val="left"/>
        </w:tabs>
        <w:numPr>
          <w:ilvl w:val="0"/>
          <w:numId w:val="6"/>
        </w:numPr>
        <w:rPr>
          <w:rFonts w:ascii="Arial" w:cs="Arial" w:eastAsia="Arial" w:hAnsi="Arial"/>
          <w:sz w:val="14"/>
          <w:szCs w:val="14"/>
          <w:color w:val="0000FF"/>
        </w:rPr>
      </w:pPr>
      <w:hyperlink r:id="rId32">
        <w:r>
          <w:rPr>
            <w:rFonts w:ascii="Arial" w:cs="Arial" w:eastAsia="Arial" w:hAnsi="Arial"/>
            <w:sz w:val="14"/>
            <w:szCs w:val="14"/>
            <w:color w:val="auto"/>
          </w:rPr>
          <w:t xml:space="preserve">the description of our common stock contained in our registration statement on </w:t>
        </w:r>
        <w:r>
          <w:rPr>
            <w:rFonts w:ascii="Arial" w:cs="Arial" w:eastAsia="Arial" w:hAnsi="Arial"/>
            <w:sz w:val="14"/>
            <w:szCs w:val="14"/>
            <w:u w:val="single" w:color="auto"/>
            <w:color w:val="0000FF"/>
          </w:rPr>
          <w:t>Form 8</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A12B, filed with the SEC on November 16, 2015 (File No. 001-37635) (as updated by the</w:t>
        </w:r>
      </w:hyperlink>
      <w:r>
        <w:rPr>
          <w:rFonts w:ascii="Arial" w:cs="Arial" w:eastAsia="Arial" w:hAnsi="Arial"/>
          <w:sz w:val="14"/>
          <w:szCs w:val="14"/>
          <w:color w:val="auto"/>
        </w:rPr>
        <w:t xml:space="preserve"> </w:t>
      </w:r>
      <w:hyperlink r:id="rId32">
        <w:r>
          <w:rPr>
            <w:rFonts w:ascii="Arial" w:cs="Arial" w:eastAsia="Arial" w:hAnsi="Arial"/>
            <w:sz w:val="14"/>
            <w:szCs w:val="14"/>
            <w:u w:val="single" w:color="auto"/>
            <w:color w:val="0000FF"/>
          </w:rPr>
          <w:t>description of our common stock contained in Exhibit 4.6 to our annual report on Form 10-K for the fiscal year ended December 31, 2021 filed with the SEC on March 1, 2022)</w:t>
        </w:r>
        <w:r>
          <w:rPr>
            <w:rFonts w:ascii="Arial" w:cs="Arial" w:eastAsia="Arial" w:hAnsi="Arial"/>
            <w:sz w:val="14"/>
            <w:szCs w:val="14"/>
            <w:color w:val="000000"/>
          </w:rPr>
          <w:t>,</w:t>
        </w:r>
      </w:hyperlink>
      <w:r>
        <w:rPr>
          <w:rFonts w:ascii="Arial" w:cs="Arial" w:eastAsia="Arial" w:hAnsi="Arial"/>
          <w:sz w:val="14"/>
          <w:szCs w:val="14"/>
          <w:color w:val="0000FF"/>
        </w:rPr>
        <w:t xml:space="preserve"> </w:t>
      </w:r>
      <w:r>
        <w:rPr>
          <w:rFonts w:ascii="Arial" w:cs="Arial" w:eastAsia="Arial" w:hAnsi="Arial"/>
          <w:sz w:val="14"/>
          <w:szCs w:val="14"/>
          <w:color w:val="000000"/>
        </w:rPr>
        <w:t>and all amendments or reports filed for the purpose of updating such description.</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6378575</wp:posOffset>
            </wp:positionH>
            <wp:positionV relativeFrom="paragraph">
              <wp:posOffset>-213360</wp:posOffset>
            </wp:positionV>
            <wp:extent cx="2222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pacing w:after="0" w:line="132" w:lineRule="exact"/>
        <w:rPr>
          <w:rFonts w:ascii="Arial" w:cs="Arial" w:eastAsia="Arial" w:hAnsi="Arial"/>
          <w:sz w:val="14"/>
          <w:szCs w:val="14"/>
          <w:color w:val="auto"/>
        </w:rPr>
      </w:pPr>
    </w:p>
    <w:p>
      <w:pPr>
        <w:spacing w:after="0" w:line="304" w:lineRule="auto"/>
        <w:rPr>
          <w:sz w:val="20"/>
          <w:szCs w:val="20"/>
          <w:color w:val="auto"/>
        </w:rPr>
      </w:pPr>
      <w:r>
        <w:rPr>
          <w:rFonts w:ascii="Arial" w:cs="Arial" w:eastAsia="Arial" w:hAnsi="Arial"/>
          <w:sz w:val="12"/>
          <w:szCs w:val="12"/>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spacing w:after="0" w:line="91" w:lineRule="exact"/>
        <w:rPr>
          <w:rFonts w:ascii="Arial" w:cs="Arial" w:eastAsia="Arial" w:hAnsi="Arial"/>
          <w:sz w:val="14"/>
          <w:szCs w:val="14"/>
          <w:color w:val="auto"/>
        </w:rPr>
      </w:pPr>
    </w:p>
    <w:p>
      <w:pPr>
        <w:ind w:right="480"/>
        <w:spacing w:after="0" w:line="243" w:lineRule="auto"/>
        <w:rPr>
          <w:sz w:val="20"/>
          <w:szCs w:val="20"/>
          <w:color w:val="auto"/>
        </w:rPr>
      </w:pPr>
      <w:r>
        <w:rPr>
          <w:rFonts w:ascii="Arial" w:cs="Arial" w:eastAsia="Arial" w:hAnsi="Arial"/>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26" w:lineRule="exact"/>
        <w:rPr>
          <w:rFonts w:ascii="Arial" w:cs="Arial" w:eastAsia="Arial" w:hAnsi="Arial"/>
          <w:sz w:val="14"/>
          <w:szCs w:val="14"/>
          <w:color w:val="auto"/>
        </w:rPr>
      </w:pPr>
    </w:p>
    <w:p>
      <w:pPr>
        <w:ind w:right="60"/>
        <w:spacing w:after="0" w:line="239" w:lineRule="auto"/>
        <w:rPr>
          <w:sz w:val="20"/>
          <w:szCs w:val="20"/>
          <w:color w:val="auto"/>
        </w:rPr>
      </w:pPr>
      <w:r>
        <w:rPr>
          <w:rFonts w:ascii="Arial" w:cs="Arial" w:eastAsia="Arial" w:hAnsi="Arial"/>
          <w:sz w:val="14"/>
          <w:szCs w:val="14"/>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27"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4"/>
          <w:szCs w:val="14"/>
          <w:color w:val="auto"/>
        </w:rPr>
        <w:t>Axsome Therapeutics, Inc.</w:t>
      </w:r>
    </w:p>
    <w:p>
      <w:pPr>
        <w:jc w:val="center"/>
        <w:spacing w:after="0" w:line="236" w:lineRule="auto"/>
        <w:rPr>
          <w:sz w:val="20"/>
          <w:szCs w:val="20"/>
          <w:color w:val="auto"/>
        </w:rPr>
      </w:pPr>
      <w:r>
        <w:rPr>
          <w:rFonts w:ascii="Arial" w:cs="Arial" w:eastAsia="Arial" w:hAnsi="Arial"/>
          <w:sz w:val="14"/>
          <w:szCs w:val="14"/>
          <w:color w:val="auto"/>
        </w:rPr>
        <w:t>22 Cortlandt Street</w:t>
      </w:r>
    </w:p>
    <w:p>
      <w:pPr>
        <w:jc w:val="center"/>
        <w:spacing w:after="0" w:line="229" w:lineRule="auto"/>
        <w:rPr>
          <w:sz w:val="20"/>
          <w:szCs w:val="20"/>
          <w:color w:val="auto"/>
        </w:rPr>
      </w:pPr>
      <w:r>
        <w:rPr>
          <w:rFonts w:ascii="Arial" w:cs="Arial" w:eastAsia="Arial" w:hAnsi="Arial"/>
          <w:sz w:val="14"/>
          <w:szCs w:val="14"/>
          <w:color w:val="auto"/>
        </w:rPr>
        <w:t>16</w:t>
      </w:r>
      <w:r>
        <w:rPr>
          <w:rFonts w:ascii="Arial" w:cs="Arial" w:eastAsia="Arial" w:hAnsi="Arial"/>
          <w:sz w:val="9"/>
          <w:szCs w:val="9"/>
          <w:color w:val="auto"/>
        </w:rPr>
        <w:t>th</w:t>
      </w:r>
      <w:r>
        <w:rPr>
          <w:rFonts w:ascii="Arial" w:cs="Arial" w:eastAsia="Arial" w:hAnsi="Arial"/>
          <w:sz w:val="14"/>
          <w:szCs w:val="14"/>
          <w:color w:val="auto"/>
        </w:rPr>
        <w:t xml:space="preserve"> Floor</w:t>
      </w:r>
    </w:p>
    <w:p>
      <w:pPr>
        <w:jc w:val="center"/>
        <w:spacing w:after="0" w:line="229" w:lineRule="auto"/>
        <w:rPr>
          <w:sz w:val="20"/>
          <w:szCs w:val="20"/>
          <w:color w:val="auto"/>
        </w:rPr>
      </w:pPr>
      <w:r>
        <w:rPr>
          <w:rFonts w:ascii="Arial" w:cs="Arial" w:eastAsia="Arial" w:hAnsi="Arial"/>
          <w:sz w:val="14"/>
          <w:szCs w:val="14"/>
          <w:color w:val="auto"/>
        </w:rPr>
        <w:t>New York, New York 10007</w:t>
      </w:r>
    </w:p>
    <w:p>
      <w:pPr>
        <w:jc w:val="center"/>
        <w:spacing w:after="0"/>
        <w:rPr>
          <w:sz w:val="20"/>
          <w:szCs w:val="20"/>
          <w:color w:val="auto"/>
        </w:rPr>
      </w:pPr>
      <w:r>
        <w:rPr>
          <w:rFonts w:ascii="Arial" w:cs="Arial" w:eastAsia="Arial" w:hAnsi="Arial"/>
          <w:sz w:val="14"/>
          <w:szCs w:val="14"/>
          <w:color w:val="auto"/>
        </w:rPr>
        <w:t>(212) 332-3241</w:t>
      </w:r>
    </w:p>
    <w:p>
      <w:pPr>
        <w:spacing w:after="0" w:line="17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126365</wp:posOffset>
            </wp:positionV>
            <wp:extent cx="2192655" cy="675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192655" cy="67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AXSOME THERAPEUTICS,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Common Stock</w:t>
      </w:r>
    </w:p>
    <w:p>
      <w:pPr>
        <w:jc w:val="center"/>
        <w:ind w:right="-39"/>
        <w:spacing w:after="0" w:line="231" w:lineRule="auto"/>
        <w:rPr>
          <w:sz w:val="20"/>
          <w:szCs w:val="20"/>
          <w:color w:val="auto"/>
        </w:rPr>
      </w:pPr>
      <w:r>
        <w:rPr>
          <w:rFonts w:ascii="Arial" w:cs="Arial" w:eastAsia="Arial" w:hAnsi="Arial"/>
          <w:sz w:val="16"/>
          <w:szCs w:val="16"/>
          <w:b w:val="1"/>
          <w:bCs w:val="1"/>
          <w:color w:val="auto"/>
        </w:rPr>
        <w:t>Preferred Stock</w:t>
      </w:r>
    </w:p>
    <w:p>
      <w:pPr>
        <w:jc w:val="center"/>
        <w:ind w:right="-39"/>
        <w:spacing w:after="0" w:line="231" w:lineRule="auto"/>
        <w:rPr>
          <w:sz w:val="20"/>
          <w:szCs w:val="20"/>
          <w:color w:val="auto"/>
        </w:rPr>
      </w:pPr>
      <w:r>
        <w:rPr>
          <w:rFonts w:ascii="Arial" w:cs="Arial" w:eastAsia="Arial" w:hAnsi="Arial"/>
          <w:sz w:val="16"/>
          <w:szCs w:val="16"/>
          <w:b w:val="1"/>
          <w:bCs w:val="1"/>
          <w:color w:val="auto"/>
        </w:rPr>
        <w:t>Warrants</w:t>
      </w:r>
    </w:p>
    <w:p>
      <w:pPr>
        <w:jc w:val="center"/>
        <w:ind w:right="-39"/>
        <w:spacing w:after="0" w:line="232" w:lineRule="auto"/>
        <w:rPr>
          <w:sz w:val="20"/>
          <w:szCs w:val="20"/>
          <w:color w:val="auto"/>
        </w:rPr>
      </w:pPr>
      <w:r>
        <w:rPr>
          <w:rFonts w:ascii="Arial" w:cs="Arial" w:eastAsia="Arial" w:hAnsi="Arial"/>
          <w:sz w:val="16"/>
          <w:szCs w:val="16"/>
          <w:b w:val="1"/>
          <w:bCs w:val="1"/>
          <w:color w:val="auto"/>
        </w:rPr>
        <w:t>Debt Securities</w:t>
      </w:r>
    </w:p>
    <w:p>
      <w:pPr>
        <w:jc w:val="center"/>
        <w:ind w:right="-39"/>
        <w:spacing w:after="0" w:line="231" w:lineRule="auto"/>
        <w:rPr>
          <w:sz w:val="20"/>
          <w:szCs w:val="20"/>
          <w:color w:val="auto"/>
        </w:rPr>
      </w:pPr>
      <w:r>
        <w:rPr>
          <w:rFonts w:ascii="Arial" w:cs="Arial" w:eastAsia="Arial" w:hAnsi="Arial"/>
          <w:sz w:val="16"/>
          <w:szCs w:val="16"/>
          <w:b w:val="1"/>
          <w:bCs w:val="1"/>
          <w:color w:val="auto"/>
        </w:rPr>
        <w:t>Rights to Purchase Common Stock, Preferred Stock,</w:t>
      </w:r>
    </w:p>
    <w:p>
      <w:pPr>
        <w:jc w:val="center"/>
        <w:ind w:right="-39"/>
        <w:spacing w:after="0" w:line="232" w:lineRule="auto"/>
        <w:rPr>
          <w:sz w:val="20"/>
          <w:szCs w:val="20"/>
          <w:color w:val="auto"/>
        </w:rPr>
      </w:pPr>
      <w:r>
        <w:rPr>
          <w:rFonts w:ascii="Arial" w:cs="Arial" w:eastAsia="Arial" w:hAnsi="Arial"/>
          <w:sz w:val="16"/>
          <w:szCs w:val="16"/>
          <w:b w:val="1"/>
          <w:bCs w:val="1"/>
          <w:color w:val="auto"/>
        </w:rPr>
        <w:t>Debt Securities or Units</w:t>
      </w:r>
    </w:p>
    <w:p>
      <w:pPr>
        <w:jc w:val="center"/>
        <w:ind w:right="-39"/>
        <w:spacing w:after="0"/>
        <w:rPr>
          <w:sz w:val="20"/>
          <w:szCs w:val="20"/>
          <w:color w:val="auto"/>
        </w:rPr>
      </w:pPr>
      <w:r>
        <w:rPr>
          <w:rFonts w:ascii="Arial" w:cs="Arial" w:eastAsia="Arial" w:hAnsi="Arial"/>
          <w:sz w:val="16"/>
          <w:szCs w:val="16"/>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1494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43"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69"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Our common stock is listed on the Nasdaq Global Market under the symbol “AXSM.” On December 3, 2019, the last reported sale price of our common stock on the Nasdaq Global Market was $45.61.</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16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6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date of this prospectus is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83"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560" w:type="dxa"/>
            <w:vAlign w:val="bottom"/>
            <w:gridSpan w:val="15"/>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7700" w:type="dxa"/>
            <w:vAlign w:val="bottom"/>
          </w:tcPr>
          <w:p>
            <w:pPr>
              <w:spacing w:after="0"/>
              <w:rPr>
                <w:sz w:val="16"/>
                <w:szCs w:val="16"/>
                <w:color w:val="auto"/>
              </w:rPr>
            </w:pPr>
          </w:p>
        </w:tc>
      </w:tr>
      <w:tr>
        <w:trPr>
          <w:trHeight w:val="641"/>
        </w:trPr>
        <w:tc>
          <w:tcPr>
            <w:tcW w:w="7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00" w:type="dxa"/>
            <w:vAlign w:val="bottom"/>
          </w:tcPr>
          <w:p>
            <w:pPr>
              <w:jc w:val="right"/>
              <w:ind w:right="4721"/>
              <w:spacing w:after="0"/>
              <w:rPr>
                <w:sz w:val="20"/>
                <w:szCs w:val="20"/>
                <w:color w:val="auto"/>
              </w:rPr>
            </w:pPr>
            <w:r>
              <w:rPr>
                <w:rFonts w:ascii="Arial" w:cs="Arial" w:eastAsia="Arial" w:hAnsi="Arial"/>
                <w:sz w:val="16"/>
                <w:szCs w:val="16"/>
                <w:b w:val="1"/>
                <w:bCs w:val="1"/>
                <w:color w:val="auto"/>
              </w:rPr>
              <w:t>TABLE OF CONTENTS</w:t>
            </w:r>
          </w:p>
        </w:tc>
      </w:tr>
      <w:tr>
        <w:trPr>
          <w:trHeight w:val="332"/>
        </w:trPr>
        <w:tc>
          <w:tcPr>
            <w:tcW w:w="200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20">
              <w:r>
                <w:rPr>
                  <w:rFonts w:ascii="Arial" w:cs="Arial" w:eastAsia="Arial" w:hAnsi="Arial"/>
                  <w:sz w:val="16"/>
                  <w:szCs w:val="16"/>
                  <w:color w:val="0000FF"/>
                  <w:w w:val="93"/>
                </w:rPr>
                <w:t>ABOUT THIS PROSPECTUS</w:t>
              </w:r>
            </w:hyperlink>
          </w:p>
        </w:tc>
        <w:tc>
          <w:tcPr>
            <w:tcW w:w="1560" w:type="dxa"/>
            <w:vAlign w:val="bottom"/>
            <w:gridSpan w:val="7"/>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1</w:t>
            </w:r>
          </w:p>
        </w:tc>
      </w:tr>
      <w:tr>
        <w:trPr>
          <w:trHeight w:val="323"/>
        </w:trPr>
        <w:tc>
          <w:tcPr>
            <w:tcW w:w="2260" w:type="dxa"/>
            <w:vAlign w:val="bottom"/>
            <w:tcBorders>
              <w:bottom w:val="single" w:sz="8" w:color="0000FF"/>
            </w:tcBorders>
            <w:gridSpan w:val="10"/>
          </w:tcPr>
          <w:p>
            <w:pPr>
              <w:spacing w:after="0"/>
              <w:rPr>
                <w:rFonts w:ascii="Arial" w:cs="Arial" w:eastAsia="Arial" w:hAnsi="Arial"/>
                <w:sz w:val="16"/>
                <w:szCs w:val="16"/>
                <w:color w:val="0000FF"/>
                <w:w w:val="96"/>
              </w:rPr>
            </w:pPr>
            <w:hyperlink w:anchor="page21">
              <w:r>
                <w:rPr>
                  <w:rFonts w:ascii="Arial" w:cs="Arial" w:eastAsia="Arial" w:hAnsi="Arial"/>
                  <w:sz w:val="16"/>
                  <w:szCs w:val="16"/>
                  <w:color w:val="0000FF"/>
                  <w:w w:val="96"/>
                </w:rPr>
                <w:t>AXSOME THERAPEUTICS, INC</w:t>
              </w:r>
            </w:hyperlink>
          </w:p>
        </w:tc>
        <w:tc>
          <w:tcPr>
            <w:tcW w:w="1300" w:type="dxa"/>
            <w:vAlign w:val="bottom"/>
            <w:gridSpan w:val="5"/>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w:t>
            </w:r>
          </w:p>
        </w:tc>
      </w:tr>
      <w:tr>
        <w:trPr>
          <w:trHeight w:val="323"/>
        </w:trPr>
        <w:tc>
          <w:tcPr>
            <w:tcW w:w="1140" w:type="dxa"/>
            <w:vAlign w:val="bottom"/>
            <w:tcBorders>
              <w:bottom w:val="single" w:sz="8" w:color="0000FF"/>
            </w:tcBorders>
            <w:gridSpan w:val="2"/>
          </w:tcPr>
          <w:p>
            <w:pPr>
              <w:spacing w:after="0"/>
              <w:rPr>
                <w:rFonts w:ascii="Arial" w:cs="Arial" w:eastAsia="Arial" w:hAnsi="Arial"/>
                <w:sz w:val="16"/>
                <w:szCs w:val="16"/>
                <w:color w:val="0000FF"/>
                <w:w w:val="94"/>
              </w:rPr>
            </w:pPr>
            <w:hyperlink w:anchor="page24">
              <w:r>
                <w:rPr>
                  <w:rFonts w:ascii="Arial" w:cs="Arial" w:eastAsia="Arial" w:hAnsi="Arial"/>
                  <w:sz w:val="16"/>
                  <w:szCs w:val="16"/>
                  <w:color w:val="0000FF"/>
                  <w:w w:val="94"/>
                </w:rPr>
                <w:t>RISK FACTORS</w:t>
              </w:r>
            </w:hyperlink>
          </w:p>
        </w:tc>
        <w:tc>
          <w:tcPr>
            <w:tcW w:w="2420" w:type="dxa"/>
            <w:vAlign w:val="bottom"/>
            <w:gridSpan w:val="13"/>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5</w:t>
            </w:r>
          </w:p>
        </w:tc>
      </w:tr>
      <w:tr>
        <w:trPr>
          <w:trHeight w:val="323"/>
        </w:trPr>
        <w:tc>
          <w:tcPr>
            <w:tcW w:w="2600" w:type="dxa"/>
            <w:vAlign w:val="bottom"/>
            <w:tcBorders>
              <w:bottom w:val="single" w:sz="8" w:color="0000FF"/>
            </w:tcBorders>
            <w:gridSpan w:val="12"/>
          </w:tcPr>
          <w:p>
            <w:pPr>
              <w:spacing w:after="0"/>
              <w:rPr>
                <w:rFonts w:ascii="Arial" w:cs="Arial" w:eastAsia="Arial" w:hAnsi="Arial"/>
                <w:sz w:val="16"/>
                <w:szCs w:val="16"/>
                <w:color w:val="0000FF"/>
                <w:w w:val="94"/>
              </w:rPr>
            </w:pPr>
            <w:hyperlink w:anchor="page24">
              <w:r>
                <w:rPr>
                  <w:rFonts w:ascii="Arial" w:cs="Arial" w:eastAsia="Arial" w:hAnsi="Arial"/>
                  <w:sz w:val="16"/>
                  <w:szCs w:val="16"/>
                  <w:color w:val="0000FF"/>
                  <w:w w:val="94"/>
                </w:rPr>
                <w:t>FORWARD-LOOKING STATEMENTS</w:t>
              </w:r>
            </w:hyperlink>
          </w:p>
        </w:tc>
        <w:tc>
          <w:tcPr>
            <w:tcW w:w="960" w:type="dxa"/>
            <w:vAlign w:val="bottom"/>
            <w:gridSpan w:val="3"/>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5</w:t>
            </w:r>
          </w:p>
        </w:tc>
      </w:tr>
      <w:tr>
        <w:trPr>
          <w:trHeight w:val="323"/>
        </w:trPr>
        <w:tc>
          <w:tcPr>
            <w:tcW w:w="1420" w:type="dxa"/>
            <w:vAlign w:val="bottom"/>
            <w:tcBorders>
              <w:bottom w:val="single" w:sz="8" w:color="0000FF"/>
            </w:tcBorders>
            <w:gridSpan w:val="5"/>
          </w:tcPr>
          <w:p>
            <w:pPr>
              <w:spacing w:after="0"/>
              <w:rPr>
                <w:rFonts w:ascii="Arial" w:cs="Arial" w:eastAsia="Arial" w:hAnsi="Arial"/>
                <w:sz w:val="16"/>
                <w:szCs w:val="16"/>
                <w:color w:val="0000FF"/>
                <w:w w:val="90"/>
              </w:rPr>
            </w:pPr>
            <w:hyperlink w:anchor="page24">
              <w:r>
                <w:rPr>
                  <w:rFonts w:ascii="Arial" w:cs="Arial" w:eastAsia="Arial" w:hAnsi="Arial"/>
                  <w:sz w:val="16"/>
                  <w:szCs w:val="16"/>
                  <w:color w:val="0000FF"/>
                  <w:w w:val="90"/>
                </w:rPr>
                <w:t>USE OF PROCEEDS</w:t>
              </w:r>
            </w:hyperlink>
          </w:p>
        </w:tc>
        <w:tc>
          <w:tcPr>
            <w:tcW w:w="2140" w:type="dxa"/>
            <w:vAlign w:val="bottom"/>
            <w:gridSpan w:val="10"/>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5</w:t>
            </w:r>
          </w:p>
        </w:tc>
      </w:tr>
      <w:tr>
        <w:trPr>
          <w:trHeight w:val="323"/>
        </w:trPr>
        <w:tc>
          <w:tcPr>
            <w:tcW w:w="2560" w:type="dxa"/>
            <w:vAlign w:val="bottom"/>
            <w:tcBorders>
              <w:bottom w:val="single" w:sz="8" w:color="0000FF"/>
            </w:tcBorders>
            <w:gridSpan w:val="11"/>
          </w:tcPr>
          <w:p>
            <w:pPr>
              <w:spacing w:after="0"/>
              <w:rPr>
                <w:rFonts w:ascii="Arial" w:cs="Arial" w:eastAsia="Arial" w:hAnsi="Arial"/>
                <w:sz w:val="16"/>
                <w:szCs w:val="16"/>
                <w:color w:val="0000FF"/>
                <w:w w:val="95"/>
              </w:rPr>
            </w:pPr>
            <w:hyperlink w:anchor="page25">
              <w:r>
                <w:rPr>
                  <w:rFonts w:ascii="Arial" w:cs="Arial" w:eastAsia="Arial" w:hAnsi="Arial"/>
                  <w:sz w:val="16"/>
                  <w:szCs w:val="16"/>
                  <w:color w:val="0000FF"/>
                  <w:w w:val="95"/>
                </w:rPr>
                <w:t>DESCRIPTION OF CAPITAL STOCK</w:t>
              </w:r>
            </w:hyperlink>
          </w:p>
        </w:tc>
        <w:tc>
          <w:tcPr>
            <w:tcW w:w="1000" w:type="dxa"/>
            <w:vAlign w:val="bottom"/>
            <w:gridSpan w:val="4"/>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6</w:t>
            </w:r>
          </w:p>
        </w:tc>
      </w:tr>
      <w:tr>
        <w:trPr>
          <w:trHeight w:val="323"/>
        </w:trPr>
        <w:tc>
          <w:tcPr>
            <w:tcW w:w="2220" w:type="dxa"/>
            <w:vAlign w:val="bottom"/>
            <w:tcBorders>
              <w:bottom w:val="single" w:sz="8" w:color="0000FF"/>
            </w:tcBorders>
            <w:gridSpan w:val="9"/>
          </w:tcPr>
          <w:p>
            <w:pPr>
              <w:spacing w:after="0"/>
              <w:rPr>
                <w:rFonts w:ascii="Arial" w:cs="Arial" w:eastAsia="Arial" w:hAnsi="Arial"/>
                <w:sz w:val="16"/>
                <w:szCs w:val="16"/>
                <w:color w:val="0000FF"/>
                <w:w w:val="94"/>
              </w:rPr>
            </w:pPr>
            <w:hyperlink w:anchor="page28">
              <w:r>
                <w:rPr>
                  <w:rFonts w:ascii="Arial" w:cs="Arial" w:eastAsia="Arial" w:hAnsi="Arial"/>
                  <w:sz w:val="16"/>
                  <w:szCs w:val="16"/>
                  <w:color w:val="0000FF"/>
                  <w:w w:val="94"/>
                </w:rPr>
                <w:t>DESCRIPTION OF WARRANTS</w:t>
              </w:r>
            </w:hyperlink>
          </w:p>
        </w:tc>
        <w:tc>
          <w:tcPr>
            <w:tcW w:w="1340" w:type="dxa"/>
            <w:vAlign w:val="bottom"/>
            <w:gridSpan w:val="6"/>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9</w:t>
            </w:r>
          </w:p>
        </w:tc>
      </w:tr>
      <w:tr>
        <w:trPr>
          <w:trHeight w:val="323"/>
        </w:trPr>
        <w:tc>
          <w:tcPr>
            <w:tcW w:w="2700" w:type="dxa"/>
            <w:vAlign w:val="bottom"/>
            <w:tcBorders>
              <w:bottom w:val="single" w:sz="8" w:color="0000FF"/>
            </w:tcBorders>
            <w:gridSpan w:val="13"/>
          </w:tcPr>
          <w:p>
            <w:pPr>
              <w:spacing w:after="0"/>
              <w:rPr>
                <w:rFonts w:ascii="Arial" w:cs="Arial" w:eastAsia="Arial" w:hAnsi="Arial"/>
                <w:sz w:val="16"/>
                <w:szCs w:val="16"/>
                <w:color w:val="0000FF"/>
                <w:w w:val="94"/>
              </w:rPr>
            </w:pPr>
            <w:hyperlink w:anchor="page30">
              <w:r>
                <w:rPr>
                  <w:rFonts w:ascii="Arial" w:cs="Arial" w:eastAsia="Arial" w:hAnsi="Arial"/>
                  <w:sz w:val="16"/>
                  <w:szCs w:val="16"/>
                  <w:color w:val="0000FF"/>
                  <w:w w:val="94"/>
                </w:rPr>
                <w:t>DESCRIPTION OF DEBT SECURITIES</w:t>
              </w:r>
            </w:hyperlink>
          </w:p>
        </w:tc>
        <w:tc>
          <w:tcPr>
            <w:tcW w:w="860" w:type="dxa"/>
            <w:vAlign w:val="bottom"/>
            <w:gridSpan w:val="2"/>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11</w:t>
            </w:r>
          </w:p>
        </w:tc>
      </w:tr>
      <w:tr>
        <w:trPr>
          <w:trHeight w:val="323"/>
        </w:trPr>
        <w:tc>
          <w:tcPr>
            <w:tcW w:w="1920" w:type="dxa"/>
            <w:vAlign w:val="bottom"/>
            <w:tcBorders>
              <w:bottom w:val="single" w:sz="8" w:color="0000FF"/>
            </w:tcBorders>
            <w:gridSpan w:val="7"/>
          </w:tcPr>
          <w:p>
            <w:pPr>
              <w:spacing w:after="0"/>
              <w:rPr>
                <w:rFonts w:ascii="Arial" w:cs="Arial" w:eastAsia="Arial" w:hAnsi="Arial"/>
                <w:sz w:val="16"/>
                <w:szCs w:val="16"/>
                <w:color w:val="0000FF"/>
                <w:w w:val="94"/>
              </w:rPr>
            </w:pPr>
            <w:hyperlink w:anchor="page38">
              <w:r>
                <w:rPr>
                  <w:rFonts w:ascii="Arial" w:cs="Arial" w:eastAsia="Arial" w:hAnsi="Arial"/>
                  <w:sz w:val="16"/>
                  <w:szCs w:val="16"/>
                  <w:color w:val="0000FF"/>
                  <w:w w:val="94"/>
                </w:rPr>
                <w:t>DESCRIPTION OF RIGHTS</w:t>
              </w:r>
            </w:hyperlink>
          </w:p>
        </w:tc>
        <w:tc>
          <w:tcPr>
            <w:tcW w:w="1640" w:type="dxa"/>
            <w:vAlign w:val="bottom"/>
            <w:gridSpan w:val="8"/>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19</w:t>
            </w:r>
          </w:p>
        </w:tc>
      </w:tr>
      <w:tr>
        <w:trPr>
          <w:trHeight w:val="323"/>
        </w:trPr>
        <w:tc>
          <w:tcPr>
            <w:tcW w:w="1820" w:type="dxa"/>
            <w:vAlign w:val="bottom"/>
            <w:tcBorders>
              <w:bottom w:val="single" w:sz="8" w:color="0000FF"/>
            </w:tcBorders>
            <w:gridSpan w:val="6"/>
          </w:tcPr>
          <w:p>
            <w:pPr>
              <w:spacing w:after="0"/>
              <w:rPr>
                <w:rFonts w:ascii="Arial" w:cs="Arial" w:eastAsia="Arial" w:hAnsi="Arial"/>
                <w:sz w:val="16"/>
                <w:szCs w:val="16"/>
                <w:color w:val="0000FF"/>
                <w:w w:val="95"/>
              </w:rPr>
            </w:pPr>
            <w:hyperlink w:anchor="page39">
              <w:r>
                <w:rPr>
                  <w:rFonts w:ascii="Arial" w:cs="Arial" w:eastAsia="Arial" w:hAnsi="Arial"/>
                  <w:sz w:val="16"/>
                  <w:szCs w:val="16"/>
                  <w:color w:val="0000FF"/>
                  <w:w w:val="95"/>
                </w:rPr>
                <w:t>DESCRIPTION OF UNITS</w:t>
              </w:r>
            </w:hyperlink>
          </w:p>
        </w:tc>
        <w:tc>
          <w:tcPr>
            <w:tcW w:w="1740" w:type="dxa"/>
            <w:vAlign w:val="bottom"/>
            <w:gridSpan w:val="9"/>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20</w:t>
            </w:r>
          </w:p>
        </w:tc>
      </w:tr>
      <w:tr>
        <w:trPr>
          <w:trHeight w:val="357"/>
        </w:trPr>
        <w:tc>
          <w:tcPr>
            <w:tcW w:w="3560" w:type="dxa"/>
            <w:vAlign w:val="bottom"/>
            <w:gridSpan w:val="15"/>
          </w:tcPr>
          <w:p>
            <w:pPr>
              <w:spacing w:after="0"/>
              <w:rPr>
                <w:sz w:val="20"/>
                <w:szCs w:val="20"/>
                <w:color w:val="auto"/>
              </w:rPr>
            </w:pPr>
            <w:r>
              <w:rPr>
                <w:rFonts w:ascii="Arial" w:cs="Arial" w:eastAsia="Arial" w:hAnsi="Arial"/>
                <w:sz w:val="16"/>
                <w:szCs w:val="16"/>
                <w:color w:val="0000FF"/>
              </w:rPr>
              <w:t>PLAN OF DISTRIBUTION</w:t>
            </w: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21</w:t>
            </w:r>
          </w:p>
        </w:tc>
      </w:tr>
      <w:tr>
        <w:trPr>
          <w:trHeight w:val="309"/>
        </w:trPr>
        <w:tc>
          <w:tcPr>
            <w:tcW w:w="1320" w:type="dxa"/>
            <w:vAlign w:val="bottom"/>
            <w:tcBorders>
              <w:bottom w:val="single" w:sz="8" w:color="0000FF"/>
            </w:tcBorders>
            <w:gridSpan w:val="4"/>
          </w:tcPr>
          <w:p>
            <w:pPr>
              <w:spacing w:after="0"/>
              <w:rPr>
                <w:rFonts w:ascii="Arial" w:cs="Arial" w:eastAsia="Arial" w:hAnsi="Arial"/>
                <w:sz w:val="16"/>
                <w:szCs w:val="16"/>
                <w:color w:val="0000FF"/>
                <w:w w:val="98"/>
              </w:rPr>
            </w:pPr>
            <w:hyperlink w:anchor="page42">
              <w:r>
                <w:rPr>
                  <w:rFonts w:ascii="Arial" w:cs="Arial" w:eastAsia="Arial" w:hAnsi="Arial"/>
                  <w:sz w:val="16"/>
                  <w:szCs w:val="16"/>
                  <w:color w:val="0000FF"/>
                  <w:w w:val="98"/>
                </w:rPr>
                <w:t>LEGAL MATTERS</w:t>
              </w:r>
            </w:hyperlink>
          </w:p>
        </w:tc>
        <w:tc>
          <w:tcPr>
            <w:tcW w:w="2240" w:type="dxa"/>
            <w:vAlign w:val="bottom"/>
            <w:gridSpan w:val="11"/>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23</w:t>
            </w:r>
          </w:p>
        </w:tc>
      </w:tr>
      <w:tr>
        <w:trPr>
          <w:trHeight w:val="323"/>
        </w:trPr>
        <w:tc>
          <w:tcPr>
            <w:tcW w:w="720" w:type="dxa"/>
            <w:vAlign w:val="bottom"/>
            <w:tcBorders>
              <w:bottom w:val="single" w:sz="8" w:color="0000FF"/>
            </w:tcBorders>
          </w:tcPr>
          <w:p>
            <w:pPr>
              <w:spacing w:after="0"/>
              <w:rPr>
                <w:rFonts w:ascii="Arial" w:cs="Arial" w:eastAsia="Arial" w:hAnsi="Arial"/>
                <w:sz w:val="16"/>
                <w:szCs w:val="16"/>
                <w:color w:val="0000FF"/>
                <w:w w:val="93"/>
              </w:rPr>
            </w:pPr>
            <w:hyperlink w:anchor="page42">
              <w:r>
                <w:rPr>
                  <w:rFonts w:ascii="Arial" w:cs="Arial" w:eastAsia="Arial" w:hAnsi="Arial"/>
                  <w:sz w:val="16"/>
                  <w:szCs w:val="16"/>
                  <w:color w:val="0000FF"/>
                  <w:w w:val="93"/>
                </w:rPr>
                <w:t>EXPERTS</w:t>
              </w:r>
            </w:hyperlink>
          </w:p>
        </w:tc>
        <w:tc>
          <w:tcPr>
            <w:tcW w:w="2840" w:type="dxa"/>
            <w:vAlign w:val="bottom"/>
            <w:gridSpan w:val="14"/>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23</w:t>
            </w:r>
          </w:p>
        </w:tc>
      </w:tr>
      <w:tr>
        <w:trPr>
          <w:trHeight w:val="323"/>
        </w:trPr>
        <w:tc>
          <w:tcPr>
            <w:tcW w:w="3380" w:type="dxa"/>
            <w:vAlign w:val="bottom"/>
            <w:tcBorders>
              <w:bottom w:val="single" w:sz="8" w:color="0000FF"/>
            </w:tcBorders>
            <w:gridSpan w:val="14"/>
          </w:tcPr>
          <w:p>
            <w:pPr>
              <w:spacing w:after="0"/>
              <w:rPr>
                <w:rFonts w:ascii="Arial" w:cs="Arial" w:eastAsia="Arial" w:hAnsi="Arial"/>
                <w:sz w:val="16"/>
                <w:szCs w:val="16"/>
                <w:color w:val="0000FF"/>
                <w:w w:val="96"/>
              </w:rPr>
            </w:pPr>
            <w:hyperlink w:anchor="page42">
              <w:r>
                <w:rPr>
                  <w:rFonts w:ascii="Arial" w:cs="Arial" w:eastAsia="Arial" w:hAnsi="Arial"/>
                  <w:sz w:val="16"/>
                  <w:szCs w:val="16"/>
                  <w:color w:val="0000FF"/>
                  <w:w w:val="96"/>
                </w:rPr>
                <w:t>WHERE YOU CAN FIND MORE INFORMATION</w:t>
              </w:r>
            </w:hyperlink>
          </w:p>
        </w:tc>
        <w:tc>
          <w:tcPr>
            <w:tcW w:w="180" w:type="dxa"/>
            <w:vAlign w:val="bottom"/>
          </w:tcPr>
          <w:p>
            <w:pPr>
              <w:spacing w:after="0"/>
              <w:rPr>
                <w:sz w:val="24"/>
                <w:szCs w:val="24"/>
                <w:color w:val="auto"/>
              </w:rPr>
            </w:pPr>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23</w:t>
            </w:r>
          </w:p>
        </w:tc>
      </w:tr>
      <w:tr>
        <w:trPr>
          <w:trHeight w:val="323"/>
        </w:trPr>
        <w:tc>
          <w:tcPr>
            <w:tcW w:w="3560" w:type="dxa"/>
            <w:vAlign w:val="bottom"/>
            <w:tcBorders>
              <w:bottom w:val="single" w:sz="8" w:color="0000FF"/>
            </w:tcBorders>
            <w:gridSpan w:val="15"/>
          </w:tcPr>
          <w:p>
            <w:pPr>
              <w:spacing w:after="0"/>
              <w:rPr>
                <w:rFonts w:ascii="Arial" w:cs="Arial" w:eastAsia="Arial" w:hAnsi="Arial"/>
                <w:sz w:val="16"/>
                <w:szCs w:val="16"/>
                <w:color w:val="0000FF"/>
                <w:w w:val="94"/>
              </w:rPr>
            </w:pPr>
            <w:hyperlink w:anchor="page43">
              <w:r>
                <w:rPr>
                  <w:rFonts w:ascii="Arial" w:cs="Arial" w:eastAsia="Arial" w:hAnsi="Arial"/>
                  <w:sz w:val="16"/>
                  <w:szCs w:val="16"/>
                  <w:color w:val="0000FF"/>
                  <w:w w:val="94"/>
                </w:rPr>
                <w:t>INFORMATION INCORPORATED BY REFERENCE</w:t>
              </w:r>
            </w:hyperlink>
          </w:p>
        </w:tc>
        <w:tc>
          <w:tcPr>
            <w:tcW w:w="7700" w:type="dxa"/>
            <w:vAlign w:val="bottom"/>
          </w:tcPr>
          <w:p>
            <w:pPr>
              <w:jc w:val="right"/>
              <w:ind w:right="41"/>
              <w:spacing w:after="0"/>
              <w:rPr>
                <w:sz w:val="20"/>
                <w:szCs w:val="20"/>
                <w:color w:val="auto"/>
              </w:rPr>
            </w:pPr>
            <w:r>
              <w:rPr>
                <w:rFonts w:ascii="Arial" w:cs="Arial" w:eastAsia="Arial" w:hAnsi="Arial"/>
                <w:sz w:val="16"/>
                <w:szCs w:val="16"/>
                <w:color w:val="auto"/>
              </w:rPr>
              <w:t>24</w:t>
            </w:r>
          </w:p>
        </w:tc>
      </w:tr>
      <w:tr>
        <w:trPr>
          <w:trHeight w:val="859"/>
        </w:trPr>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ABOUT THIS PROSPECTUS</w:t>
      </w:r>
    </w:p>
    <w:p>
      <w:pPr>
        <w:spacing w:after="0" w:line="175"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This prospectus is part of an automatic “shelf” registration statement on Form S</w:t>
      </w:r>
      <w:r>
        <w:rPr>
          <w:rFonts w:ascii="MS PGothic" w:cs="MS PGothic" w:eastAsia="MS PGothic" w:hAnsi="MS PGothic"/>
          <w:sz w:val="14"/>
          <w:szCs w:val="14"/>
          <w:color w:val="auto"/>
        </w:rPr>
        <w:t>‑</w:t>
      </w:r>
      <w:r>
        <w:rPr>
          <w:rFonts w:ascii="Arial" w:cs="Arial" w:eastAsia="Arial" w:hAnsi="Arial"/>
          <w:sz w:val="14"/>
          <w:szCs w:val="14"/>
          <w:color w:val="auto"/>
        </w:rPr>
        <w:t>3ASR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67"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5"/>
          <w:szCs w:val="15"/>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54"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The terms “Axsome,” the “Company,” “our,” “us” and “we,” as used in this prospectus, refer to Axsome Therapeutics, Inc., unless we state otherwise or the context indicates otherwise.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175" w:lineRule="exact"/>
        <w:rPr>
          <w:sz w:val="20"/>
          <w:szCs w:val="20"/>
          <w:color w:val="auto"/>
        </w:rPr>
      </w:pPr>
    </w:p>
    <w:p>
      <w:pPr>
        <w:ind w:right="40"/>
        <w:spacing w:after="0" w:line="179" w:lineRule="exact"/>
        <w:rPr>
          <w:sz w:val="20"/>
          <w:szCs w:val="20"/>
          <w:color w:val="auto"/>
        </w:rPr>
      </w:pPr>
      <w:r>
        <w:rPr>
          <w:rFonts w:ascii="Arial" w:cs="Arial" w:eastAsia="Arial" w:hAnsi="Arial"/>
          <w:sz w:val="14"/>
          <w:szCs w:val="14"/>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w:t>
      </w:r>
      <w:r>
        <w:rPr>
          <w:rFonts w:ascii="MS PGothic" w:cs="MS PGothic" w:eastAsia="MS PGothic" w:hAnsi="MS PGothic"/>
          <w:sz w:val="14"/>
          <w:szCs w:val="14"/>
          <w:color w:val="auto"/>
        </w:rPr>
        <w:t>‑</w:t>
      </w:r>
      <w:r>
        <w:rPr>
          <w:rFonts w:ascii="Arial" w:cs="Arial" w:eastAsia="Arial" w:hAnsi="Arial"/>
          <w:sz w:val="14"/>
          <w:szCs w:val="14"/>
          <w:color w:val="auto"/>
        </w:rPr>
        <w:t>05, AXS</w:t>
      </w:r>
      <w:r>
        <w:rPr>
          <w:rFonts w:ascii="MS PGothic" w:cs="MS PGothic" w:eastAsia="MS PGothic" w:hAnsi="MS PGothic"/>
          <w:sz w:val="14"/>
          <w:szCs w:val="14"/>
          <w:color w:val="auto"/>
        </w:rPr>
        <w:t>‑</w:t>
      </w:r>
      <w:r>
        <w:rPr>
          <w:rFonts w:ascii="Arial" w:cs="Arial" w:eastAsia="Arial" w:hAnsi="Arial"/>
          <w:sz w:val="14"/>
          <w:szCs w:val="14"/>
          <w:color w:val="auto"/>
        </w:rPr>
        <w:t>07, AXS</w:t>
      </w:r>
      <w:r>
        <w:rPr>
          <w:rFonts w:ascii="MS PGothic" w:cs="MS PGothic" w:eastAsia="MS PGothic" w:hAnsi="MS PGothic"/>
          <w:sz w:val="14"/>
          <w:szCs w:val="14"/>
          <w:color w:val="auto"/>
        </w:rPr>
        <w:t>‑</w:t>
      </w:r>
      <w:r>
        <w:rPr>
          <w:rFonts w:ascii="Arial" w:cs="Arial" w:eastAsia="Arial" w:hAnsi="Arial"/>
          <w:sz w:val="14"/>
          <w:szCs w:val="14"/>
          <w:color w:val="auto"/>
        </w:rPr>
        <w:t>09, and AXS</w:t>
      </w:r>
      <w:r>
        <w:rPr>
          <w:rFonts w:ascii="MS PGothic" w:cs="MS PGothic" w:eastAsia="MS PGothic" w:hAnsi="MS PGothic"/>
          <w:sz w:val="14"/>
          <w:szCs w:val="14"/>
          <w:color w:val="auto"/>
        </w:rPr>
        <w:t>‑</w:t>
      </w:r>
      <w:r>
        <w:rPr>
          <w:rFonts w:ascii="Arial" w:cs="Arial" w:eastAsia="Arial" w:hAnsi="Arial"/>
          <w:sz w:val="14"/>
          <w:szCs w:val="14"/>
          <w:color w:val="auto"/>
        </w:rPr>
        <w:t>12, which are being developed for multiple indications. AXS</w:t>
      </w:r>
      <w:r>
        <w:rPr>
          <w:rFonts w:ascii="MS PGothic" w:cs="MS PGothic" w:eastAsia="MS PGothic" w:hAnsi="MS PGothic"/>
          <w:sz w:val="14"/>
          <w:szCs w:val="14"/>
          <w:color w:val="auto"/>
        </w:rPr>
        <w:t>‑</w:t>
      </w:r>
      <w:r>
        <w:rPr>
          <w:rFonts w:ascii="Arial" w:cs="Arial" w:eastAsia="Arial" w:hAnsi="Arial"/>
          <w:sz w:val="14"/>
          <w:szCs w:val="14"/>
          <w:color w:val="auto"/>
        </w:rPr>
        <w:t>05 is currently in a Phase 3 trial in treatment resistant depression, or TRD, which we refer to as the STRIDE</w:t>
      </w:r>
      <w:r>
        <w:rPr>
          <w:rFonts w:ascii="MS PGothic" w:cs="MS PGothic" w:eastAsia="MS PGothic" w:hAnsi="MS PGothic"/>
          <w:sz w:val="14"/>
          <w:szCs w:val="14"/>
          <w:color w:val="auto"/>
        </w:rPr>
        <w:t>‑</w:t>
      </w:r>
      <w:r>
        <w:rPr>
          <w:rFonts w:ascii="Arial" w:cs="Arial" w:eastAsia="Arial" w:hAnsi="Arial"/>
          <w:sz w:val="14"/>
          <w:szCs w:val="14"/>
          <w:color w:val="auto"/>
        </w:rPr>
        <w:t>1 study, a Phase 3 trial in major depressive disorder, or MDD, which we refer to as the GEMINI study, a Phase 3 open-label safety trial in patients with TRD and MDD; and a Phase 2/3 trial in agitation associated with Alzheimer’s disease, or AD, which we refer to as the ADVANCE</w:t>
      </w:r>
      <w:r>
        <w:rPr>
          <w:rFonts w:ascii="MS PGothic" w:cs="MS PGothic" w:eastAsia="MS PGothic" w:hAnsi="MS PGothic"/>
          <w:sz w:val="14"/>
          <w:szCs w:val="14"/>
          <w:color w:val="auto"/>
        </w:rPr>
        <w:t>‑</w:t>
      </w:r>
      <w:r>
        <w:rPr>
          <w:rFonts w:ascii="Arial" w:cs="Arial" w:eastAsia="Arial" w:hAnsi="Arial"/>
          <w:sz w:val="14"/>
          <w:szCs w:val="14"/>
          <w:color w:val="auto"/>
        </w:rPr>
        <w:t>1 study. We have completed a Phase 2 trial in MDD, which we refer to as the ASCEND study and a Phase 2 trial in smoking cessation. AXS</w:t>
      </w:r>
      <w:r>
        <w:rPr>
          <w:rFonts w:ascii="MS PGothic" w:cs="MS PGothic" w:eastAsia="MS PGothic" w:hAnsi="MS PGothic"/>
          <w:sz w:val="14"/>
          <w:szCs w:val="14"/>
          <w:color w:val="auto"/>
        </w:rPr>
        <w:t>‑</w:t>
      </w:r>
      <w:r>
        <w:rPr>
          <w:rFonts w:ascii="Arial" w:cs="Arial" w:eastAsia="Arial" w:hAnsi="Arial"/>
          <w:sz w:val="14"/>
          <w:szCs w:val="14"/>
          <w:color w:val="auto"/>
        </w:rPr>
        <w:t>07 is currently in two Phase 3 trials for the acute treatment of migraine, which we refer to as the MOMENTUM and the INTERCEPT studies, and a Phase 3 open-label safety trial in patients with migraine. AXS</w:t>
      </w:r>
      <w:r>
        <w:rPr>
          <w:rFonts w:ascii="MS PGothic" w:cs="MS PGothic" w:eastAsia="MS PGothic" w:hAnsi="MS PGothic"/>
          <w:sz w:val="14"/>
          <w:szCs w:val="14"/>
          <w:color w:val="auto"/>
        </w:rPr>
        <w:t>‑</w:t>
      </w:r>
      <w:r>
        <w:rPr>
          <w:rFonts w:ascii="Arial" w:cs="Arial" w:eastAsia="Arial" w:hAnsi="Arial"/>
          <w:sz w:val="14"/>
          <w:szCs w:val="14"/>
          <w:color w:val="auto"/>
        </w:rPr>
        <w:t>12 is being developed for the treatment of narcolepsy. We have completed a Phase 2 trial, which we refer to as the CONCERT study. The Axsome Pain and Primary Care business unit, or Axsome PPC, houses our pain and primary care assets, including AXS</w:t>
      </w:r>
      <w:r>
        <w:rPr>
          <w:rFonts w:ascii="MS PGothic" w:cs="MS PGothic" w:eastAsia="MS PGothic" w:hAnsi="MS PGothic"/>
          <w:sz w:val="14"/>
          <w:szCs w:val="14"/>
          <w:color w:val="auto"/>
        </w:rPr>
        <w:t>‑</w:t>
      </w:r>
      <w:r>
        <w:rPr>
          <w:rFonts w:ascii="Arial" w:cs="Arial" w:eastAsia="Arial" w:hAnsi="Arial"/>
          <w:sz w:val="14"/>
          <w:szCs w:val="14"/>
          <w:color w:val="auto"/>
        </w:rPr>
        <w:t>02 and AXS</w:t>
      </w:r>
      <w:r>
        <w:rPr>
          <w:rFonts w:ascii="MS PGothic" w:cs="MS PGothic" w:eastAsia="MS PGothic" w:hAnsi="MS PGothic"/>
          <w:sz w:val="14"/>
          <w:szCs w:val="14"/>
          <w:color w:val="auto"/>
        </w:rPr>
        <w:t>‑</w:t>
      </w:r>
      <w:r>
        <w:rPr>
          <w:rFonts w:ascii="Arial" w:cs="Arial" w:eastAsia="Arial" w:hAnsi="Arial"/>
          <w:sz w:val="14"/>
          <w:szCs w:val="14"/>
          <w:color w:val="auto"/>
        </w:rPr>
        <w:t>06, and intellectual property which covers these and related product candidates and molecules being developed by us and others. AXS</w:t>
      </w:r>
      <w:r>
        <w:rPr>
          <w:rFonts w:ascii="MS PGothic" w:cs="MS PGothic" w:eastAsia="MS PGothic" w:hAnsi="MS PGothic"/>
          <w:sz w:val="14"/>
          <w:szCs w:val="14"/>
          <w:color w:val="auto"/>
        </w:rPr>
        <w:t>‑</w:t>
      </w:r>
      <w:r>
        <w:rPr>
          <w:rFonts w:ascii="Arial" w:cs="Arial" w:eastAsia="Arial" w:hAnsi="Arial"/>
          <w:sz w:val="14"/>
          <w:szCs w:val="14"/>
          <w:color w:val="auto"/>
        </w:rPr>
        <w:t>02 is being developed for the treatment of knee osteoarthritis, or OA, associated with bone marrow lesions, or BMLs. AXS</w:t>
      </w:r>
      <w:r>
        <w:rPr>
          <w:rFonts w:ascii="MS PGothic" w:cs="MS PGothic" w:eastAsia="MS PGothic" w:hAnsi="MS PGothic"/>
          <w:sz w:val="14"/>
          <w:szCs w:val="14"/>
          <w:color w:val="auto"/>
        </w:rPr>
        <w:t>‑</w:t>
      </w:r>
      <w:r>
        <w:rPr>
          <w:rFonts w:ascii="Arial" w:cs="Arial" w:eastAsia="Arial" w:hAnsi="Arial"/>
          <w:sz w:val="14"/>
          <w:szCs w:val="14"/>
          <w:color w:val="auto"/>
        </w:rPr>
        <w:t>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75"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is a novel, oral, investigational NMDA receptor antagonist with multimodal activity under development for the treatment of CNS disorders. AXS</w:t>
      </w:r>
      <w:r>
        <w:rPr>
          <w:rFonts w:ascii="MS PGothic" w:cs="MS PGothic" w:eastAsia="MS PGothic" w:hAnsi="MS PGothic"/>
          <w:sz w:val="16"/>
          <w:szCs w:val="16"/>
          <w:color w:val="auto"/>
        </w:rPr>
        <w:t>‑</w:t>
      </w:r>
      <w:r>
        <w:rPr>
          <w:rFonts w:ascii="Arial" w:cs="Arial" w:eastAsia="Arial" w:hAnsi="Arial"/>
          <w:sz w:val="16"/>
          <w:szCs w:val="16"/>
          <w:color w:val="auto"/>
        </w:rPr>
        <w:t>05 consists of bupropion and dextromethorphan, or DM, and utilizes our metabolic inhibition technology. We are developing AXS</w:t>
      </w:r>
      <w:r>
        <w:rPr>
          <w:rFonts w:ascii="MS PGothic" w:cs="MS PGothic" w:eastAsia="MS PGothic" w:hAnsi="MS PGothic"/>
          <w:sz w:val="16"/>
          <w:szCs w:val="16"/>
          <w:color w:val="auto"/>
        </w:rPr>
        <w:t>‑</w:t>
      </w:r>
      <w:r>
        <w:rPr>
          <w:rFonts w:ascii="Arial" w:cs="Arial" w:eastAsia="Arial" w:hAnsi="Arial"/>
          <w:sz w:val="16"/>
          <w:szCs w:val="16"/>
          <w:color w:val="auto"/>
        </w:rPr>
        <w:t>05 initially for the following four indications: TRD, agitation associated with AD, MDD, and as an aid to smoking cessation. The DM component of AXS</w:t>
      </w:r>
      <w:r>
        <w:rPr>
          <w:rFonts w:ascii="MS PGothic" w:cs="MS PGothic" w:eastAsia="MS PGothic" w:hAnsi="MS PGothic"/>
          <w:sz w:val="16"/>
          <w:szCs w:val="16"/>
          <w:color w:val="auto"/>
        </w:rPr>
        <w:t>‑</w:t>
      </w:r>
      <w:r>
        <w:rPr>
          <w:rFonts w:ascii="Arial" w:cs="Arial" w:eastAsia="Arial" w:hAnsi="Arial"/>
          <w:sz w:val="16"/>
          <w:szCs w:val="16"/>
          <w:color w:val="auto"/>
        </w:rPr>
        <w:t>05 is a non-competitive N-methyl-D-aspartate, or NMDA, receptor antagonist, also known as a glutamate receptor modulator. The DM component of AXS</w:t>
      </w:r>
      <w:r>
        <w:rPr>
          <w:rFonts w:ascii="MS PGothic" w:cs="MS PGothic" w:eastAsia="MS PGothic" w:hAnsi="MS PGothic"/>
          <w:sz w:val="16"/>
          <w:szCs w:val="16"/>
          <w:color w:val="auto"/>
        </w:rPr>
        <w:t>‑</w:t>
      </w:r>
      <w:r>
        <w:rPr>
          <w:rFonts w:ascii="Arial" w:cs="Arial" w:eastAsia="Arial" w:hAnsi="Arial"/>
          <w:sz w:val="16"/>
          <w:szCs w:val="16"/>
          <w:color w:val="auto"/>
        </w:rPr>
        <w:t>05 is also a sigma</w:t>
      </w:r>
      <w:r>
        <w:rPr>
          <w:rFonts w:ascii="MS PGothic" w:cs="MS PGothic" w:eastAsia="MS PGothic" w:hAnsi="MS PGothic"/>
          <w:sz w:val="16"/>
          <w:szCs w:val="16"/>
          <w:color w:val="auto"/>
        </w:rPr>
        <w:t>‑</w:t>
      </w:r>
      <w:r>
        <w:rPr>
          <w:rFonts w:ascii="Arial" w:cs="Arial" w:eastAsia="Arial" w:hAnsi="Arial"/>
          <w:sz w:val="16"/>
          <w:szCs w:val="16"/>
          <w:color w:val="auto"/>
        </w:rPr>
        <w:t>1 receptor agonist, nicotinic acetylcholine receptor antagonist, and inhibitor of the serotonin and norepinephrine transporters. The bupropion component of AXS</w:t>
      </w:r>
      <w:r>
        <w:rPr>
          <w:rFonts w:ascii="MS PGothic" w:cs="MS PGothic" w:eastAsia="MS PGothic" w:hAnsi="MS PGothic"/>
          <w:sz w:val="16"/>
          <w:szCs w:val="16"/>
          <w:color w:val="auto"/>
        </w:rPr>
        <w:t>‑</w:t>
      </w:r>
      <w:r>
        <w:rPr>
          <w:rFonts w:ascii="Arial" w:cs="Arial" w:eastAsia="Arial" w:hAnsi="Arial"/>
          <w:sz w:val="16"/>
          <w:szCs w:val="16"/>
          <w:color w:val="auto"/>
        </w:rPr>
        <w:t>05 serves to increase the bioavailability of dextromethorphan, and is a norepinephrine and dopamine reuptake inhibitor, and a nicotinic acetylcholine receptor antagonist. We intend to seek U.S. Food and Drug Administration, or FDA, approval for AXS</w:t>
      </w:r>
      <w:r>
        <w:rPr>
          <w:rFonts w:ascii="MS PGothic" w:cs="MS PGothic" w:eastAsia="MS PGothic" w:hAnsi="MS PGothic"/>
          <w:sz w:val="16"/>
          <w:szCs w:val="16"/>
          <w:color w:val="auto"/>
        </w:rPr>
        <w:t>‑</w:t>
      </w:r>
      <w:r>
        <w:rPr>
          <w:rFonts w:ascii="Arial" w:cs="Arial" w:eastAsia="Arial" w:hAnsi="Arial"/>
          <w:sz w:val="16"/>
          <w:szCs w:val="16"/>
          <w:color w:val="auto"/>
        </w:rPr>
        <w:t>05 utilizing the 505(b)(2) regulatory development pathway.</w:t>
      </w:r>
    </w:p>
    <w:p>
      <w:pPr>
        <w:spacing w:after="0" w:line="170" w:lineRule="exact"/>
        <w:rPr>
          <w:sz w:val="20"/>
          <w:szCs w:val="20"/>
          <w:color w:val="auto"/>
        </w:rPr>
      </w:pPr>
    </w:p>
    <w:p>
      <w:pPr>
        <w:ind w:right="80"/>
        <w:spacing w:after="0" w:line="180" w:lineRule="exact"/>
        <w:rPr>
          <w:sz w:val="20"/>
          <w:szCs w:val="20"/>
          <w:color w:val="auto"/>
        </w:rPr>
      </w:pPr>
      <w:r>
        <w:rPr>
          <w:rFonts w:ascii="Arial" w:cs="Arial" w:eastAsia="Arial" w:hAnsi="Arial"/>
          <w:sz w:val="15"/>
          <w:szCs w:val="15"/>
          <w:color w:val="auto"/>
        </w:rPr>
        <w:t>AXS</w:t>
      </w:r>
      <w:r>
        <w:rPr>
          <w:rFonts w:ascii="MS PGothic" w:cs="MS PGothic" w:eastAsia="MS PGothic" w:hAnsi="MS PGothic"/>
          <w:sz w:val="15"/>
          <w:szCs w:val="15"/>
          <w:color w:val="auto"/>
        </w:rPr>
        <w:t>‑</w:t>
      </w:r>
      <w:r>
        <w:rPr>
          <w:rFonts w:ascii="Arial" w:cs="Arial" w:eastAsia="Arial" w:hAnsi="Arial"/>
          <w:sz w:val="15"/>
          <w:szCs w:val="15"/>
          <w:color w:val="auto"/>
        </w:rPr>
        <w:t>07 is a novel, oral, investigational medicine with distinct dual mechanisms of action consisting of MoSEIC™, or Molecular Solubility Enhanced Inclusion Complex, meloxicam and rizatriptan. We are developing AXS</w:t>
      </w:r>
      <w:r>
        <w:rPr>
          <w:rFonts w:ascii="MS PGothic" w:cs="MS PGothic" w:eastAsia="MS PGothic" w:hAnsi="MS PGothic"/>
          <w:sz w:val="15"/>
          <w:szCs w:val="15"/>
          <w:color w:val="auto"/>
        </w:rPr>
        <w:t>‑</w:t>
      </w:r>
      <w:r>
        <w:rPr>
          <w:rFonts w:ascii="Arial" w:cs="Arial" w:eastAsia="Arial" w:hAnsi="Arial"/>
          <w:sz w:val="15"/>
          <w:szCs w:val="15"/>
          <w:color w:val="auto"/>
        </w:rPr>
        <w:t>07 initially for the acute treatment of migraine. Meloxicam is a long-acting nonsteroidal anti-inflammatory drug, or NSAID, with COX</w:t>
      </w:r>
      <w:r>
        <w:rPr>
          <w:rFonts w:ascii="MS PGothic" w:cs="MS PGothic" w:eastAsia="MS PGothic" w:hAnsi="MS PGothic"/>
          <w:sz w:val="15"/>
          <w:szCs w:val="15"/>
          <w:color w:val="auto"/>
        </w:rPr>
        <w:t>‑</w:t>
      </w:r>
      <w:r>
        <w:rPr>
          <w:rFonts w:ascii="Arial" w:cs="Arial" w:eastAsia="Arial" w:hAnsi="Arial"/>
          <w:sz w:val="15"/>
          <w:szCs w:val="15"/>
          <w:color w:val="auto"/>
        </w:rPr>
        <w:t>2, an enzyme involved in inflammation and pain pathways, preferential inhibition and potent pain-relieving effects. However, standard meloxicam has an extended time to maximum plasma concentration, or T</w:t>
      </w:r>
      <w:r>
        <w:rPr>
          <w:rFonts w:ascii="Arial" w:cs="Arial" w:eastAsia="Arial" w:hAnsi="Arial"/>
          <w:sz w:val="12"/>
          <w:szCs w:val="12"/>
          <w:color w:val="auto"/>
        </w:rPr>
        <w:t>max</w:t>
      </w:r>
      <w:r>
        <w:rPr>
          <w:rFonts w:ascii="Arial" w:cs="Arial" w:eastAsia="Arial" w:hAnsi="Arial"/>
          <w:sz w:val="15"/>
          <w:szCs w:val="15"/>
          <w:color w:val="auto"/>
        </w:rPr>
        <w:t>, which delays its onset of action. AXS</w:t>
      </w:r>
      <w:r>
        <w:rPr>
          <w:rFonts w:ascii="MS PGothic" w:cs="MS PGothic" w:eastAsia="MS PGothic" w:hAnsi="MS PGothic"/>
          <w:sz w:val="15"/>
          <w:szCs w:val="15"/>
          <w:color w:val="auto"/>
        </w:rPr>
        <w:t>‑</w:t>
      </w:r>
      <w:r>
        <w:rPr>
          <w:rFonts w:ascii="Arial" w:cs="Arial" w:eastAsia="Arial" w:hAnsi="Arial"/>
          <w:sz w:val="15"/>
          <w:szCs w:val="15"/>
          <w:color w:val="auto"/>
        </w:rPr>
        <w:t>07 utilizes our proprietary MoSEIC™ technology to substantially increase the solubility and speed the absorption of meloxicam while potentially maintaining durability of action. Meloxicam is a new molecular entity for migraine enabled by our MoSEIC™ technology. Rizatriptan is a 5</w:t>
      </w:r>
      <w:r>
        <w:rPr>
          <w:rFonts w:ascii="MS PGothic" w:cs="MS PGothic" w:eastAsia="MS PGothic" w:hAnsi="MS PGothic"/>
          <w:sz w:val="15"/>
          <w:szCs w:val="15"/>
          <w:color w:val="auto"/>
        </w:rPr>
        <w:t>‑</w:t>
      </w:r>
      <w:r>
        <w:rPr>
          <w:rFonts w:ascii="Arial" w:cs="Arial" w:eastAsia="Arial" w:hAnsi="Arial"/>
          <w:sz w:val="15"/>
          <w:szCs w:val="15"/>
          <w:color w:val="auto"/>
        </w:rPr>
        <w:t>HT</w:t>
      </w:r>
      <w:r>
        <w:rPr>
          <w:rFonts w:ascii="Arial" w:cs="Arial" w:eastAsia="Arial" w:hAnsi="Arial"/>
          <w:sz w:val="12"/>
          <w:szCs w:val="12"/>
          <w:color w:val="auto"/>
        </w:rPr>
        <w:t>1B/D</w:t>
      </w:r>
      <w:r>
        <w:rPr>
          <w:rFonts w:ascii="Arial" w:cs="Arial" w:eastAsia="Arial" w:hAnsi="Arial"/>
          <w:sz w:val="15"/>
          <w:szCs w:val="15"/>
          <w:color w:val="auto"/>
        </w:rPr>
        <w:t xml:space="preserve"> agonist that inhibits calcitonin gene-related peptide, or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w:t>
      </w:r>
      <w:r>
        <w:rPr>
          <w:rFonts w:ascii="MS PGothic" w:cs="MS PGothic" w:eastAsia="MS PGothic" w:hAnsi="MS PGothic"/>
          <w:sz w:val="15"/>
          <w:szCs w:val="15"/>
          <w:color w:val="auto"/>
        </w:rPr>
        <w:t>‑</w:t>
      </w:r>
      <w:r>
        <w:rPr>
          <w:rFonts w:ascii="Arial" w:cs="Arial" w:eastAsia="Arial" w:hAnsi="Arial"/>
          <w:sz w:val="15"/>
          <w:szCs w:val="15"/>
          <w:color w:val="auto"/>
        </w:rPr>
        <w:t>07 utilizing the 505(b)(2) regulatory development pathway.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182"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09 is a novel, oral, investigational medicine consisting of esbupropion and DM, which is being developed for the treatment of CNS disorders. AXS</w:t>
      </w:r>
      <w:r>
        <w:rPr>
          <w:rFonts w:ascii="MS PGothic" w:cs="MS PGothic" w:eastAsia="MS PGothic" w:hAnsi="MS PGothic"/>
          <w:sz w:val="16"/>
          <w:szCs w:val="16"/>
          <w:color w:val="auto"/>
        </w:rPr>
        <w:t>‑</w:t>
      </w:r>
      <w:r>
        <w:rPr>
          <w:rFonts w:ascii="Arial" w:cs="Arial" w:eastAsia="Arial" w:hAnsi="Arial"/>
          <w:sz w:val="16"/>
          <w:szCs w:val="16"/>
          <w:color w:val="auto"/>
        </w:rPr>
        <w:t xml:space="preserve">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-enantiomer of bupropion, as compared to the company’s first generation product candidate AXS</w:t>
      </w:r>
      <w:r>
        <w:rPr>
          <w:rFonts w:ascii="MS PGothic" w:cs="MS PGothic" w:eastAsia="MS PGothic" w:hAnsi="MS PGothic"/>
          <w:sz w:val="16"/>
          <w:szCs w:val="16"/>
          <w:color w:val="auto"/>
        </w:rPr>
        <w:t>‑</w:t>
      </w:r>
      <w:r>
        <w:rPr>
          <w:rFonts w:ascii="Arial" w:cs="Arial" w:eastAsia="Arial" w:hAnsi="Arial"/>
          <w:sz w:val="16"/>
          <w:szCs w:val="16"/>
          <w:color w:val="auto"/>
        </w:rPr>
        <w:t xml:space="preserve">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-enantiomers. We have demonstrated in a Phase 1 trial that DM plasma levels are substantially increased into a potentially therapeutic range with repeated administration of AXS</w:t>
      </w:r>
      <w:r>
        <w:rPr>
          <w:rFonts w:ascii="MS PGothic" w:cs="MS PGothic" w:eastAsia="MS PGothic" w:hAnsi="MS PGothic"/>
          <w:sz w:val="16"/>
          <w:szCs w:val="16"/>
          <w:color w:val="auto"/>
        </w:rPr>
        <w:t>‑</w:t>
      </w:r>
      <w:r>
        <w:rPr>
          <w:rFonts w:ascii="Arial" w:cs="Arial" w:eastAsia="Arial" w:hAnsi="Arial"/>
          <w:sz w:val="16"/>
          <w:szCs w:val="16"/>
          <w:color w:val="auto"/>
        </w:rPr>
        <w:t xml:space="preserve">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8" w:lineRule="exact"/>
        <w:rPr>
          <w:sz w:val="20"/>
          <w:szCs w:val="20"/>
          <w:color w:val="auto"/>
        </w:rPr>
      </w:pPr>
    </w:p>
    <w:p>
      <w:pPr>
        <w:ind w:right="280"/>
        <w:spacing w:after="0" w:line="183"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12, reboxetine, is a novel, oral, investigational medicine in development for treatment of narcolepsy. AXS</w:t>
      </w:r>
      <w:r>
        <w:rPr>
          <w:rFonts w:ascii="MS PGothic" w:cs="MS PGothic" w:eastAsia="MS PGothic" w:hAnsi="MS PGothic"/>
          <w:sz w:val="16"/>
          <w:szCs w:val="16"/>
          <w:color w:val="auto"/>
        </w:rPr>
        <w:t>‑</w:t>
      </w:r>
      <w:r>
        <w:rPr>
          <w:rFonts w:ascii="Arial" w:cs="Arial" w:eastAsia="Arial" w:hAnsi="Arial"/>
          <w:sz w:val="16"/>
          <w:szCs w:val="16"/>
          <w:color w:val="auto"/>
        </w:rPr>
        <w:t>12 is a highly selective and potent norepinephrine reuptake inhibitor. The potential utility of AXS</w:t>
      </w:r>
      <w:r>
        <w:rPr>
          <w:rFonts w:ascii="MS PGothic" w:cs="MS PGothic" w:eastAsia="MS PGothic" w:hAnsi="MS PGothic"/>
          <w:sz w:val="16"/>
          <w:szCs w:val="16"/>
          <w:color w:val="auto"/>
        </w:rPr>
        <w:t>‑</w:t>
      </w:r>
      <w:r>
        <w:rPr>
          <w:rFonts w:ascii="Arial" w:cs="Arial" w:eastAsia="Arial" w:hAnsi="Arial"/>
          <w:sz w:val="16"/>
          <w:szCs w:val="16"/>
          <w:color w:val="auto"/>
        </w:rPr>
        <w:t>12 in narcolepsy is supported by positive pre-clinical and clinical results in narcolepsy, and an extensive positive clinical safety record. Reboxetine, the active agent in AXS</w:t>
      </w:r>
      <w:r>
        <w:rPr>
          <w:rFonts w:ascii="MS PGothic" w:cs="MS PGothic" w:eastAsia="MS PGothic" w:hAnsi="MS PGothic"/>
          <w:sz w:val="16"/>
          <w:szCs w:val="16"/>
          <w:color w:val="auto"/>
        </w:rPr>
        <w:t>‑</w:t>
      </w:r>
      <w:r>
        <w:rPr>
          <w:rFonts w:ascii="Arial" w:cs="Arial" w:eastAsia="Arial" w:hAnsi="Arial"/>
          <w:sz w:val="16"/>
          <w:szCs w:val="16"/>
          <w:color w:val="auto"/>
        </w:rPr>
        <w:t>12, significantly and dose-dependently reduced narcoleptic episodes in hypocretin, or orexin-deficient mice, a well-established genetic animal model of narcolepsy.</w:t>
      </w:r>
    </w:p>
    <w:p>
      <w:pPr>
        <w:spacing w:after="0" w:line="169" w:lineRule="exact"/>
        <w:rPr>
          <w:sz w:val="20"/>
          <w:szCs w:val="20"/>
          <w:color w:val="auto"/>
        </w:rPr>
      </w:pPr>
    </w:p>
    <w:p>
      <w:pPr>
        <w:ind w:right="200"/>
        <w:spacing w:after="0" w:line="183" w:lineRule="exact"/>
        <w:rPr>
          <w:sz w:val="20"/>
          <w:szCs w:val="20"/>
          <w:color w:val="auto"/>
        </w:rPr>
      </w:pPr>
      <w:r>
        <w:rPr>
          <w:rFonts w:ascii="Arial" w:cs="Arial" w:eastAsia="Arial" w:hAnsi="Arial"/>
          <w:sz w:val="16"/>
          <w:szCs w:val="16"/>
          <w:color w:val="auto"/>
        </w:rPr>
        <w:t>The Axsome PPC unit houses Axsome’s pain and primary care assets,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06, and intellectual property which covers these and related product candidates and molecules being developed by Axsome and others. AXS</w:t>
      </w:r>
      <w:r>
        <w:rPr>
          <w:rFonts w:ascii="MS PGothic" w:cs="MS PGothic" w:eastAsia="MS PGothic" w:hAnsi="MS PGothic"/>
          <w:sz w:val="16"/>
          <w:szCs w:val="16"/>
          <w:color w:val="auto"/>
        </w:rPr>
        <w:t>‑</w:t>
      </w:r>
      <w:r>
        <w:rPr>
          <w:rFonts w:ascii="Arial" w:cs="Arial" w:eastAsia="Arial" w:hAnsi="Arial"/>
          <w:sz w:val="16"/>
          <w:szCs w:val="16"/>
          <w:color w:val="auto"/>
        </w:rPr>
        <w:t>02 is being developed for the treatment of knee osteoarthritis, or OA, associated with bone marrow lesions, or BMLs, and chronic low back pain, or CLBP, associated with Modic changes, or MCs. AXS</w:t>
      </w:r>
      <w:r>
        <w:rPr>
          <w:rFonts w:ascii="MS PGothic" w:cs="MS PGothic" w:eastAsia="MS PGothic" w:hAnsi="MS PGothic"/>
          <w:sz w:val="16"/>
          <w:szCs w:val="16"/>
          <w:color w:val="auto"/>
        </w:rPr>
        <w:t>‑</w:t>
      </w:r>
      <w:r>
        <w:rPr>
          <w:rFonts w:ascii="Arial" w:cs="Arial" w:eastAsia="Arial" w:hAnsi="Arial"/>
          <w:sz w:val="16"/>
          <w:szCs w:val="16"/>
          <w:color w:val="auto"/>
        </w:rPr>
        <w:t>06 is being developed for the treatment of osteoarthritis and rheumatoid arthritis and for the reduction of the risk of NSAID-associated gastrointestinal ulcers.</w:t>
      </w:r>
    </w:p>
    <w:p>
      <w:pPr>
        <w:spacing w:after="0" w:line="169" w:lineRule="exact"/>
        <w:rPr>
          <w:sz w:val="20"/>
          <w:szCs w:val="20"/>
          <w:color w:val="auto"/>
        </w:rPr>
      </w:pPr>
    </w:p>
    <w:p>
      <w:pPr>
        <w:ind w:right="160"/>
        <w:spacing w:after="0" w:line="182"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8" w:lineRule="exact"/>
        <w:rPr>
          <w:sz w:val="20"/>
          <w:szCs w:val="20"/>
          <w:color w:val="auto"/>
        </w:rPr>
      </w:pPr>
    </w:p>
    <w:p>
      <w:pPr>
        <w:ind w:right="80"/>
        <w:spacing w:after="0" w:line="182" w:lineRule="exact"/>
        <w:rPr>
          <w:sz w:val="20"/>
          <w:szCs w:val="20"/>
          <w:color w:val="auto"/>
        </w:rPr>
      </w:pPr>
      <w:r>
        <w:rPr>
          <w:rFonts w:ascii="Arial" w:cs="Arial" w:eastAsia="Arial" w:hAnsi="Arial"/>
          <w:sz w:val="15"/>
          <w:szCs w:val="15"/>
          <w:color w:val="auto"/>
        </w:rPr>
        <w:t>AXS</w:t>
      </w:r>
      <w:r>
        <w:rPr>
          <w:rFonts w:ascii="MS PGothic" w:cs="MS PGothic" w:eastAsia="MS PGothic" w:hAnsi="MS PGothic"/>
          <w:sz w:val="15"/>
          <w:szCs w:val="15"/>
          <w:color w:val="auto"/>
        </w:rPr>
        <w:t>‑</w:t>
      </w:r>
      <w:r>
        <w:rPr>
          <w:rFonts w:ascii="Arial" w:cs="Arial" w:eastAsia="Arial" w:hAnsi="Arial"/>
          <w:sz w:val="15"/>
          <w:szCs w:val="15"/>
          <w:color w:val="auto"/>
        </w:rPr>
        <w:t>06 is a novel, oral, non-opioid, fixed-dose combination of MoSEIC™ meloxicam and esomeprazole. We are developing AXS</w:t>
      </w:r>
      <w:r>
        <w:rPr>
          <w:rFonts w:ascii="MS PGothic" w:cs="MS PGothic" w:eastAsia="MS PGothic" w:hAnsi="MS PGothic"/>
          <w:sz w:val="15"/>
          <w:szCs w:val="15"/>
          <w:color w:val="auto"/>
        </w:rPr>
        <w:t>‑</w:t>
      </w:r>
      <w:r>
        <w:rPr>
          <w:rFonts w:ascii="Arial" w:cs="Arial" w:eastAsia="Arial" w:hAnsi="Arial"/>
          <w:sz w:val="15"/>
          <w:szCs w:val="15"/>
          <w:color w:val="auto"/>
        </w:rPr>
        <w:t>06 initially for the treatment of osteoarthritis and rheumatoid arthritis. Esomeprazole is a proton pump inhibitor which lowers stomach acidity and which has been shown to reduce the occurrence of NSAID-associated gastrointestinal ulcers. AXS</w:t>
      </w:r>
      <w:r>
        <w:rPr>
          <w:rFonts w:ascii="MS PGothic" w:cs="MS PGothic" w:eastAsia="MS PGothic" w:hAnsi="MS PGothic"/>
          <w:sz w:val="15"/>
          <w:szCs w:val="15"/>
          <w:color w:val="auto"/>
        </w:rPr>
        <w:t>‑</w:t>
      </w:r>
      <w:r>
        <w:rPr>
          <w:rFonts w:ascii="Arial" w:cs="Arial" w:eastAsia="Arial" w:hAnsi="Arial"/>
          <w:sz w:val="15"/>
          <w:szCs w:val="15"/>
          <w:color w:val="auto"/>
        </w:rPr>
        <w:t>06 is designed to provide rapid, effective pain relief, and to reduce the risk of NSAID-associated gastrointestinal ulcers, with convenient once-daily dosing. We have successfully completed a Phase 1 trial of AXS</w:t>
      </w:r>
      <w:r>
        <w:rPr>
          <w:rFonts w:ascii="MS PGothic" w:cs="MS PGothic" w:eastAsia="MS PGothic" w:hAnsi="MS PGothic"/>
          <w:sz w:val="15"/>
          <w:szCs w:val="15"/>
          <w:color w:val="auto"/>
        </w:rPr>
        <w:t>‑</w:t>
      </w:r>
      <w:r>
        <w:rPr>
          <w:rFonts w:ascii="Arial" w:cs="Arial" w:eastAsia="Arial" w:hAnsi="Arial"/>
          <w:sz w:val="15"/>
          <w:szCs w:val="15"/>
          <w:color w:val="auto"/>
        </w:rPr>
        <w:t>06 to characterize the pharmacokinetics of meloxicam and esomeprazole after oral administration of AXS</w:t>
      </w:r>
      <w:r>
        <w:rPr>
          <w:rFonts w:ascii="MS PGothic" w:cs="MS PGothic" w:eastAsia="MS PGothic" w:hAnsi="MS PGothic"/>
          <w:sz w:val="15"/>
          <w:szCs w:val="15"/>
          <w:color w:val="auto"/>
        </w:rPr>
        <w:t>‑</w:t>
      </w:r>
      <w:r>
        <w:rPr>
          <w:rFonts w:ascii="Arial" w:cs="Arial" w:eastAsia="Arial" w:hAnsi="Arial"/>
          <w:sz w:val="15"/>
          <w:szCs w:val="15"/>
          <w:color w:val="auto"/>
        </w:rPr>
        <w:t>06. The results of our Phase 1 trial demonstrated that the median T</w:t>
      </w:r>
      <w:r>
        <w:rPr>
          <w:rFonts w:ascii="Arial" w:cs="Arial" w:eastAsia="Arial" w:hAnsi="Arial"/>
          <w:sz w:val="12"/>
          <w:szCs w:val="12"/>
          <w:color w:val="auto"/>
        </w:rPr>
        <w:t>max</w:t>
      </w:r>
      <w:r>
        <w:rPr>
          <w:rFonts w:ascii="Arial" w:cs="Arial" w:eastAsia="Arial" w:hAnsi="Arial"/>
          <w:sz w:val="15"/>
          <w:szCs w:val="15"/>
          <w:color w:val="auto"/>
        </w:rPr>
        <w:t xml:space="preserve"> for meloxicam, the trial’s primary endpoint, was nine times faster for AXS</w:t>
      </w:r>
      <w:r>
        <w:rPr>
          <w:rFonts w:ascii="MS PGothic" w:cs="MS PGothic" w:eastAsia="MS PGothic" w:hAnsi="MS PGothic"/>
          <w:sz w:val="15"/>
          <w:szCs w:val="15"/>
          <w:color w:val="auto"/>
        </w:rPr>
        <w:t>‑</w:t>
      </w:r>
      <w:r>
        <w:rPr>
          <w:rFonts w:ascii="Arial" w:cs="Arial" w:eastAsia="Arial" w:hAnsi="Arial"/>
          <w:sz w:val="15"/>
          <w:szCs w:val="15"/>
          <w:color w:val="auto"/>
        </w:rPr>
        <w:t>06 as compared to standard meloxicam. We intend to seek FDA approval for AXS</w:t>
      </w:r>
      <w:r>
        <w:rPr>
          <w:rFonts w:ascii="MS PGothic" w:cs="MS PGothic" w:eastAsia="MS PGothic" w:hAnsi="MS PGothic"/>
          <w:sz w:val="15"/>
          <w:szCs w:val="15"/>
          <w:color w:val="auto"/>
        </w:rPr>
        <w:t>‑</w:t>
      </w:r>
      <w:r>
        <w:rPr>
          <w:rFonts w:ascii="Arial" w:cs="Arial" w:eastAsia="Arial" w:hAnsi="Arial"/>
          <w:sz w:val="15"/>
          <w:szCs w:val="15"/>
          <w:color w:val="auto"/>
        </w:rPr>
        <w:t>06 utilizing the 505(b)(2) regulatory development pathway.</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123825</wp:posOffset>
            </wp:positionV>
            <wp:extent cx="4686300" cy="1802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686300"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123825</wp:posOffset>
            </wp:positionV>
            <wp:extent cx="4686300" cy="1066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686300" cy="106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185" w:lineRule="exact"/>
        <w:rPr>
          <w:sz w:val="20"/>
          <w:szCs w:val="20"/>
          <w:color w:val="auto"/>
        </w:rPr>
      </w:pPr>
      <w:r>
        <w:rPr>
          <w:rFonts w:ascii="Arial" w:cs="Arial" w:eastAsia="Arial" w:hAnsi="Arial"/>
          <w:sz w:val="15"/>
          <w:szCs w:val="15"/>
          <w:color w:val="auto"/>
        </w:rPr>
        <w:t>Our principal executive offices are located at 200 Broadway, 3rd Floor, New York, New York 10038, and our telephone number is (212) 332</w:t>
      </w:r>
      <w:r>
        <w:rPr>
          <w:rFonts w:ascii="MS PGothic" w:cs="MS PGothic" w:eastAsia="MS PGothic" w:hAnsi="MS PGothic"/>
          <w:sz w:val="15"/>
          <w:szCs w:val="15"/>
          <w:color w:val="auto"/>
        </w:rPr>
        <w:t>‑</w:t>
      </w:r>
      <w:r>
        <w:rPr>
          <w:rFonts w:ascii="Arial" w:cs="Arial" w:eastAsia="Arial" w:hAnsi="Arial"/>
          <w:sz w:val="15"/>
          <w:szCs w:val="15"/>
          <w:color w:val="auto"/>
        </w:rPr>
        <w:t>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filings with the SEC are posted on our website at www.axsome.com. The information found on our website is not part of this or any other report we file with or furnish to the SEC.</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187" w:lineRule="exact"/>
        <w:rPr>
          <w:sz w:val="20"/>
          <w:szCs w:val="20"/>
          <w:color w:val="auto"/>
        </w:rPr>
      </w:pPr>
    </w:p>
    <w:p>
      <w:pPr>
        <w:spacing w:after="0" w:line="251" w:lineRule="auto"/>
        <w:rPr>
          <w:rFonts w:ascii="Arial" w:cs="Arial" w:eastAsia="Arial" w:hAnsi="Arial"/>
          <w:sz w:val="15"/>
          <w:szCs w:val="15"/>
          <w:color w:val="0000EE"/>
        </w:rPr>
      </w:pPr>
      <w:r>
        <w:rPr>
          <w:rFonts w:ascii="Arial" w:cs="Arial" w:eastAsia="Arial" w:hAnsi="Arial"/>
          <w:sz w:val="15"/>
          <w:szCs w:val="15"/>
          <w:color w:val="auto"/>
        </w:rPr>
        <w:t xml:space="preserve">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w:t>
      </w:r>
      <w:hyperlink r:id="rId46">
        <w:r>
          <w:rPr>
            <w:rFonts w:ascii="Arial" w:cs="Arial" w:eastAsia="Arial" w:hAnsi="Arial"/>
            <w:sz w:val="15"/>
            <w:szCs w:val="15"/>
            <w:color w:val="auto"/>
          </w:rPr>
          <w:t xml:space="preserve">should also consider the risks, uncertainties and assumptions discussed under the caption “Risk Factors” included in our </w:t>
        </w:r>
        <w:r>
          <w:rPr>
            <w:rFonts w:ascii="Arial" w:cs="Arial" w:eastAsia="Arial" w:hAnsi="Arial"/>
            <w:sz w:val="15"/>
            <w:szCs w:val="15"/>
            <w:u w:val="single" w:color="auto"/>
            <w:color w:val="0000EE"/>
          </w:rPr>
          <w:t>Annual Report on Form 10-K for the year ended</w:t>
        </w:r>
      </w:hyperlink>
      <w:r>
        <w:rPr>
          <w:rFonts w:ascii="Arial" w:cs="Arial" w:eastAsia="Arial" w:hAnsi="Arial"/>
          <w:sz w:val="15"/>
          <w:szCs w:val="15"/>
          <w:color w:val="auto"/>
        </w:rPr>
        <w:t xml:space="preserve"> </w:t>
      </w:r>
      <w:hyperlink r:id="rId46">
        <w:r>
          <w:rPr>
            <w:rFonts w:ascii="Arial" w:cs="Arial" w:eastAsia="Arial" w:hAnsi="Arial"/>
            <w:sz w:val="15"/>
            <w:szCs w:val="15"/>
            <w:u w:val="single" w:color="auto"/>
            <w:color w:val="0000EE"/>
          </w:rPr>
          <w:t>December 31, 2018</w:t>
        </w:r>
        <w:r>
          <w:rPr>
            <w:rFonts w:ascii="Arial" w:cs="Arial" w:eastAsia="Arial" w:hAnsi="Arial"/>
            <w:sz w:val="15"/>
            <w:szCs w:val="15"/>
            <w:color w:val="0000EE"/>
          </w:rPr>
          <w:t xml:space="preserve"> </w:t>
        </w:r>
        <w:r>
          <w:rPr>
            <w:rFonts w:ascii="Arial" w:cs="Arial" w:eastAsia="Arial" w:hAnsi="Arial"/>
            <w:sz w:val="15"/>
            <w:szCs w:val="15"/>
            <w:color w:val="000000"/>
          </w:rPr>
          <w:t xml:space="preserve">and in subsequent filings, which are incorporated by reference into this prospectus. These risk factors may be amended, supplemented or superseded </w:t>
        </w:r>
      </w:hyperlink>
      <w:r>
        <w:rPr>
          <w:rFonts w:ascii="Arial" w:cs="Arial" w:eastAsia="Arial" w:hAnsi="Arial"/>
          <w:sz w:val="15"/>
          <w:szCs w:val="15"/>
          <w:color w:val="0000EE"/>
        </w:rPr>
        <w:t xml:space="preserve">from </w:t>
      </w:r>
      <w:r>
        <w:rPr>
          <w:rFonts w:ascii="Arial" w:cs="Arial" w:eastAsia="Arial" w:hAnsi="Arial"/>
          <w:sz w:val="15"/>
          <w:szCs w:val="15"/>
          <w:color w:val="000000"/>
        </w:rPr>
        <w:t>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87" w:lineRule="exact"/>
        <w:rPr>
          <w:sz w:val="20"/>
          <w:szCs w:val="20"/>
          <w:color w:val="auto"/>
        </w:rPr>
      </w:pPr>
    </w:p>
    <w:p>
      <w:pPr>
        <w:spacing w:after="0" w:line="269" w:lineRule="auto"/>
        <w:rPr>
          <w:rFonts w:ascii="Arial" w:cs="Arial" w:eastAsia="Arial" w:hAnsi="Arial"/>
          <w:sz w:val="14"/>
          <w:szCs w:val="14"/>
          <w:color w:val="0000EE"/>
        </w:rPr>
      </w:pPr>
      <w:r>
        <w:rPr>
          <w:rFonts w:ascii="Arial" w:cs="Arial" w:eastAsia="Arial" w:hAnsi="Arial"/>
          <w:sz w:val="14"/>
          <w:szCs w:val="14"/>
          <w:color w:val="auto"/>
        </w:rPr>
        <w:t xml:space="preserve">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w:t>
      </w:r>
      <w:hyperlink r:id="rId46">
        <w:r>
          <w:rPr>
            <w:rFonts w:ascii="Arial" w:cs="Arial" w:eastAsia="Arial" w:hAnsi="Arial"/>
            <w:sz w:val="14"/>
            <w:szCs w:val="14"/>
            <w:color w:val="auto"/>
          </w:rPr>
          <w:t xml:space="preserve">uncertainties that affect our business and our market, particularly those discussed in the “Risk Factors” section of our </w:t>
        </w:r>
        <w:r>
          <w:rPr>
            <w:rFonts w:ascii="Arial" w:cs="Arial" w:eastAsia="Arial" w:hAnsi="Arial"/>
            <w:sz w:val="14"/>
            <w:szCs w:val="14"/>
            <w:u w:val="single" w:color="auto"/>
            <w:color w:val="0000EE"/>
          </w:rPr>
          <w:t>Annual Report on Form 10-K for the year ended December</w:t>
        </w:r>
      </w:hyperlink>
      <w:r>
        <w:rPr>
          <w:rFonts w:ascii="Arial" w:cs="Arial" w:eastAsia="Arial" w:hAnsi="Arial"/>
          <w:sz w:val="14"/>
          <w:szCs w:val="14"/>
          <w:color w:val="auto"/>
        </w:rPr>
        <w:t xml:space="preserve"> </w:t>
      </w:r>
      <w:hyperlink r:id="rId46">
        <w:r>
          <w:rPr>
            <w:rFonts w:ascii="Arial" w:cs="Arial" w:eastAsia="Arial" w:hAnsi="Arial"/>
            <w:sz w:val="14"/>
            <w:szCs w:val="14"/>
            <w:u w:val="single" w:color="auto"/>
            <w:color w:val="0000EE"/>
          </w:rPr>
          <w:t>31, 2018</w:t>
        </w:r>
        <w:r>
          <w:rPr>
            <w:rFonts w:ascii="Arial" w:cs="Arial" w:eastAsia="Arial" w:hAnsi="Arial"/>
            <w:sz w:val="14"/>
            <w:szCs w:val="14"/>
            <w:color w:val="0000EE"/>
          </w:rPr>
          <w:t xml:space="preserve"> </w:t>
        </w:r>
        <w:r>
          <w:rPr>
            <w:rFonts w:ascii="Arial" w:cs="Arial" w:eastAsia="Arial" w:hAnsi="Arial"/>
            <w:sz w:val="14"/>
            <w:szCs w:val="14"/>
            <w:color w:val="000000"/>
          </w:rPr>
          <w:t>and our subsequent filings, which are incorporated by reference into this prospectus, to better understand the risks and uncertainties inherent in our business and</w:t>
        </w:r>
      </w:hyperlink>
      <w:r>
        <w:rPr>
          <w:rFonts w:ascii="Arial" w:cs="Arial" w:eastAsia="Arial" w:hAnsi="Arial"/>
          <w:sz w:val="14"/>
          <w:szCs w:val="14"/>
          <w:color w:val="0000EE"/>
        </w:rPr>
        <w:t xml:space="preserve"> </w:t>
      </w:r>
      <w:r>
        <w:rPr>
          <w:rFonts w:ascii="Arial" w:cs="Arial" w:eastAsia="Arial" w:hAnsi="Arial"/>
          <w:sz w:val="14"/>
          <w:szCs w:val="14"/>
          <w:color w:val="000000"/>
        </w:rPr>
        <w:t>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187"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CAPITAL STOCK</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Our Amended and Restated Certificate of Incorporation provides the authority to issue 150,000,000 shares of common stock, par value $0.0001 per share. As of November 1, 2019, there were 34,508,626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18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Miscellaneous</w:t>
      </w:r>
    </w:p>
    <w:p>
      <w:pPr>
        <w:spacing w:after="0" w:line="187"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Listing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Global Market under the symbol “AXSM.”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40"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58"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65" w:lineRule="exact"/>
        <w:rPr>
          <w:sz w:val="20"/>
          <w:szCs w:val="20"/>
          <w:color w:val="auto"/>
        </w:rPr>
      </w:pPr>
    </w:p>
    <w:p>
      <w:pPr>
        <w:ind w:right="680"/>
        <w:spacing w:after="0" w:line="252" w:lineRule="auto"/>
        <w:rPr>
          <w:sz w:val="20"/>
          <w:szCs w:val="20"/>
          <w:color w:val="auto"/>
        </w:rPr>
      </w:pPr>
      <w:r>
        <w:rPr>
          <w:rFonts w:ascii="Arial" w:cs="Arial" w:eastAsia="Arial" w:hAnsi="Arial"/>
          <w:sz w:val="16"/>
          <w:szCs w:val="16"/>
          <w:color w:val="auto"/>
        </w:rPr>
        <w:t>The terms of any particular series of preferred stock will be described in the prospectus supplement relating to that particular series of preferred stock, including, where applicable:</w:t>
      </w:r>
    </w:p>
    <w:p>
      <w:pPr>
        <w:spacing w:after="0" w:line="63" w:lineRule="exact"/>
        <w:rPr>
          <w:sz w:val="20"/>
          <w:szCs w:val="20"/>
          <w:color w:val="auto"/>
        </w:rPr>
      </w:pPr>
    </w:p>
    <w:p>
      <w:pPr>
        <w:ind w:left="1120" w:hanging="375"/>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series designation, stated value and liquidation preference of such preferred stock and the number of shares offered;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offering price;</w:t>
      </w:r>
    </w:p>
    <w:p>
      <w:pPr>
        <w:spacing w:after="0" w:line="88" w:lineRule="exact"/>
        <w:rPr>
          <w:rFonts w:ascii="Arial" w:cs="Arial" w:eastAsia="Arial" w:hAnsi="Arial"/>
          <w:sz w:val="16"/>
          <w:szCs w:val="16"/>
          <w:color w:val="auto"/>
        </w:rPr>
      </w:pPr>
    </w:p>
    <w:p>
      <w:pPr>
        <w:ind w:left="1120" w:right="280" w:hanging="375"/>
        <w:spacing w:after="0" w:line="25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redemption or sinking fund provisions;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 that shares of such series shall be entitled to receive in the event of our liquidation, dissolution or winding-up;</w:t>
      </w:r>
    </w:p>
    <w:p>
      <w:pPr>
        <w:spacing w:after="0" w:line="88" w:lineRule="exact"/>
        <w:rPr>
          <w:rFonts w:ascii="Arial" w:cs="Arial" w:eastAsia="Arial" w:hAnsi="Arial"/>
          <w:sz w:val="16"/>
          <w:szCs w:val="16"/>
          <w:color w:val="auto"/>
        </w:rPr>
      </w:pPr>
    </w:p>
    <w:p>
      <w:pPr>
        <w:ind w:left="1120" w:hanging="375"/>
        <w:spacing w:after="0" w:line="25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terms and conditions, if any, on which shares of such series shall be convertible or exchangeable for shares of our stock of any other class or classes, or other series of the same class;</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voting rights, if any, of shares of such series in addition to those set forth under the caption entitled, “Voting Rights” below;</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status as to reissuance or sale of shares of such series redeemed, purchased or otherwise reacquired, or surrendered to us on conversion or exchange;</w:t>
      </w:r>
    </w:p>
    <w:p>
      <w:pPr>
        <w:spacing w:after="0" w:line="111" w:lineRule="exact"/>
        <w:rPr>
          <w:rFonts w:ascii="Arial" w:cs="Arial" w:eastAsia="Arial" w:hAnsi="Arial"/>
          <w:sz w:val="14"/>
          <w:szCs w:val="14"/>
          <w:color w:val="auto"/>
        </w:rPr>
      </w:pPr>
    </w:p>
    <w:p>
      <w:pPr>
        <w:jc w:val="both"/>
        <w:ind w:left="1120" w:right="140" w:hanging="375"/>
        <w:spacing w:after="0" w:line="24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70" w:lineRule="exact"/>
        <w:rPr>
          <w:rFonts w:ascii="Arial" w:cs="Arial" w:eastAsia="Arial" w:hAnsi="Arial"/>
          <w:sz w:val="16"/>
          <w:szCs w:val="16"/>
          <w:color w:val="auto"/>
        </w:rPr>
      </w:pPr>
    </w:p>
    <w:p>
      <w:pPr>
        <w:ind w:left="1120" w:right="160" w:hanging="375"/>
        <w:spacing w:after="0" w:line="25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63" w:lineRule="exact"/>
        <w:rPr>
          <w:rFonts w:ascii="Arial" w:cs="Arial" w:eastAsia="Arial" w:hAnsi="Arial"/>
          <w:sz w:val="16"/>
          <w:szCs w:val="16"/>
          <w:color w:val="auto"/>
        </w:rPr>
      </w:pPr>
    </w:p>
    <w:p>
      <w:pPr>
        <w:ind w:left="1120" w:right="560" w:hanging="375"/>
        <w:spacing w:after="0" w:line="25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additional dividend, liquidation, redemption, sinking or retirement fund and other rights, preferences, privileges, limitations and restrictions of such preferred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If we issue shares of preferred stock under this prospectus and any related prospectus supplement, the shares will be fully paid and non-assessable and will not have, or be subject to, any preemptive or similar rights.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187"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any series of preferred stock will be set forth in the applicable prospectus supplement.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187" w:lineRule="exact"/>
        <w:rPr>
          <w:sz w:val="20"/>
          <w:szCs w:val="20"/>
          <w:color w:val="auto"/>
        </w:rPr>
      </w:pPr>
    </w:p>
    <w:p>
      <w:pPr>
        <w:spacing w:after="0" w:line="323" w:lineRule="auto"/>
        <w:rPr>
          <w:sz w:val="20"/>
          <w:szCs w:val="20"/>
          <w:color w:val="auto"/>
        </w:rPr>
      </w:pPr>
      <w:r>
        <w:rPr>
          <w:rFonts w:ascii="Arial" w:cs="Arial" w:eastAsia="Arial" w:hAnsi="Arial"/>
          <w:sz w:val="14"/>
          <w:szCs w:val="14"/>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Law and Certain Amended and Restated Certificate of Incorporation and Amended and Restated Bylaws Provisions</w:t>
      </w:r>
    </w:p>
    <w:p>
      <w:pPr>
        <w:spacing w:after="0" w:line="18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63" w:lineRule="exact"/>
        <w:rPr>
          <w:sz w:val="20"/>
          <w:szCs w:val="20"/>
          <w:color w:val="auto"/>
        </w:rPr>
      </w:pPr>
    </w:p>
    <w:p>
      <w:pPr>
        <w:ind w:left="1120" w:right="300" w:hanging="375"/>
        <w:spacing w:after="0" w:line="252"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Authorize the issuance of preferred stock which can be created and issued by the board of directors without prior stockholder approval, with rights senior to those of our common stock;</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for a classified board of directors, with each director serving a staggered three-year term;</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Prohibit our stockholders from filling board vacancies, calling special stockholder meetings or taking action by written consent;</w:t>
      </w:r>
    </w:p>
    <w:p>
      <w:pPr>
        <w:spacing w:after="0" w:line="88" w:lineRule="exact"/>
        <w:rPr>
          <w:rFonts w:ascii="Arial" w:cs="Arial" w:eastAsia="Arial" w:hAnsi="Arial"/>
          <w:sz w:val="16"/>
          <w:szCs w:val="16"/>
          <w:color w:val="auto"/>
        </w:rPr>
      </w:pPr>
    </w:p>
    <w:p>
      <w:pPr>
        <w:ind w:left="1120" w:right="340" w:hanging="375"/>
        <w:spacing w:after="0" w:line="252"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by the affirmative vote of the holders of 66 2/3 % or more of the shares then entitled to vote at an election of our directors;</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advance written notice of stockholder proposals and director nominations;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any action instituted against our officers or directors in connection with their service to us to be brought in the state of Delaware.</w:t>
      </w:r>
    </w:p>
    <w:p>
      <w:pPr>
        <w:spacing w:after="0" w:line="183" w:lineRule="exact"/>
        <w:rPr>
          <w:sz w:val="20"/>
          <w:szCs w:val="20"/>
          <w:color w:val="auto"/>
        </w:rPr>
      </w:pPr>
    </w:p>
    <w:p>
      <w:pPr>
        <w:ind w:right="180"/>
        <w:spacing w:after="0" w:line="236" w:lineRule="auto"/>
        <w:rPr>
          <w:sz w:val="20"/>
          <w:szCs w:val="20"/>
          <w:color w:val="auto"/>
        </w:rPr>
      </w:pPr>
      <w:r>
        <w:rPr>
          <w:rFonts w:ascii="Arial" w:cs="Arial" w:eastAsia="Arial" w:hAnsi="Arial"/>
          <w:sz w:val="16"/>
          <w:szCs w:val="16"/>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168" w:lineRule="exact"/>
        <w:rPr>
          <w:sz w:val="20"/>
          <w:szCs w:val="20"/>
          <w:color w:val="auto"/>
        </w:rPr>
      </w:pPr>
    </w:p>
    <w:p>
      <w:pPr>
        <w:jc w:val="both"/>
        <w:ind w:right="120"/>
        <w:spacing w:after="0" w:line="242" w:lineRule="auto"/>
        <w:rPr>
          <w:sz w:val="20"/>
          <w:szCs w:val="20"/>
          <w:color w:val="auto"/>
        </w:rPr>
      </w:pPr>
      <w:r>
        <w:rPr>
          <w:rFonts w:ascii="Arial" w:cs="Arial" w:eastAsia="Arial" w:hAnsi="Arial"/>
          <w:sz w:val="16"/>
          <w:szCs w:val="16"/>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187"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187" w:lineRule="exact"/>
        <w:rPr>
          <w:sz w:val="20"/>
          <w:szCs w:val="20"/>
          <w:color w:val="auto"/>
        </w:rPr>
      </w:pPr>
    </w:p>
    <w:p>
      <w:pPr>
        <w:jc w:val="both"/>
        <w:ind w:right="60"/>
        <w:spacing w:after="0" w:line="242"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6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48"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Warrants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63" w:lineRule="exact"/>
        <w:rPr>
          <w:sz w:val="20"/>
          <w:szCs w:val="20"/>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title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offering price for the warrants,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aggregate number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terms for changes or adjustments to the exercise price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applicable, the designation and terms of the securities that the warrants are issued with and the number of warrants issued with each security;</w:t>
      </w:r>
    </w:p>
    <w:p>
      <w:pPr>
        <w:spacing w:after="0" w:line="99" w:lineRule="exact"/>
        <w:rPr>
          <w:rFonts w:ascii="Arial" w:cs="Arial" w:eastAsia="Arial" w:hAnsi="Arial"/>
          <w:sz w:val="15"/>
          <w:szCs w:val="15"/>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88" w:lineRule="exact"/>
        <w:rPr>
          <w:rFonts w:ascii="Arial" w:cs="Arial" w:eastAsia="Arial" w:hAnsi="Arial"/>
          <w:sz w:val="16"/>
          <w:szCs w:val="16"/>
          <w:color w:val="auto"/>
        </w:rPr>
      </w:pPr>
    </w:p>
    <w:p>
      <w:pPr>
        <w:ind w:left="1120" w:hanging="375"/>
        <w:spacing w:after="0" w:line="252"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common stock or shares of preferred stock that may be purchased upon exercise of a warrant and the price at which the shares may be purchased upon exercise;</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dates on which the right to exercise the warrants commence and expire;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applicable, the minimum or maximum amount of the warrants that may be exercised at any one time;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currency or currency units in which the offering price, if any, and the exercise price are payable;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applicable, a discussion of material United States federal income tax considerations;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anti-dilution provisions of the warrants,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redemption or call provisions, if any, applicable to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information we think is important about the warrants.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Warrants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supplement relating to a particular issue of warrants to issue debt securities will describe the terms of those warrants, including the following:</w:t>
      </w:r>
    </w:p>
    <w:p>
      <w:pPr>
        <w:spacing w:after="0" w:line="88" w:lineRule="exact"/>
        <w:rPr>
          <w:sz w:val="20"/>
          <w:szCs w:val="20"/>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title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offering price for the warrants,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aggregate number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designation and terms of the debt securities purchasable upon exercise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for changes or adjustments to the exercise price of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applicable, the designation and terms of the debt securities that the warrants are issued with and the number of warrants issued with each debt security;</w:t>
      </w:r>
    </w:p>
    <w:p>
      <w:pPr>
        <w:spacing w:after="0" w:line="111" w:lineRule="exact"/>
        <w:rPr>
          <w:rFonts w:ascii="Arial" w:cs="Arial" w:eastAsia="Arial" w:hAnsi="Arial"/>
          <w:sz w:val="14"/>
          <w:szCs w:val="14"/>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debt securities issued with them will be separately transferable;</w:t>
      </w:r>
    </w:p>
    <w:p>
      <w:pPr>
        <w:spacing w:after="0" w:line="88" w:lineRule="exact"/>
        <w:rPr>
          <w:rFonts w:ascii="Arial" w:cs="Arial" w:eastAsia="Arial" w:hAnsi="Arial"/>
          <w:sz w:val="16"/>
          <w:szCs w:val="16"/>
          <w:color w:val="auto"/>
        </w:rPr>
      </w:pPr>
    </w:p>
    <w:p>
      <w:pPr>
        <w:ind w:left="1120" w:right="260" w:hanging="375"/>
        <w:spacing w:after="0" w:line="25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principal amount of debt securities that may be purchased upon exercise of a warrant and the price at which the debt securities may be purchased upon exercise;</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dates on which the right to exercise the warrants will commence and expire;</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383" w:right="47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the minimum or maximum amount of the warrants that may be exercised at any one time;</w:t>
      </w:r>
    </w:p>
    <w:p>
      <w:pPr>
        <w:spacing w:after="0" w:line="88" w:lineRule="exact"/>
        <w:rPr>
          <w:rFonts w:ascii="Arial" w:cs="Arial" w:eastAsia="Arial" w:hAnsi="Arial"/>
          <w:sz w:val="16"/>
          <w:szCs w:val="16"/>
          <w:color w:val="auto"/>
        </w:rPr>
      </w:pPr>
    </w:p>
    <w:p>
      <w:pPr>
        <w:ind w:left="1120" w:right="180" w:hanging="375"/>
        <w:spacing w:after="0" w:line="25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the warrants represented by the warrant certificates or debt securities that may be issued upon exercise of the warrants will be issued in registered or bearer form;</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information relating to book-entry procedures,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currency or currency units in which the offering price, if any, and the exercise price are payable;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a discussion of material United States federal income tax considerations;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anti-dilution provisions of the warrants,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redemption or call provisions, if any, applicable to the warrants;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other information we think is important about the warrants.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187"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69"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DESCRIPTION OF DEBT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general description of the terms of debt securities we may issue from time to time unless we provide otherwise in the applicable prospectus supplement.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Particular terms of any debt securities we offer will be described in the prospectus supplement relating to such debt securities.</w:t>
      </w:r>
    </w:p>
    <w:p>
      <w:pPr>
        <w:spacing w:after="0" w:line="16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 Events of Default.” Second, the trustee performs certain administrative duties, such as sending interest and principal payments to holders.</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 prospectus supplement will describe the particular terms of any series of debt securities we may issue, including some or all of the following:</w:t>
      </w:r>
    </w:p>
    <w:p>
      <w:pPr>
        <w:spacing w:after="0" w:line="88" w:lineRule="exact"/>
        <w:rPr>
          <w:sz w:val="20"/>
          <w:szCs w:val="20"/>
          <w:color w:val="auto"/>
        </w:rPr>
      </w:pPr>
    </w:p>
    <w:p>
      <w:pPr>
        <w:ind w:left="1120" w:hanging="375"/>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designation or title of the series of debt securities;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383" w:right="3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120" w:right="60" w:hanging="375"/>
        <w:spacing w:after="0" w:line="25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percentage of the principal amount at which the series of debt securities will be offered;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date or dates on which principal will be payable;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rate or rates (which may be either fixed or variable) and/or the method of determining such rate or rates of interest, if any;</w:t>
      </w:r>
    </w:p>
    <w:p>
      <w:pPr>
        <w:spacing w:after="0" w:line="88" w:lineRule="exact"/>
        <w:rPr>
          <w:rFonts w:ascii="Arial" w:cs="Arial" w:eastAsia="Arial" w:hAnsi="Arial"/>
          <w:sz w:val="16"/>
          <w:szCs w:val="16"/>
          <w:color w:val="auto"/>
        </w:rPr>
      </w:pPr>
    </w:p>
    <w:p>
      <w:pPr>
        <w:ind w:left="1120" w:right="460" w:hanging="375"/>
        <w:spacing w:after="0" w:line="25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date or dates from which any interest will accrue, or the method of determining such date or dates, and the date or dates on which any interest will be payable;</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terms for redemption, extension or early repayment,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currencies in which the series of debt securities are issued and payable;</w:t>
      </w:r>
    </w:p>
    <w:p>
      <w:pPr>
        <w:spacing w:after="0" w:line="88" w:lineRule="exact"/>
        <w:rPr>
          <w:rFonts w:ascii="Arial" w:cs="Arial" w:eastAsia="Arial" w:hAnsi="Arial"/>
          <w:sz w:val="16"/>
          <w:szCs w:val="16"/>
          <w:color w:val="auto"/>
        </w:rPr>
      </w:pPr>
    </w:p>
    <w:p>
      <w:pPr>
        <w:ind w:left="1120" w:hanging="375"/>
        <w:spacing w:after="0" w:line="25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the amount of payments of principal, interest or premium, if any, on a series of debt securities will be determined with reference to an index, formula or other method and how these amounts will be determined;</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place or places of payment, transfer, conversion and/or exchange of the debt securities;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provision for any sinking fund;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restrictive covenants;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events of default;</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the series of debt securities are issuable in certificated form;</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provisions for legal defeasance or covenant defeasance;</w:t>
      </w:r>
    </w:p>
    <w:p>
      <w:pPr>
        <w:spacing w:after="0" w:line="88" w:lineRule="exact"/>
        <w:rPr>
          <w:rFonts w:ascii="Arial" w:cs="Arial" w:eastAsia="Arial" w:hAnsi="Arial"/>
          <w:sz w:val="16"/>
          <w:szCs w:val="16"/>
          <w:color w:val="auto"/>
        </w:rPr>
      </w:pPr>
    </w:p>
    <w:p>
      <w:pPr>
        <w:ind w:left="1120" w:right="280" w:hanging="375"/>
        <w:spacing w:after="0" w:line="25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provisions for convertibility or exchangeability of the debt securities into or for any other securities;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the debt securities are subject to subordination and the terms of such subordination;</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listing of the debt securities on any securities exchange;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applicable, a discussion of certain U.S. Federal income tax considerations, including those related to original issue discount, if applicable; and</w:t>
      </w:r>
    </w:p>
    <w:p>
      <w:pPr>
        <w:spacing w:after="0" w:line="99" w:lineRule="exact"/>
        <w:rPr>
          <w:rFonts w:ascii="Arial" w:cs="Arial" w:eastAsia="Arial" w:hAnsi="Arial"/>
          <w:sz w:val="15"/>
          <w:szCs w:val="15"/>
          <w:color w:val="auto"/>
        </w:rPr>
      </w:pPr>
    </w:p>
    <w:p>
      <w:pPr>
        <w:ind w:left="1120" w:hanging="37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other material terms.</w:t>
      </w:r>
    </w:p>
    <w:p>
      <w:pPr>
        <w:spacing w:after="0" w:line="183"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The debt securities may be secured or unsecured obligations. Unless the prospectus supplement states otherwise, principal, interest and premium, if any, will be paid by us in immediately available funds.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jc w:val="both"/>
        <w:ind w:right="80"/>
        <w:spacing w:after="0" w:line="242" w:lineRule="auto"/>
        <w:rPr>
          <w:sz w:val="20"/>
          <w:szCs w:val="20"/>
          <w:color w:val="auto"/>
        </w:rPr>
      </w:pPr>
      <w:r>
        <w:rPr>
          <w:rFonts w:ascii="Arial" w:cs="Arial" w:eastAsia="Arial" w:hAnsi="Arial"/>
          <w:sz w:val="16"/>
          <w:szCs w:val="16"/>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65"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For purposes of this prospectus, any reference to the payment of principal of, or interest or premium, if any, on, debt securities will include additional amounts if required by the terms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43" w:lineRule="exact"/>
        <w:rPr>
          <w:sz w:val="20"/>
          <w:szCs w:val="20"/>
          <w:color w:val="auto"/>
        </w:rPr>
      </w:pPr>
    </w:p>
    <w:p>
      <w:pPr>
        <w:ind w:right="440"/>
        <w:spacing w:after="0" w:line="242" w:lineRule="auto"/>
        <w:rPr>
          <w:sz w:val="20"/>
          <w:szCs w:val="20"/>
          <w:color w:val="auto"/>
        </w:rPr>
      </w:pPr>
      <w:r>
        <w:rPr>
          <w:rFonts w:ascii="Arial" w:cs="Arial" w:eastAsia="Arial" w:hAnsi="Arial"/>
          <w:sz w:val="16"/>
          <w:szCs w:val="16"/>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5" w:lineRule="exact"/>
        <w:rPr>
          <w:sz w:val="20"/>
          <w:szCs w:val="20"/>
          <w:color w:val="auto"/>
        </w:rPr>
      </w:pPr>
    </w:p>
    <w:p>
      <w:pPr>
        <w:ind w:right="20"/>
        <w:spacing w:after="0" w:line="323"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and Exchange</w:t>
      </w:r>
    </w:p>
    <w:p>
      <w:pPr>
        <w:spacing w:after="0" w:line="187"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and Paying Agents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w:t>
      </w:r>
    </w:p>
    <w:p>
      <w:pPr>
        <w:spacing w:after="0" w:line="187"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63" w:lineRule="exact"/>
        <w:rPr>
          <w:sz w:val="20"/>
          <w:szCs w:val="20"/>
          <w:color w:val="auto"/>
        </w:rPr>
      </w:pPr>
    </w:p>
    <w:p>
      <w:pPr>
        <w:ind w:left="1120" w:hanging="375"/>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do not pay the principal of, or any premium on, a debt security of the series on its due date;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do not pay interest on a debt security of the series within 30 days of its due date;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do not deposit any sinking fund payment in respect of debt securities of the series on its due date and we do not cure this default within five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120" w:right="80" w:hanging="375"/>
        <w:spacing w:after="0" w:line="252"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file for bankruptcy or certain other events of bankruptcy, insolvency or reorganization occur;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Event of Default occurs in respect of debt securities of the series described in the prospectus supplement.</w:t>
      </w:r>
    </w:p>
    <w:p>
      <w:pPr>
        <w:spacing w:after="0" w:line="18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Remedies if an Event of Default Occurs</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69" w:lineRule="exact"/>
        <w:rPr>
          <w:sz w:val="20"/>
          <w:szCs w:val="20"/>
          <w:color w:val="auto"/>
        </w:rPr>
      </w:pPr>
    </w:p>
    <w:p>
      <w:pPr>
        <w:jc w:val="both"/>
        <w:ind w:right="80"/>
        <w:spacing w:after="0" w:line="259" w:lineRule="auto"/>
        <w:rPr>
          <w:sz w:val="20"/>
          <w:szCs w:val="20"/>
          <w:color w:val="auto"/>
        </w:rPr>
      </w:pPr>
      <w:r>
        <w:rPr>
          <w:rFonts w:ascii="Arial" w:cs="Arial" w:eastAsia="Arial" w:hAnsi="Arial"/>
          <w:sz w:val="15"/>
          <w:szCs w:val="15"/>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54"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63" w:lineRule="exact"/>
        <w:rPr>
          <w:sz w:val="20"/>
          <w:szCs w:val="20"/>
          <w:color w:val="auto"/>
        </w:rPr>
      </w:pPr>
    </w:p>
    <w:p>
      <w:pPr>
        <w:ind w:left="1120" w:hanging="375"/>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 must give the trustee written notice that an Event of Default has occurred and remains uncured;</w:t>
      </w:r>
    </w:p>
    <w:p>
      <w:pPr>
        <w:spacing w:after="0" w:line="88" w:lineRule="exact"/>
        <w:rPr>
          <w:rFonts w:ascii="Arial" w:cs="Arial" w:eastAsia="Arial" w:hAnsi="Arial"/>
          <w:sz w:val="16"/>
          <w:szCs w:val="16"/>
          <w:color w:val="auto"/>
        </w:rPr>
      </w:pPr>
    </w:p>
    <w:p>
      <w:pPr>
        <w:ind w:left="1120" w:right="240" w:hanging="375"/>
        <w:spacing w:after="0" w:line="285" w:lineRule="auto"/>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39" w:lineRule="exact"/>
        <w:rPr>
          <w:rFonts w:ascii="Arial" w:cs="Arial" w:eastAsia="Arial" w:hAnsi="Arial"/>
          <w:sz w:val="15"/>
          <w:szCs w:val="15"/>
          <w:color w:val="auto"/>
        </w:rPr>
      </w:pPr>
    </w:p>
    <w:p>
      <w:pPr>
        <w:ind w:left="1120" w:hanging="375"/>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trustee must not have taken action for 60 days after receipt of the above notice and offer of indemnity; and</w:t>
      </w:r>
    </w:p>
    <w:p>
      <w:pPr>
        <w:spacing w:after="0" w:line="88" w:lineRule="exact"/>
        <w:rPr>
          <w:rFonts w:ascii="Arial" w:cs="Arial" w:eastAsia="Arial" w:hAnsi="Arial"/>
          <w:sz w:val="16"/>
          <w:szCs w:val="16"/>
          <w:color w:val="auto"/>
        </w:rPr>
      </w:pPr>
    </w:p>
    <w:p>
      <w:pPr>
        <w:ind w:left="1120" w:right="340" w:hanging="375"/>
        <w:spacing w:after="0" w:line="189" w:lineRule="exact"/>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debt securities must not have given the trustee a direction inconsistent with the above notice during that 60</w:t>
      </w:r>
      <w:r>
        <w:rPr>
          <w:rFonts w:ascii="MS PGothic" w:cs="MS PGothic" w:eastAsia="MS PGothic" w:hAnsi="MS PGothic"/>
          <w:sz w:val="16"/>
          <w:szCs w:val="16"/>
          <w:color w:val="auto"/>
        </w:rPr>
        <w:t>‑</w:t>
      </w:r>
      <w:r>
        <w:rPr>
          <w:rFonts w:ascii="Arial" w:cs="Arial" w:eastAsia="Arial" w:hAnsi="Arial"/>
          <w:sz w:val="16"/>
          <w:szCs w:val="16"/>
          <w:color w:val="auto"/>
        </w:rPr>
        <w:t>day period.</w:t>
      </w:r>
    </w:p>
    <w:p>
      <w:pPr>
        <w:spacing w:after="0" w:line="167" w:lineRule="exact"/>
        <w:rPr>
          <w:sz w:val="20"/>
          <w:szCs w:val="20"/>
          <w:color w:val="auto"/>
        </w:rPr>
      </w:pPr>
    </w:p>
    <w:p>
      <w:pPr>
        <w:spacing w:after="0" w:line="323" w:lineRule="auto"/>
        <w:rPr>
          <w:sz w:val="20"/>
          <w:szCs w:val="20"/>
          <w:color w:val="auto"/>
        </w:rPr>
      </w:pPr>
      <w:r>
        <w:rPr>
          <w:rFonts w:ascii="Arial" w:cs="Arial" w:eastAsia="Arial" w:hAnsi="Arial"/>
          <w:sz w:val="14"/>
          <w:szCs w:val="14"/>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Waiver of Default</w:t>
      </w:r>
    </w:p>
    <w:p>
      <w:pPr>
        <w:spacing w:after="0" w:line="18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or Consolidation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63" w:lineRule="exact"/>
        <w:rPr>
          <w:sz w:val="20"/>
          <w:szCs w:val="20"/>
          <w:color w:val="auto"/>
        </w:rPr>
      </w:pPr>
    </w:p>
    <w:p>
      <w:pPr>
        <w:ind w:left="1120" w:hanging="375"/>
        <w:spacing w:after="0" w:line="237"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73" w:lineRule="exact"/>
        <w:rPr>
          <w:rFonts w:ascii="Arial" w:cs="Arial" w:eastAsia="Arial" w:hAnsi="Arial"/>
          <w:sz w:val="16"/>
          <w:szCs w:val="16"/>
          <w:color w:val="auto"/>
        </w:rPr>
      </w:pPr>
    </w:p>
    <w:p>
      <w:pPr>
        <w:ind w:left="1120" w:hanging="375"/>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alternatively, we must be the surviving company;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immediately after the transaction no Event of Default will exist;</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deliver certain certificates and documents to the trustee;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satisfy any other requirements specified in the prospectus supplement relating to a particular series of debt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or Waiver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types of changes we may make to an indenture and the debt securities issued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Requiring Approval</w:t>
      </w:r>
    </w:p>
    <w:p>
      <w:pPr>
        <w:spacing w:after="0" w:line="183"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First, there are changes that we cannot make to debt securities without specific approval of all of the holders. The following is a list of the types of changes that may require specific approval:</w:t>
      </w:r>
    </w:p>
    <w:p>
      <w:pPr>
        <w:spacing w:after="0" w:line="63" w:lineRule="exact"/>
        <w:rPr>
          <w:sz w:val="20"/>
          <w:szCs w:val="20"/>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rate of interest on a debt security;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any amounts due on a debt security;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the amount of principal payable upon acceleration of the maturity of a security following a default;</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any time after a change of control has occurred, reduce any premium payable upon a change of control;</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impair the right of holders to sue for payment;</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adversely affect any right to convert or exchange a debt security in accordance with its terms;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the percentage of holders of debt securities whose consent is needed to modify or amend the indenture;</w:t>
      </w:r>
    </w:p>
    <w:p>
      <w:pPr>
        <w:spacing w:after="0" w:line="88" w:lineRule="exact"/>
        <w:rPr>
          <w:rFonts w:ascii="Arial" w:cs="Arial" w:eastAsia="Arial" w:hAnsi="Arial"/>
          <w:sz w:val="16"/>
          <w:szCs w:val="16"/>
          <w:color w:val="auto"/>
        </w:rPr>
      </w:pPr>
    </w:p>
    <w:p>
      <w:pPr>
        <w:ind w:left="1120" w:right="280" w:hanging="375"/>
        <w:spacing w:after="0" w:line="252"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the percentage of holders of debt securities whose consent is needed to waive compliance with certain provisions of the indenture or to waive certain defaults;</w:t>
      </w:r>
    </w:p>
    <w:p>
      <w:pPr>
        <w:spacing w:after="0" w:line="63" w:lineRule="exact"/>
        <w:rPr>
          <w:rFonts w:ascii="Arial" w:cs="Arial" w:eastAsia="Arial" w:hAnsi="Arial"/>
          <w:sz w:val="16"/>
          <w:szCs w:val="16"/>
          <w:color w:val="auto"/>
        </w:rPr>
      </w:pPr>
    </w:p>
    <w:p>
      <w:pPr>
        <w:ind w:left="1120" w:right="460" w:hanging="375"/>
        <w:spacing w:after="0" w:line="252"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any obligation we have to pay additional amounts.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Not Requiring Approval</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Requiring Majority Approval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Any other change to the indenture and the debt securities may require the following approval:</w:t>
      </w:r>
    </w:p>
    <w:p>
      <w:pPr>
        <w:spacing w:after="0" w:line="88" w:lineRule="exact"/>
        <w:rPr>
          <w:sz w:val="20"/>
          <w:szCs w:val="20"/>
          <w:color w:val="auto"/>
        </w:rPr>
      </w:pPr>
    </w:p>
    <w:p>
      <w:pPr>
        <w:ind w:left="1120" w:hanging="375"/>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88" w:lineRule="exact"/>
        <w:rPr>
          <w:rFonts w:ascii="Arial" w:cs="Arial" w:eastAsia="Arial" w:hAnsi="Arial"/>
          <w:sz w:val="16"/>
          <w:szCs w:val="16"/>
          <w:color w:val="auto"/>
        </w:rPr>
      </w:pPr>
    </w:p>
    <w:p>
      <w:pPr>
        <w:ind w:left="1120" w:right="460" w:hanging="375"/>
        <w:spacing w:after="0" w:line="285" w:lineRule="auto"/>
        <w:tabs>
          <w:tab w:leader="none" w:pos="1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3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Details Concerning Voting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When taking a vote on proposed changes to the indenture and the debt securities, we expect to use the following rules to decide how much principal to attribute to a debt security:</w:t>
      </w:r>
    </w:p>
    <w:p>
      <w:pPr>
        <w:spacing w:after="0" w:line="111" w:lineRule="exact"/>
        <w:rPr>
          <w:sz w:val="20"/>
          <w:szCs w:val="20"/>
          <w:color w:val="auto"/>
        </w:rPr>
      </w:pPr>
    </w:p>
    <w:p>
      <w:pPr>
        <w:ind w:left="1120" w:right="140" w:hanging="375"/>
        <w:spacing w:after="0" w:line="252"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original issue discount securities, we will use the principal amount that would be due and payable on the voting date if the maturity of these debt securities were accelerated to that date because of a default;</w:t>
      </w:r>
    </w:p>
    <w:p>
      <w:pPr>
        <w:spacing w:after="0" w:line="63" w:lineRule="exact"/>
        <w:rPr>
          <w:rFonts w:ascii="Arial" w:cs="Arial" w:eastAsia="Arial" w:hAnsi="Arial"/>
          <w:sz w:val="16"/>
          <w:szCs w:val="16"/>
          <w:color w:val="auto"/>
        </w:rPr>
      </w:pPr>
    </w:p>
    <w:p>
      <w:pPr>
        <w:ind w:left="1120" w:hanging="375"/>
        <w:spacing w:after="0" w:line="252"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debt securities whose principal amount is not known (for example, because it is based on an index), we will use a special rule for that debt security described in the related prospectus supplement; and</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debt securities denominated in one or more foreign currencies, we will use the U.S. dollar equivalent.</w:t>
      </w:r>
    </w:p>
    <w:p>
      <w:pPr>
        <w:spacing w:after="0" w:line="183" w:lineRule="exact"/>
        <w:rPr>
          <w:sz w:val="20"/>
          <w:szCs w:val="20"/>
          <w:color w:val="auto"/>
        </w:rPr>
      </w:pPr>
    </w:p>
    <w:p>
      <w:pPr>
        <w:ind w:right="420"/>
        <w:spacing w:after="0" w:line="323"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11"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Book-entry and other indirect holders will need to consult their banks or brokers for information on how approval may be granted or denied if we seek to change the indenture or the debt securities or request a waiver.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Defeasance</w:t>
      </w:r>
    </w:p>
    <w:p>
      <w:pPr>
        <w:spacing w:after="0" w:line="187"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Covenant Defeasance</w:t>
      </w:r>
    </w:p>
    <w:p>
      <w:pPr>
        <w:spacing w:after="0" w:line="183" w:lineRule="exact"/>
        <w:rPr>
          <w:sz w:val="20"/>
          <w:szCs w:val="20"/>
          <w:color w:val="auto"/>
        </w:rPr>
      </w:pPr>
    </w:p>
    <w:p>
      <w:pPr>
        <w:ind w:left="740" w:right="20"/>
        <w:spacing w:after="0" w:line="284" w:lineRule="auto"/>
        <w:rPr>
          <w:sz w:val="20"/>
          <w:szCs w:val="20"/>
          <w:color w:val="auto"/>
        </w:rPr>
      </w:pPr>
      <w:r>
        <w:rPr>
          <w:rFonts w:ascii="Arial" w:cs="Arial" w:eastAsia="Arial" w:hAnsi="Arial"/>
          <w:sz w:val="14"/>
          <w:szCs w:val="14"/>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42" w:lineRule="exact"/>
        <w:rPr>
          <w:sz w:val="20"/>
          <w:szCs w:val="20"/>
          <w:color w:val="auto"/>
        </w:rPr>
      </w:pPr>
    </w:p>
    <w:p>
      <w:pPr>
        <w:ind w:left="1120" w:right="20" w:hanging="375"/>
        <w:spacing w:after="0" w:line="242"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6"/>
          <w:szCs w:val="16"/>
          <w:color w:val="auto"/>
        </w:rPr>
      </w:pPr>
    </w:p>
    <w:p>
      <w:pPr>
        <w:ind w:left="1120" w:right="60" w:hanging="375"/>
        <w:spacing w:after="0" w:line="242"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70" w:lineRule="exact"/>
        <w:rPr>
          <w:rFonts w:ascii="Arial" w:cs="Arial" w:eastAsia="Arial" w:hAnsi="Arial"/>
          <w:sz w:val="16"/>
          <w:szCs w:val="16"/>
          <w:color w:val="auto"/>
        </w:rPr>
      </w:pPr>
    </w:p>
    <w:p>
      <w:pPr>
        <w:ind w:left="1120" w:hanging="375"/>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must deliver to the trustee certain documentation stating that all conditions precedent to covenant defeasance have been complied with.</w:t>
      </w:r>
    </w:p>
    <w:p>
      <w:pPr>
        <w:spacing w:after="0" w:line="183" w:lineRule="exact"/>
        <w:rPr>
          <w:sz w:val="20"/>
          <w:szCs w:val="20"/>
          <w:color w:val="auto"/>
        </w:rPr>
      </w:pPr>
    </w:p>
    <w:p>
      <w:pPr>
        <w:ind w:left="740"/>
        <w:spacing w:after="0" w:line="293" w:lineRule="auto"/>
        <w:rPr>
          <w:sz w:val="20"/>
          <w:szCs w:val="20"/>
          <w:color w:val="auto"/>
        </w:rPr>
      </w:pPr>
      <w:r>
        <w:rPr>
          <w:rFonts w:ascii="Arial" w:cs="Arial" w:eastAsia="Arial" w:hAnsi="Arial"/>
          <w:sz w:val="14"/>
          <w:szCs w:val="14"/>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3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Legal Defeasance</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As described below, we can legally release ourselves from all payment and other obligations on the debt securities of a particular series (called “legal defeasance”),</w:t>
      </w:r>
    </w:p>
    <w:p>
      <w:pPr>
        <w:spacing w:after="0" w:line="30" w:lineRule="exact"/>
        <w:rPr>
          <w:sz w:val="20"/>
          <w:szCs w:val="20"/>
          <w:color w:val="auto"/>
        </w:rPr>
      </w:pPr>
    </w:p>
    <w:p>
      <w:pPr>
        <w:ind w:left="740" w:right="260" w:firstLine="5"/>
        <w:spacing w:after="0" w:line="237" w:lineRule="auto"/>
        <w:tabs>
          <w:tab w:leader="none" w:pos="96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72" w:lineRule="exact"/>
        <w:rPr>
          <w:sz w:val="20"/>
          <w:szCs w:val="20"/>
          <w:color w:val="auto"/>
        </w:rPr>
      </w:pPr>
    </w:p>
    <w:p>
      <w:pPr>
        <w:ind w:left="1120" w:right="20" w:hanging="375"/>
        <w:spacing w:after="0" w:line="242"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6"/>
          <w:szCs w:val="16"/>
          <w:color w:val="auto"/>
        </w:rPr>
      </w:pPr>
    </w:p>
    <w:p>
      <w:pPr>
        <w:ind w:left="1120" w:hanging="375"/>
        <w:spacing w:after="0" w:line="279" w:lineRule="auto"/>
        <w:tabs>
          <w:tab w:leader="none" w:pos="1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45" w:lineRule="exact"/>
        <w:rPr>
          <w:rFonts w:ascii="Arial" w:cs="Arial" w:eastAsia="Arial" w:hAnsi="Arial"/>
          <w:sz w:val="14"/>
          <w:szCs w:val="14"/>
          <w:color w:val="auto"/>
        </w:rPr>
      </w:pPr>
    </w:p>
    <w:p>
      <w:pPr>
        <w:ind w:left="1120" w:hanging="375"/>
        <w:spacing w:after="0"/>
        <w:tabs>
          <w:tab w:leader="none" w:pos="1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must deliver to the trustee a legal opinion and officers’ certificate stating that all conditions precedent to legal defeasance have been complied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40" w:right="140"/>
        <w:spacing w:after="0" w:line="238" w:lineRule="auto"/>
        <w:rPr>
          <w:sz w:val="20"/>
          <w:szCs w:val="20"/>
          <w:color w:val="auto"/>
        </w:rPr>
      </w:pPr>
      <w:r>
        <w:rPr>
          <w:rFonts w:ascii="Arial" w:cs="Arial" w:eastAsia="Arial" w:hAnsi="Arial"/>
          <w:sz w:val="16"/>
          <w:szCs w:val="16"/>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Resignation of Trustee</w:t>
      </w:r>
    </w:p>
    <w:p>
      <w:pPr>
        <w:spacing w:after="0" w:line="187"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Indenture Provisions—Subordination</w:t>
      </w:r>
    </w:p>
    <w:p>
      <w:pPr>
        <w:spacing w:after="0" w:line="18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68"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8" w:lineRule="exact"/>
        <w:rPr>
          <w:sz w:val="20"/>
          <w:szCs w:val="20"/>
          <w:color w:val="auto"/>
        </w:rPr>
      </w:pPr>
    </w:p>
    <w:p>
      <w:pPr>
        <w:jc w:val="both"/>
        <w:ind w:right="340"/>
        <w:spacing w:after="0" w:line="242"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“Senior Indebtedness” will be defined in an applicable indenture as the principal of (and premium, if any) and unpaid interest on:</w:t>
      </w:r>
    </w:p>
    <w:p>
      <w:pPr>
        <w:spacing w:after="0" w:line="88" w:lineRule="exact"/>
        <w:rPr>
          <w:sz w:val="20"/>
          <w:szCs w:val="20"/>
          <w:color w:val="auto"/>
        </w:rPr>
      </w:pPr>
    </w:p>
    <w:p>
      <w:pPr>
        <w:ind w:left="1120" w:right="260" w:hanging="375"/>
        <w:spacing w:after="0" w:line="293" w:lineRule="auto"/>
        <w:tabs>
          <w:tab w:leader="none" w:pos="1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37" w:lineRule="exact"/>
        <w:rPr>
          <w:rFonts w:ascii="Arial" w:cs="Arial" w:eastAsia="Arial" w:hAnsi="Arial"/>
          <w:sz w:val="14"/>
          <w:szCs w:val="14"/>
          <w:color w:val="auto"/>
        </w:rPr>
      </w:pPr>
    </w:p>
    <w:p>
      <w:pPr>
        <w:ind w:left="1120" w:hanging="375"/>
        <w:spacing w:after="0"/>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renewals, extensions, modifications and refinancings of any of such indebtedness.</w:t>
      </w:r>
    </w:p>
    <w:p>
      <w:pPr>
        <w:spacing w:after="0" w:line="183"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The prospectus supplement accompanying any series of indenture securities denominated as subordinated debt securities will set forth the approximate amount of our Senior Indebtedness outstanding as of a recent date.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We intend to name the indenture trustee for each series of indenture securities in the related prospectus supplement.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Considerations Relating to Foreign Currencies</w:t>
      </w:r>
    </w:p>
    <w:p>
      <w:pPr>
        <w:spacing w:after="0" w:line="187"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RIGHTS</w:t>
      </w:r>
    </w:p>
    <w:p>
      <w:pPr>
        <w:spacing w:after="0" w:line="18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describe the following terms of any rights we may issue, including some or all of the following:</w:t>
      </w:r>
    </w:p>
    <w:p>
      <w:pPr>
        <w:spacing w:after="0" w:line="88" w:lineRule="exact"/>
        <w:rPr>
          <w:sz w:val="20"/>
          <w:szCs w:val="20"/>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title and aggregate number of the rights;</w:t>
      </w:r>
    </w:p>
    <w:p>
      <w:pPr>
        <w:spacing w:after="0" w:line="88" w:lineRule="exact"/>
        <w:rPr>
          <w:rFonts w:ascii="Arial" w:cs="Arial" w:eastAsia="Arial" w:hAnsi="Arial"/>
          <w:sz w:val="16"/>
          <w:szCs w:val="16"/>
          <w:color w:val="auto"/>
        </w:rPr>
      </w:pPr>
    </w:p>
    <w:p>
      <w:pPr>
        <w:ind w:left="1120" w:right="200" w:hanging="375"/>
        <w:spacing w:after="0" w:line="252"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subscription price or a formula for the determination of the subscription price for the rights and the currency or currencies in which the subscription price may be payable;</w:t>
      </w:r>
    </w:p>
    <w:p>
      <w:pPr>
        <w:spacing w:after="0" w:line="63" w:lineRule="exact"/>
        <w:rPr>
          <w:rFonts w:ascii="Arial" w:cs="Arial" w:eastAsia="Arial" w:hAnsi="Arial"/>
          <w:sz w:val="16"/>
          <w:szCs w:val="16"/>
          <w:color w:val="auto"/>
        </w:rPr>
      </w:pPr>
    </w:p>
    <w:p>
      <w:pPr>
        <w:ind w:left="1120" w:right="500" w:hanging="375"/>
        <w:spacing w:after="0" w:line="252"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rights are issued and the number of rights issued with each such security or each principal amount of such security;</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or a formula for the determination of the number of the rights issued to each stockholder;</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the rights are transferable;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rights to purchase debt securities, the principal amount of debt securities purchasable upon exercise of one right;</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the case of rights to purchase common stock or preferred stock, the type of stock and number of shares of stock purchasable upon exercise of one right;</w:t>
      </w:r>
    </w:p>
    <w:p>
      <w:pPr>
        <w:spacing w:after="0" w:line="111" w:lineRule="exact"/>
        <w:rPr>
          <w:rFonts w:ascii="Arial" w:cs="Arial" w:eastAsia="Arial" w:hAnsi="Arial"/>
          <w:sz w:val="14"/>
          <w:szCs w:val="14"/>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the minimum or maximum amount of the rights that may be exercised at any one time;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such rights include an over-subscription privilege with respect to unsubscribed securities;</w:t>
      </w:r>
    </w:p>
    <w:p>
      <w:pPr>
        <w:spacing w:after="0" w:line="88" w:lineRule="exact"/>
        <w:rPr>
          <w:rFonts w:ascii="Arial" w:cs="Arial" w:eastAsia="Arial" w:hAnsi="Arial"/>
          <w:sz w:val="16"/>
          <w:szCs w:val="16"/>
          <w:color w:val="auto"/>
        </w:rPr>
      </w:pPr>
    </w:p>
    <w:p>
      <w:pPr>
        <w:ind w:left="1120" w:right="60" w:hanging="375"/>
        <w:spacing w:after="0" w:line="242"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70" w:lineRule="exact"/>
        <w:rPr>
          <w:rFonts w:ascii="Arial" w:cs="Arial" w:eastAsia="Arial" w:hAnsi="Arial"/>
          <w:sz w:val="16"/>
          <w:szCs w:val="16"/>
          <w:color w:val="auto"/>
        </w:rPr>
      </w:pPr>
    </w:p>
    <w:p>
      <w:pPr>
        <w:ind w:left="1120" w:hanging="375"/>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 on the rights of any merger, consolidation, sale or other disposition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120" w:hanging="375"/>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terms of any rights to redeem or call the rights;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with respect to book-entry procedures, if any;</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terms of the securities issuable upon exercise of the rights;</w:t>
      </w:r>
    </w:p>
    <w:p>
      <w:pPr>
        <w:spacing w:after="0" w:line="88" w:lineRule="exact"/>
        <w:rPr>
          <w:rFonts w:ascii="Arial" w:cs="Arial" w:eastAsia="Arial" w:hAnsi="Arial"/>
          <w:sz w:val="16"/>
          <w:szCs w:val="16"/>
          <w:color w:val="auto"/>
        </w:rPr>
      </w:pPr>
    </w:p>
    <w:p>
      <w:pPr>
        <w:ind w:left="1120" w:right="380" w:hanging="375"/>
        <w:spacing w:after="0" w:line="252"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applicable, the material terms of any standby underwriting, backstop or other purchase arrangement that we may enter into in connection with the rights offering;</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terms of the rights, including terms, procedures and limitations relating to the exchange and exercise of the rights.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Rights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5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9" w:lineRule="exact"/>
        <w:rPr>
          <w:sz w:val="20"/>
          <w:szCs w:val="20"/>
          <w:color w:val="auto"/>
        </w:rPr>
      </w:pPr>
    </w:p>
    <w:p>
      <w:pPr>
        <w:spacing w:after="0" w:line="323" w:lineRule="auto"/>
        <w:rPr>
          <w:sz w:val="20"/>
          <w:szCs w:val="20"/>
          <w:color w:val="auto"/>
        </w:rPr>
      </w:pPr>
      <w:r>
        <w:rPr>
          <w:rFonts w:ascii="Arial" w:cs="Arial" w:eastAsia="Arial" w:hAnsi="Arial"/>
          <w:sz w:val="14"/>
          <w:szCs w:val="14"/>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UNITS</w:t>
      </w:r>
    </w:p>
    <w:p>
      <w:pPr>
        <w:spacing w:after="0" w:line="18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supplement relating to any particular issuance of units will describe the terms of those units, including, to the extent applicable, the following:</w:t>
      </w:r>
    </w:p>
    <w:p>
      <w:pPr>
        <w:spacing w:after="0" w:line="88" w:lineRule="exact"/>
        <w:rPr>
          <w:sz w:val="20"/>
          <w:szCs w:val="20"/>
          <w:color w:val="auto"/>
        </w:rPr>
      </w:pPr>
    </w:p>
    <w:p>
      <w:pPr>
        <w:ind w:left="1120" w:right="20" w:hanging="375"/>
        <w:spacing w:after="0" w:line="252"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designation and terms of the units and the securities comprising the units, including whether and under what circumstances those securities may be held or transferred separately;</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provision for the issuance, payment, settlement, transfer or exchange of the units or of the securities comprising the units; and</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units will be issued in fully registered or global form.</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PLAN OF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may sell the securities offered by this prospectus in any one or more of the following ways from time to time:</w:t>
      </w:r>
    </w:p>
    <w:p>
      <w:pPr>
        <w:spacing w:after="0" w:line="88" w:lineRule="exact"/>
        <w:rPr>
          <w:sz w:val="20"/>
          <w:szCs w:val="20"/>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or through one or more underwriters, initial purchasers, brokers or dealers;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through agents to investors or the public;</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short or long transactions;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through put or call option transactions relating to our common stock;</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directly to agents or other purchasers;</w:t>
      </w:r>
    </w:p>
    <w:p>
      <w:pPr>
        <w:spacing w:after="0" w:line="88" w:lineRule="exact"/>
        <w:rPr>
          <w:rFonts w:ascii="Arial" w:cs="Arial" w:eastAsia="Arial" w:hAnsi="Arial"/>
          <w:sz w:val="16"/>
          <w:szCs w:val="16"/>
          <w:color w:val="auto"/>
        </w:rPr>
      </w:pPr>
    </w:p>
    <w:p>
      <w:pPr>
        <w:ind w:left="1120" w:right="40" w:hanging="375"/>
        <w:spacing w:after="0" w:line="252" w:lineRule="auto"/>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“at the market offerings” within the meaning of Rule 415(a)(4) of the Securities Act, to or through a market maker or into an existing trading market, on an exchange or otherwise;</w:t>
      </w:r>
    </w:p>
    <w:p>
      <w:pPr>
        <w:spacing w:after="0" w:line="63" w:lineRule="exact"/>
        <w:rPr>
          <w:rFonts w:ascii="Arial" w:cs="Arial" w:eastAsia="Arial" w:hAnsi="Arial"/>
          <w:sz w:val="16"/>
          <w:szCs w:val="16"/>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though a combination of any such methods of sale; or</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through any other method described in the applicable prospectus supplement.</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63" w:lineRule="exact"/>
        <w:rPr>
          <w:sz w:val="20"/>
          <w:szCs w:val="20"/>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terms of the offering;</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names of any underwriters, dealers or agents;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name or names of any managing underwriter or underwriters;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to us from the sale;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over-allotment options under which the underwriters may purchase additional shares of common stock from us;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underwriting discounts, concessions, commissions or agency fees and other items constituting compensation to underwriters, dealers or agents;</w:t>
      </w:r>
    </w:p>
    <w:p>
      <w:pPr>
        <w:spacing w:after="0" w:line="99" w:lineRule="exact"/>
        <w:rPr>
          <w:rFonts w:ascii="Arial" w:cs="Arial" w:eastAsia="Arial" w:hAnsi="Arial"/>
          <w:sz w:val="15"/>
          <w:szCs w:val="15"/>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delayed delivery arrangements;</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by underwriters or dealers to other dealers; or</w:t>
      </w:r>
    </w:p>
    <w:p>
      <w:pPr>
        <w:spacing w:after="0" w:line="88" w:lineRule="exact"/>
        <w:rPr>
          <w:rFonts w:ascii="Arial" w:cs="Arial" w:eastAsia="Arial" w:hAnsi="Arial"/>
          <w:sz w:val="16"/>
          <w:szCs w:val="16"/>
          <w:color w:val="auto"/>
        </w:rPr>
      </w:pPr>
    </w:p>
    <w:p>
      <w:pPr>
        <w:ind w:left="1120" w:hanging="37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securities exchange or market on which the common stock offered in the prospectus supplement may be listed.</w:t>
      </w:r>
    </w:p>
    <w:p>
      <w:pPr>
        <w:spacing w:after="0" w:line="183" w:lineRule="exact"/>
        <w:rPr>
          <w:sz w:val="20"/>
          <w:szCs w:val="20"/>
          <w:color w:val="auto"/>
        </w:rPr>
      </w:pPr>
    </w:p>
    <w:p>
      <w:pPr>
        <w:ind w:right="160"/>
        <w:spacing w:after="0" w:line="323" w:lineRule="auto"/>
        <w:rPr>
          <w:sz w:val="20"/>
          <w:szCs w:val="20"/>
          <w:color w:val="auto"/>
        </w:rPr>
      </w:pPr>
      <w:r>
        <w:rPr>
          <w:rFonts w:ascii="Arial" w:cs="Arial" w:eastAsia="Arial" w:hAnsi="Arial"/>
          <w:sz w:val="14"/>
          <w:szCs w:val="14"/>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383" w:right="45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68" w:lineRule="exact"/>
        <w:rPr>
          <w:sz w:val="20"/>
          <w:szCs w:val="20"/>
          <w:color w:val="auto"/>
        </w:rPr>
      </w:pPr>
    </w:p>
    <w:p>
      <w:pPr>
        <w:ind w:right="220"/>
        <w:spacing w:after="0" w:line="279" w:lineRule="auto"/>
        <w:rPr>
          <w:sz w:val="20"/>
          <w:szCs w:val="20"/>
          <w:color w:val="auto"/>
        </w:rPr>
      </w:pPr>
      <w:r>
        <w:rPr>
          <w:rFonts w:ascii="Arial" w:cs="Arial" w:eastAsia="Arial" w:hAnsi="Arial"/>
          <w:sz w:val="14"/>
          <w:szCs w:val="14"/>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40" w:lineRule="exact"/>
        <w:rPr>
          <w:sz w:val="20"/>
          <w:szCs w:val="20"/>
          <w:color w:val="auto"/>
        </w:rPr>
      </w:pPr>
    </w:p>
    <w:p>
      <w:pPr>
        <w:ind w:right="340"/>
        <w:spacing w:after="0" w:line="266" w:lineRule="auto"/>
        <w:rPr>
          <w:sz w:val="20"/>
          <w:szCs w:val="20"/>
          <w:color w:val="auto"/>
        </w:rPr>
      </w:pPr>
      <w:r>
        <w:rPr>
          <w:rFonts w:ascii="Arial" w:cs="Arial" w:eastAsia="Arial" w:hAnsi="Arial"/>
          <w:sz w:val="15"/>
          <w:szCs w:val="15"/>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48" w:lineRule="exact"/>
        <w:rPr>
          <w:sz w:val="20"/>
          <w:szCs w:val="20"/>
          <w:color w:val="auto"/>
        </w:rPr>
      </w:pPr>
    </w:p>
    <w:p>
      <w:pPr>
        <w:spacing w:after="0" w:line="323" w:lineRule="auto"/>
        <w:rPr>
          <w:sz w:val="20"/>
          <w:szCs w:val="20"/>
          <w:color w:val="auto"/>
        </w:rPr>
      </w:pPr>
      <w:r>
        <w:rPr>
          <w:rFonts w:ascii="Arial" w:cs="Arial" w:eastAsia="Arial" w:hAnsi="Arial"/>
          <w:sz w:val="14"/>
          <w:szCs w:val="14"/>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11" w:lineRule="exact"/>
        <w:rPr>
          <w:sz w:val="20"/>
          <w:szCs w:val="20"/>
          <w:color w:val="auto"/>
        </w:rPr>
      </w:pPr>
    </w:p>
    <w:p>
      <w:pPr>
        <w:jc w:val="both"/>
        <w:ind w:right="100"/>
        <w:spacing w:after="0" w:line="242"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may sell the securities directly in transactions not involving underwriters, dealers or agents.</w:t>
      </w:r>
    </w:p>
    <w:p>
      <w:pPr>
        <w:spacing w:after="0" w:line="183" w:lineRule="exact"/>
        <w:rPr>
          <w:sz w:val="20"/>
          <w:szCs w:val="20"/>
          <w:color w:val="auto"/>
        </w:rPr>
      </w:pPr>
    </w:p>
    <w:p>
      <w:pPr>
        <w:jc w:val="both"/>
        <w:ind w:right="120"/>
        <w:spacing w:after="0" w:line="252" w:lineRule="auto"/>
        <w:rPr>
          <w:sz w:val="20"/>
          <w:szCs w:val="20"/>
          <w:color w:val="auto"/>
        </w:rPr>
      </w:pPr>
      <w:r>
        <w:rPr>
          <w:rFonts w:ascii="Arial" w:cs="Arial" w:eastAsia="Arial" w:hAnsi="Arial"/>
          <w:sz w:val="16"/>
          <w:szCs w:val="16"/>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Underwriters, dealers and agents may engage in transactions with or perform services for us in the ordinary course of their businesses for which they may receive customary fees and reimbursement of expenses.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We may use underwriters with whom we have a material relationship. We will describe the nature of such relationship in the applicable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Under the securities laws of some states, the securities offered by this prospectus may be sold in those states only through registered or licensed brokers or dealers.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securities being offered hereby will be passed upon for us by DLA Piper LLP (US), Short Hills, New Jersey.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187" w:lineRule="exact"/>
        <w:rPr>
          <w:sz w:val="20"/>
          <w:szCs w:val="20"/>
          <w:color w:val="auto"/>
        </w:rPr>
      </w:pPr>
    </w:p>
    <w:p>
      <w:pPr>
        <w:jc w:val="both"/>
        <w:ind w:right="160"/>
        <w:spacing w:after="0" w:line="266" w:lineRule="auto"/>
        <w:rPr>
          <w:rFonts w:ascii="Arial" w:cs="Arial" w:eastAsia="Arial" w:hAnsi="Arial"/>
          <w:sz w:val="15"/>
          <w:szCs w:val="15"/>
          <w:color w:val="0000EE"/>
        </w:rPr>
      </w:pPr>
      <w:hyperlink r:id="rId46">
        <w:r>
          <w:rPr>
            <w:rFonts w:ascii="Arial" w:cs="Arial" w:eastAsia="Arial" w:hAnsi="Arial"/>
            <w:sz w:val="15"/>
            <w:szCs w:val="15"/>
            <w:color w:val="auto"/>
          </w:rPr>
          <w:t xml:space="preserve">Ernst &amp; Young LLP, independent registered public accounting firm, has audited our consolidated financial statements included in our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46">
        <w:r>
          <w:rPr>
            <w:rFonts w:ascii="Arial" w:cs="Arial" w:eastAsia="Arial" w:hAnsi="Arial"/>
            <w:sz w:val="15"/>
            <w:szCs w:val="15"/>
            <w:u w:val="single" w:color="auto"/>
            <w:color w:val="0000EE"/>
          </w:rPr>
          <w:t>ended December 31, 2018,</w:t>
        </w:r>
        <w:r>
          <w:rPr>
            <w:rFonts w:ascii="Arial" w:cs="Arial" w:eastAsia="Arial" w:hAnsi="Arial"/>
            <w:sz w:val="15"/>
            <w:szCs w:val="15"/>
            <w:color w:val="0000EE"/>
          </w:rPr>
          <w:t xml:space="preserve"> </w:t>
        </w:r>
        <w:r>
          <w:rPr>
            <w:rFonts w:ascii="Arial" w:cs="Arial" w:eastAsia="Arial" w:hAnsi="Arial"/>
            <w:sz w:val="15"/>
            <w:szCs w:val="15"/>
            <w:color w:val="000000"/>
          </w:rPr>
          <w:t>as set forth in their report, which is incorporated by reference in this prospectus and elsewhere in the registration statement. Our financial statements</w:t>
        </w:r>
      </w:hyperlink>
      <w:r>
        <w:rPr>
          <w:rFonts w:ascii="Arial" w:cs="Arial" w:eastAsia="Arial" w:hAnsi="Arial"/>
          <w:sz w:val="15"/>
          <w:szCs w:val="15"/>
          <w:color w:val="0000EE"/>
        </w:rPr>
        <w:t xml:space="preserve"> </w:t>
      </w:r>
      <w:r>
        <w:rPr>
          <w:rFonts w:ascii="Arial" w:cs="Arial" w:eastAsia="Arial" w:hAnsi="Arial"/>
          <w:sz w:val="15"/>
          <w:szCs w:val="15"/>
          <w:color w:val="000000"/>
        </w:rPr>
        <w:t>are incorporated by reference in reliance on Ernst &amp; Young LLP’s report, given on their authority as experts in accounting and auditing.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187"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INCORPORATED BY REFERENCE</w:t>
      </w:r>
    </w:p>
    <w:p>
      <w:pPr>
        <w:spacing w:after="0" w:line="187" w:lineRule="exact"/>
        <w:rPr>
          <w:sz w:val="20"/>
          <w:szCs w:val="20"/>
          <w:color w:val="auto"/>
        </w:rPr>
      </w:pPr>
    </w:p>
    <w:p>
      <w:pPr>
        <w:ind w:right="40"/>
        <w:spacing w:after="0" w:line="180" w:lineRule="exact"/>
        <w:rPr>
          <w:sz w:val="20"/>
          <w:szCs w:val="20"/>
          <w:color w:val="auto"/>
        </w:rPr>
      </w:pPr>
      <w:r>
        <w:rPr>
          <w:rFonts w:ascii="Arial" w:cs="Arial" w:eastAsia="Arial" w:hAnsi="Arial"/>
          <w:sz w:val="15"/>
          <w:szCs w:val="15"/>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w:t>
      </w:r>
      <w:r>
        <w:rPr>
          <w:rFonts w:ascii="MS PGothic" w:cs="MS PGothic" w:eastAsia="MS PGothic" w:hAnsi="MS PGothic"/>
          <w:sz w:val="15"/>
          <w:szCs w:val="15"/>
          <w:color w:val="auto"/>
        </w:rPr>
        <w:t>‑</w:t>
      </w:r>
      <w:r>
        <w:rPr>
          <w:rFonts w:ascii="Arial" w:cs="Arial" w:eastAsia="Arial" w:hAnsi="Arial"/>
          <w:sz w:val="15"/>
          <w:szCs w:val="15"/>
          <w:color w:val="auto"/>
        </w:rPr>
        <w:t>K, will be incorporated by reference into, or otherwise included in, this prospectus:</w:t>
      </w:r>
    </w:p>
    <w:p>
      <w:pPr>
        <w:spacing w:after="0" w:line="76" w:lineRule="exact"/>
        <w:rPr>
          <w:sz w:val="20"/>
          <w:szCs w:val="20"/>
          <w:color w:val="auto"/>
        </w:rPr>
      </w:pPr>
    </w:p>
    <w:p>
      <w:pPr>
        <w:ind w:left="1120" w:hanging="375"/>
        <w:spacing w:after="0"/>
        <w:tabs>
          <w:tab w:leader="none" w:pos="1120" w:val="left"/>
        </w:tabs>
        <w:numPr>
          <w:ilvl w:val="0"/>
          <w:numId w:val="30"/>
        </w:numPr>
        <w:rPr>
          <w:rFonts w:ascii="Arial" w:cs="Arial" w:eastAsia="Arial" w:hAnsi="Arial"/>
          <w:sz w:val="16"/>
          <w:szCs w:val="16"/>
          <w:u w:val="single" w:color="auto"/>
          <w:color w:val="0000EE"/>
        </w:rPr>
      </w:pPr>
      <w:hyperlink r:id="rId46">
        <w:r>
          <w:rPr>
            <w:rFonts w:ascii="Arial" w:cs="Arial" w:eastAsia="Arial" w:hAnsi="Arial"/>
            <w:sz w:val="16"/>
            <w:szCs w:val="16"/>
            <w:u w:val="single" w:color="auto"/>
            <w:color w:val="0000EE"/>
          </w:rPr>
          <w:t>our Annual Report on Form 10-K for the fiscal year ended December 31, 2018 filed with the SEC on March 15, 2019;</w:t>
        </w:r>
      </w:hyperlink>
    </w:p>
    <w:p>
      <w:pPr>
        <w:spacing w:after="0" w:line="88" w:lineRule="exact"/>
        <w:rPr>
          <w:rFonts w:ascii="Arial" w:cs="Arial" w:eastAsia="Arial" w:hAnsi="Arial"/>
          <w:sz w:val="16"/>
          <w:szCs w:val="16"/>
          <w:u w:val="single" w:color="auto"/>
          <w:color w:val="0000EE"/>
        </w:rPr>
      </w:pPr>
    </w:p>
    <w:p>
      <w:pPr>
        <w:ind w:left="1120" w:hanging="375"/>
        <w:spacing w:after="0" w:line="252" w:lineRule="auto"/>
        <w:tabs>
          <w:tab w:leader="none" w:pos="1120" w:val="left"/>
        </w:tabs>
        <w:numPr>
          <w:ilvl w:val="0"/>
          <w:numId w:val="30"/>
        </w:numPr>
        <w:rPr>
          <w:rFonts w:ascii="Arial" w:cs="Arial" w:eastAsia="Arial" w:hAnsi="Arial"/>
          <w:sz w:val="16"/>
          <w:szCs w:val="16"/>
          <w:color w:val="0000EE"/>
        </w:rPr>
      </w:pPr>
      <w:hyperlink r:id="rId66">
        <w:r>
          <w:rPr>
            <w:rFonts w:ascii="Arial" w:cs="Arial" w:eastAsia="Arial" w:hAnsi="Arial"/>
            <w:sz w:val="16"/>
            <w:szCs w:val="16"/>
            <w:u w:val="single" w:color="auto"/>
            <w:color w:val="0000EE"/>
          </w:rPr>
          <w:t>the information contained in our definitive proxy statement on Schedule 14A for our 2019 annual meeting of stockholders filed with the SEC on April 26, 2019,</w:t>
        </w:r>
      </w:hyperlink>
      <w:r>
        <w:rPr>
          <w:rFonts w:ascii="Arial" w:cs="Arial" w:eastAsia="Arial" w:hAnsi="Arial"/>
          <w:sz w:val="16"/>
          <w:szCs w:val="16"/>
          <w:u w:val="single" w:color="auto"/>
          <w:color w:val="0000EE"/>
        </w:rPr>
        <w:t xml:space="preserve"> </w:t>
      </w:r>
      <w:hyperlink r:id="rId66">
        <w:r>
          <w:rPr>
            <w:rFonts w:ascii="Arial" w:cs="Arial" w:eastAsia="Arial" w:hAnsi="Arial"/>
            <w:sz w:val="16"/>
            <w:szCs w:val="16"/>
            <w:u w:val="single" w:color="auto"/>
            <w:color w:val="0000EE"/>
          </w:rPr>
          <w:t>to the extent incorporated by reference in Part III of the Form 10-K for the fiscal year ended December 31, 2018</w:t>
        </w:r>
        <w:r>
          <w:rPr>
            <w:rFonts w:ascii="Arial" w:cs="Arial" w:eastAsia="Arial" w:hAnsi="Arial"/>
            <w:sz w:val="16"/>
            <w:szCs w:val="16"/>
            <w:color w:val="000000"/>
          </w:rPr>
          <w:t>;</w:t>
        </w:r>
      </w:hyperlink>
    </w:p>
    <w:p>
      <w:pPr>
        <w:spacing w:after="0" w:line="63" w:lineRule="exact"/>
        <w:rPr>
          <w:rFonts w:ascii="Arial" w:cs="Arial" w:eastAsia="Arial" w:hAnsi="Arial"/>
          <w:sz w:val="16"/>
          <w:szCs w:val="16"/>
          <w:color w:val="0000EE"/>
        </w:rPr>
      </w:pPr>
    </w:p>
    <w:p>
      <w:pPr>
        <w:ind w:left="1120" w:hanging="375"/>
        <w:spacing w:after="0"/>
        <w:tabs>
          <w:tab w:leader="none" w:pos="1120" w:val="left"/>
        </w:tabs>
        <w:numPr>
          <w:ilvl w:val="0"/>
          <w:numId w:val="30"/>
        </w:numPr>
        <w:rPr>
          <w:rFonts w:ascii="Arial" w:cs="Arial" w:eastAsia="Arial" w:hAnsi="Arial"/>
          <w:sz w:val="16"/>
          <w:szCs w:val="16"/>
          <w:u w:val="single" w:color="auto"/>
          <w:color w:val="0000EE"/>
        </w:rPr>
      </w:pPr>
      <w:hyperlink r:id="rId67">
        <w:r>
          <w:rPr>
            <w:rFonts w:ascii="Arial" w:cs="Arial" w:eastAsia="Arial" w:hAnsi="Arial"/>
            <w:sz w:val="16"/>
            <w:szCs w:val="16"/>
            <w:u w:val="single" w:color="auto"/>
            <w:color w:val="0000EE"/>
          </w:rPr>
          <w:t>our Quarterly Report on Form 10-Q for the quarter ended March 31, 2019 filed with the SEC on May 9, 2019;</w:t>
        </w:r>
      </w:hyperlink>
    </w:p>
    <w:p>
      <w:pPr>
        <w:spacing w:after="0" w:line="88" w:lineRule="exact"/>
        <w:rPr>
          <w:rFonts w:ascii="Arial" w:cs="Arial" w:eastAsia="Arial" w:hAnsi="Arial"/>
          <w:sz w:val="16"/>
          <w:szCs w:val="16"/>
          <w:u w:val="single" w:color="auto"/>
          <w:color w:val="0000EE"/>
        </w:rPr>
      </w:pPr>
    </w:p>
    <w:p>
      <w:pPr>
        <w:ind w:left="1120" w:hanging="375"/>
        <w:spacing w:after="0"/>
        <w:tabs>
          <w:tab w:leader="none" w:pos="1120" w:val="left"/>
        </w:tabs>
        <w:numPr>
          <w:ilvl w:val="0"/>
          <w:numId w:val="30"/>
        </w:numPr>
        <w:rPr>
          <w:rFonts w:ascii="Arial" w:cs="Arial" w:eastAsia="Arial" w:hAnsi="Arial"/>
          <w:sz w:val="16"/>
          <w:szCs w:val="16"/>
          <w:u w:val="single" w:color="auto"/>
          <w:color w:val="0000EE"/>
        </w:rPr>
      </w:pPr>
      <w:hyperlink r:id="rId68">
        <w:r>
          <w:rPr>
            <w:rFonts w:ascii="Arial" w:cs="Arial" w:eastAsia="Arial" w:hAnsi="Arial"/>
            <w:sz w:val="16"/>
            <w:szCs w:val="16"/>
            <w:u w:val="single" w:color="auto"/>
            <w:color w:val="0000EE"/>
          </w:rPr>
          <w:t>our Quarterly Report on Form 10-Q for the quarter ended June 30, 2019 filed with the SEC on August 8, 2019;</w:t>
        </w:r>
      </w:hyperlink>
    </w:p>
    <w:p>
      <w:pPr>
        <w:spacing w:after="0" w:line="88" w:lineRule="exact"/>
        <w:rPr>
          <w:rFonts w:ascii="Arial" w:cs="Arial" w:eastAsia="Arial" w:hAnsi="Arial"/>
          <w:sz w:val="16"/>
          <w:szCs w:val="16"/>
          <w:u w:val="single" w:color="auto"/>
          <w:color w:val="0000EE"/>
        </w:rPr>
      </w:pPr>
    </w:p>
    <w:p>
      <w:pPr>
        <w:ind w:left="1120" w:hanging="375"/>
        <w:spacing w:after="0"/>
        <w:tabs>
          <w:tab w:leader="none" w:pos="1120" w:val="left"/>
        </w:tabs>
        <w:numPr>
          <w:ilvl w:val="0"/>
          <w:numId w:val="30"/>
        </w:numPr>
        <w:rPr>
          <w:rFonts w:ascii="Arial" w:cs="Arial" w:eastAsia="Arial" w:hAnsi="Arial"/>
          <w:sz w:val="16"/>
          <w:szCs w:val="16"/>
          <w:u w:val="single" w:color="auto"/>
          <w:color w:val="0000EE"/>
        </w:rPr>
      </w:pPr>
      <w:hyperlink r:id="rId69">
        <w:r>
          <w:rPr>
            <w:rFonts w:ascii="Arial" w:cs="Arial" w:eastAsia="Arial" w:hAnsi="Arial"/>
            <w:sz w:val="16"/>
            <w:szCs w:val="16"/>
            <w:u w:val="single" w:color="auto"/>
            <w:color w:val="0000EE"/>
          </w:rPr>
          <w:t>our Quarterly Report on Form 10-Q for the quarter ended September 30, 2019 filed with the SEC on November 7, 2019;</w:t>
        </w:r>
      </w:hyperlink>
    </w:p>
    <w:p>
      <w:pPr>
        <w:spacing w:after="0" w:line="88" w:lineRule="exact"/>
        <w:rPr>
          <w:rFonts w:ascii="Arial" w:cs="Arial" w:eastAsia="Arial" w:hAnsi="Arial"/>
          <w:sz w:val="16"/>
          <w:szCs w:val="16"/>
          <w:u w:val="single" w:color="auto"/>
          <w:color w:val="0000EE"/>
        </w:rPr>
      </w:pPr>
    </w:p>
    <w:p>
      <w:pPr>
        <w:ind w:left="1120" w:right="40" w:hanging="375"/>
        <w:spacing w:after="0" w:line="238" w:lineRule="auto"/>
        <w:tabs>
          <w:tab w:leader="none" w:pos="1120" w:val="left"/>
        </w:tabs>
        <w:numPr>
          <w:ilvl w:val="0"/>
          <w:numId w:val="30"/>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with the SEC on </w:t>
      </w:r>
      <w:hyperlink r:id="rId70">
        <w:r>
          <w:rPr>
            <w:rFonts w:ascii="Arial" w:cs="Arial" w:eastAsia="Arial" w:hAnsi="Arial"/>
            <w:sz w:val="16"/>
            <w:szCs w:val="16"/>
            <w:u w:val="single" w:color="auto"/>
            <w:color w:val="0000EE"/>
          </w:rPr>
          <w:t xml:space="preserve">January 7, 2019 </w:t>
        </w:r>
      </w:hyperlink>
      <w:hyperlink r:id="rId71">
        <w:r>
          <w:rPr>
            <w:rFonts w:ascii="Arial" w:cs="Arial" w:eastAsia="Arial" w:hAnsi="Arial"/>
            <w:sz w:val="16"/>
            <w:szCs w:val="16"/>
            <w:u w:val="single" w:color="auto"/>
            <w:color w:val="auto"/>
          </w:rPr>
          <w:t xml:space="preserve">(two </w:t>
        </w:r>
        <w:r>
          <w:rPr>
            <w:rFonts w:ascii="Arial" w:cs="Arial" w:eastAsia="Arial" w:hAnsi="Arial"/>
            <w:sz w:val="16"/>
            <w:szCs w:val="16"/>
            <w:u w:val="single" w:color="auto"/>
            <w:color w:val="0000EE"/>
          </w:rPr>
          <w:t xml:space="preserve">filings); </w:t>
        </w:r>
      </w:hyperlink>
      <w:hyperlink r:id="rId72">
        <w:r>
          <w:rPr>
            <w:rFonts w:ascii="Arial" w:cs="Arial" w:eastAsia="Arial" w:hAnsi="Arial"/>
            <w:sz w:val="16"/>
            <w:szCs w:val="16"/>
            <w:u w:val="single" w:color="auto"/>
            <w:color w:val="auto"/>
          </w:rPr>
          <w:t xml:space="preserve">January </w:t>
        </w:r>
        <w:r>
          <w:rPr>
            <w:rFonts w:ascii="Arial" w:cs="Arial" w:eastAsia="Arial" w:hAnsi="Arial"/>
            <w:sz w:val="16"/>
            <w:szCs w:val="16"/>
            <w:u w:val="single" w:color="auto"/>
            <w:color w:val="0000EE"/>
          </w:rPr>
          <w:t xml:space="preserve">8, 2019; </w:t>
        </w:r>
      </w:hyperlink>
      <w:hyperlink r:id="rId73">
        <w:r>
          <w:rPr>
            <w:rFonts w:ascii="Arial" w:cs="Arial" w:eastAsia="Arial" w:hAnsi="Arial"/>
            <w:sz w:val="16"/>
            <w:szCs w:val="16"/>
            <w:u w:val="single" w:color="auto"/>
            <w:color w:val="auto"/>
          </w:rPr>
          <w:t xml:space="preserve">January </w:t>
        </w:r>
        <w:r>
          <w:rPr>
            <w:rFonts w:ascii="Arial" w:cs="Arial" w:eastAsia="Arial" w:hAnsi="Arial"/>
            <w:sz w:val="16"/>
            <w:szCs w:val="16"/>
            <w:u w:val="single" w:color="auto"/>
            <w:color w:val="0000EE"/>
          </w:rPr>
          <w:t xml:space="preserve">30, 2019; </w:t>
        </w:r>
      </w:hyperlink>
      <w:hyperlink r:id="rId74">
        <w:r>
          <w:rPr>
            <w:rFonts w:ascii="Arial" w:cs="Arial" w:eastAsia="Arial" w:hAnsi="Arial"/>
            <w:sz w:val="16"/>
            <w:szCs w:val="16"/>
            <w:u w:val="single" w:color="auto"/>
            <w:color w:val="auto"/>
          </w:rPr>
          <w:t xml:space="preserve">February </w:t>
        </w:r>
        <w:r>
          <w:rPr>
            <w:rFonts w:ascii="Arial" w:cs="Arial" w:eastAsia="Arial" w:hAnsi="Arial"/>
            <w:sz w:val="16"/>
            <w:szCs w:val="16"/>
            <w:u w:val="single" w:color="auto"/>
            <w:color w:val="0000EE"/>
          </w:rPr>
          <w:t xml:space="preserve">6, 2019; </w:t>
        </w:r>
      </w:hyperlink>
      <w:hyperlink r:id="rId75">
        <w:r>
          <w:rPr>
            <w:rFonts w:ascii="Arial" w:cs="Arial" w:eastAsia="Arial" w:hAnsi="Arial"/>
            <w:sz w:val="16"/>
            <w:szCs w:val="16"/>
            <w:u w:val="single" w:color="auto"/>
            <w:color w:val="auto"/>
          </w:rPr>
          <w:t xml:space="preserve">March </w:t>
        </w:r>
        <w:r>
          <w:rPr>
            <w:rFonts w:ascii="Arial" w:cs="Arial" w:eastAsia="Arial" w:hAnsi="Arial"/>
            <w:sz w:val="16"/>
            <w:szCs w:val="16"/>
            <w:u w:val="single" w:color="auto"/>
            <w:color w:val="0000EE"/>
          </w:rPr>
          <w:t>4, 2019;</w:t>
        </w:r>
      </w:hyperlink>
      <w:r>
        <w:rPr>
          <w:rFonts w:ascii="Arial" w:cs="Arial" w:eastAsia="Arial" w:hAnsi="Arial"/>
          <w:sz w:val="16"/>
          <w:szCs w:val="16"/>
          <w:color w:val="auto"/>
        </w:rPr>
        <w:t xml:space="preserve"> </w:t>
      </w:r>
      <w:hyperlink r:id="rId76">
        <w:r>
          <w:rPr>
            <w:rFonts w:ascii="Arial" w:cs="Arial" w:eastAsia="Arial" w:hAnsi="Arial"/>
            <w:sz w:val="16"/>
            <w:szCs w:val="16"/>
            <w:u w:val="single" w:color="auto"/>
            <w:color w:val="0000EE"/>
          </w:rPr>
          <w:t>March 6, 2019; March 14,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27,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April 15,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 9, 2019 (two filings)</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7,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24,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July 11,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July 29,</w:t>
        </w:r>
      </w:hyperlink>
      <w:r>
        <w:rPr>
          <w:rFonts w:ascii="Arial" w:cs="Arial" w:eastAsia="Arial" w:hAnsi="Arial"/>
          <w:sz w:val="16"/>
          <w:szCs w:val="16"/>
          <w:color w:val="0000EE"/>
        </w:rPr>
        <w:t xml:space="preserve"> </w:t>
      </w:r>
      <w:hyperlink r:id="rId77">
        <w:r>
          <w:rPr>
            <w:rFonts w:ascii="Arial" w:cs="Arial" w:eastAsia="Arial" w:hAnsi="Arial"/>
            <w:sz w:val="16"/>
            <w:szCs w:val="16"/>
            <w:u w:val="single" w:color="auto"/>
            <w:color w:val="0000EE"/>
          </w:rPr>
          <w:t>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August 8,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August 20,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September 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16,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21,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28, 2019 (two filings)</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November</w:t>
        </w:r>
      </w:hyperlink>
      <w:r>
        <w:rPr>
          <w:rFonts w:ascii="Arial" w:cs="Arial" w:eastAsia="Arial" w:hAnsi="Arial"/>
          <w:sz w:val="16"/>
          <w:szCs w:val="16"/>
          <w:color w:val="0000EE"/>
        </w:rPr>
        <w:t xml:space="preserve"> </w:t>
      </w:r>
      <w:hyperlink r:id="rId77">
        <w:r>
          <w:rPr>
            <w:rFonts w:ascii="Arial" w:cs="Arial" w:eastAsia="Arial" w:hAnsi="Arial"/>
            <w:sz w:val="16"/>
            <w:szCs w:val="16"/>
            <w:u w:val="single" w:color="auto"/>
            <w:color w:val="0000EE"/>
          </w:rPr>
          <w:t xml:space="preserve">7, 2019 </w:t>
        </w:r>
      </w:hyperlink>
      <w:hyperlink r:id="rId78">
        <w:r>
          <w:rPr>
            <w:rFonts w:ascii="Arial" w:cs="Arial" w:eastAsia="Arial" w:hAnsi="Arial"/>
            <w:sz w:val="16"/>
            <w:szCs w:val="16"/>
            <w:u w:val="single" w:color="auto"/>
            <w:color w:val="0000EE"/>
          </w:rPr>
          <w:t xml:space="preserve">(two filings) </w:t>
        </w:r>
      </w:hyperlink>
      <w:hyperlink r:id="rId77">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79">
        <w:r>
          <w:rPr>
            <w:rFonts w:ascii="Arial" w:cs="Arial" w:eastAsia="Arial" w:hAnsi="Arial"/>
            <w:sz w:val="16"/>
            <w:szCs w:val="16"/>
            <w:u w:val="single" w:color="auto"/>
            <w:color w:val="0000EE"/>
          </w:rPr>
          <w:t>December 3, 2019</w:t>
        </w:r>
      </w:hyperlink>
      <w:hyperlink r:id="rId77">
        <w:r>
          <w:rPr>
            <w:rFonts w:ascii="Arial" w:cs="Arial" w:eastAsia="Arial" w:hAnsi="Arial"/>
            <w:sz w:val="16"/>
            <w:szCs w:val="16"/>
            <w:color w:val="000000"/>
          </w:rPr>
          <w:t>; and</w:t>
        </w:r>
      </w:hyperlink>
    </w:p>
    <w:p>
      <w:pPr>
        <w:spacing w:after="0" w:line="74" w:lineRule="exact"/>
        <w:rPr>
          <w:rFonts w:ascii="Arial" w:cs="Arial" w:eastAsia="Arial" w:hAnsi="Arial"/>
          <w:sz w:val="16"/>
          <w:szCs w:val="16"/>
          <w:color w:val="0000EE"/>
        </w:rPr>
      </w:pPr>
    </w:p>
    <w:p>
      <w:pPr>
        <w:ind w:left="1120" w:right="40" w:hanging="375"/>
        <w:spacing w:after="0" w:line="252"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80">
        <w:r>
          <w:rPr>
            <w:rFonts w:ascii="Arial" w:cs="Arial" w:eastAsia="Arial" w:hAnsi="Arial"/>
            <w:sz w:val="16"/>
            <w:szCs w:val="16"/>
            <w:u w:val="single" w:color="auto"/>
            <w:color w:val="0000EE"/>
          </w:rPr>
          <w:t>Form 8 A12B, filed with the SEC on November 16, 2015 (File No. 001-37635)</w:t>
        </w:r>
      </w:hyperlink>
      <w:r>
        <w:rPr>
          <w:rFonts w:ascii="Arial" w:cs="Arial" w:eastAsia="Arial" w:hAnsi="Arial"/>
          <w:sz w:val="16"/>
          <w:szCs w:val="16"/>
          <w:color w:val="auto"/>
        </w:rPr>
        <w:t>, and all amendments or reports filed for the purpose of updating such description.</w:t>
      </w:r>
    </w:p>
    <w:p>
      <w:pPr>
        <w:spacing w:after="0" w:line="158" w:lineRule="exact"/>
        <w:rPr>
          <w:rFonts w:ascii="Arial" w:cs="Arial" w:eastAsia="Arial" w:hAnsi="Arial"/>
          <w:sz w:val="16"/>
          <w:szCs w:val="16"/>
          <w:color w:val="0000EE"/>
        </w:rPr>
      </w:pPr>
    </w:p>
    <w:p>
      <w:pPr>
        <w:spacing w:after="0" w:line="181" w:lineRule="exact"/>
        <w:rPr>
          <w:sz w:val="20"/>
          <w:szCs w:val="20"/>
          <w:color w:val="auto"/>
        </w:rPr>
      </w:pPr>
      <w:r>
        <w:rPr>
          <w:rFonts w:ascii="Arial" w:cs="Arial" w:eastAsia="Arial" w:hAnsi="Arial"/>
          <w:sz w:val="15"/>
          <w:szCs w:val="15"/>
          <w:color w:val="auto"/>
        </w:rPr>
        <w:t>We make available, free of charge, through our website our Annual Reports on Form 10</w:t>
      </w:r>
      <w:r>
        <w:rPr>
          <w:rFonts w:ascii="MS PGothic" w:cs="MS PGothic" w:eastAsia="MS PGothic" w:hAnsi="MS PGothic"/>
          <w:sz w:val="15"/>
          <w:szCs w:val="15"/>
          <w:color w:val="auto"/>
        </w:rPr>
        <w:t>‑</w:t>
      </w:r>
      <w:r>
        <w:rPr>
          <w:rFonts w:ascii="Arial" w:cs="Arial" w:eastAsia="Arial" w:hAnsi="Arial"/>
          <w:sz w:val="15"/>
          <w:szCs w:val="15"/>
          <w:color w:val="auto"/>
        </w:rPr>
        <w:t>K, Quarterly Reports on Form 10</w:t>
      </w:r>
      <w:r>
        <w:rPr>
          <w:rFonts w:ascii="MS PGothic" w:cs="MS PGothic" w:eastAsia="MS PGothic" w:hAnsi="MS PGothic"/>
          <w:sz w:val="15"/>
          <w:szCs w:val="15"/>
          <w:color w:val="auto"/>
        </w:rPr>
        <w:t>‑</w:t>
      </w:r>
      <w:r>
        <w:rPr>
          <w:rFonts w:ascii="Arial" w:cs="Arial" w:eastAsia="Arial" w:hAnsi="Arial"/>
          <w:sz w:val="15"/>
          <w:szCs w:val="15"/>
          <w:color w:val="auto"/>
        </w:rPr>
        <w:t>Q, Current Reports on Form 8</w:t>
      </w:r>
      <w:r>
        <w:rPr>
          <w:rFonts w:ascii="MS PGothic" w:cs="MS PGothic" w:eastAsia="MS PGothic" w:hAnsi="MS PGothic"/>
          <w:sz w:val="15"/>
          <w:szCs w:val="15"/>
          <w:color w:val="auto"/>
        </w:rPr>
        <w:t>‑</w:t>
      </w:r>
      <w:r>
        <w:rPr>
          <w:rFonts w:ascii="Arial" w:cs="Arial" w:eastAsia="Arial" w:hAnsi="Arial"/>
          <w:sz w:val="15"/>
          <w:szCs w:val="15"/>
          <w:color w:val="auto"/>
        </w:rPr>
        <w:t>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152"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6"/>
          <w:szCs w:val="16"/>
          <w:color w:val="auto"/>
        </w:rPr>
        <w:t>Axsome Therapeutics, Inc.</w:t>
      </w:r>
    </w:p>
    <w:p>
      <w:pPr>
        <w:ind w:left="5320" w:right="5140" w:hanging="158"/>
        <w:spacing w:after="0" w:line="267" w:lineRule="auto"/>
        <w:tabs>
          <w:tab w:leader="none" w:pos="5429" w:val="left"/>
        </w:tabs>
        <w:numPr>
          <w:ilvl w:val="0"/>
          <w:numId w:val="31"/>
        </w:numPr>
        <w:rPr>
          <w:rFonts w:ascii="Arial" w:cs="Arial" w:eastAsia="Arial" w:hAnsi="Arial"/>
          <w:sz w:val="14"/>
          <w:szCs w:val="14"/>
          <w:color w:val="auto"/>
        </w:rPr>
      </w:pPr>
      <w:r>
        <w:rPr>
          <w:rFonts w:ascii="Arial" w:cs="Arial" w:eastAsia="Arial" w:hAnsi="Arial"/>
          <w:sz w:val="14"/>
          <w:szCs w:val="14"/>
          <w:color w:val="auto"/>
        </w:rPr>
        <w:t>Broadway 3rd Floor</w:t>
      </w:r>
    </w:p>
    <w:p>
      <w:pPr>
        <w:spacing w:after="0" w:line="89" w:lineRule="exact"/>
        <w:rPr>
          <w:rFonts w:ascii="Arial" w:cs="Arial" w:eastAsia="Arial" w:hAnsi="Arial"/>
          <w:sz w:val="16"/>
          <w:szCs w:val="16"/>
          <w:color w:val="0000EE"/>
        </w:rPr>
      </w:pPr>
    </w:p>
    <w:p>
      <w:pPr>
        <w:ind w:left="5520" w:hanging="382"/>
        <w:spacing w:after="0"/>
        <w:tabs>
          <w:tab w:leader="none" w:pos="5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332 3241</w:t>
      </w:r>
    </w:p>
    <w:p>
      <w:pPr>
        <w:spacing w:after="0" w:line="3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24</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291465</wp:posOffset>
            </wp:positionV>
            <wp:extent cx="2140585" cy="661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2140585" cy="66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Common Stock</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Preferred Stock</w:t>
      </w:r>
    </w:p>
    <w:p>
      <w:pPr>
        <w:jc w:val="center"/>
        <w:ind w:right="-1120"/>
        <w:spacing w:after="0" w:line="231" w:lineRule="auto"/>
        <w:rPr>
          <w:sz w:val="20"/>
          <w:szCs w:val="20"/>
          <w:color w:val="auto"/>
        </w:rPr>
      </w:pPr>
      <w:r>
        <w:rPr>
          <w:rFonts w:ascii="Arial" w:cs="Arial" w:eastAsia="Arial" w:hAnsi="Arial"/>
          <w:sz w:val="16"/>
          <w:szCs w:val="16"/>
          <w:b w:val="1"/>
          <w:bCs w:val="1"/>
          <w:color w:val="auto"/>
        </w:rPr>
        <w:t>Warrants</w:t>
      </w:r>
    </w:p>
    <w:p>
      <w:pPr>
        <w:jc w:val="center"/>
        <w:ind w:right="-1120"/>
        <w:spacing w:after="0" w:line="231" w:lineRule="auto"/>
        <w:rPr>
          <w:sz w:val="20"/>
          <w:szCs w:val="20"/>
          <w:color w:val="auto"/>
        </w:rPr>
      </w:pPr>
      <w:r>
        <w:rPr>
          <w:rFonts w:ascii="Arial" w:cs="Arial" w:eastAsia="Arial" w:hAnsi="Arial"/>
          <w:sz w:val="16"/>
          <w:szCs w:val="16"/>
          <w:b w:val="1"/>
          <w:bCs w:val="1"/>
          <w:color w:val="auto"/>
        </w:rPr>
        <w:t>Debt Securities</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Rights to Purchase Common Stock, Preferred Stock, Debt Securities or Units</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14946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22"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1494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40"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1224915</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383" w:right="1440"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24"/>
          <w:szCs w:val="24"/>
          <w:b w:val="1"/>
          <w:bCs w:val="1"/>
          <w:color w:val="auto"/>
        </w:rPr>
        <w:t>Up to $200,000,000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365760</wp:posOffset>
            </wp:positionV>
            <wp:extent cx="1637030" cy="930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1637030" cy="93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Axsome Therapeutics, Inc.</w:t>
      </w:r>
    </w:p>
    <w:p>
      <w:pPr>
        <w:spacing w:after="0" w:line="230"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4946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SVB Leerink</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299085</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383" w:right="1440"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left="10440"/>
        <w:spacing w:after="0"/>
        <w:rPr>
          <w:sz w:val="20"/>
          <w:szCs w:val="20"/>
          <w:color w:val="auto"/>
        </w:rPr>
      </w:pPr>
      <w:r>
        <w:rPr>
          <w:rFonts w:ascii="Arial" w:cs="Arial" w:eastAsia="Arial" w:hAnsi="Arial"/>
          <w:sz w:val="15"/>
          <w:szCs w:val="15"/>
          <w:b w:val="1"/>
          <w:bCs w:val="1"/>
          <w:color w:val="auto"/>
        </w:rPr>
        <w:t>Exhibit 107</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Calculation of Filing Fee Tables</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Form S-3</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(Form Type)</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Axsome Therapeutics,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Table 1: Newly Registered and Carry Forward Securities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180" w:type="dxa"/>
            <w:vAlign w:val="bottom"/>
            <w:tcBorders>
              <w:top w:val="single" w:sz="8" w:color="auto"/>
              <w:left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tcBorders>
          </w:tcPr>
          <w:p>
            <w:pPr>
              <w:jc w:val="center"/>
              <w:ind w:left="121"/>
              <w:spacing w:after="0"/>
              <w:rPr>
                <w:sz w:val="20"/>
                <w:szCs w:val="20"/>
                <w:color w:val="auto"/>
              </w:rPr>
            </w:pPr>
            <w:r>
              <w:rPr>
                <w:rFonts w:ascii="Arial" w:cs="Arial" w:eastAsia="Arial" w:hAnsi="Arial"/>
                <w:sz w:val="11"/>
                <w:szCs w:val="11"/>
                <w:color w:val="auto"/>
                <w:w w:val="84"/>
              </w:rPr>
              <w:t>Fee</w:t>
            </w:r>
          </w:p>
        </w:tc>
        <w:tc>
          <w:tcPr>
            <w:tcW w:w="1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jc w:val="center"/>
              <w:ind w:left="1"/>
              <w:spacing w:after="0"/>
              <w:rPr>
                <w:sz w:val="20"/>
                <w:szCs w:val="20"/>
                <w:color w:val="auto"/>
              </w:rPr>
            </w:pPr>
            <w:r>
              <w:rPr>
                <w:rFonts w:ascii="Arial" w:cs="Arial" w:eastAsia="Arial" w:hAnsi="Arial"/>
                <w:sz w:val="11"/>
                <w:szCs w:val="11"/>
                <w:color w:val="auto"/>
                <w:w w:val="84"/>
              </w:rPr>
              <w:t>Proposed</w:t>
            </w:r>
          </w:p>
        </w:tc>
        <w:tc>
          <w:tcPr>
            <w:tcW w:w="1000" w:type="dxa"/>
            <w:vAlign w:val="bottom"/>
            <w:tcBorders>
              <w:top w:val="single" w:sz="8" w:color="auto"/>
              <w:right w:val="single" w:sz="8" w:color="auto"/>
            </w:tcBorders>
            <w:vMerge w:val="restart"/>
          </w:tcPr>
          <w:p>
            <w:pPr>
              <w:jc w:val="center"/>
              <w:ind w:left="1"/>
              <w:spacing w:after="0"/>
              <w:rPr>
                <w:sz w:val="20"/>
                <w:szCs w:val="20"/>
                <w:color w:val="auto"/>
              </w:rPr>
            </w:pPr>
            <w:r>
              <w:rPr>
                <w:rFonts w:ascii="Arial" w:cs="Arial" w:eastAsia="Arial" w:hAnsi="Arial"/>
                <w:sz w:val="11"/>
                <w:szCs w:val="11"/>
                <w:color w:val="auto"/>
                <w:w w:val="96"/>
              </w:rPr>
              <w:t>Maximum</w:t>
            </w: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center"/>
              <w:ind w:left="3"/>
              <w:spacing w:after="0"/>
              <w:rPr>
                <w:sz w:val="20"/>
                <w:szCs w:val="20"/>
                <w:color w:val="auto"/>
              </w:rPr>
            </w:pPr>
            <w:r>
              <w:rPr>
                <w:rFonts w:ascii="Arial" w:cs="Arial" w:eastAsia="Arial" w:hAnsi="Arial"/>
                <w:sz w:val="11"/>
                <w:szCs w:val="11"/>
                <w:color w:val="auto"/>
                <w:w w:val="96"/>
              </w:rPr>
              <w:t>Carry</w:t>
            </w:r>
          </w:p>
        </w:tc>
        <w:tc>
          <w:tcPr>
            <w:tcW w:w="540" w:type="dxa"/>
            <w:vAlign w:val="bottom"/>
            <w:tcBorders>
              <w:top w:val="single" w:sz="8" w:color="auto"/>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6"/>
              </w:rPr>
              <w:t>Carry</w:t>
            </w: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Carry</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Filing Fee Previously</w:t>
            </w:r>
          </w:p>
        </w:tc>
        <w:tc>
          <w:tcPr>
            <w:tcW w:w="0" w:type="dxa"/>
            <w:vAlign w:val="bottom"/>
          </w:tcPr>
          <w:p>
            <w:pPr>
              <w:spacing w:after="0"/>
              <w:rPr>
                <w:sz w:val="1"/>
                <w:szCs w:val="1"/>
                <w:color w:val="auto"/>
              </w:rPr>
            </w:pPr>
          </w:p>
        </w:tc>
      </w:tr>
      <w:tr>
        <w:trPr>
          <w:trHeight w:val="106"/>
        </w:trPr>
        <w:tc>
          <w:tcPr>
            <w:tcW w:w="118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Security</w:t>
            </w:r>
          </w:p>
        </w:tc>
        <w:tc>
          <w:tcPr>
            <w:tcW w:w="1100" w:type="dxa"/>
            <w:vAlign w:val="bottom"/>
          </w:tcPr>
          <w:p>
            <w:pPr>
              <w:jc w:val="center"/>
              <w:ind w:left="141"/>
              <w:spacing w:after="0" w:line="106" w:lineRule="exact"/>
              <w:rPr>
                <w:sz w:val="20"/>
                <w:szCs w:val="20"/>
                <w:color w:val="auto"/>
              </w:rPr>
            </w:pPr>
            <w:r>
              <w:rPr>
                <w:rFonts w:ascii="Arial" w:cs="Arial" w:eastAsia="Arial" w:hAnsi="Arial"/>
                <w:sz w:val="11"/>
                <w:szCs w:val="11"/>
                <w:color w:val="auto"/>
                <w:w w:val="91"/>
              </w:rPr>
              <w:t>Calculation</w:t>
            </w:r>
          </w:p>
        </w:tc>
        <w:tc>
          <w:tcPr>
            <w:tcW w:w="14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96"/>
              </w:rPr>
              <w:t>Maximum</w:t>
            </w:r>
          </w:p>
        </w:tc>
        <w:tc>
          <w:tcPr>
            <w:tcW w:w="100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1"/>
                <w:szCs w:val="11"/>
                <w:color w:val="auto"/>
                <w:w w:val="95"/>
              </w:rPr>
              <w:t>Amount of</w:t>
            </w:r>
          </w:p>
        </w:tc>
        <w:tc>
          <w:tcPr>
            <w:tcW w:w="640" w:type="dxa"/>
            <w:vAlign w:val="bottom"/>
            <w:tcBorders>
              <w:right w:val="single" w:sz="8" w:color="auto"/>
            </w:tcBorders>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8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Security</w:t>
            </w:r>
          </w:p>
        </w:tc>
        <w:tc>
          <w:tcPr>
            <w:tcW w:w="860" w:type="dxa"/>
            <w:vAlign w:val="bottom"/>
            <w:tcBorders>
              <w:right w:val="single" w:sz="8" w:color="auto"/>
            </w:tcBorders>
            <w:vMerge w:val="continue"/>
          </w:tcPr>
          <w:p>
            <w:pPr>
              <w:spacing w:after="0"/>
              <w:rPr>
                <w:sz w:val="9"/>
                <w:szCs w:val="9"/>
                <w:color w:val="auto"/>
              </w:rPr>
            </w:pPr>
          </w:p>
        </w:tc>
        <w:tc>
          <w:tcPr>
            <w:tcW w:w="1100" w:type="dxa"/>
            <w:vAlign w:val="bottom"/>
          </w:tcPr>
          <w:p>
            <w:pPr>
              <w:jc w:val="center"/>
              <w:ind w:left="141"/>
              <w:spacing w:after="0" w:line="106" w:lineRule="exact"/>
              <w:rPr>
                <w:sz w:val="20"/>
                <w:szCs w:val="20"/>
                <w:color w:val="auto"/>
              </w:rPr>
            </w:pPr>
            <w:r>
              <w:rPr>
                <w:rFonts w:ascii="Arial" w:cs="Arial" w:eastAsia="Arial" w:hAnsi="Arial"/>
                <w:sz w:val="11"/>
                <w:szCs w:val="11"/>
                <w:color w:val="auto"/>
                <w:w w:val="95"/>
              </w:rPr>
              <w:t>or Carry</w:t>
            </w:r>
          </w:p>
        </w:tc>
        <w:tc>
          <w:tcPr>
            <w:tcW w:w="14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vMerge w:val="restart"/>
          </w:tcPr>
          <w:p>
            <w:pPr>
              <w:jc w:val="right"/>
              <w:ind w:right="40"/>
              <w:spacing w:after="0"/>
              <w:rPr>
                <w:sz w:val="20"/>
                <w:szCs w:val="20"/>
                <w:color w:val="auto"/>
              </w:rPr>
            </w:pPr>
            <w:r>
              <w:rPr>
                <w:rFonts w:ascii="Arial" w:cs="Arial" w:eastAsia="Arial" w:hAnsi="Arial"/>
                <w:sz w:val="11"/>
                <w:szCs w:val="11"/>
                <w:color w:val="auto"/>
              </w:rPr>
              <w:t>Amount</w:t>
            </w:r>
          </w:p>
        </w:tc>
        <w:tc>
          <w:tcPr>
            <w:tcW w:w="66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1"/>
                <w:szCs w:val="11"/>
                <w:color w:val="auto"/>
                <w:w w:val="91"/>
              </w:rPr>
              <w:t>Offering</w:t>
            </w:r>
          </w:p>
        </w:tc>
        <w:tc>
          <w:tcPr>
            <w:tcW w:w="100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1"/>
                <w:szCs w:val="11"/>
                <w:color w:val="auto"/>
                <w:w w:val="90"/>
              </w:rPr>
              <w:t>Aggregate</w:t>
            </w:r>
          </w:p>
        </w:tc>
        <w:tc>
          <w:tcPr>
            <w:tcW w:w="140" w:type="dxa"/>
            <w:vAlign w:val="bottom"/>
          </w:tcPr>
          <w:p>
            <w:pPr>
              <w:spacing w:after="0"/>
              <w:rPr>
                <w:sz w:val="9"/>
                <w:szCs w:val="9"/>
                <w:color w:val="auto"/>
              </w:rPr>
            </w:pPr>
          </w:p>
        </w:tc>
        <w:tc>
          <w:tcPr>
            <w:tcW w:w="720" w:type="dxa"/>
            <w:vAlign w:val="bottom"/>
            <w:tcBorders>
              <w:right w:val="single" w:sz="8" w:color="auto"/>
            </w:tcBorders>
            <w:vMerge w:val="restart"/>
          </w:tcPr>
          <w:p>
            <w:pPr>
              <w:jc w:val="center"/>
              <w:ind w:right="22"/>
              <w:spacing w:after="0"/>
              <w:rPr>
                <w:sz w:val="20"/>
                <w:szCs w:val="20"/>
                <w:color w:val="auto"/>
              </w:rPr>
            </w:pPr>
            <w:r>
              <w:rPr>
                <w:rFonts w:ascii="Arial" w:cs="Arial" w:eastAsia="Arial" w:hAnsi="Arial"/>
                <w:sz w:val="11"/>
                <w:szCs w:val="11"/>
                <w:color w:val="auto"/>
                <w:w w:val="84"/>
              </w:rPr>
              <w:t>Fee</w:t>
            </w:r>
          </w:p>
        </w:tc>
        <w:tc>
          <w:tcPr>
            <w:tcW w:w="780" w:type="dxa"/>
            <w:vAlign w:val="bottom"/>
            <w:tcBorders>
              <w:right w:val="single" w:sz="8" w:color="auto"/>
            </w:tcBorders>
            <w:vMerge w:val="continue"/>
          </w:tcPr>
          <w:p>
            <w:pPr>
              <w:spacing w:after="0"/>
              <w:rPr>
                <w:sz w:val="9"/>
                <w:szCs w:val="9"/>
                <w:color w:val="auto"/>
              </w:rPr>
            </w:pPr>
          </w:p>
        </w:tc>
        <w:tc>
          <w:tcPr>
            <w:tcW w:w="640" w:type="dxa"/>
            <w:vAlign w:val="bottom"/>
            <w:tcBorders>
              <w:right w:val="single" w:sz="8" w:color="auto"/>
            </w:tcBorders>
          </w:tcPr>
          <w:p>
            <w:pPr>
              <w:jc w:val="center"/>
              <w:ind w:left="3"/>
              <w:spacing w:after="0" w:line="106" w:lineRule="exact"/>
              <w:rPr>
                <w:sz w:val="20"/>
                <w:szCs w:val="20"/>
                <w:color w:val="auto"/>
              </w:rPr>
            </w:pPr>
            <w:r>
              <w:rPr>
                <w:rFonts w:ascii="Arial" w:cs="Arial" w:eastAsia="Arial" w:hAnsi="Arial"/>
                <w:sz w:val="11"/>
                <w:szCs w:val="11"/>
                <w:color w:val="auto"/>
                <w:w w:val="94"/>
              </w:rPr>
              <w:t>Forward</w:t>
            </w:r>
          </w:p>
        </w:tc>
        <w:tc>
          <w:tcPr>
            <w:tcW w:w="540" w:type="dxa"/>
            <w:vAlign w:val="bottom"/>
            <w:tcBorders>
              <w:right w:val="single" w:sz="8" w:color="auto"/>
            </w:tcBorders>
          </w:tcPr>
          <w:p>
            <w:pPr>
              <w:jc w:val="center"/>
              <w:ind w:left="23"/>
              <w:spacing w:after="0" w:line="106" w:lineRule="exact"/>
              <w:rPr>
                <w:sz w:val="20"/>
                <w:szCs w:val="20"/>
                <w:color w:val="auto"/>
              </w:rPr>
            </w:pPr>
            <w:r>
              <w:rPr>
                <w:rFonts w:ascii="Arial" w:cs="Arial" w:eastAsia="Arial" w:hAnsi="Arial"/>
                <w:sz w:val="11"/>
                <w:szCs w:val="11"/>
                <w:color w:val="auto"/>
                <w:w w:val="94"/>
              </w:rPr>
              <w:t>Forward</w:t>
            </w:r>
          </w:p>
        </w:tc>
        <w:tc>
          <w:tcPr>
            <w:tcW w:w="880" w:type="dxa"/>
            <w:vAlign w:val="bottom"/>
            <w:tcBorders>
              <w:right w:val="single" w:sz="8" w:color="auto"/>
            </w:tcBorders>
          </w:tcPr>
          <w:p>
            <w:pPr>
              <w:jc w:val="center"/>
              <w:ind w:left="3"/>
              <w:spacing w:after="0" w:line="106" w:lineRule="exact"/>
              <w:rPr>
                <w:sz w:val="20"/>
                <w:szCs w:val="20"/>
                <w:color w:val="auto"/>
              </w:rPr>
            </w:pPr>
            <w:r>
              <w:rPr>
                <w:rFonts w:ascii="Arial" w:cs="Arial" w:eastAsia="Arial" w:hAnsi="Arial"/>
                <w:sz w:val="11"/>
                <w:szCs w:val="11"/>
                <w:color w:val="auto"/>
                <w:w w:val="94"/>
              </w:rPr>
              <w:t>Forward</w:t>
            </w:r>
          </w:p>
        </w:tc>
        <w:tc>
          <w:tcPr>
            <w:tcW w:w="12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90"/>
              </w:rPr>
              <w:t>Paid In Connection</w:t>
            </w:r>
          </w:p>
        </w:tc>
        <w:tc>
          <w:tcPr>
            <w:tcW w:w="0" w:type="dxa"/>
            <w:vAlign w:val="bottom"/>
          </w:tcPr>
          <w:p>
            <w:pPr>
              <w:spacing w:after="0"/>
              <w:rPr>
                <w:sz w:val="1"/>
                <w:szCs w:val="1"/>
                <w:color w:val="auto"/>
              </w:rPr>
            </w:pPr>
          </w:p>
        </w:tc>
      </w:tr>
      <w:tr>
        <w:trPr>
          <w:trHeight w:val="106"/>
        </w:trPr>
        <w:tc>
          <w:tcPr>
            <w:tcW w:w="118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87"/>
              </w:rPr>
              <w:t>Class</w:t>
            </w:r>
          </w:p>
        </w:tc>
        <w:tc>
          <w:tcPr>
            <w:tcW w:w="1100" w:type="dxa"/>
            <w:vAlign w:val="bottom"/>
          </w:tcPr>
          <w:p>
            <w:pPr>
              <w:jc w:val="center"/>
              <w:ind w:left="141"/>
              <w:spacing w:after="0" w:line="106" w:lineRule="exact"/>
              <w:rPr>
                <w:sz w:val="20"/>
                <w:szCs w:val="20"/>
                <w:color w:val="auto"/>
              </w:rPr>
            </w:pPr>
            <w:r>
              <w:rPr>
                <w:rFonts w:ascii="Arial" w:cs="Arial" w:eastAsia="Arial" w:hAnsi="Arial"/>
                <w:sz w:val="11"/>
                <w:szCs w:val="11"/>
                <w:color w:val="auto"/>
                <w:w w:val="94"/>
              </w:rPr>
              <w:t>Forward</w:t>
            </w:r>
          </w:p>
        </w:tc>
        <w:tc>
          <w:tcPr>
            <w:tcW w:w="14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1"/>
                <w:szCs w:val="11"/>
                <w:color w:val="auto"/>
                <w:w w:val="88"/>
              </w:rPr>
              <w:t>Price Per</w:t>
            </w:r>
          </w:p>
        </w:tc>
        <w:tc>
          <w:tcPr>
            <w:tcW w:w="100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1"/>
                <w:szCs w:val="11"/>
                <w:color w:val="auto"/>
                <w:w w:val="96"/>
              </w:rPr>
              <w:t>Offering</w:t>
            </w:r>
          </w:p>
        </w:tc>
        <w:tc>
          <w:tcPr>
            <w:tcW w:w="140" w:type="dxa"/>
            <w:vAlign w:val="bottom"/>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91"/>
              </w:rPr>
              <w:t>Registration</w:t>
            </w:r>
          </w:p>
        </w:tc>
        <w:tc>
          <w:tcPr>
            <w:tcW w:w="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93"/>
              </w:rPr>
              <w:t>Form</w:t>
            </w:r>
          </w:p>
        </w:tc>
        <w:tc>
          <w:tcPr>
            <w:tcW w:w="540" w:type="dxa"/>
            <w:vAlign w:val="bottom"/>
            <w:tcBorders>
              <w:right w:val="single" w:sz="8" w:color="auto"/>
            </w:tcBorders>
          </w:tcPr>
          <w:p>
            <w:pPr>
              <w:jc w:val="center"/>
              <w:ind w:left="23"/>
              <w:spacing w:after="0" w:line="106" w:lineRule="exact"/>
              <w:rPr>
                <w:sz w:val="20"/>
                <w:szCs w:val="20"/>
                <w:color w:val="auto"/>
              </w:rPr>
            </w:pPr>
            <w:r>
              <w:rPr>
                <w:rFonts w:ascii="Arial" w:cs="Arial" w:eastAsia="Arial" w:hAnsi="Arial"/>
                <w:sz w:val="11"/>
                <w:szCs w:val="11"/>
                <w:color w:val="auto"/>
              </w:rPr>
              <w:t>File</w:t>
            </w:r>
          </w:p>
        </w:tc>
        <w:tc>
          <w:tcPr>
            <w:tcW w:w="880" w:type="dxa"/>
            <w:vAlign w:val="bottom"/>
            <w:tcBorders>
              <w:right w:val="single" w:sz="8" w:color="auto"/>
            </w:tcBorders>
          </w:tcPr>
          <w:p>
            <w:pPr>
              <w:jc w:val="center"/>
              <w:ind w:left="3"/>
              <w:spacing w:after="0" w:line="106" w:lineRule="exact"/>
              <w:rPr>
                <w:sz w:val="20"/>
                <w:szCs w:val="20"/>
                <w:color w:val="auto"/>
              </w:rPr>
            </w:pPr>
            <w:r>
              <w:rPr>
                <w:rFonts w:ascii="Arial" w:cs="Arial" w:eastAsia="Arial" w:hAnsi="Arial"/>
                <w:sz w:val="11"/>
                <w:szCs w:val="11"/>
                <w:color w:val="auto"/>
              </w:rPr>
              <w:t>Initial</w:t>
            </w:r>
          </w:p>
        </w:tc>
        <w:tc>
          <w:tcPr>
            <w:tcW w:w="12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92"/>
              </w:rPr>
              <w:t>with Unsold Securities to</w:t>
            </w: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1"/>
                <w:szCs w:val="11"/>
                <w:color w:val="auto"/>
                <w:w w:val="89"/>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Title</w:t>
            </w:r>
          </w:p>
        </w:tc>
        <w:tc>
          <w:tcPr>
            <w:tcW w:w="1100" w:type="dxa"/>
            <w:vAlign w:val="bottom"/>
            <w:tcBorders>
              <w:bottom w:val="single" w:sz="8" w:color="auto"/>
            </w:tcBorders>
          </w:tcPr>
          <w:p>
            <w:pPr>
              <w:jc w:val="center"/>
              <w:ind w:left="141"/>
              <w:spacing w:after="0"/>
              <w:rPr>
                <w:sz w:val="20"/>
                <w:szCs w:val="20"/>
                <w:color w:val="auto"/>
              </w:rPr>
            </w:pPr>
            <w:r>
              <w:rPr>
                <w:rFonts w:ascii="Arial" w:cs="Arial" w:eastAsia="Arial" w:hAnsi="Arial"/>
                <w:sz w:val="11"/>
                <w:szCs w:val="11"/>
                <w:color w:val="auto"/>
                <w:w w:val="97"/>
              </w:rPr>
              <w:t>Rule</w:t>
            </w:r>
          </w:p>
        </w:tc>
        <w:tc>
          <w:tcPr>
            <w:tcW w:w="1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Registered</w:t>
            </w:r>
          </w:p>
        </w:tc>
        <w:tc>
          <w:tcPr>
            <w:tcW w:w="6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1"/>
                <w:szCs w:val="11"/>
                <w:color w:val="auto"/>
                <w:w w:val="81"/>
              </w:rPr>
              <w:t>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Price</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1"/>
                <w:szCs w:val="11"/>
                <w:color w:val="auto"/>
                <w:w w:val="85"/>
              </w:rPr>
              <w:t>Rate</w:t>
            </w:r>
          </w:p>
        </w:tc>
        <w:tc>
          <w:tcPr>
            <w:tcW w:w="780" w:type="dxa"/>
            <w:vAlign w:val="bottom"/>
            <w:tcBorders>
              <w:bottom w:val="single" w:sz="8" w:color="auto"/>
              <w:right w:val="single" w:sz="8" w:color="auto"/>
            </w:tcBorders>
          </w:tcPr>
          <w:p>
            <w:pPr>
              <w:jc w:val="center"/>
              <w:ind w:left="2"/>
              <w:spacing w:after="0" w:line="142" w:lineRule="exact"/>
              <w:rPr>
                <w:sz w:val="20"/>
                <w:szCs w:val="20"/>
                <w:color w:val="auto"/>
              </w:rPr>
            </w:pPr>
            <w:r>
              <w:rPr>
                <w:rFonts w:ascii="Arial" w:cs="Arial" w:eastAsia="Arial" w:hAnsi="Arial"/>
                <w:sz w:val="16"/>
                <w:szCs w:val="16"/>
                <w:color w:val="auto"/>
                <w:w w:val="93"/>
                <w:vertAlign w:val="subscript"/>
              </w:rPr>
              <w:t>Fee</w:t>
            </w:r>
            <w:r>
              <w:rPr>
                <w:rFonts w:ascii="Arial" w:cs="Arial" w:eastAsia="Arial" w:hAnsi="Arial"/>
                <w:sz w:val="6"/>
                <w:szCs w:val="6"/>
                <w:color w:val="auto"/>
                <w:w w:val="93"/>
              </w:rPr>
              <w:t>(1)</w:t>
            </w:r>
          </w:p>
        </w:tc>
        <w:tc>
          <w:tcPr>
            <w:tcW w:w="64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1"/>
                <w:szCs w:val="11"/>
                <w:color w:val="auto"/>
                <w:w w:val="89"/>
              </w:rPr>
              <w:t>Type</w:t>
            </w:r>
          </w:p>
        </w:tc>
        <w:tc>
          <w:tcPr>
            <w:tcW w:w="54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1"/>
                <w:szCs w:val="11"/>
                <w:color w:val="auto"/>
                <w:w w:val="91"/>
              </w:rPr>
              <w:t>Number</w:t>
            </w:r>
          </w:p>
        </w:tc>
        <w:tc>
          <w:tcPr>
            <w:tcW w:w="88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w w:val="91"/>
              </w:rPr>
              <w:t>effective 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be Carried Forward</w:t>
            </w:r>
          </w:p>
        </w:tc>
        <w:tc>
          <w:tcPr>
            <w:tcW w:w="0" w:type="dxa"/>
            <w:vAlign w:val="bottom"/>
          </w:tcPr>
          <w:p>
            <w:pPr>
              <w:spacing w:after="0"/>
              <w:rPr>
                <w:sz w:val="1"/>
                <w:szCs w:val="1"/>
                <w:color w:val="auto"/>
              </w:rPr>
            </w:pPr>
          </w:p>
        </w:tc>
      </w:tr>
      <w:tr>
        <w:trPr>
          <w:trHeight w:val="299"/>
        </w:trPr>
        <w:tc>
          <w:tcPr>
            <w:tcW w:w="11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241"/>
              <w:spacing w:after="0"/>
              <w:rPr>
                <w:sz w:val="20"/>
                <w:szCs w:val="20"/>
                <w:color w:val="auto"/>
              </w:rPr>
            </w:pPr>
            <w:r>
              <w:rPr>
                <w:rFonts w:ascii="Arial" w:cs="Arial" w:eastAsia="Arial" w:hAnsi="Arial"/>
                <w:sz w:val="13"/>
                <w:szCs w:val="13"/>
                <w:b w:val="1"/>
                <w:bCs w:val="1"/>
                <w:color w:val="auto"/>
                <w:w w:val="86"/>
              </w:rPr>
              <w:t>Newly Registered Securities</w:t>
            </w: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180" w:type="dxa"/>
            <w:vAlign w:val="bottom"/>
            <w:tcBorders>
              <w:left w:val="single" w:sz="8" w:color="auto"/>
              <w:right w:val="single" w:sz="8" w:color="auto"/>
            </w:tcBorders>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Common</w:t>
            </w:r>
          </w:p>
        </w:tc>
        <w:tc>
          <w:tcPr>
            <w:tcW w:w="11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118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color w:val="auto"/>
                <w:w w:val="88"/>
              </w:rPr>
              <w:t>Stock, par</w:t>
            </w:r>
          </w:p>
        </w:tc>
        <w:tc>
          <w:tcPr>
            <w:tcW w:w="11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80" w:type="dxa"/>
            <w:vAlign w:val="bottom"/>
            <w:tcBorders>
              <w:left w:val="single" w:sz="8" w:color="auto"/>
              <w:right w:val="single" w:sz="8" w:color="auto"/>
            </w:tcBorders>
          </w:tcPr>
          <w:p>
            <w:pPr>
              <w:jc w:val="center"/>
              <w:ind w:left="57"/>
              <w:spacing w:after="0" w:line="130" w:lineRule="exact"/>
              <w:rPr>
                <w:sz w:val="20"/>
                <w:szCs w:val="20"/>
                <w:color w:val="auto"/>
              </w:rPr>
            </w:pPr>
            <w:r>
              <w:rPr>
                <w:rFonts w:ascii="Arial" w:cs="Arial" w:eastAsia="Arial" w:hAnsi="Arial"/>
                <w:sz w:val="13"/>
                <w:szCs w:val="13"/>
                <w:color w:val="auto"/>
                <w:w w:val="85"/>
              </w:rPr>
              <w:t>Fees to Be</w:t>
            </w:r>
          </w:p>
        </w:tc>
        <w:tc>
          <w:tcPr>
            <w:tcW w:w="7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color w:val="auto"/>
                <w:w w:val="88"/>
              </w:rPr>
              <w:t>value $0.0001</w:t>
            </w:r>
          </w:p>
        </w:tc>
        <w:tc>
          <w:tcPr>
            <w:tcW w:w="11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80" w:type="dxa"/>
            <w:vAlign w:val="bottom"/>
            <w:tcBorders>
              <w:left w:val="single" w:sz="8" w:color="auto"/>
              <w:bottom w:val="single" w:sz="8" w:color="auto"/>
              <w:right w:val="single" w:sz="8" w:color="auto"/>
            </w:tcBorders>
          </w:tcPr>
          <w:p>
            <w:pPr>
              <w:jc w:val="center"/>
              <w:ind w:left="57"/>
              <w:spacing w:after="0"/>
              <w:rPr>
                <w:sz w:val="20"/>
                <w:szCs w:val="20"/>
                <w:color w:val="auto"/>
              </w:rPr>
            </w:pPr>
            <w:r>
              <w:rPr>
                <w:rFonts w:ascii="Arial" w:cs="Arial" w:eastAsia="Arial" w:hAnsi="Arial"/>
                <w:sz w:val="13"/>
                <w:szCs w:val="13"/>
                <w:color w:val="auto"/>
                <w:w w:val="84"/>
              </w:rPr>
              <w:t>Paid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3"/>
              </w:rPr>
              <w:t>per share</w:t>
            </w:r>
          </w:p>
        </w:tc>
        <w:tc>
          <w:tcPr>
            <w:tcW w:w="1100" w:type="dxa"/>
            <w:vAlign w:val="bottom"/>
            <w:tcBorders>
              <w:bottom w:val="single" w:sz="8" w:color="auto"/>
            </w:tcBorders>
          </w:tcPr>
          <w:p>
            <w:pPr>
              <w:jc w:val="center"/>
              <w:ind w:left="141"/>
              <w:spacing w:after="0"/>
              <w:rPr>
                <w:sz w:val="20"/>
                <w:szCs w:val="20"/>
                <w:color w:val="auto"/>
              </w:rPr>
            </w:pPr>
            <w:r>
              <w:rPr>
                <w:rFonts w:ascii="Arial" w:cs="Arial" w:eastAsia="Arial" w:hAnsi="Arial"/>
                <w:sz w:val="13"/>
                <w:szCs w:val="13"/>
                <w:color w:val="auto"/>
                <w:w w:val="88"/>
              </w:rPr>
              <w:t>457(o) and 457(r)</w:t>
            </w:r>
          </w:p>
        </w:tc>
        <w:tc>
          <w:tcPr>
            <w:tcW w:w="1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$200,000,000</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3"/>
                <w:szCs w:val="13"/>
                <w:color w:val="auto"/>
                <w:w w:val="87"/>
              </w:rPr>
              <w:t>$0.0000927</w:t>
            </w:r>
          </w:p>
        </w:tc>
        <w:tc>
          <w:tcPr>
            <w:tcW w:w="7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85"/>
              </w:rPr>
              <w:t>$18,540</w:t>
            </w: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180" w:type="dxa"/>
            <w:vAlign w:val="bottom"/>
            <w:tcBorders>
              <w:left w:val="single" w:sz="8" w:color="auto"/>
              <w:right w:val="single" w:sz="8" w:color="auto"/>
            </w:tcBorders>
          </w:tcPr>
          <w:p>
            <w:pPr>
              <w:jc w:val="center"/>
              <w:ind w:left="37"/>
              <w:spacing w:after="0"/>
              <w:rPr>
                <w:sz w:val="20"/>
                <w:szCs w:val="20"/>
                <w:color w:val="auto"/>
              </w:rPr>
            </w:pPr>
            <w:r>
              <w:rPr>
                <w:rFonts w:ascii="Arial" w:cs="Arial" w:eastAsia="Arial" w:hAnsi="Arial"/>
                <w:sz w:val="13"/>
                <w:szCs w:val="13"/>
                <w:color w:val="auto"/>
                <w:w w:val="86"/>
              </w:rPr>
              <w:t>Fees Previously</w:t>
            </w:r>
          </w:p>
        </w:tc>
        <w:tc>
          <w:tcPr>
            <w:tcW w:w="70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180" w:type="dxa"/>
            <w:vAlign w:val="bottom"/>
            <w:tcBorders>
              <w:left w:val="single" w:sz="8" w:color="auto"/>
              <w:bottom w:val="single" w:sz="8" w:color="auto"/>
              <w:right w:val="single" w:sz="8" w:color="auto"/>
            </w:tcBorders>
          </w:tcPr>
          <w:p>
            <w:pPr>
              <w:jc w:val="center"/>
              <w:ind w:left="57"/>
              <w:spacing w:after="0"/>
              <w:rPr>
                <w:sz w:val="20"/>
                <w:szCs w:val="20"/>
                <w:color w:val="auto"/>
              </w:rPr>
            </w:pPr>
            <w:r>
              <w:rPr>
                <w:rFonts w:ascii="Arial" w:cs="Arial" w:eastAsia="Arial" w:hAnsi="Arial"/>
                <w:sz w:val="13"/>
                <w:szCs w:val="13"/>
                <w:color w:val="auto"/>
                <w:w w:val="84"/>
              </w:rPr>
              <w:t>Paid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center"/>
              <w:ind w:left="141"/>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18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3"/>
                <w:szCs w:val="13"/>
                <w:b w:val="1"/>
                <w:bCs w:val="1"/>
                <w:color w:val="auto"/>
                <w:w w:val="90"/>
              </w:rPr>
              <w:t>Carry Forward Securities</w:t>
            </w: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180" w:type="dxa"/>
            <w:vAlign w:val="bottom"/>
            <w:tcBorders>
              <w:left w:val="single" w:sz="8" w:color="auto"/>
              <w:right w:val="single" w:sz="8" w:color="auto"/>
            </w:tcBorders>
          </w:tcPr>
          <w:p>
            <w:pPr>
              <w:jc w:val="center"/>
              <w:ind w:left="17"/>
              <w:spacing w:after="0"/>
              <w:rPr>
                <w:sz w:val="20"/>
                <w:szCs w:val="20"/>
                <w:color w:val="auto"/>
              </w:rPr>
            </w:pPr>
            <w:r>
              <w:rPr>
                <w:rFonts w:ascii="Arial" w:cs="Arial" w:eastAsia="Arial" w:hAnsi="Arial"/>
                <w:sz w:val="13"/>
                <w:szCs w:val="13"/>
                <w:color w:val="auto"/>
                <w:w w:val="89"/>
              </w:rPr>
              <w:t>Carry Forward</w:t>
            </w:r>
          </w:p>
        </w:tc>
        <w:tc>
          <w:tcPr>
            <w:tcW w:w="70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180" w:type="dxa"/>
            <w:vAlign w:val="bottom"/>
            <w:tcBorders>
              <w:left w:val="single" w:sz="8" w:color="auto"/>
              <w:bottom w:val="single" w:sz="8" w:color="auto"/>
              <w:right w:val="single" w:sz="8" w:color="auto"/>
            </w:tcBorders>
          </w:tcPr>
          <w:p>
            <w:pPr>
              <w:jc w:val="center"/>
              <w:ind w:left="57"/>
              <w:spacing w:after="0"/>
              <w:rPr>
                <w:sz w:val="20"/>
                <w:szCs w:val="20"/>
                <w:color w:val="auto"/>
              </w:rPr>
            </w:pPr>
            <w:r>
              <w:rPr>
                <w:rFonts w:ascii="Arial" w:cs="Arial" w:eastAsia="Arial" w:hAnsi="Arial"/>
                <w:sz w:val="13"/>
                <w:szCs w:val="13"/>
                <w:color w:val="auto"/>
                <w:w w:val="87"/>
              </w:rPr>
              <w:t>Securities</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center"/>
              <w:ind w:left="141"/>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3"/>
                <w:szCs w:val="13"/>
                <w:color w:val="auto"/>
                <w:w w:val="91"/>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99"/>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 Offering Amounts</w:t>
            </w:r>
          </w:p>
        </w:tc>
        <w:tc>
          <w:tcPr>
            <w:tcW w:w="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$200,000,000</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85"/>
              </w:rPr>
              <w:t>$18,540</w:t>
            </w: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 Fees Previously Paid</w:t>
            </w:r>
          </w:p>
        </w:tc>
        <w:tc>
          <w:tcPr>
            <w:tcW w:w="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 Fee Offsets</w:t>
            </w:r>
          </w:p>
        </w:tc>
        <w:tc>
          <w:tcPr>
            <w:tcW w:w="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91"/>
              </w:rPr>
              <w:t>—</w:t>
            </w: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4"/>
              </w:rPr>
              <w:t>Net Fees Due</w:t>
            </w:r>
          </w:p>
        </w:tc>
        <w:tc>
          <w:tcPr>
            <w:tcW w:w="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85"/>
              </w:rPr>
              <w:t>$18,540</w:t>
            </w: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00" w:right="560" w:hanging="496"/>
        <w:spacing w:after="0" w:line="333" w:lineRule="auto"/>
        <w:tabs>
          <w:tab w:leader="none" w:pos="10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Calculated in accordance with Rules 457(o) and 457(r) under the Securities Act of 1933, as amended (the “Securities Act”). In accordance with Rules 456(b) and 457(r) of the Securities Act, as amended, the registrant initially deferred payment of all of the registration fee for Registration Statement No. 333-235372 filed by the registrant on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149860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200"/>
    </w:lvl>
  </w:abstractNum>
  <w:abstractNum w:abstractNumId="31">
    <w:nsid w:val="22221A70"/>
    <w:multiLevelType w:val="hybridMultilevel"/>
    <w:lvl w:ilvl="0">
      <w:lvlJc w:val="left"/>
      <w:lvlText w:val="(%1)"/>
      <w:numFmt w:val="decimal"/>
      <w:start w:val="212"/>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jpe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jpe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jpe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28" Type="http://schemas.openxmlformats.org/officeDocument/2006/relationships/hyperlink" Target="https://www.sec.gov/ix?doc=/Archives/edgar/data/0001579428/000095017022002568/axsm-20211231.htm" TargetMode="External"/><Relationship Id="rId29" Type="http://schemas.openxmlformats.org/officeDocument/2006/relationships/hyperlink" Target="https://www.sec.gov/Archives/edgar/data/0001579428/000156459021020383/axsm-def14a_20210423.htm" TargetMode="External"/><Relationship Id="rId30" Type="http://schemas.openxmlformats.org/officeDocument/2006/relationships/hyperlink" Target="https://www.sec.gov/ix?doc=/Archives/edgar/data/0001579428/000095017022000347/axsm-20220118.htm" TargetMode="External"/><Relationship Id="rId31" Type="http://schemas.openxmlformats.org/officeDocument/2006/relationships/hyperlink" Target="https://www.sec.gov/ix?doc=/Archives/edgar/data/0001579428/000095017022000827/axsm-20220207.htm" TargetMode="External"/><Relationship Id="rId32" Type="http://schemas.openxmlformats.org/officeDocument/2006/relationships/hyperlink" Target="https://www.sec.gov/Archives/edgar/data/1579428/000155837020002573/axsm-20191231ex4132a1d5e.htm" TargetMode="External"/><Relationship Id="rId46" Type="http://schemas.openxmlformats.org/officeDocument/2006/relationships/hyperlink" Target="https://www.sec.gov/Archives/edgar/data/1579428/000155837019002068/axsm-20181231x10k.htm" TargetMode="External"/><Relationship Id="rId66" Type="http://schemas.openxmlformats.org/officeDocument/2006/relationships/hyperlink" Target="https://www.sec.gov/Archives/edgar/data/1579428/000155837019003404/axsm-20190607xdef14a.htm" TargetMode="External"/><Relationship Id="rId67" Type="http://schemas.openxmlformats.org/officeDocument/2006/relationships/hyperlink" Target="https://www.sec.gov/Archives/edgar/data/1579428/000155837019004564/axsm-20190331x10q.htm" TargetMode="External"/><Relationship Id="rId68" Type="http://schemas.openxmlformats.org/officeDocument/2006/relationships/hyperlink" Target="https://www.sec.gov/Archives/edgar/data/1579428/000155837019007735/axsm-20190630x10q.htm" TargetMode="External"/><Relationship Id="rId69" Type="http://schemas.openxmlformats.org/officeDocument/2006/relationships/hyperlink" Target="https://www.sec.gov/Archives/edgar/data/1579428/000155837019010432/axsm-20190930x10q.htm" TargetMode="External"/><Relationship Id="rId70" Type="http://schemas.openxmlformats.org/officeDocument/2006/relationships/hyperlink" Target="https://www.sec.gov/Archives/edgar/data/1579428/000110465919000962/a19-1343_18k.htm" TargetMode="External"/><Relationship Id="rId71" Type="http://schemas.openxmlformats.org/officeDocument/2006/relationships/hyperlink" Target="https://www.sec.gov/Archives/edgar/data/1579428/000110465919000981/a19-1343_28k.htm" TargetMode="External"/><Relationship Id="rId72" Type="http://schemas.openxmlformats.org/officeDocument/2006/relationships/hyperlink" Target="https://www.sec.gov/Archives/edgar/data/1579428/000110465919001179/a19-2090_18k.htm" TargetMode="External"/><Relationship Id="rId73" Type="http://schemas.openxmlformats.org/officeDocument/2006/relationships/hyperlink" Target="https://www.sec.gov/Archives/edgar/data/1579428/000155837019000275/f8-k.htm" TargetMode="External"/><Relationship Id="rId74" Type="http://schemas.openxmlformats.org/officeDocument/2006/relationships/hyperlink" Target="https://www.sec.gov/Archives/edgar/data/1579428/000155837019000393/f8-k.htm" TargetMode="External"/><Relationship Id="rId75" Type="http://schemas.openxmlformats.org/officeDocument/2006/relationships/hyperlink" Target="https://www.sec.gov/Archives/edgar/data/1579428/000110465919012216/a19-5789_18k.htm" TargetMode="External"/><Relationship Id="rId76" Type="http://schemas.openxmlformats.org/officeDocument/2006/relationships/hyperlink" Target="https://www.sec.gov/Archives/edgar/data/1579428/000110465919042162/a19-16243_18k.htm" TargetMode="External"/><Relationship Id="rId77" Type="http://schemas.openxmlformats.org/officeDocument/2006/relationships/hyperlink" Target="https://www.sec.gov/Archives/edgar/data/1579428/000155837019010279/f8-k.htm" TargetMode="External"/><Relationship Id="rId78" Type="http://schemas.openxmlformats.org/officeDocument/2006/relationships/hyperlink" Target="https://www.sec.gov/Archives/edgar/data/1579428/000155837019010421/f8-k.htm" TargetMode="External"/><Relationship Id="rId79" Type="http://schemas.openxmlformats.org/officeDocument/2006/relationships/hyperlink" Target="https://www.sec.gov/Archives/edgar/data/1579428/000110465919069244/tm1924374-1_8k.htm" TargetMode="External"/><Relationship Id="rId80" Type="http://schemas.openxmlformats.org/officeDocument/2006/relationships/hyperlink" Target="https://www.sec.gov/Archives/edgar/data/1579428/000110465915079272/a15-17626_6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2022-03-01T17:22:52Z</dcterms:created>
  <dcterms:modified xsi:type="dcterms:W3CDTF">2022-03-01T17:22:52Z</dcterms:modified>
</cp:coreProperties>
</file>