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144145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jc w:val="center"/>
        <w:ind w:right="-20"/>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December 5, 2019</w:t>
      </w: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Axsome Therapeutics,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001-37635</w:t>
            </w:r>
          </w:p>
        </w:tc>
        <w:tc>
          <w:tcPr>
            <w:tcW w:w="276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Arial" w:cs="Arial" w:eastAsia="Arial" w:hAnsi="Arial"/>
                <w:sz w:val="18"/>
                <w:szCs w:val="18"/>
                <w:color w:val="auto"/>
                <w:w w:val="91"/>
              </w:rPr>
              <w:t>(State or other jurisdiction</w:t>
            </w:r>
          </w:p>
        </w:tc>
        <w:tc>
          <w:tcPr>
            <w:tcW w:w="212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3"/>
              </w:rPr>
              <w:t>(Commission</w:t>
            </w:r>
          </w:p>
        </w:tc>
        <w:tc>
          <w:tcPr>
            <w:tcW w:w="27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610"/>
              <w:spacing w:after="0"/>
              <w:rPr>
                <w:sz w:val="20"/>
                <w:szCs w:val="20"/>
                <w:color w:val="auto"/>
              </w:rPr>
            </w:pPr>
            <w:r>
              <w:rPr>
                <w:rFonts w:ascii="Arial" w:cs="Arial" w:eastAsia="Arial" w:hAnsi="Arial"/>
                <w:sz w:val="18"/>
                <w:szCs w:val="18"/>
                <w:color w:val="auto"/>
                <w:w w:val="93"/>
              </w:rPr>
              <w:t>of incorporation)</w:t>
            </w:r>
          </w:p>
        </w:tc>
        <w:tc>
          <w:tcPr>
            <w:tcW w:w="2120" w:type="dxa"/>
            <w:vAlign w:val="bottom"/>
          </w:tcPr>
          <w:p>
            <w:pPr>
              <w:jc w:val="center"/>
              <w:ind w:right="410"/>
              <w:spacing w:after="0"/>
              <w:rPr>
                <w:sz w:val="20"/>
                <w:szCs w:val="20"/>
                <w:color w:val="auto"/>
              </w:rPr>
            </w:pPr>
            <w:r>
              <w:rPr>
                <w:rFonts w:ascii="Arial" w:cs="Arial" w:eastAsia="Arial" w:hAnsi="Arial"/>
                <w:sz w:val="18"/>
                <w:szCs w:val="18"/>
                <w:color w:val="auto"/>
                <w:w w:val="94"/>
              </w:rPr>
              <w:t>File Number)</w:t>
            </w: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20" w:type="dxa"/>
            <w:vAlign w:val="bottom"/>
          </w:tcPr>
          <w:p>
            <w:pPr>
              <w:spacing w:after="0"/>
              <w:rPr>
                <w:sz w:val="21"/>
                <w:szCs w:val="21"/>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661" w:type="dxa"/>
        <w:tblCellMar>
          <w:top w:w="0" w:type="dxa"/>
          <w:left w:w="0" w:type="dxa"/>
          <w:bottom w:w="0" w:type="dxa"/>
          <w:right w:w="0" w:type="dxa"/>
        </w:tblCellMar>
      </w:tblPr>
      <w:tr>
        <w:trPr>
          <w:trHeight w:val="171"/>
        </w:trPr>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107315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1" w:lineRule="exact"/>
        <w:rPr>
          <w:sz w:val="24"/>
          <w:szCs w:val="24"/>
          <w:color w:val="auto"/>
        </w:rPr>
      </w:pPr>
    </w:p>
    <w:p>
      <w:pPr>
        <w:ind w:left="1" w:right="220"/>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left="1"/>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476885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ind w:left="1"/>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48" w:lineRule="exact"/>
        <w:rPr>
          <w:sz w:val="20"/>
          <w:szCs w:val="20"/>
          <w:color w:val="auto"/>
        </w:rPr>
      </w:pPr>
    </w:p>
    <w:p>
      <w:pPr>
        <w:ind w:left="1" w:right="100" w:firstLine="648"/>
        <w:spacing w:after="0" w:line="221" w:lineRule="auto"/>
        <w:rPr>
          <w:sz w:val="20"/>
          <w:szCs w:val="20"/>
          <w:color w:val="auto"/>
        </w:rPr>
      </w:pPr>
      <w:r>
        <w:rPr>
          <w:rFonts w:ascii="Arial" w:cs="Arial" w:eastAsia="Arial" w:hAnsi="Arial"/>
          <w:sz w:val="17"/>
          <w:szCs w:val="17"/>
          <w:color w:val="auto"/>
        </w:rPr>
        <w:t>On December 5, 2019, Axsome Therapeutics, Inc. (the “Company”) entered into a Sales Agreement (the “Agreement”) with SVB Leerink LLC (“SVB Leerink”) with respect to an at the market offering program, under which the Company may, from time to time in its sole discretion, issue and sell through SVB Leerink, acting as agent, up to $80.0 million of shares of the Company’s common stock, par value $0.0001 per share (the “Placement Shares”). The issuance and sale, if any, of the Placement Shares by the Company under the Agreement will be made pursuant to a prospectus supplement to the Company’s registration statement on Form S-3ASR, originally filed with the Securities and Exchange Commission (the “SEC”) on December 5, 2019, which became effective immediately upon filing. In addition, at the Company’s option following the upcoming expiration of the Company’s shelf registration statement on Form S-3 (File No. 333-214859) on December 16, 2019 (the “Pre-Existing Registration Statement”), the Company may register additional shares of common stock for sale and issuance through SVB Leerink under the at the market offering program being established today in an amount equal to the aggregate value of common stock that remains unsold under the prior at the market offering program with SVB Leerink at the time the Pre-Existing Registration Statement expires.</w:t>
      </w:r>
    </w:p>
    <w:p>
      <w:pPr>
        <w:spacing w:after="0" w:line="127" w:lineRule="exact"/>
        <w:rPr>
          <w:sz w:val="20"/>
          <w:szCs w:val="20"/>
          <w:color w:val="auto"/>
        </w:rPr>
      </w:pPr>
    </w:p>
    <w:p>
      <w:pPr>
        <w:ind w:left="1" w:right="80" w:firstLine="648"/>
        <w:spacing w:after="0" w:line="211" w:lineRule="auto"/>
        <w:rPr>
          <w:sz w:val="20"/>
          <w:szCs w:val="20"/>
          <w:color w:val="auto"/>
        </w:rPr>
      </w:pPr>
      <w:r>
        <w:rPr>
          <w:rFonts w:ascii="Arial" w:cs="Arial" w:eastAsia="Arial" w:hAnsi="Arial"/>
          <w:sz w:val="18"/>
          <w:szCs w:val="18"/>
          <w:color w:val="auto"/>
        </w:rPr>
        <w:t>Pursuant to the Agreement, SVB Leerink may sell the Placement Shares by any method permitted by law deemed to be an “at the market” offering as defined in Rule 415 of the Securities Act of 1933, as amended (the “Securities Act”), including, without limitation, sales made directly on or through the Nasdaq Global Market, on or through any other existing trading market for the Company’s common stock or to or through a market maker. SVB Leerink will use commercially reasonable efforts consistent with its normal trading and sales practices to sell the Placement Shares from time to time, based upon instructions from the Company (including any price or size limits or other customary parameters or conditions the Company may impose). SVB Leerink shall not purchase any Placement Shares on a principal basis pursuant to the Agreement unless the Company and SVB Leerink enter into a separate written agreement setting forth the terms of such sale.</w:t>
      </w:r>
    </w:p>
    <w:p>
      <w:pPr>
        <w:spacing w:after="0" w:line="124" w:lineRule="exact"/>
        <w:rPr>
          <w:sz w:val="20"/>
          <w:szCs w:val="20"/>
          <w:color w:val="auto"/>
        </w:rPr>
      </w:pPr>
    </w:p>
    <w:p>
      <w:pPr>
        <w:ind w:left="1" w:right="400" w:firstLine="648"/>
        <w:spacing w:after="0" w:line="235" w:lineRule="auto"/>
        <w:rPr>
          <w:sz w:val="20"/>
          <w:szCs w:val="20"/>
          <w:color w:val="auto"/>
        </w:rPr>
      </w:pPr>
      <w:r>
        <w:rPr>
          <w:rFonts w:ascii="Arial" w:cs="Arial" w:eastAsia="Arial" w:hAnsi="Arial"/>
          <w:sz w:val="18"/>
          <w:szCs w:val="18"/>
          <w:color w:val="auto"/>
        </w:rPr>
        <w:t>The Company will pay SVB Leerink a commission of 3.0% of the gross sales proceeds of any Placement Shares sold through SVB Leerink, acting as agent, under the Agreement.</w:t>
      </w:r>
    </w:p>
    <w:p>
      <w:pPr>
        <w:spacing w:after="0" w:line="121" w:lineRule="exact"/>
        <w:rPr>
          <w:sz w:val="20"/>
          <w:szCs w:val="20"/>
          <w:color w:val="auto"/>
        </w:rPr>
      </w:pPr>
    </w:p>
    <w:p>
      <w:pPr>
        <w:ind w:left="1" w:right="360" w:firstLine="648"/>
        <w:spacing w:after="0" w:line="238" w:lineRule="auto"/>
        <w:rPr>
          <w:sz w:val="20"/>
          <w:szCs w:val="20"/>
          <w:color w:val="auto"/>
        </w:rPr>
      </w:pPr>
      <w:r>
        <w:rPr>
          <w:rFonts w:ascii="Arial" w:cs="Arial" w:eastAsia="Arial" w:hAnsi="Arial"/>
          <w:sz w:val="17"/>
          <w:szCs w:val="17"/>
          <w:color w:val="auto"/>
        </w:rPr>
        <w:t>The Company is not obligated to make any sales of Placement Shares under the Agreement. The offering of Placement Shares pursuant to the Agreement will terminate upon the earlier to occur of (i) the issuance and sale, through SVB Leerink, of all Placement Shares subject to the Agreement and (ii) termination of the Agreement in accordance with its terms.</w:t>
      </w:r>
    </w:p>
    <w:p>
      <w:pPr>
        <w:spacing w:after="0" w:line="121" w:lineRule="exact"/>
        <w:rPr>
          <w:sz w:val="20"/>
          <w:szCs w:val="20"/>
          <w:color w:val="auto"/>
        </w:rPr>
      </w:pPr>
    </w:p>
    <w:p>
      <w:pPr>
        <w:ind w:left="1" w:right="60" w:firstLine="648"/>
        <w:spacing w:after="0" w:line="224" w:lineRule="auto"/>
        <w:rPr>
          <w:sz w:val="20"/>
          <w:szCs w:val="20"/>
          <w:color w:val="auto"/>
        </w:rPr>
      </w:pPr>
      <w:r>
        <w:rPr>
          <w:rFonts w:ascii="Arial" w:cs="Arial" w:eastAsia="Arial" w:hAnsi="Arial"/>
          <w:sz w:val="18"/>
          <w:szCs w:val="18"/>
          <w:color w:val="auto"/>
        </w:rPr>
        <w:t>The Agreement contains representations, warranties and covenants that are customary for transactions of this type. In addition, the Company has agreed to indemnify SVB Leerink against certain liabilities, including liabilities under the Securities Act and the Securities Exchange Act of 1934, as amended.</w:t>
      </w:r>
    </w:p>
    <w:p>
      <w:pPr>
        <w:spacing w:after="0" w:line="123" w:lineRule="exact"/>
        <w:rPr>
          <w:sz w:val="20"/>
          <w:szCs w:val="20"/>
          <w:color w:val="auto"/>
        </w:rPr>
      </w:pPr>
    </w:p>
    <w:p>
      <w:pPr>
        <w:ind w:left="1" w:right="300" w:firstLine="648"/>
        <w:spacing w:after="0" w:line="289" w:lineRule="auto"/>
        <w:rPr>
          <w:sz w:val="20"/>
          <w:szCs w:val="20"/>
          <w:color w:val="auto"/>
        </w:rPr>
      </w:pPr>
      <w:r>
        <w:rPr>
          <w:rFonts w:ascii="Arial" w:cs="Arial" w:eastAsia="Arial" w:hAnsi="Arial"/>
          <w:sz w:val="16"/>
          <w:szCs w:val="16"/>
          <w:color w:val="auto"/>
        </w:rPr>
        <w:t>The foregoing description of the Agreement is not complete and is qualified in its entirety by reference to the full text of the Agreement, a copy of which is filed herewith as Exhibit 1.1 to this Current Report on Form 8-K and is incorporated herein by reference.</w:t>
      </w:r>
    </w:p>
    <w:p>
      <w:pPr>
        <w:spacing w:after="0" w:line="84" w:lineRule="exact"/>
        <w:rPr>
          <w:sz w:val="20"/>
          <w:szCs w:val="20"/>
          <w:color w:val="auto"/>
        </w:rPr>
      </w:pPr>
    </w:p>
    <w:p>
      <w:pPr>
        <w:jc w:val="both"/>
        <w:ind w:left="1" w:right="120" w:firstLine="648"/>
        <w:spacing w:after="0" w:line="224"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the securities discussed herein, nor shall there be any offer, solicitation or sale of the securities in any jurisdiction in which such offer, solicitation or sale would be unlawful prior to registration or qualification under the securities laws of any such jurisdiction.</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4" w:lineRule="exact"/>
        <w:rPr>
          <w:sz w:val="20"/>
          <w:szCs w:val="20"/>
          <w:color w:val="auto"/>
        </w:rPr>
      </w:pPr>
    </w:p>
    <w:p>
      <w:pPr>
        <w:ind w:left="861" w:hanging="861"/>
        <w:spacing w:after="0"/>
        <w:tabs>
          <w:tab w:leader="none" w:pos="8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7" w:lineRule="exact"/>
        <w:rPr>
          <w:sz w:val="20"/>
          <w:szCs w:val="20"/>
          <w:color w:val="auto"/>
        </w:rPr>
      </w:pPr>
    </w:p>
    <w:tbl>
      <w:tblPr>
        <w:tblLayout w:type="fixed"/>
        <w:tblInd w:w="1"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6"/>
                <w:szCs w:val="16"/>
                <w:color w:val="auto"/>
              </w:rPr>
            </w:pPr>
          </w:p>
        </w:tc>
        <w:tc>
          <w:tcPr>
            <w:tcW w:w="8460" w:type="dxa"/>
            <w:vAlign w:val="bottom"/>
            <w:tcBorders>
              <w:bottom w:val="single" w:sz="8" w:color="auto"/>
            </w:tcBorders>
            <w:gridSpan w:val="3"/>
          </w:tcPr>
          <w:p>
            <w:pPr>
              <w:ind w:left="386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1360" w:type="dxa"/>
            <w:vAlign w:val="bottom"/>
            <w:gridSpan w:val="2"/>
          </w:tcPr>
          <w:p>
            <w:pPr>
              <w:ind w:left="320"/>
              <w:spacing w:after="0"/>
              <w:rPr>
                <w:sz w:val="20"/>
                <w:szCs w:val="20"/>
                <w:color w:val="auto"/>
              </w:rPr>
            </w:pPr>
            <w:r>
              <w:rPr>
                <w:rFonts w:ascii="Arial" w:cs="Arial" w:eastAsia="Arial" w:hAnsi="Arial"/>
                <w:sz w:val="18"/>
                <w:szCs w:val="18"/>
                <w:color w:val="auto"/>
              </w:rPr>
              <w:t>1.1</w:t>
            </w:r>
          </w:p>
        </w:tc>
        <w:tc>
          <w:tcPr>
            <w:tcW w:w="8740" w:type="dxa"/>
            <w:vAlign w:val="bottom"/>
            <w:gridSpan w:val="4"/>
          </w:tcPr>
          <w:p>
            <w:pPr>
              <w:ind w:left="280"/>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Sales Agreement dated December 5, 2019 by and between Axsome Therapeutics, Inc. and SVB Leerink LLC.</w:t>
              </w:r>
            </w:hyperlink>
          </w:p>
        </w:tc>
      </w:tr>
      <w:tr>
        <w:trPr>
          <w:trHeight w:val="859"/>
        </w:trPr>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20" w:type="dxa"/>
            <w:vAlign w:val="bottom"/>
            <w:tcBorders>
              <w:top w:val="single" w:sz="8" w:color="0000EE"/>
            </w:tcBorders>
          </w:tcPr>
          <w:p>
            <w:pPr>
              <w:jc w:val="right"/>
              <w:ind w:right="4428"/>
              <w:spacing w:after="0"/>
              <w:rPr>
                <w:sz w:val="20"/>
                <w:szCs w:val="20"/>
                <w:color w:val="auto"/>
              </w:rPr>
            </w:pPr>
            <w:r>
              <w:rPr>
                <w:rFonts w:ascii="Arial" w:cs="Arial" w:eastAsia="Arial" w:hAnsi="Arial"/>
                <w:sz w:val="14"/>
                <w:szCs w:val="14"/>
                <w:color w:val="auto"/>
              </w:rPr>
              <w:t>2</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21"/>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01"/>
          </w:cols>
          <w:pgMar w:left="919" w:top="108"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6640" w:type="dxa"/>
            <w:vAlign w:val="bottom"/>
            <w:gridSpan w:val="2"/>
          </w:tcPr>
          <w:p>
            <w:pPr>
              <w:ind w:left="162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420" w:type="dxa"/>
            <w:vAlign w:val="bottom"/>
          </w:tcPr>
          <w:p>
            <w:pPr>
              <w:spacing w:after="0"/>
              <w:rPr>
                <w:sz w:val="20"/>
                <w:szCs w:val="20"/>
                <w:color w:val="auto"/>
              </w:rPr>
            </w:pPr>
            <w:r>
              <w:rPr>
                <w:rFonts w:ascii="Arial" w:cs="Arial" w:eastAsia="Arial" w:hAnsi="Arial"/>
                <w:sz w:val="18"/>
                <w:szCs w:val="18"/>
                <w:color w:val="auto"/>
              </w:rPr>
              <w:t>Dated: December 5, 2019</w:t>
            </w:r>
          </w:p>
        </w:tc>
        <w:tc>
          <w:tcPr>
            <w:tcW w:w="2020" w:type="dxa"/>
            <w:vAlign w:val="bottom"/>
          </w:tcPr>
          <w:p>
            <w:pPr>
              <w:ind w:left="1620"/>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020" w:type="dxa"/>
            <w:vAlign w:val="bottom"/>
            <w:vMerge w:val="restart"/>
          </w:tcPr>
          <w:p>
            <w:pPr>
              <w:ind w:left="1620"/>
              <w:spacing w:after="0" w:line="189" w:lineRule="exact"/>
              <w:rPr>
                <w:sz w:val="20"/>
                <w:szCs w:val="20"/>
                <w:color w:val="auto"/>
              </w:rPr>
            </w:pPr>
            <w:r>
              <w:rPr>
                <w:rFonts w:ascii="Arial" w:cs="Arial" w:eastAsia="Arial" w:hAnsi="Arial"/>
                <w:sz w:val="18"/>
                <w:szCs w:val="18"/>
                <w:color w:val="auto"/>
                <w:w w:val="71"/>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020" w:type="dxa"/>
            <w:vAlign w:val="bottom"/>
          </w:tcPr>
          <w:p>
            <w:pPr>
              <w:ind w:left="1620"/>
              <w:spacing w:after="0"/>
              <w:rPr>
                <w:sz w:val="20"/>
                <w:szCs w:val="20"/>
                <w:color w:val="auto"/>
              </w:rPr>
            </w:pPr>
            <w:r>
              <w:rPr>
                <w:rFonts w:ascii="Arial" w:cs="Arial" w:eastAsia="Arial" w:hAnsi="Arial"/>
                <w:sz w:val="18"/>
                <w:szCs w:val="18"/>
                <w:color w:val="auto"/>
                <w:w w:val="97"/>
              </w:rPr>
              <w:t>Title:</w:t>
            </w:r>
          </w:p>
        </w:tc>
        <w:tc>
          <w:tcPr>
            <w:tcW w:w="46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8"/>
        </w:trPr>
        <w:tc>
          <w:tcPr>
            <w:tcW w:w="3420" w:type="dxa"/>
            <w:vAlign w:val="bottom"/>
          </w:tcPr>
          <w:p>
            <w:pPr>
              <w:spacing w:after="0"/>
              <w:rPr>
                <w:sz w:val="24"/>
                <w:szCs w:val="24"/>
                <w:color w:val="auto"/>
              </w:rPr>
            </w:pPr>
          </w:p>
        </w:tc>
        <w:tc>
          <w:tcPr>
            <w:tcW w:w="2020" w:type="dxa"/>
            <w:vAlign w:val="bottom"/>
          </w:tcPr>
          <w:p>
            <w:pPr>
              <w:ind w:left="1580"/>
              <w:spacing w:after="0"/>
              <w:rPr>
                <w:sz w:val="20"/>
                <w:szCs w:val="20"/>
                <w:color w:val="auto"/>
              </w:rPr>
            </w:pPr>
            <w:r>
              <w:rPr>
                <w:rFonts w:ascii="Arial" w:cs="Arial" w:eastAsia="Arial" w:hAnsi="Arial"/>
                <w:sz w:val="14"/>
                <w:szCs w:val="14"/>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8" w:right="919"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8"/>
          <w:szCs w:val="18"/>
          <w:b w:val="1"/>
          <w:bCs w:val="1"/>
          <w:color w:val="auto"/>
        </w:rPr>
        <w:t>Exhibit 1.1</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Axsome Therapeutics,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($0.0001 par value per share)</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SALES AGREEMENT</w:t>
      </w:r>
    </w:p>
    <w:p>
      <w:pPr>
        <w:spacing w:after="0" w:line="200" w:lineRule="exact"/>
        <w:rPr>
          <w:sz w:val="20"/>
          <w:szCs w:val="20"/>
          <w:color w:val="auto"/>
        </w:rPr>
      </w:pPr>
    </w:p>
    <w:p>
      <w:pPr>
        <w:spacing w:after="0" w:line="265" w:lineRule="exact"/>
        <w:rPr>
          <w:sz w:val="20"/>
          <w:szCs w:val="20"/>
          <w:color w:val="auto"/>
        </w:rPr>
      </w:pPr>
    </w:p>
    <w:p>
      <w:pPr>
        <w:jc w:val="right"/>
        <w:ind w:right="139"/>
        <w:spacing w:after="0"/>
        <w:rPr>
          <w:sz w:val="20"/>
          <w:szCs w:val="20"/>
          <w:color w:val="auto"/>
        </w:rPr>
      </w:pPr>
      <w:r>
        <w:rPr>
          <w:rFonts w:ascii="Arial" w:cs="Arial" w:eastAsia="Arial" w:hAnsi="Arial"/>
          <w:sz w:val="20"/>
          <w:szCs w:val="20"/>
          <w:color w:val="auto"/>
        </w:rPr>
        <w:t>December 5, 2019</w:t>
      </w: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SVB LEERINK LLC</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1301 Avenue of the Americas, 12th Floor</w:t>
      </w:r>
    </w:p>
    <w:p>
      <w:pPr>
        <w:ind w:left="160"/>
        <w:spacing w:after="0"/>
        <w:rPr>
          <w:sz w:val="20"/>
          <w:szCs w:val="20"/>
          <w:color w:val="auto"/>
        </w:rPr>
      </w:pPr>
      <w:r>
        <w:rPr>
          <w:rFonts w:ascii="Arial" w:cs="Arial" w:eastAsia="Arial" w:hAnsi="Arial"/>
          <w:sz w:val="20"/>
          <w:szCs w:val="20"/>
          <w:color w:val="auto"/>
        </w:rPr>
        <w:t>New York, NY 10019</w:t>
      </w:r>
    </w:p>
    <w:p>
      <w:pPr>
        <w:spacing w:after="0" w:line="200" w:lineRule="exact"/>
        <w:rPr>
          <w:sz w:val="20"/>
          <w:szCs w:val="20"/>
          <w:color w:val="auto"/>
        </w:rPr>
      </w:pPr>
    </w:p>
    <w:p>
      <w:pPr>
        <w:spacing w:after="0" w:line="2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Ladies and Gentlemen:</w:t>
      </w:r>
    </w:p>
    <w:p>
      <w:pPr>
        <w:spacing w:after="0" w:line="223" w:lineRule="exact"/>
        <w:rPr>
          <w:sz w:val="20"/>
          <w:szCs w:val="20"/>
          <w:color w:val="auto"/>
        </w:rPr>
      </w:pPr>
    </w:p>
    <w:p>
      <w:pPr>
        <w:ind w:left="160" w:right="999"/>
        <w:spacing w:after="0" w:line="267" w:lineRule="auto"/>
        <w:rPr>
          <w:sz w:val="20"/>
          <w:szCs w:val="20"/>
          <w:color w:val="auto"/>
        </w:rPr>
      </w:pPr>
      <w:r>
        <w:rPr>
          <w:rFonts w:ascii="Arial" w:cs="Arial" w:eastAsia="Arial" w:hAnsi="Arial"/>
          <w:sz w:val="20"/>
          <w:szCs w:val="20"/>
          <w:color w:val="auto"/>
        </w:rPr>
        <w:t>Axsome Therapeutics, Inc., a Delaware corporation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confirms its agreement (this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with SVB Leerink LLC (the “</w:t>
      </w:r>
      <w:r>
        <w:rPr>
          <w:rFonts w:ascii="Arial" w:cs="Arial" w:eastAsia="Arial" w:hAnsi="Arial"/>
          <w:sz w:val="20"/>
          <w:szCs w:val="20"/>
          <w:b w:val="1"/>
          <w:bCs w:val="1"/>
          <w:u w:val="single" w:color="auto"/>
          <w:color w:val="auto"/>
        </w:rPr>
        <w:t>Agent</w:t>
      </w:r>
      <w:r>
        <w:rPr>
          <w:rFonts w:ascii="Arial" w:cs="Arial" w:eastAsia="Arial" w:hAnsi="Arial"/>
          <w:sz w:val="20"/>
          <w:szCs w:val="20"/>
          <w:color w:val="auto"/>
        </w:rPr>
        <w:t>”), as follows:</w:t>
      </w:r>
    </w:p>
    <w:p>
      <w:pPr>
        <w:spacing w:after="0" w:line="183" w:lineRule="exact"/>
        <w:rPr>
          <w:sz w:val="20"/>
          <w:szCs w:val="20"/>
          <w:color w:val="auto"/>
        </w:rPr>
      </w:pPr>
    </w:p>
    <w:p>
      <w:pPr>
        <w:ind w:left="160" w:right="199" w:firstLine="639"/>
        <w:spacing w:after="0" w:line="305" w:lineRule="auto"/>
        <w:tabs>
          <w:tab w:leader="none" w:pos="1492"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Issuance and Sale of Shares</w:t>
      </w:r>
      <w:r>
        <w:rPr>
          <w:rFonts w:ascii="Arial" w:cs="Arial" w:eastAsia="Arial" w:hAnsi="Arial"/>
          <w:sz w:val="16"/>
          <w:szCs w:val="16"/>
          <w:color w:val="auto"/>
        </w:rPr>
        <w:t>. The Company agrees that, from time to time during the term of this Agreement, on the terms and subject to the conditions set forth herein, it may issue and sell through the Agent (i) up to $80.0 million of shares of common stock, $0.0001 par value per share, of the Company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and (ii) in accordance with Section 7(dd), at the option of the Company, following the expiration of the registration statement on Form S-3 (File No. 333-214859) (the “</w:t>
      </w:r>
      <w:r>
        <w:rPr>
          <w:rFonts w:ascii="Arial" w:cs="Arial" w:eastAsia="Arial" w:hAnsi="Arial"/>
          <w:sz w:val="16"/>
          <w:szCs w:val="16"/>
          <w:b w:val="1"/>
          <w:bCs w:val="1"/>
          <w:u w:val="single" w:color="auto"/>
          <w:color w:val="auto"/>
        </w:rPr>
        <w:t>Prior Registration Statement</w:t>
      </w:r>
      <w:r>
        <w:rPr>
          <w:rFonts w:ascii="Arial" w:cs="Arial" w:eastAsia="Arial" w:hAnsi="Arial"/>
          <w:sz w:val="16"/>
          <w:szCs w:val="16"/>
          <w:color w:val="auto"/>
        </w:rPr>
        <w:t>”), any Shares that have not been sold (the “</w:t>
      </w:r>
      <w:r>
        <w:rPr>
          <w:rFonts w:ascii="Arial" w:cs="Arial" w:eastAsia="Arial" w:hAnsi="Arial"/>
          <w:sz w:val="16"/>
          <w:szCs w:val="16"/>
          <w:b w:val="1"/>
          <w:bCs w:val="1"/>
          <w:u w:val="single" w:color="auto"/>
          <w:color w:val="auto"/>
        </w:rPr>
        <w:t>Rollover Shares</w:t>
      </w:r>
      <w:r>
        <w:rPr>
          <w:rFonts w:ascii="Arial" w:cs="Arial" w:eastAsia="Arial" w:hAnsi="Arial"/>
          <w:sz w:val="16"/>
          <w:szCs w:val="16"/>
          <w:color w:val="auto"/>
        </w:rPr>
        <w:t>”) under the Sales Agreement between the Company and the Agent, dated May 9, 2019, (the “</w:t>
      </w:r>
      <w:r>
        <w:rPr>
          <w:rFonts w:ascii="Arial" w:cs="Arial" w:eastAsia="Arial" w:hAnsi="Arial"/>
          <w:sz w:val="16"/>
          <w:szCs w:val="16"/>
          <w:b w:val="1"/>
          <w:bCs w:val="1"/>
          <w:u w:val="single" w:color="auto"/>
          <w:color w:val="auto"/>
        </w:rPr>
        <w:t>Prior Sales Agreement</w:t>
      </w:r>
      <w:r>
        <w:rPr>
          <w:rFonts w:ascii="Arial" w:cs="Arial" w:eastAsia="Arial" w:hAnsi="Arial"/>
          <w:sz w:val="16"/>
          <w:szCs w:val="16"/>
          <w:color w:val="auto"/>
        </w:rPr>
        <w:t>”) in each case subject to the limitations set forth in Section 5(c) (collectively, the “</w:t>
      </w:r>
      <w:r>
        <w:rPr>
          <w:rFonts w:ascii="Arial" w:cs="Arial" w:eastAsia="Arial" w:hAnsi="Arial"/>
          <w:sz w:val="16"/>
          <w:szCs w:val="16"/>
          <w:b w:val="1"/>
          <w:bCs w:val="1"/>
          <w:u w:val="single" w:color="auto"/>
          <w:color w:val="auto"/>
        </w:rPr>
        <w:t>Placement Shares</w:t>
      </w:r>
      <w:r>
        <w:rPr>
          <w:rFonts w:ascii="Arial" w:cs="Arial" w:eastAsia="Arial" w:hAnsi="Arial"/>
          <w:sz w:val="16"/>
          <w:szCs w:val="16"/>
          <w:color w:val="auto"/>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filed or to be filed by the Company with the Securities and Exchange Commission (the “</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which will become automatically effective under Rule 462(e) of the Securities Act (as defined below) upon filing with the Commission, although nothing in this Agreement shall be construed as requiring the Company to issue any Placement Shares.</w:t>
      </w:r>
    </w:p>
    <w:p>
      <w:pPr>
        <w:spacing w:after="0" w:line="396" w:lineRule="exact"/>
        <w:rPr>
          <w:sz w:val="20"/>
          <w:szCs w:val="20"/>
          <w:color w:val="auto"/>
        </w:rPr>
      </w:pPr>
    </w:p>
    <w:p>
      <w:pPr>
        <w:ind w:left="160" w:right="159"/>
        <w:spacing w:after="0" w:line="270" w:lineRule="auto"/>
        <w:rPr>
          <w:sz w:val="20"/>
          <w:szCs w:val="20"/>
          <w:color w:val="auto"/>
        </w:rPr>
      </w:pPr>
      <w:r>
        <w:rPr>
          <w:rFonts w:ascii="Arial" w:cs="Arial" w:eastAsia="Arial" w:hAnsi="Arial"/>
          <w:sz w:val="18"/>
          <w:szCs w:val="18"/>
          <w:color w:val="auto"/>
        </w:rPr>
        <w:t>The Company has prepared and will file, in accordance with the provisions of the Securities Act of 1933, as amended, and the rules and regulations thereunder (collectively, the “</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with the Commission a registration statement on Form S-3, including (a)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8"/>
          <w:szCs w:val="18"/>
          <w:b w:val="1"/>
          <w:bCs w:val="1"/>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and (b) a prospectus supplement specifically relating to the Placement Shares to be issued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pursuant to this Agreement (the “</w:t>
      </w:r>
      <w:r>
        <w:rPr>
          <w:rFonts w:ascii="Arial" w:cs="Arial" w:eastAsia="Arial" w:hAnsi="Arial"/>
          <w:sz w:val="18"/>
          <w:szCs w:val="18"/>
          <w:b w:val="1"/>
          <w:bCs w:val="1"/>
          <w:u w:val="single" w:color="auto"/>
          <w:color w:val="auto"/>
        </w:rPr>
        <w:t>Prospectus Supplement</w:t>
      </w:r>
      <w:r>
        <w:rPr>
          <w:rFonts w:ascii="Arial" w:cs="Arial" w:eastAsia="Arial" w:hAnsi="Arial"/>
          <w:sz w:val="18"/>
          <w:szCs w:val="18"/>
          <w:color w:val="auto"/>
        </w:rPr>
        <w:t>”) to the base prospectus included as part of such registration statement. The Company will furnish to the Agent, for use by the Agent, copies of the base prospectus included as part of such registration statement at the time it becomes effective, as supplemented by the Prospectus Supplement. Except where the context otherwise requires, such registration statement, including all documents filed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328930</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160" w:right="139"/>
        <w:spacing w:after="0" w:line="270" w:lineRule="auto"/>
        <w:rPr>
          <w:sz w:val="20"/>
          <w:szCs w:val="20"/>
          <w:color w:val="auto"/>
        </w:rPr>
      </w:pPr>
      <w:r>
        <w:rPr>
          <w:rFonts w:ascii="Arial" w:cs="Arial" w:eastAsia="Arial" w:hAnsi="Arial"/>
          <w:sz w:val="18"/>
          <w:szCs w:val="18"/>
          <w:color w:val="auto"/>
        </w:rPr>
        <w:t>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Arial" w:cs="Arial" w:eastAsia="Arial" w:hAnsi="Arial"/>
          <w:sz w:val="18"/>
          <w:szCs w:val="18"/>
          <w:b w:val="1"/>
          <w:bCs w:val="1"/>
          <w:u w:val="single" w:color="auto"/>
          <w:color w:val="auto"/>
        </w:rPr>
        <w:t>Rule 433</w:t>
      </w:r>
      <w:r>
        <w:rPr>
          <w:rFonts w:ascii="Arial" w:cs="Arial" w:eastAsia="Arial" w:hAnsi="Arial"/>
          <w:sz w:val="18"/>
          <w:szCs w:val="18"/>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8"/>
          <w:szCs w:val="18"/>
          <w:b w:val="1"/>
          <w:bCs w:val="1"/>
          <w:u w:val="single" w:color="auto"/>
          <w:color w:val="auto"/>
        </w:rPr>
        <w:t>Prospectus</w:t>
      </w:r>
      <w:r>
        <w:rPr>
          <w:rFonts w:ascii="Arial" w:cs="Arial" w:eastAsia="Arial" w:hAnsi="Arial"/>
          <w:sz w:val="18"/>
          <w:szCs w:val="18"/>
          <w:color w:val="auto"/>
        </w:rPr>
        <w:t>.”</w:t>
      </w:r>
    </w:p>
    <w:p>
      <w:pPr>
        <w:spacing w:after="0" w:line="192" w:lineRule="exact"/>
        <w:rPr>
          <w:sz w:val="20"/>
          <w:szCs w:val="20"/>
          <w:color w:val="auto"/>
        </w:rPr>
      </w:pPr>
    </w:p>
    <w:p>
      <w:pPr>
        <w:ind w:left="160" w:right="279"/>
        <w:spacing w:after="0" w:line="270" w:lineRule="auto"/>
        <w:rPr>
          <w:sz w:val="20"/>
          <w:szCs w:val="20"/>
          <w:color w:val="auto"/>
        </w:rPr>
      </w:pPr>
      <w:r>
        <w:rPr>
          <w:rFonts w:ascii="Arial" w:cs="Arial" w:eastAsia="Arial" w:hAnsi="Arial"/>
          <w:sz w:val="18"/>
          <w:szCs w:val="18"/>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Arial" w:cs="Arial" w:eastAsia="Arial" w:hAnsi="Arial"/>
          <w:sz w:val="18"/>
          <w:szCs w:val="18"/>
          <w:b w:val="1"/>
          <w:bCs w:val="1"/>
          <w:u w:val="single" w:color="auto"/>
          <w:color w:val="auto"/>
        </w:rPr>
        <w:t>Incorporated Documents</w:t>
      </w:r>
      <w:r>
        <w:rPr>
          <w:rFonts w:ascii="Arial" w:cs="Arial" w:eastAsia="Arial" w:hAnsi="Arial"/>
          <w:sz w:val="18"/>
          <w:szCs w:val="18"/>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8"/>
          <w:szCs w:val="18"/>
          <w:b w:val="1"/>
          <w:bCs w:val="1"/>
          <w:u w:val="single" w:color="auto"/>
          <w:color w:val="auto"/>
        </w:rPr>
        <w:t>EDGAR</w:t>
      </w:r>
      <w:r>
        <w:rPr>
          <w:rFonts w:ascii="Arial" w:cs="Arial" w:eastAsia="Arial" w:hAnsi="Arial"/>
          <w:sz w:val="18"/>
          <w:szCs w:val="18"/>
          <w:color w:val="auto"/>
        </w:rPr>
        <w:t>”).</w:t>
      </w:r>
    </w:p>
    <w:p>
      <w:pPr>
        <w:spacing w:after="0" w:line="187" w:lineRule="exact"/>
        <w:rPr>
          <w:sz w:val="20"/>
          <w:szCs w:val="20"/>
          <w:color w:val="auto"/>
        </w:rPr>
      </w:pPr>
    </w:p>
    <w:p>
      <w:pPr>
        <w:ind w:left="160" w:right="179" w:firstLine="639"/>
        <w:spacing w:after="0" w:line="268" w:lineRule="auto"/>
        <w:tabs>
          <w:tab w:leader="none" w:pos="149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Placements</w:t>
      </w:r>
      <w:r>
        <w:rPr>
          <w:rFonts w:ascii="Arial" w:cs="Arial" w:eastAsia="Arial" w:hAnsi="Arial"/>
          <w:sz w:val="18"/>
          <w:szCs w:val="18"/>
          <w:color w:val="auto"/>
        </w:rPr>
        <w:t>. Each time that the Company wishes to issue and sell any Placement Shares through the Agent hereunder (each, a “</w:t>
      </w:r>
      <w:r>
        <w:rPr>
          <w:rFonts w:ascii="Arial" w:cs="Arial" w:eastAsia="Arial" w:hAnsi="Arial"/>
          <w:sz w:val="18"/>
          <w:szCs w:val="18"/>
          <w:b w:val="1"/>
          <w:bCs w:val="1"/>
          <w:u w:val="single" w:color="auto"/>
          <w:color w:val="auto"/>
        </w:rPr>
        <w:t>Placement</w:t>
      </w:r>
      <w:r>
        <w:rPr>
          <w:rFonts w:ascii="Arial" w:cs="Arial" w:eastAsia="Arial" w:hAnsi="Arial"/>
          <w:sz w:val="18"/>
          <w:szCs w:val="18"/>
          <w:color w:val="auto"/>
        </w:rPr>
        <w:t>”), it will notify the Agent by email notice (or other method mutually agreed to in writing by the parties) (each such notice, a “</w:t>
      </w:r>
      <w:r>
        <w:rPr>
          <w:rFonts w:ascii="Arial" w:cs="Arial" w:eastAsia="Arial" w:hAnsi="Arial"/>
          <w:sz w:val="18"/>
          <w:szCs w:val="18"/>
          <w:b w:val="1"/>
          <w:bCs w:val="1"/>
          <w:u w:val="single" w:color="auto"/>
          <w:color w:val="auto"/>
        </w:rPr>
        <w:t>Placement Notice</w:t>
      </w:r>
      <w:r>
        <w:rPr>
          <w:rFonts w:ascii="Arial" w:cs="Arial" w:eastAsia="Arial" w:hAnsi="Arial"/>
          <w:sz w:val="18"/>
          <w:szCs w:val="18"/>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The Placement Notice must originate from one of the individuals authorized to act on behalf of the Company and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(with a copy to each of the other individuals from the Company listed on such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addressed to each of the individuals from the Agent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as such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may be updated by either party from time to time by sending a written notice containing a revised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to the other party in the manner provided in Section 12 (including by email correspondence to each of the individuals of the Company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 w:name="page6"/>
    <w:bookmarkEnd w:id="5"/>
    <w:p>
      <w:pPr>
        <w:ind w:left="160" w:right="199"/>
        <w:spacing w:after="0" w:line="271" w:lineRule="auto"/>
        <w:rPr>
          <w:sz w:val="20"/>
          <w:szCs w:val="20"/>
          <w:color w:val="auto"/>
        </w:rPr>
      </w:pPr>
      <w:r>
        <w:rPr>
          <w:rFonts w:ascii="Arial" w:cs="Arial" w:eastAsia="Arial" w:hAnsi="Arial"/>
          <w:sz w:val="18"/>
          <w:szCs w:val="18"/>
          <w:color w:val="auto"/>
        </w:rPr>
        <w:t xml:space="preserve">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 terms set forth in </w:t>
      </w:r>
      <w:r>
        <w:rPr>
          <w:rFonts w:ascii="Arial" w:cs="Arial" w:eastAsia="Arial" w:hAnsi="Arial"/>
          <w:sz w:val="18"/>
          <w:szCs w:val="18"/>
          <w:b w:val="1"/>
          <w:bCs w:val="1"/>
          <w:u w:val="single" w:color="auto"/>
          <w:color w:val="auto"/>
        </w:rPr>
        <w:t>Schedule 3</w:t>
      </w:r>
      <w:r>
        <w:rPr>
          <w:rFonts w:ascii="Arial" w:cs="Arial" w:eastAsia="Arial" w:hAnsi="Arial"/>
          <w:sz w:val="18"/>
          <w:szCs w:val="18"/>
          <w:color w:val="auto"/>
        </w:rPr>
        <w:t>. It is expressly acknowledged and agreed that neither the Company nor the Agent will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89" w:lineRule="exact"/>
        <w:rPr>
          <w:sz w:val="20"/>
          <w:szCs w:val="20"/>
          <w:color w:val="auto"/>
        </w:rPr>
      </w:pPr>
    </w:p>
    <w:p>
      <w:pPr>
        <w:ind w:left="160" w:right="159" w:firstLine="639"/>
        <w:spacing w:after="0" w:line="267" w:lineRule="auto"/>
        <w:tabs>
          <w:tab w:leader="none" w:pos="149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Sale of Placement Shares by the Agent</w:t>
      </w:r>
      <w:r>
        <w:rPr>
          <w:rFonts w:ascii="Arial" w:cs="Arial" w:eastAsia="Arial" w:hAnsi="Arial"/>
          <w:sz w:val="18"/>
          <w:szCs w:val="18"/>
          <w:color w:val="auto"/>
        </w:rPr>
        <w:t>. On the basis of the representations and warranties herein contained and subject to the terms and conditions herein set forth, including, without limitation,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Arial" w:cs="Arial" w:eastAsia="Arial" w:hAnsi="Arial"/>
          <w:sz w:val="18"/>
          <w:szCs w:val="18"/>
          <w:b w:val="1"/>
          <w:bCs w:val="1"/>
          <w:u w:val="single" w:color="auto"/>
          <w:color w:val="auto"/>
        </w:rPr>
        <w:t>Nasdaq</w:t>
      </w:r>
      <w:r>
        <w:rPr>
          <w:rFonts w:ascii="Arial" w:cs="Arial" w:eastAsia="Arial" w:hAnsi="Arial"/>
          <w:sz w:val="18"/>
          <w:szCs w:val="18"/>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if receipt of such correspondence is actually acknowledged by any of the individuals to whom</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without limitation, sales made directly on or through Nasdaq, on or through any other existing trading market for the Shares or to or through a market maker. If expressly authorized by the Company (including in a Placement Notice), the Agent may also sell Placement Shares in negotiated transactions. Notwithstanding the provisions of Section 6(tt),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Arial" w:cs="Arial" w:eastAsia="Arial" w:hAnsi="Arial"/>
          <w:sz w:val="18"/>
          <w:szCs w:val="18"/>
          <w:b w:val="1"/>
          <w:bCs w:val="1"/>
          <w:u w:val="single" w:color="auto"/>
          <w:color w:val="auto"/>
        </w:rPr>
        <w:t>Trading Day</w:t>
      </w:r>
      <w:r>
        <w:rPr>
          <w:rFonts w:ascii="Arial" w:cs="Arial" w:eastAsia="Arial" w:hAnsi="Arial"/>
          <w:sz w:val="18"/>
          <w:szCs w:val="18"/>
          <w:color w:val="auto"/>
        </w:rPr>
        <w:t>” means any day on which Shares are purchased and sold on Nasdaq.</w:t>
      </w:r>
    </w:p>
    <w:p>
      <w:pPr>
        <w:spacing w:after="0" w:line="207" w:lineRule="exact"/>
        <w:rPr>
          <w:rFonts w:ascii="Arial" w:cs="Arial" w:eastAsia="Arial" w:hAnsi="Arial"/>
          <w:sz w:val="18"/>
          <w:szCs w:val="18"/>
          <w:color w:val="auto"/>
        </w:rPr>
      </w:pPr>
    </w:p>
    <w:p>
      <w:pPr>
        <w:ind w:left="1480" w:hanging="681"/>
        <w:spacing w:after="0"/>
        <w:tabs>
          <w:tab w:leader="none" w:pos="1480"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Suspension of Sales</w:t>
      </w:r>
      <w:r>
        <w:rPr>
          <w:rFonts w:ascii="Arial" w:cs="Arial" w:eastAsia="Arial" w:hAnsi="Arial"/>
          <w:sz w:val="20"/>
          <w:szCs w:val="20"/>
          <w:color w:val="auto"/>
        </w:rPr>
        <w:t>.</w:t>
      </w:r>
    </w:p>
    <w:p>
      <w:pPr>
        <w:spacing w:after="0" w:line="229" w:lineRule="exact"/>
        <w:rPr>
          <w:sz w:val="20"/>
          <w:szCs w:val="20"/>
          <w:color w:val="auto"/>
        </w:rPr>
      </w:pPr>
    </w:p>
    <w:p>
      <w:pPr>
        <w:ind w:left="60" w:right="339" w:firstLine="739"/>
        <w:spacing w:after="0" w:line="282" w:lineRule="auto"/>
        <w:tabs>
          <w:tab w:leader="none" w:pos="106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Company or the Agent may, upon notice to the other party in writing (including by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if receipt of such correspondence is actually acknowledged by any of the individuals to whom the notice is sent, other than via auto-reply) or by telephone (confirmed immediately by verifiable facsimile transmission or email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ind w:left="60" w:right="179"/>
        <w:spacing w:after="0" w:line="243" w:lineRule="auto"/>
        <w:rPr>
          <w:sz w:val="20"/>
          <w:szCs w:val="20"/>
          <w:color w:val="auto"/>
        </w:rPr>
      </w:pPr>
      <w:r>
        <w:rPr>
          <w:rFonts w:ascii="Arial" w:cs="Arial" w:eastAsia="Arial" w:hAnsi="Arial"/>
          <w:sz w:val="20"/>
          <w:szCs w:val="20"/>
          <w:color w:val="auto"/>
        </w:rPr>
        <w:t xml:space="preserve">correspondence to each of the individuals of the other party set forth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 xml:space="preserve">), suspend any sale of Placement Shares;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such suspension shall not affect or impair either party’s obligations with respect to any Placement Shares sold hereunder prior to the receipt of such notice. Each of the parties agrees that no such notice under this Section 4 shall be effective against the other party unless notice is sent by one of the individuals named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 xml:space="preserve"> hereto to the other party in writing (including by email correspondence to each of the individuals of the other party set forth on </w:t>
      </w:r>
      <w:r>
        <w:rPr>
          <w:rFonts w:ascii="Arial" w:cs="Arial" w:eastAsia="Arial" w:hAnsi="Arial"/>
          <w:sz w:val="20"/>
          <w:szCs w:val="20"/>
          <w:b w:val="1"/>
          <w:bCs w:val="1"/>
          <w:u w:val="single" w:color="auto"/>
          <w:color w:val="auto"/>
        </w:rPr>
        <w:t>Schedule 2</w:t>
      </w:r>
      <w:r>
        <w:rPr>
          <w:rFonts w:ascii="Arial" w:cs="Arial" w:eastAsia="Arial" w:hAnsi="Arial"/>
          <w:sz w:val="20"/>
          <w:szCs w:val="20"/>
          <w:color w:val="auto"/>
        </w:rPr>
        <w:t>, if receipt of such correspondence is actually acknowledged by any of the individuals to whom the notice is sent, other than via auto-reply).</w:t>
      </w:r>
    </w:p>
    <w:p>
      <w:pPr>
        <w:spacing w:after="0" w:line="197" w:lineRule="exact"/>
        <w:rPr>
          <w:sz w:val="20"/>
          <w:szCs w:val="20"/>
          <w:color w:val="auto"/>
        </w:rPr>
      </w:pPr>
    </w:p>
    <w:p>
      <w:pPr>
        <w:ind w:left="60" w:right="199" w:firstLine="739"/>
        <w:spacing w:after="0" w:line="278" w:lineRule="auto"/>
        <w:tabs>
          <w:tab w:leader="none" w:pos="1074"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during any period in which the Company is, or could be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65" w:lineRule="exact"/>
        <w:rPr>
          <w:sz w:val="20"/>
          <w:szCs w:val="20"/>
          <w:color w:val="auto"/>
        </w:rPr>
      </w:pPr>
    </w:p>
    <w:p>
      <w:pPr>
        <w:ind w:left="1480" w:hanging="681"/>
        <w:spacing w:after="0"/>
        <w:tabs>
          <w:tab w:leader="none" w:pos="148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Settlement and Delivery of the Placement Shares</w:t>
      </w:r>
      <w:r>
        <w:rPr>
          <w:rFonts w:ascii="Arial" w:cs="Arial" w:eastAsia="Arial" w:hAnsi="Arial"/>
          <w:sz w:val="20"/>
          <w:szCs w:val="20"/>
          <w:color w:val="auto"/>
        </w:rPr>
        <w:t>.</w:t>
      </w:r>
    </w:p>
    <w:p>
      <w:pPr>
        <w:spacing w:after="0" w:line="229" w:lineRule="exact"/>
        <w:rPr>
          <w:sz w:val="20"/>
          <w:szCs w:val="20"/>
          <w:color w:val="auto"/>
        </w:rPr>
      </w:pPr>
    </w:p>
    <w:p>
      <w:pPr>
        <w:ind w:left="60" w:right="299" w:firstLine="739"/>
        <w:spacing w:after="0" w:line="256" w:lineRule="auto"/>
        <w:tabs>
          <w:tab w:leader="none" w:pos="1063"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Settlement of Placement Shares</w:t>
      </w:r>
      <w:r>
        <w:rPr>
          <w:rFonts w:ascii="Arial" w:cs="Arial" w:eastAsia="Arial" w:hAnsi="Arial"/>
          <w:sz w:val="19"/>
          <w:szCs w:val="19"/>
          <w:color w:val="auto"/>
        </w:rPr>
        <w:t>. 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Arial" w:cs="Arial" w:eastAsia="Arial" w:hAnsi="Arial"/>
          <w:sz w:val="19"/>
          <w:szCs w:val="19"/>
          <w:b w:val="1"/>
          <w:bCs w:val="1"/>
          <w:u w:val="single" w:color="auto"/>
          <w:color w:val="auto"/>
        </w:rPr>
        <w:t>Settlement Date</w:t>
      </w:r>
      <w:r>
        <w:rPr>
          <w:rFonts w:ascii="Arial" w:cs="Arial" w:eastAsia="Arial" w:hAnsi="Arial"/>
          <w:sz w:val="19"/>
          <w:szCs w:val="19"/>
          <w:color w:val="auto"/>
        </w:rPr>
        <w:t>”). The amount of proceeds to be delivered to the Company on a Settlement Date against receipt of the Placement Shares sold (the “</w:t>
      </w:r>
      <w:r>
        <w:rPr>
          <w:rFonts w:ascii="Arial" w:cs="Arial" w:eastAsia="Arial" w:hAnsi="Arial"/>
          <w:sz w:val="19"/>
          <w:szCs w:val="19"/>
          <w:b w:val="1"/>
          <w:bCs w:val="1"/>
          <w:u w:val="single" w:color="auto"/>
          <w:color w:val="auto"/>
        </w:rPr>
        <w:t>Net Proceeds</w:t>
      </w:r>
      <w:r>
        <w:rPr>
          <w:rFonts w:ascii="Arial" w:cs="Arial" w:eastAsia="Arial" w:hAnsi="Arial"/>
          <w:sz w:val="19"/>
          <w:szCs w:val="19"/>
          <w:color w:val="auto"/>
        </w:rPr>
        <w:t>”) will be equal to the aggregate gross sales price received by the Agent at which such Placement Shares were sold,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spacing w:after="0" w:line="181" w:lineRule="exact"/>
        <w:rPr>
          <w:rFonts w:ascii="Arial" w:cs="Arial" w:eastAsia="Arial" w:hAnsi="Arial"/>
          <w:sz w:val="19"/>
          <w:szCs w:val="19"/>
          <w:color w:val="auto"/>
        </w:rPr>
      </w:pPr>
    </w:p>
    <w:p>
      <w:pPr>
        <w:ind w:left="60" w:right="159" w:firstLine="739"/>
        <w:spacing w:after="0" w:line="268" w:lineRule="auto"/>
        <w:tabs>
          <w:tab w:leader="none" w:pos="107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Delivery of Placement Shares</w:t>
      </w:r>
      <w:r>
        <w:rPr>
          <w:rFonts w:ascii="Arial" w:cs="Arial" w:eastAsia="Arial" w:hAnsi="Arial"/>
          <w:sz w:val="18"/>
          <w:szCs w:val="18"/>
          <w:color w:val="auto"/>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Arial" w:cs="Arial" w:eastAsia="Arial" w:hAnsi="Arial"/>
          <w:sz w:val="18"/>
          <w:szCs w:val="18"/>
          <w:b w:val="1"/>
          <w:bCs w:val="1"/>
          <w:u w:val="single" w:color="auto"/>
          <w:color w:val="auto"/>
        </w:rPr>
        <w:t>DWAC</w:t>
      </w:r>
      <w:r>
        <w:rPr>
          <w:rFonts w:ascii="Arial" w:cs="Arial" w:eastAsia="Arial" w:hAnsi="Arial"/>
          <w:sz w:val="18"/>
          <w:szCs w:val="18"/>
          <w:color w:val="auto"/>
        </w:rPr>
        <w:t>”) or by such other means of delivery as may be mutually agreed upon by the parties hereto, which in all cases shall be duly authorized, freely tradeable, transferable, registered Shares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legal fees and expenses), as incurred, arising out of or in connection with such default by the Company or its transfer agent (if applicable) and (iii) pay to the Agent any commission, discount or other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7" w:name="page8"/>
    <w:bookmarkEnd w:id="7"/>
    <w:p>
      <w:pPr>
        <w:ind w:left="60" w:right="239"/>
        <w:spacing w:after="0" w:line="244" w:lineRule="auto"/>
        <w:rPr>
          <w:sz w:val="20"/>
          <w:szCs w:val="20"/>
          <w:color w:val="auto"/>
        </w:rPr>
      </w:pPr>
      <w:r>
        <w:rPr>
          <w:rFonts w:ascii="Arial" w:cs="Arial" w:eastAsia="Arial" w:hAnsi="Arial"/>
          <w:sz w:val="20"/>
          <w:szCs w:val="20"/>
          <w:color w:val="auto"/>
        </w:rPr>
        <w:t>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 for the Placement Shares, if any, will be made available by the Company for examination and packaging by the Agent in New York City not later than 12:00 P.M., New York City time, on the Business Day prior to the applicable Settlement Date.</w:t>
      </w:r>
    </w:p>
    <w:p>
      <w:pPr>
        <w:spacing w:after="0" w:line="192" w:lineRule="exact"/>
        <w:rPr>
          <w:sz w:val="20"/>
          <w:szCs w:val="20"/>
          <w:color w:val="auto"/>
        </w:rPr>
      </w:pPr>
    </w:p>
    <w:p>
      <w:pPr>
        <w:ind w:left="60" w:right="159" w:firstLine="739"/>
        <w:spacing w:after="0" w:line="269" w:lineRule="auto"/>
        <w:tabs>
          <w:tab w:leader="none" w:pos="106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Limitations on Offering Size</w:t>
      </w:r>
      <w:r>
        <w:rPr>
          <w:rFonts w:ascii="Arial" w:cs="Arial" w:eastAsia="Arial" w:hAnsi="Arial"/>
          <w:sz w:val="18"/>
          <w:szCs w:val="18"/>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registered pursuant to, and available for offer and sale under, the Registration Statement pursuant to which the offering of Placement Shares is being made, (ii) the number of authorized but unissued Shares of the Company (less Shares issuable upon exercise, conversion or exchange of any outstanding securities of the Company or otherwise reserved from the Company’s authorized capital stock), (iii) the number or dollar amount of Shares permitted to be offered and sold by the Company under Form S-3 (including General Instruction I.B.6. thereof, if such instruction is applicable), (iv) the number or dollar amount of Shares the Company’s board of directors or a duly authorized committee thereof is authorized to issue and sell from time to time, and notified to the Agent in writing, or (v) the dollar amount of Shares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70" w:lineRule="exact"/>
        <w:rPr>
          <w:sz w:val="20"/>
          <w:szCs w:val="20"/>
          <w:color w:val="auto"/>
        </w:rPr>
      </w:pPr>
    </w:p>
    <w:p>
      <w:pPr>
        <w:ind w:left="160" w:right="279" w:firstLine="639"/>
        <w:spacing w:after="0" w:line="278" w:lineRule="auto"/>
        <w:tabs>
          <w:tab w:leader="none" w:pos="148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the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 (i) through (iv), an “</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w:t>
      </w:r>
    </w:p>
    <w:p>
      <w:pPr>
        <w:spacing w:after="0" w:line="165" w:lineRule="exact"/>
        <w:rPr>
          <w:sz w:val="20"/>
          <w:szCs w:val="20"/>
          <w:color w:val="auto"/>
        </w:rPr>
      </w:pPr>
    </w:p>
    <w:p>
      <w:pPr>
        <w:ind w:left="60" w:right="159" w:firstLine="739"/>
        <w:spacing w:after="0" w:line="254" w:lineRule="auto"/>
        <w:tabs>
          <w:tab w:leader="none" w:pos="1063"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Company and the transactions contemplated by this Agreement meet the requirements for and comply with the conditions for the use of Form S-3 (including General Instructions I.A and I.B.1.) under the Securities Act. Prior to the delivery of any Placement Notice by the Company, the Registration Statement will have been filed with the Commission and will have become automatically effective under the Securities Act. At the time the Registration Statement originally became effective and at the time the Company’s Annual Report on Form 10-K for the year ended December 31, 2018, was filed with the Commission, the Company met the then-applicable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60" w:right="159"/>
        <w:spacing w:after="0" w:line="261" w:lineRule="auto"/>
        <w:rPr>
          <w:sz w:val="20"/>
          <w:szCs w:val="20"/>
          <w:color w:val="auto"/>
        </w:rPr>
      </w:pPr>
      <w:r>
        <w:rPr>
          <w:rFonts w:ascii="Arial" w:cs="Arial" w:eastAsia="Arial" w:hAnsi="Arial"/>
          <w:sz w:val="19"/>
          <w:szCs w:val="19"/>
          <w:color w:val="auto"/>
        </w:rPr>
        <w:t>to the securities covered by the Registration Statement, including the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177" w:lineRule="exact"/>
        <w:rPr>
          <w:sz w:val="20"/>
          <w:szCs w:val="20"/>
          <w:color w:val="auto"/>
        </w:rPr>
      </w:pPr>
    </w:p>
    <w:p>
      <w:pPr>
        <w:ind w:left="160" w:right="299" w:firstLine="639"/>
        <w:spacing w:after="0" w:line="275" w:lineRule="auto"/>
        <w:tabs>
          <w:tab w:leader="none" w:pos="14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the Registration Statement and any post-effective amendment thereto, at the time it became or becomes effective, at each deemed effective date with respect to the Agent pursuant to</w:t>
      </w:r>
    </w:p>
    <w:p>
      <w:pPr>
        <w:ind w:left="160" w:right="159"/>
        <w:spacing w:after="0" w:line="267" w:lineRule="auto"/>
        <w:rPr>
          <w:rFonts w:ascii="Arial" w:cs="Arial" w:eastAsia="Arial" w:hAnsi="Arial"/>
          <w:sz w:val="18"/>
          <w:szCs w:val="18"/>
          <w:color w:val="auto"/>
        </w:rPr>
      </w:pPr>
      <w:r>
        <w:rPr>
          <w:rFonts w:ascii="Arial" w:cs="Arial" w:eastAsia="Arial" w:hAnsi="Arial"/>
          <w:sz w:val="18"/>
          <w:szCs w:val="18"/>
          <w:color w:val="auto"/>
        </w:rPr>
        <w:t>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181" w:lineRule="exact"/>
        <w:rPr>
          <w:rFonts w:ascii="Arial" w:cs="Arial" w:eastAsia="Arial" w:hAnsi="Arial"/>
          <w:sz w:val="18"/>
          <w:szCs w:val="18"/>
          <w:color w:val="auto"/>
        </w:rPr>
      </w:pPr>
    </w:p>
    <w:p>
      <w:pPr>
        <w:jc w:val="both"/>
        <w:ind w:left="160" w:right="139" w:firstLine="639"/>
        <w:spacing w:after="0" w:line="244" w:lineRule="auto"/>
        <w:tabs>
          <w:tab w:leader="none" w:pos="1487" w:val="left"/>
        </w:tabs>
        <w:numPr>
          <w:ilvl w:val="0"/>
          <w:numId w:val="13"/>
        </w:numPr>
        <w:rPr>
          <w:rFonts w:ascii="Arial" w:cs="Arial" w:eastAsia="Arial" w:hAnsi="Arial"/>
          <w:sz w:val="20"/>
          <w:szCs w:val="20"/>
          <w:color w:val="auto"/>
        </w:rPr>
      </w:pPr>
      <w:r>
        <w:rPr>
          <w:rFonts w:ascii="Arial" w:cs="Arial" w:eastAsia="Arial" w:hAnsi="Arial"/>
          <w:sz w:val="20"/>
          <w:szCs w:val="20"/>
          <w:color w:val="auto"/>
        </w:rPr>
        <w:t>(i) At the time of filing the Registration Statement and (ii) at the time of the execution of this Agreement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08" w:lineRule="exact"/>
        <w:rPr>
          <w:rFonts w:ascii="Arial" w:cs="Arial" w:eastAsia="Arial" w:hAnsi="Arial"/>
          <w:sz w:val="20"/>
          <w:szCs w:val="20"/>
          <w:color w:val="auto"/>
        </w:rPr>
      </w:pPr>
    </w:p>
    <w:p>
      <w:pPr>
        <w:ind w:left="160" w:right="319" w:firstLine="639"/>
        <w:spacing w:after="0" w:line="260" w:lineRule="auto"/>
        <w:tabs>
          <w:tab w:leader="none" w:pos="1498"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Company is, and since October 30, 2015 has been, an “emerging growth company,” as defined in Section 2(a) of the Securities Act (an “</w:t>
      </w:r>
      <w:r>
        <w:rPr>
          <w:rFonts w:ascii="Arial" w:cs="Arial" w:eastAsia="Arial" w:hAnsi="Arial"/>
          <w:sz w:val="20"/>
          <w:szCs w:val="20"/>
          <w:b w:val="1"/>
          <w:bCs w:val="1"/>
          <w:u w:val="single" w:color="auto"/>
          <w:color w:val="auto"/>
        </w:rPr>
        <w:t>Emerging Growth Company</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160" w:right="199" w:firstLine="639"/>
        <w:spacing w:after="0" w:line="278" w:lineRule="auto"/>
        <w:tabs>
          <w:tab w:leader="none" w:pos="14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160" w:right="1199"/>
        <w:spacing w:after="0" w:line="262" w:lineRule="auto"/>
        <w:rPr>
          <w:sz w:val="20"/>
          <w:szCs w:val="20"/>
          <w:color w:val="auto"/>
        </w:rPr>
      </w:pPr>
      <w:r>
        <w:rPr>
          <w:rFonts w:ascii="Arial" w:cs="Arial" w:eastAsia="Arial" w:hAnsi="Arial"/>
          <w:sz w:val="20"/>
          <w:szCs w:val="20"/>
          <w:color w:val="auto"/>
        </w:rPr>
        <w:t>or on behalf of or used by the Company complies or will comply in all material respects with the requirements of the Securities Act.</w:t>
      </w:r>
    </w:p>
    <w:p>
      <w:pPr>
        <w:spacing w:after="0" w:line="188" w:lineRule="exact"/>
        <w:rPr>
          <w:sz w:val="20"/>
          <w:szCs w:val="20"/>
          <w:color w:val="auto"/>
        </w:rPr>
      </w:pPr>
    </w:p>
    <w:p>
      <w:pPr>
        <w:jc w:val="both"/>
        <w:ind w:left="160" w:right="239" w:firstLine="639"/>
        <w:spacing w:after="0" w:line="282" w:lineRule="auto"/>
        <w:tabs>
          <w:tab w:leader="none" w:pos="14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175" w:lineRule="exact"/>
        <w:rPr>
          <w:rFonts w:ascii="Arial" w:cs="Arial" w:eastAsia="Arial" w:hAnsi="Arial"/>
          <w:sz w:val="18"/>
          <w:szCs w:val="18"/>
          <w:color w:val="auto"/>
        </w:rPr>
      </w:pPr>
    </w:p>
    <w:p>
      <w:pPr>
        <w:ind w:left="160" w:right="199" w:firstLine="639"/>
        <w:spacing w:after="0" w:line="246" w:lineRule="auto"/>
        <w:tabs>
          <w:tab w:leader="none" w:pos="1498"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205" w:lineRule="exact"/>
        <w:rPr>
          <w:rFonts w:ascii="Arial" w:cs="Arial" w:eastAsia="Arial" w:hAnsi="Arial"/>
          <w:sz w:val="20"/>
          <w:szCs w:val="20"/>
          <w:color w:val="auto"/>
        </w:rPr>
      </w:pPr>
    </w:p>
    <w:p>
      <w:pPr>
        <w:ind w:left="160" w:right="199" w:firstLine="639"/>
        <w:spacing w:after="0" w:line="257" w:lineRule="auto"/>
        <w:tabs>
          <w:tab w:leader="none" w:pos="1498"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is subject to and in compliance in all material respects with the reporting requirements of Section 13 or Section 15(d) of the Exchange Act. The Shares are registered pursuant to Section 12(b) of the Exchange Act and are listed on Nasdaq, and the Company has taken no action designed to, or reasonably likely to have the effect of, terminating the registration of the Shares under the Exchange Act or delisting the Shares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Placement Shares.</w:t>
      </w:r>
    </w:p>
    <w:p>
      <w:pPr>
        <w:spacing w:after="0" w:line="194" w:lineRule="exact"/>
        <w:rPr>
          <w:rFonts w:ascii="Arial" w:cs="Arial" w:eastAsia="Arial" w:hAnsi="Arial"/>
          <w:sz w:val="19"/>
          <w:szCs w:val="19"/>
          <w:color w:val="auto"/>
        </w:rPr>
      </w:pPr>
    </w:p>
    <w:p>
      <w:pPr>
        <w:ind w:left="160" w:right="219" w:firstLine="639"/>
        <w:spacing w:after="0" w:line="258" w:lineRule="auto"/>
        <w:tabs>
          <w:tab w:leader="none" w:pos="1454" w:val="left"/>
        </w:tabs>
        <w:numPr>
          <w:ilvl w:val="0"/>
          <w:numId w:val="14"/>
        </w:numPr>
        <w:rPr>
          <w:rFonts w:ascii="Arial" w:cs="Arial" w:eastAsia="Arial" w:hAnsi="Arial"/>
          <w:sz w:val="19"/>
          <w:szCs w:val="19"/>
          <w:color w:val="auto"/>
        </w:rPr>
      </w:pPr>
      <w:r>
        <w:rPr>
          <w:rFonts w:ascii="Arial" w:cs="Arial" w:eastAsia="Arial" w:hAnsi="Arial"/>
          <w:sz w:val="19"/>
          <w:szCs w:val="19"/>
          <w:color w:val="auto"/>
        </w:rPr>
        <w:t>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192" w:lineRule="exact"/>
        <w:rPr>
          <w:rFonts w:ascii="Arial" w:cs="Arial" w:eastAsia="Arial" w:hAnsi="Arial"/>
          <w:sz w:val="19"/>
          <w:szCs w:val="19"/>
          <w:color w:val="auto"/>
        </w:rPr>
      </w:pPr>
    </w:p>
    <w:p>
      <w:pPr>
        <w:ind w:left="160" w:right="139" w:firstLine="639"/>
        <w:spacing w:after="0" w:line="255" w:lineRule="auto"/>
        <w:tabs>
          <w:tab w:leader="none" w:pos="1454"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has been duly organized and is validly existing as a corporation in good standing under the laws of the State of Delaware, with full corporate power and authority to acquire, own, lease and operate its properties, and to lease the same to others, and to conduct its business as described in the Registration Statement and the Prospectus and to enter into and perform its obligations under this Agreement. The Company is duly qualified to transact business as a foreign corporation and is in good standing in the State of New York and under the laws of each other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on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Arial" w:cs="Arial" w:eastAsia="Arial" w:hAnsi="Arial"/>
          <w:sz w:val="19"/>
          <w:szCs w:val="19"/>
          <w:b w:val="1"/>
          <w:bCs w:val="1"/>
          <w:u w:val="single" w:color="auto"/>
          <w:color w:val="auto"/>
        </w:rPr>
        <w:t>Material Adverse Effect</w:t>
      </w:r>
      <w:r>
        <w:rPr>
          <w:rFonts w:ascii="Arial" w:cs="Arial" w:eastAsia="Arial" w:hAnsi="Arial"/>
          <w:sz w:val="19"/>
          <w:szCs w:val="19"/>
          <w:color w:val="auto"/>
        </w:rPr>
        <w:t>”).</w:t>
      </w:r>
    </w:p>
    <w:p>
      <w:pPr>
        <w:spacing w:after="0" w:line="198" w:lineRule="exact"/>
        <w:rPr>
          <w:rFonts w:ascii="Arial" w:cs="Arial" w:eastAsia="Arial" w:hAnsi="Arial"/>
          <w:sz w:val="19"/>
          <w:szCs w:val="19"/>
          <w:color w:val="auto"/>
        </w:rPr>
      </w:pPr>
    </w:p>
    <w:p>
      <w:pPr>
        <w:ind w:left="160" w:right="179" w:firstLine="639"/>
        <w:spacing w:after="0" w:line="274" w:lineRule="auto"/>
        <w:tabs>
          <w:tab w:leader="none" w:pos="14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the Company’s “subsidiaries” (for purposes of this Agreement, as defined in Rule 405 under the Securities Act) (each, a “</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has been duly organized and is validly existing in good standing (where such concept exists) under the laws of the jurisdiction of its organization and has full power and authority to acquire, own, lease and operate its properties, and to conduct its business as described in the Registration Statement and the Prospectus. Each Subsidiary is duly qualified to transact business and is in good standing (where such concept exists) under the laws of each jurisdiction that requires such qualification, whether by reason of the ownership or</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160" w:right="219"/>
        <w:spacing w:after="0" w:line="270" w:lineRule="auto"/>
        <w:rPr>
          <w:sz w:val="20"/>
          <w:szCs w:val="20"/>
          <w:color w:val="auto"/>
        </w:rPr>
      </w:pPr>
      <w:r>
        <w:rPr>
          <w:rFonts w:ascii="Arial" w:cs="Arial" w:eastAsia="Arial" w:hAnsi="Arial"/>
          <w:sz w:val="18"/>
          <w:szCs w:val="18"/>
          <w:color w:val="auto"/>
        </w:rPr>
        <w:t>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The Company does not own or control, directly or indirectly, any corporation, association or other entity, other than the Subsidiaries listed on Exhibit 21.1 to the Company’s most recent Annual Report on Form 10-K filed with the Commission.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88" w:lineRule="exact"/>
        <w:rPr>
          <w:sz w:val="20"/>
          <w:szCs w:val="20"/>
          <w:color w:val="auto"/>
        </w:rPr>
      </w:pPr>
    </w:p>
    <w:p>
      <w:pPr>
        <w:ind w:left="160" w:right="139" w:firstLine="639"/>
        <w:spacing w:after="0" w:line="268" w:lineRule="auto"/>
        <w:tabs>
          <w:tab w:leader="none" w:pos="14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the authorized and outstanding capitalization as set forth in the Company’s quarterly report on Form 10-Q for the most recent fiscal quarter, as of the dates referred to therein (subject, in each case, to the issuance of Placement Shares under this Agreement, the issuance of Shares upon exercise of share options and warrants disclosed as outstanding as of the date hereof in the Registration Statement and the Prospectus and the grant of options under existing share option plans described in the Registration Statement and the Prospectus). The Shares conform in all material respects to the description thereof contained in the Registration Statement and the Prospectus, including under the heading “Description of Capital Stock.” All of the issued and outstanding share capital or other equity or ownership interest of the Company (including the Shares)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subscribe for, or equity or debt securities convertible into or exchangeable or exercisable for, any share capital of the Company or any of its Subsidiaries or to which the Company or any of its Subsidiaries is a party or by which any of them may be bound. The descriptions of the Company’s equity incentive plan, stock option plans and other stock plans or arrangements described in the Prospectus and in effect as of the date hereof (collectively, the “</w:t>
      </w:r>
      <w:r>
        <w:rPr>
          <w:rFonts w:ascii="Arial" w:cs="Arial" w:eastAsia="Arial" w:hAnsi="Arial"/>
          <w:sz w:val="18"/>
          <w:szCs w:val="18"/>
          <w:b w:val="1"/>
          <w:bCs w:val="1"/>
          <w:u w:val="single" w:color="auto"/>
          <w:color w:val="auto"/>
        </w:rPr>
        <w:t>Stock Plans</w:t>
      </w:r>
      <w:r>
        <w:rPr>
          <w:rFonts w:ascii="Arial" w:cs="Arial" w:eastAsia="Arial" w:hAnsi="Arial"/>
          <w:sz w:val="18"/>
          <w:szCs w:val="18"/>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197" w:lineRule="exact"/>
        <w:rPr>
          <w:rFonts w:ascii="Arial" w:cs="Arial" w:eastAsia="Arial" w:hAnsi="Arial"/>
          <w:sz w:val="18"/>
          <w:szCs w:val="18"/>
          <w:color w:val="auto"/>
        </w:rPr>
      </w:pPr>
    </w:p>
    <w:p>
      <w:pPr>
        <w:ind w:left="160" w:right="179" w:firstLine="639"/>
        <w:spacing w:after="0" w:line="270" w:lineRule="auto"/>
        <w:tabs>
          <w:tab w:leader="none" w:pos="15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Placement Shares have been duly authorized for issuance and sale pursuant to this Agreement and, when issued and delivered by the Company against payment therefor pursuant to this Agreement, will be validly issued, fully paid and nonassessable and will conform in all material respects to the description thereof contained in the Prospectus. The issuance and sale of the Placement Shares as contemplated hereby shall not be subject to any preemptive rights, rights of first refusal or other similar rights to subscribe for or purchase the Placement Shares. When issued and delivered by the Company against payment therefor pursuant to this Agreement, the purchasers of the Placement Shares issued and sold hereunder will acquire good, marketable and valid title to such Placement Shares, free and clear of all pledges, liens, security interests, charges, claims or encumbrances. The issuance and sale of the Placement Shares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 There are no restrictions upon the voting or transfer of the Shares under the Company’s amended and restated certificate of incorporation or amended and restated bylaws or any</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 w:name="page12"/>
    <w:bookmarkEnd w:id="11"/>
    <w:p>
      <w:pPr>
        <w:ind w:left="160" w:right="859"/>
        <w:spacing w:after="0" w:line="262" w:lineRule="auto"/>
        <w:rPr>
          <w:sz w:val="20"/>
          <w:szCs w:val="20"/>
          <w:color w:val="auto"/>
        </w:rPr>
      </w:pPr>
      <w:r>
        <w:rPr>
          <w:rFonts w:ascii="Arial" w:cs="Arial" w:eastAsia="Arial" w:hAnsi="Arial"/>
          <w:sz w:val="20"/>
          <w:szCs w:val="20"/>
          <w:color w:val="auto"/>
        </w:rPr>
        <w:t>agreement or other instrument to which the Company is a party or otherwise filed as an exhibit to the Registration Statement.</w:t>
      </w:r>
    </w:p>
    <w:p>
      <w:pPr>
        <w:spacing w:after="0" w:line="188" w:lineRule="exact"/>
        <w:rPr>
          <w:sz w:val="20"/>
          <w:szCs w:val="20"/>
          <w:color w:val="auto"/>
        </w:rPr>
      </w:pPr>
    </w:p>
    <w:p>
      <w:pPr>
        <w:ind w:left="160" w:right="139" w:firstLine="639"/>
        <w:spacing w:after="0" w:line="254" w:lineRule="auto"/>
        <w:tabs>
          <w:tab w:leader="none" w:pos="1498"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There is no statute, regulation, contract, agreement or other document required to be described in the Registration Statement, Prospectus or in any Incorporated Document, or to be filed as an exhibit to the Registration Statement or any Incorporated Document which is not described or filed as required. The statements set forth or incorporated by reference in the Prospectus, insofar as they purport to constitute summaries of the terms of the statutes, regulations, contracts, agreements or other documents described and filed, constitute accurate summaries of the terms thereof in all material respects. The statements set forth or incorporated by reference in the Prospectus under the headings “Risk Factors,” “Business— Intellectual Property,” “Business—Material License Agreements,” “Business—Government Regulation and Product Approval,” “Business—Legal Proceedings,” and “Description of Capital Stock,” insofar as such statements summarize legal matters, agreements, documents or proceedings discussed therein, are accurate and fair summaries of such legal matters, agreements, documents or proceedings. Neither the Company nor any of its Subsidiaries has sent or received any communication regarding termination of, or intent not to renew or render performance under, any of the contracts or agreements referred to or described in the Prospectus or any free writing prospectus, or referred to or described in, or filed as an exhibit to, the Registration Statement, or any Incorporated Document,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200" w:lineRule="exact"/>
        <w:rPr>
          <w:rFonts w:ascii="Arial" w:cs="Arial" w:eastAsia="Arial" w:hAnsi="Arial"/>
          <w:sz w:val="19"/>
          <w:szCs w:val="19"/>
          <w:color w:val="auto"/>
        </w:rPr>
      </w:pPr>
    </w:p>
    <w:p>
      <w:pPr>
        <w:ind w:left="160" w:right="219" w:firstLine="639"/>
        <w:spacing w:after="0" w:line="316" w:lineRule="auto"/>
        <w:tabs>
          <w:tab w:leader="none" w:pos="149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 This Agreement conforms in all material respects to the descriptions thereof in the Registration Statement and the Prospectus.</w:t>
      </w:r>
    </w:p>
    <w:p>
      <w:pPr>
        <w:spacing w:after="0" w:line="153" w:lineRule="exact"/>
        <w:rPr>
          <w:rFonts w:ascii="Arial" w:cs="Arial" w:eastAsia="Arial" w:hAnsi="Arial"/>
          <w:sz w:val="16"/>
          <w:szCs w:val="16"/>
          <w:color w:val="auto"/>
        </w:rPr>
      </w:pPr>
    </w:p>
    <w:p>
      <w:pPr>
        <w:ind w:left="160" w:right="239" w:firstLine="639"/>
        <w:spacing w:after="0" w:line="269" w:lineRule="auto"/>
        <w:tabs>
          <w:tab w:leader="none" w:pos="1498"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 is not and, after giving effect to the offering and sale of the Placement Shares and the application of the proceeds thereof as described in the Prospectus, will not be an “investment company” as defined in the Investment Company Act of 1940, as amended.</w:t>
      </w:r>
    </w:p>
    <w:p>
      <w:pPr>
        <w:spacing w:after="0" w:line="183" w:lineRule="exact"/>
        <w:rPr>
          <w:rFonts w:ascii="Arial" w:cs="Arial" w:eastAsia="Arial" w:hAnsi="Arial"/>
          <w:sz w:val="19"/>
          <w:szCs w:val="19"/>
          <w:color w:val="auto"/>
        </w:rPr>
      </w:pPr>
    </w:p>
    <w:p>
      <w:pPr>
        <w:ind w:left="160" w:right="159" w:firstLine="639"/>
        <w:spacing w:after="0" w:line="274" w:lineRule="auto"/>
        <w:tabs>
          <w:tab w:leader="none" w:pos="14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and the Prospectus (including the issuance and sale of the Placement Shares hereunder), except such as have been already obtained or made or as may be required under the Securities Act, applicable state securities or Blue Sky laws, applicable rules of Nasdaq, or Rule 5110 of the Financial Industry Regulatory Authority, Inc. (“</w:t>
      </w:r>
      <w:r>
        <w:rPr>
          <w:rFonts w:ascii="Arial" w:cs="Arial" w:eastAsia="Arial" w:hAnsi="Arial"/>
          <w:sz w:val="18"/>
          <w:szCs w:val="18"/>
          <w:b w:val="1"/>
          <w:bCs w:val="1"/>
          <w:u w:val="single" w:color="auto"/>
          <w:color w:val="auto"/>
        </w:rPr>
        <w:t>FINRA</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160" w:right="179" w:firstLine="639"/>
        <w:spacing w:after="0" w:line="273" w:lineRule="auto"/>
        <w:tabs>
          <w:tab w:leader="none" w:pos="14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execution and delivery by the Company of, nor the performance of the Company of its obligations under, this Agreement will conflict with, result in a breach or violation of, or result in the creation or imposition of any lien, charge or encumbrance upon any property or assets of the Company or any of its Subsidiaries pursuant to: (i) the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license, lease, mortgage, deed of trust, note agreement, agreement or other instrument, obligation, condition, covenant or instrument to which it is a party or bound or to which</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ind w:left="160" w:right="139"/>
        <w:spacing w:after="0" w:line="244" w:lineRule="auto"/>
        <w:rPr>
          <w:sz w:val="20"/>
          <w:szCs w:val="20"/>
          <w:color w:val="auto"/>
        </w:rPr>
      </w:pPr>
      <w:r>
        <w:rPr>
          <w:rFonts w:ascii="Arial" w:cs="Arial" w:eastAsia="Arial" w:hAnsi="Arial"/>
          <w:sz w:val="20"/>
          <w:szCs w:val="20"/>
          <w:color w:val="auto"/>
        </w:rPr>
        <w:t>its property or assets is subject or (iii) any statute, law, rule, regulation, judgment, order or decree applicable to the Company or any of its Subsidiaries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conflict, breach, violation or default that would not, individually or in the aggregate, have a Material Adverse Effect.</w:t>
      </w:r>
    </w:p>
    <w:p>
      <w:pPr>
        <w:spacing w:after="0" w:line="205" w:lineRule="exact"/>
        <w:rPr>
          <w:sz w:val="20"/>
          <w:szCs w:val="20"/>
          <w:color w:val="auto"/>
        </w:rPr>
      </w:pPr>
    </w:p>
    <w:p>
      <w:pPr>
        <w:ind w:left="160" w:right="179" w:firstLine="639"/>
        <w:spacing w:after="0" w:line="305" w:lineRule="auto"/>
        <w:tabs>
          <w:tab w:leader="none" w:pos="14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Registration Statement and the Prospectus: (i) 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(ii) neither the Company nor its Subsidiaries has (A)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(B) entered into any material transactions not in the ordinary course of business or (C) issued or granted any Shares or securities convertible into or exchangeable or exercisable for or that represent the right to receive Shares other than under the Stock Plans; and (iii) there has not been any material decrease in the share capital or any material increase in any short-term or long-term indebtedness of the Company or any of its Subsidiaries and there has been no dividend or distribution of any kind declared, paid or made by the Company or, except for dividends paid to the Company or another Subsidiary, by any Subsidiary on any class of shares, or any repurchase or redemption by the Company or any of its Subsidiaries of any class of shares.</w:t>
      </w:r>
    </w:p>
    <w:p>
      <w:pPr>
        <w:spacing w:after="0" w:line="391" w:lineRule="exact"/>
        <w:rPr>
          <w:rFonts w:ascii="Arial" w:cs="Arial" w:eastAsia="Arial" w:hAnsi="Arial"/>
          <w:sz w:val="16"/>
          <w:szCs w:val="16"/>
          <w:color w:val="auto"/>
        </w:rPr>
      </w:pPr>
    </w:p>
    <w:p>
      <w:pPr>
        <w:jc w:val="both"/>
        <w:ind w:left="160" w:right="159" w:firstLine="639"/>
        <w:spacing w:after="0" w:line="328" w:lineRule="auto"/>
        <w:tabs>
          <w:tab w:leader="none" w:pos="145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There are no persons (as such term is defined in Rule 1-02 of Regulation S-X promulgated under the Securities Act) with registration or other similar rights to have any equity or debt securities of the Company registered for sale under the Registration Statement or included in the offering contemplated by this Agreement, except for such rights as have been duly waived in a writing previously furnished to the Agent.</w:t>
      </w:r>
    </w:p>
    <w:p>
      <w:pPr>
        <w:spacing w:after="0" w:line="142" w:lineRule="exact"/>
        <w:rPr>
          <w:rFonts w:ascii="Arial" w:cs="Arial" w:eastAsia="Arial" w:hAnsi="Arial"/>
          <w:sz w:val="16"/>
          <w:szCs w:val="16"/>
          <w:color w:val="auto"/>
        </w:rPr>
      </w:pPr>
    </w:p>
    <w:p>
      <w:pPr>
        <w:ind w:left="160" w:right="179" w:firstLine="639"/>
        <w:spacing w:after="0" w:line="269" w:lineRule="auto"/>
        <w:tabs>
          <w:tab w:leader="none" w:pos="14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statements included or incorporated by reference in the Registration Statement and the Prospectus, together with the related notes and schedules, present fairly the consolidated financial position of the Company and the Subsidiaries as of the dates indicated and the consolidated results of operations, cash flows and changes in stockholders’ equity of the Company and the Subsidiaries for the periods specified and have been prepared in compliance with the requirements of the Securities Act and Exchange Act and in conformity with United States generally accepted accounting principles (“</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applied on a consistent basis during the periods involved. To the extent applicable, any pro forma financial statements, information or data included or incorporated by reference in the Registration Statement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data set forth or incorporated by reference in the Registration Statement and the Prospectus is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 included or incorporated by reference therein as required. The Company and the Subsidiaries do not have any material liabilities or obligations, direct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3" w:name="page14"/>
    <w:bookmarkEnd w:id="13"/>
    <w:p>
      <w:pPr>
        <w:ind w:left="160" w:right="179"/>
        <w:spacing w:after="0" w:line="269" w:lineRule="auto"/>
        <w:rPr>
          <w:sz w:val="20"/>
          <w:szCs w:val="20"/>
          <w:color w:val="auto"/>
        </w:rPr>
      </w:pPr>
      <w:r>
        <w:rPr>
          <w:rFonts w:ascii="Arial" w:cs="Arial" w:eastAsia="Arial" w:hAnsi="Arial"/>
          <w:sz w:val="18"/>
          <w:szCs w:val="18"/>
          <w:color w:val="auto"/>
        </w:rPr>
        <w:t>or contingent (including any off-balance sheet obligations or any “variable interest entities” as that term is used in Accounting Standards Codification Paragraph 810-10-25-20), not disclosed in the Registration Statement and the Prospectus. All disclosures contained in the Registration Statement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or incorporated by reference in the Registration Statement and the Prospectus were obtained or derived from sources which the Company reasonably and in good faith believes are reliable and accurate, such data agree with the sources from which they are derived,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Arial" w:cs="Arial" w:eastAsia="Arial" w:hAnsi="Arial"/>
          <w:sz w:val="18"/>
          <w:szCs w:val="18"/>
          <w:b w:val="1"/>
          <w:bCs w:val="1"/>
          <w:u w:val="single" w:color="auto"/>
          <w:color w:val="auto"/>
        </w:rPr>
        <w:t>PCAOB</w:t>
      </w:r>
      <w:r>
        <w:rPr>
          <w:rFonts w:ascii="Arial" w:cs="Arial" w:eastAsia="Arial" w:hAnsi="Arial"/>
          <w:sz w:val="18"/>
          <w:szCs w:val="18"/>
          <w:color w:val="auto"/>
        </w:rPr>
        <w:t>”), has participated in or otherwise aided the preparation of, or audited, the financial statements, supporting schedules or other financial data filed with the Commission as a part of the Registration Statement and the Prospectus.</w:t>
      </w:r>
    </w:p>
    <w:p>
      <w:pPr>
        <w:spacing w:after="0" w:line="195" w:lineRule="exact"/>
        <w:rPr>
          <w:sz w:val="20"/>
          <w:szCs w:val="20"/>
          <w:color w:val="auto"/>
        </w:rPr>
      </w:pPr>
    </w:p>
    <w:p>
      <w:pPr>
        <w:ind w:left="160" w:right="159" w:firstLine="639"/>
        <w:spacing w:after="0" w:line="270" w:lineRule="auto"/>
        <w:tabs>
          <w:tab w:leader="none" w:pos="14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no actions, suits, claims, investigations or proceedings pending or, to the Company’s knowledge, threatened to which the Company or any of the Subsidiaries is or would be a party, or of which any of the respective properties or assets of the Company and the Subsidiaries is or would be subject, at law or in equity, before any court or arbitral body or by or before any federal, state, local or foreign governmental or regulatory commission, board, body, authority or agency, that (i) are required to be described in the Registration Statement or the Prospectus and are not so described, (ii) could reasonably be expected to have a material adverse effect on the ability of the Company to perform its obligations under this Agreement or on the consummation of any of the transactions contemplated hereby or (iii) could reasonably be expected to have a Material Adverse Effect. The aggregate of all pending legal or governmental proceedings to which the Company or any of its Subsidiaries is a party or of which any of their respective properties or assets is the subject which are not described in the Prospectus, including ordinary routine litigation incidental to the Company’s business, could not reasonably be expected to (A) result in a Material Adverse Effect or (B) have a material adverse effect on the ability of the Company to perform its obligations under this Agreement or the consummation of any of the transactions contemplated hereby.</w:t>
      </w:r>
    </w:p>
    <w:p>
      <w:pPr>
        <w:spacing w:after="0" w:line="183" w:lineRule="exact"/>
        <w:rPr>
          <w:rFonts w:ascii="Arial" w:cs="Arial" w:eastAsia="Arial" w:hAnsi="Arial"/>
          <w:sz w:val="18"/>
          <w:szCs w:val="18"/>
          <w:color w:val="auto"/>
        </w:rPr>
      </w:pPr>
    </w:p>
    <w:p>
      <w:pPr>
        <w:ind w:left="160" w:right="359" w:firstLine="639"/>
        <w:spacing w:after="0" w:line="260" w:lineRule="auto"/>
        <w:tabs>
          <w:tab w:leader="none" w:pos="1542"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Company owns or leases all such real properties as are necessary to the conduct of its operations as presently conducted in all material respects.</w:t>
      </w:r>
    </w:p>
    <w:p>
      <w:pPr>
        <w:spacing w:after="0" w:line="190" w:lineRule="exact"/>
        <w:rPr>
          <w:rFonts w:ascii="Arial" w:cs="Arial" w:eastAsia="Arial" w:hAnsi="Arial"/>
          <w:sz w:val="20"/>
          <w:szCs w:val="20"/>
          <w:color w:val="auto"/>
        </w:rPr>
      </w:pPr>
    </w:p>
    <w:p>
      <w:pPr>
        <w:ind w:left="160" w:right="139" w:firstLine="639"/>
        <w:spacing w:after="0" w:line="309" w:lineRule="auto"/>
        <w:tabs>
          <w:tab w:leader="none" w:pos="1498"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the Company nor any Subsidiary is in violation or default of (i) any provision of its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lease, mortgage, deed of trust, note agreement, loan agreement or other agreement, obligation, condition, covenant or instrument to which it is a party or bound or to which its property or assets is subject, or (iii) any statute, law, rule, regulation, judgment, order or decree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default or violation that would not, individually or in the aggregate, have a Material Adverse Effect.</w:t>
      </w:r>
    </w:p>
    <w:p>
      <w:pPr>
        <w:spacing w:after="0" w:line="393" w:lineRule="exact"/>
        <w:rPr>
          <w:rFonts w:ascii="Arial" w:cs="Arial" w:eastAsia="Arial" w:hAnsi="Arial"/>
          <w:sz w:val="16"/>
          <w:szCs w:val="16"/>
          <w:color w:val="auto"/>
        </w:rPr>
      </w:pPr>
    </w:p>
    <w:p>
      <w:pPr>
        <w:ind w:left="160" w:right="199" w:firstLine="639"/>
        <w:spacing w:after="0" w:line="269" w:lineRule="auto"/>
        <w:tabs>
          <w:tab w:leader="none" w:pos="1498" w:val="left"/>
        </w:tabs>
        <w:numPr>
          <w:ilvl w:val="0"/>
          <w:numId w:val="18"/>
        </w:numPr>
        <w:rPr>
          <w:rFonts w:ascii="Arial" w:cs="Arial" w:eastAsia="Arial" w:hAnsi="Arial"/>
          <w:sz w:val="19"/>
          <w:szCs w:val="19"/>
          <w:color w:val="auto"/>
        </w:rPr>
      </w:pPr>
      <w:r>
        <w:rPr>
          <w:rFonts w:ascii="Arial" w:cs="Arial" w:eastAsia="Arial" w:hAnsi="Arial"/>
          <w:sz w:val="19"/>
          <w:szCs w:val="19"/>
          <w:color w:val="auto"/>
        </w:rPr>
        <w:t>Ernst &amp; Young LLP, whose report on the consolidated financial statements of the Company is filed with the Commission as part of the Company’s most recent annual report on Form 10-K filed with the Commission and incorporated by reference in the Registration Statement and the</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4" w:name="page15"/>
    <w:bookmarkEnd w:id="14"/>
    <w:p>
      <w:pPr>
        <w:ind w:left="160" w:right="179"/>
        <w:spacing w:after="0" w:line="258" w:lineRule="auto"/>
        <w:rPr>
          <w:sz w:val="20"/>
          <w:szCs w:val="20"/>
          <w:color w:val="auto"/>
        </w:rPr>
      </w:pPr>
      <w:r>
        <w:rPr>
          <w:rFonts w:ascii="Arial" w:cs="Arial" w:eastAsia="Arial" w:hAnsi="Arial"/>
          <w:sz w:val="19"/>
          <w:szCs w:val="19"/>
          <w:color w:val="auto"/>
        </w:rPr>
        <w:t>Prospectus, is (i) an independent registered public accounting firm as required by the Securities Act, the Exchange Act and the rules of the PCAOB,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 Ernst &amp; Young LLP has not been engaged by the Company to perform any “prohibited activities” or provided to the Company any “non-audit services” (as defined in Section 10A of the Exchange Act).</w:t>
      </w:r>
    </w:p>
    <w:p>
      <w:pPr>
        <w:spacing w:after="0" w:line="194" w:lineRule="exact"/>
        <w:rPr>
          <w:sz w:val="20"/>
          <w:szCs w:val="20"/>
          <w:color w:val="auto"/>
        </w:rPr>
      </w:pPr>
    </w:p>
    <w:p>
      <w:pPr>
        <w:ind w:left="160" w:right="199" w:firstLine="639"/>
        <w:spacing w:after="0" w:line="246" w:lineRule="auto"/>
        <w:tabs>
          <w:tab w:leader="none" w:pos="1487"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Placement Shares.</w:t>
      </w:r>
    </w:p>
    <w:p>
      <w:pPr>
        <w:spacing w:after="0" w:line="205" w:lineRule="exact"/>
        <w:rPr>
          <w:sz w:val="20"/>
          <w:szCs w:val="20"/>
          <w:color w:val="auto"/>
        </w:rPr>
      </w:pPr>
    </w:p>
    <w:p>
      <w:pPr>
        <w:ind w:left="160" w:right="139" w:firstLine="639"/>
        <w:spacing w:after="0" w:line="268" w:lineRule="auto"/>
        <w:tabs>
          <w:tab w:leader="none" w:pos="15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 All material taxes which the Company and its Subsidiaries are required by law to withhold or to collect for payment have been duly withheld and collected and have been paid to the appropriate governmental authority or agency or have been accrued, reserved against and entered on the books of the Company and its Subsidiaries.</w:t>
      </w:r>
    </w:p>
    <w:p>
      <w:pPr>
        <w:spacing w:after="0" w:line="198" w:lineRule="exact"/>
        <w:rPr>
          <w:rFonts w:ascii="Arial" w:cs="Arial" w:eastAsia="Arial" w:hAnsi="Arial"/>
          <w:sz w:val="18"/>
          <w:szCs w:val="18"/>
          <w:color w:val="auto"/>
        </w:rPr>
      </w:pPr>
    </w:p>
    <w:p>
      <w:pPr>
        <w:ind w:left="160" w:right="219" w:firstLine="639"/>
        <w:spacing w:after="0" w:line="271" w:lineRule="auto"/>
        <w:tabs>
          <w:tab w:leader="none" w:pos="15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or any of its Subsidiaries exists or, to the Company’s knowledge, is threatened or imminent, and the Company is not aware of any existing, threatened or imminent labor disturbance by the employees of any of its or any of its Subsidiaries’ principal suppliers, manufacturers, contractors or customers, in each case that would have a Material Adverse Effect. None of the employees of the Company or any of its Subsidiaries is represented by a union and, to the knowledge of the Company, no union organizing activities are taking place. Neither the Company nor any of its Subsidiaries has violated (or received notice of any violation of) any federal, state or local law or foreign law relating to the discrimination in hiring, promotion or pay of employees, nor any applicable wage or hour laws, or the rules and regulations thereunder, or analogous foreign laws and regulations, which would, individually or in the aggregate, reasonably be expected to result in a Material Adverse Effect.</w:t>
      </w:r>
    </w:p>
    <w:p>
      <w:pPr>
        <w:spacing w:after="0" w:line="188" w:lineRule="exact"/>
        <w:rPr>
          <w:rFonts w:ascii="Arial" w:cs="Arial" w:eastAsia="Arial" w:hAnsi="Arial"/>
          <w:sz w:val="18"/>
          <w:szCs w:val="18"/>
          <w:color w:val="auto"/>
        </w:rPr>
      </w:pPr>
    </w:p>
    <w:p>
      <w:pPr>
        <w:ind w:left="160" w:right="279" w:firstLine="639"/>
        <w:spacing w:after="0" w:line="282" w:lineRule="auto"/>
        <w:tabs>
          <w:tab w:leader="none" w:pos="15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the Company and its Subsidiaries are insured by recognized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 w:name="page16"/>
    <w:bookmarkEnd w:id="15"/>
    <w:p>
      <w:pPr>
        <w:ind w:left="160" w:right="299"/>
        <w:spacing w:after="0" w:line="306" w:lineRule="auto"/>
        <w:rPr>
          <w:sz w:val="20"/>
          <w:szCs w:val="20"/>
          <w:color w:val="auto"/>
        </w:rPr>
      </w:pPr>
      <w:r>
        <w:rPr>
          <w:rFonts w:ascii="Arial" w:cs="Arial" w:eastAsia="Arial" w:hAnsi="Arial"/>
          <w:sz w:val="16"/>
          <w:szCs w:val="16"/>
          <w:color w:val="auto"/>
        </w:rPr>
        <w:t>damage, destruction, acts of vandalism and earthquakes and policies covering the Company and its Subsidiaries for clinical trial liability claims. The Company has no reason to believe that it or any of its Subsidiaries will not be able (i) to renew its existing insurance coverage as and when such policies expire or</w:t>
      </w:r>
    </w:p>
    <w:p>
      <w:pPr>
        <w:spacing w:after="0" w:line="2" w:lineRule="exact"/>
        <w:rPr>
          <w:sz w:val="20"/>
          <w:szCs w:val="20"/>
          <w:color w:val="auto"/>
        </w:rPr>
      </w:pPr>
    </w:p>
    <w:p>
      <w:pPr>
        <w:ind w:left="160" w:right="239" w:hanging="9"/>
        <w:spacing w:after="0" w:line="241" w:lineRule="auto"/>
        <w:tabs>
          <w:tab w:leader="none" w:pos="451" w:val="left"/>
        </w:tabs>
        <w:numPr>
          <w:ilvl w:val="0"/>
          <w:numId w:val="21"/>
        </w:numPr>
        <w:rPr>
          <w:rFonts w:ascii="Arial" w:cs="Arial" w:eastAsia="Arial" w:hAnsi="Arial"/>
          <w:sz w:val="20"/>
          <w:szCs w:val="20"/>
          <w:color w:val="auto"/>
        </w:rPr>
      </w:pPr>
      <w:r>
        <w:rPr>
          <w:rFonts w:ascii="Arial" w:cs="Arial" w:eastAsia="Arial" w:hAnsi="Arial"/>
          <w:sz w:val="20"/>
          <w:szCs w:val="20"/>
          <w:color w:val="auto"/>
        </w:rPr>
        <w:t>to obtain comparable coverage from similar institutions as may be necessary or appropriate to conduct its business as now conducted and at a cost that could not reasonably be expected to have a Material Adverse Effect. Neither the Company nor any of its Subsidiaries has been denied any material insurance coverage which it has sought or for which it has applied.</w:t>
      </w:r>
    </w:p>
    <w:p>
      <w:pPr>
        <w:spacing w:after="0" w:line="208" w:lineRule="exact"/>
        <w:rPr>
          <w:rFonts w:ascii="Arial" w:cs="Arial" w:eastAsia="Arial" w:hAnsi="Arial"/>
          <w:sz w:val="20"/>
          <w:szCs w:val="20"/>
          <w:color w:val="auto"/>
        </w:rPr>
      </w:pPr>
    </w:p>
    <w:p>
      <w:pPr>
        <w:ind w:left="160" w:right="159" w:firstLine="639"/>
        <w:spacing w:after="0" w:line="306" w:lineRule="auto"/>
        <w:tabs>
          <w:tab w:leader="none" w:pos="1543"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and each of its Subsidiaries has good and marketable title in fee simple to all real property owned by them and good and marketable title to all personal property owned by them that is material to their business (except with respect to intellectual property, which is addressed exclusively in Section 6(pp) and Section 6(ggg) below), in each case free and clear of all liens, encumbrances and defects except such as do not materially affect the value of such property and do not interfere with the use made and proposed to be made of such property by the Company or any Subsidiary; and any real property and buildings held under lease by the Company or any of its Subsidiaries are held by them under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are not material and do not interfere with the use made and proposed to be made of such property and buildings by the Company or such Subsidiary.</w:t>
      </w:r>
    </w:p>
    <w:p>
      <w:pPr>
        <w:spacing w:after="0" w:line="394" w:lineRule="exact"/>
        <w:rPr>
          <w:rFonts w:ascii="Arial" w:cs="Arial" w:eastAsia="Arial" w:hAnsi="Arial"/>
          <w:sz w:val="16"/>
          <w:szCs w:val="16"/>
          <w:color w:val="auto"/>
        </w:rPr>
      </w:pPr>
    </w:p>
    <w:p>
      <w:pPr>
        <w:ind w:left="160" w:right="259" w:firstLine="639"/>
        <w:spacing w:after="0" w:line="273" w:lineRule="auto"/>
        <w:tabs>
          <w:tab w:leader="none" w:pos="152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and its Subsidiaries possess and are operating in compliance with such valid and current material certificates, authorizations or permits required by United States federal, state or foreign regulatory agencies or bodies to conduct their respective businesses as currently conducted and as described in the Registration Statement and the Prospectus (collectively, “</w:t>
      </w:r>
      <w:r>
        <w:rPr>
          <w:rFonts w:ascii="Arial" w:cs="Arial" w:eastAsia="Arial" w:hAnsi="Arial"/>
          <w:sz w:val="18"/>
          <w:szCs w:val="18"/>
          <w:b w:val="1"/>
          <w:bCs w:val="1"/>
          <w:u w:val="single" w:color="auto"/>
          <w:color w:val="auto"/>
        </w:rPr>
        <w:t>Permits</w:t>
      </w:r>
      <w:r>
        <w:rPr>
          <w:rFonts w:ascii="Arial" w:cs="Arial" w:eastAsia="Arial" w:hAnsi="Arial"/>
          <w:sz w:val="18"/>
          <w:szCs w:val="18"/>
          <w:color w:val="auto"/>
        </w:rPr>
        <w:t>”). Neither the Company nor any of its Subsidiaries is in violation of, or in default under, any of the Permits or has received any written notice of proceedings relating to the revocation or modification of, or non-compliance with, any such certificate, authorization or permit, which, individually or in the aggregate, if the subject of an unfavorable decision, ruling or finding, could reasonably be expected to result in a Material Adverse Effect.</w:t>
      </w:r>
    </w:p>
    <w:p>
      <w:pPr>
        <w:spacing w:after="0" w:line="182" w:lineRule="exact"/>
        <w:rPr>
          <w:rFonts w:ascii="Arial" w:cs="Arial" w:eastAsia="Arial" w:hAnsi="Arial"/>
          <w:sz w:val="18"/>
          <w:szCs w:val="18"/>
          <w:color w:val="auto"/>
        </w:rPr>
      </w:pPr>
    </w:p>
    <w:p>
      <w:pPr>
        <w:ind w:left="160" w:right="439" w:firstLine="639"/>
        <w:spacing w:after="0" w:line="275" w:lineRule="auto"/>
        <w:tabs>
          <w:tab w:leader="none" w:pos="1473"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and each of its Subsidiaries make and keep accurate books and records and maintain a system of internal accounting controls sufficient to provide reasonable assurance that:</w:t>
      </w:r>
    </w:p>
    <w:p>
      <w:pPr>
        <w:ind w:left="380" w:hanging="229"/>
        <w:spacing w:after="0"/>
        <w:tabs>
          <w:tab w:leader="none" w:pos="3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transactions are executed in accordance with management’s general or specific authorization;</w:t>
      </w:r>
    </w:p>
    <w:p>
      <w:pPr>
        <w:ind w:left="160" w:right="279" w:hanging="9"/>
        <w:spacing w:after="0" w:line="271" w:lineRule="auto"/>
        <w:tabs>
          <w:tab w:leader="none" w:pos="4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84" w:lineRule="exact"/>
        <w:rPr>
          <w:rFonts w:ascii="Arial" w:cs="Arial" w:eastAsia="Arial" w:hAnsi="Arial"/>
          <w:sz w:val="18"/>
          <w:szCs w:val="18"/>
          <w:color w:val="auto"/>
        </w:rPr>
      </w:pPr>
    </w:p>
    <w:p>
      <w:pPr>
        <w:ind w:left="160" w:right="179" w:firstLine="639"/>
        <w:spacing w:after="0" w:line="278" w:lineRule="auto"/>
        <w:tabs>
          <w:tab w:leader="none" w:pos="1543"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and each of its Subsidiaries have established and maintain disclosure controls and procedures (as defined in Rules 13a-15 and 15d-15 under the Exchange Act), which (i) are designed to ensure that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 w:name="page17"/>
    <w:bookmarkEnd w:id="16"/>
    <w:p>
      <w:pPr>
        <w:ind w:left="160" w:right="239"/>
        <w:spacing w:after="0" w:line="272" w:lineRule="auto"/>
        <w:rPr>
          <w:sz w:val="20"/>
          <w:szCs w:val="20"/>
          <w:color w:val="auto"/>
        </w:rPr>
      </w:pPr>
      <w:r>
        <w:rPr>
          <w:rFonts w:ascii="Arial" w:cs="Arial" w:eastAsia="Arial" w:hAnsi="Arial"/>
          <w:sz w:val="18"/>
          <w:szCs w:val="18"/>
          <w:color w:val="auto"/>
        </w:rPr>
        <w:t>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has been no material weakness in the Company’s internal control over financial reporting (whether or not remediated) and no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6" w:lineRule="exact"/>
        <w:rPr>
          <w:sz w:val="20"/>
          <w:szCs w:val="20"/>
          <w:color w:val="auto"/>
        </w:rPr>
      </w:pPr>
    </w:p>
    <w:p>
      <w:pPr>
        <w:ind w:left="160" w:right="159" w:firstLine="639"/>
        <w:spacing w:after="0" w:line="243" w:lineRule="auto"/>
        <w:tabs>
          <w:tab w:leader="none" w:pos="1543" w:val="left"/>
        </w:tabs>
        <w:numPr>
          <w:ilvl w:val="0"/>
          <w:numId w:val="24"/>
        </w:numPr>
        <w:rPr>
          <w:rFonts w:ascii="Arial" w:cs="Arial" w:eastAsia="Arial" w:hAnsi="Arial"/>
          <w:sz w:val="20"/>
          <w:szCs w:val="20"/>
          <w:color w:val="auto"/>
        </w:rPr>
      </w:pPr>
      <w:r>
        <w:rPr>
          <w:rFonts w:ascii="Arial" w:cs="Arial" w:eastAsia="Arial" w:hAnsi="Arial"/>
          <w:sz w:val="20"/>
          <w:szCs w:val="20"/>
          <w:color w:val="auto"/>
        </w:rPr>
        <w:t>Neither the Company, nor any of its Subsidiaries, nor to the knowledge of the Company, any of its or their respective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p>
      <w:pPr>
        <w:spacing w:after="0" w:line="206" w:lineRule="exact"/>
        <w:rPr>
          <w:rFonts w:ascii="Arial" w:cs="Arial" w:eastAsia="Arial" w:hAnsi="Arial"/>
          <w:sz w:val="20"/>
          <w:szCs w:val="20"/>
          <w:color w:val="auto"/>
        </w:rPr>
      </w:pPr>
    </w:p>
    <w:p>
      <w:pPr>
        <w:ind w:left="160" w:right="179" w:firstLine="639"/>
        <w:spacing w:after="0" w:line="267"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Except as could not reasonably be expected, individually or in the aggregate, to have a Material Adverse Effect: (i) neither the Company nor any of its Subsidiaries is in violation of any United States federal, state or local, or any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emissions, discharges, release or threatened release of chemicals, pollutants, contaminants, wastes, toxic substances, hazardous substances, petroleum or petroleum products (collectively, “</w:t>
      </w:r>
      <w:r>
        <w:rPr>
          <w:rFonts w:ascii="Arial" w:cs="Arial" w:eastAsia="Arial" w:hAnsi="Arial"/>
          <w:sz w:val="18"/>
          <w:szCs w:val="18"/>
          <w:b w:val="1"/>
          <w:bCs w:val="1"/>
          <w:u w:val="single" w:color="auto"/>
          <w:color w:val="auto"/>
        </w:rPr>
        <w:t>Hazardous Materials</w:t>
      </w:r>
      <w:r>
        <w:rPr>
          <w:rFonts w:ascii="Arial" w:cs="Arial" w:eastAsia="Arial" w:hAnsi="Arial"/>
          <w:sz w:val="18"/>
          <w:szCs w:val="18"/>
          <w:color w:val="auto"/>
        </w:rPr>
        <w:t>”) or otherwise related to the manufacture, processing, distribution, use, treatment, storage, disposal, transport or handling of Hazardous Materials (collectively, “</w:t>
      </w:r>
      <w:r>
        <w:rPr>
          <w:rFonts w:ascii="Arial" w:cs="Arial" w:eastAsia="Arial" w:hAnsi="Arial"/>
          <w:sz w:val="18"/>
          <w:szCs w:val="18"/>
          <w:b w:val="1"/>
          <w:bCs w:val="1"/>
          <w:u w:val="single" w:color="auto"/>
          <w:color w:val="auto"/>
        </w:rPr>
        <w:t>Environmental Laws</w:t>
      </w:r>
      <w:r>
        <w:rPr>
          <w:rFonts w:ascii="Arial" w:cs="Arial" w:eastAsia="Arial" w:hAnsi="Arial"/>
          <w:sz w:val="18"/>
          <w:szCs w:val="18"/>
          <w:color w:val="auto"/>
        </w:rPr>
        <w:t>”), which violation includes, but is not limited to, noncompliance with any permits or other governmental authorizations required for the operation of the business of the Company or any of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 Company and its Subsidiaries have all material permits, authorizations and approvals required under any applicable Environmental Laws and are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or any investigation with respect to which the Company or any of its Subsidiaries has received written notice or any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Hazardous Materials at any location owned, leased or operated by the Company or any of its Subsidiaries, now or in the past; and (iv) to the Company’s knowledge, there are no past or present actions, activities, events, conditions, incidents or circumstances that might reasonably be expected to result in a violation of any Environmental Law or form the basis of an order for clean-up or remediation, or an action, suit, investigation or proceeding by any private party or governmental body or agency, against or affecting the Company or any of its Subsidiaries relating to Hazardous Materials or any Environmental Laws.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7" w:name="page18"/>
    <w:bookmarkEnd w:id="17"/>
    <w:p>
      <w:pPr>
        <w:ind w:left="160" w:right="139" w:firstLine="639"/>
        <w:spacing w:after="0" w:line="269" w:lineRule="auto"/>
        <w:tabs>
          <w:tab w:leader="none" w:pos="14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and any “employee benefit plan” (as defined under the Employee Retirement Income Security Act of 1974, as amended, and the regulations and published interpretations thereunder (collectively, “</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established or maintained by the Company, or its “ERISA Affiliates” (as defined below) are in compliance in all material respects with ERISA. “ERISA Affiliates” means, with respect to the Company, any member of any group of organizations described in Sections 414(b), (c), (m) or (o) of the Internal Revenue Code of 1986, as amended, and the regulations and published interpretations thereunder (the “</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w:t>
      </w:r>
    </w:p>
    <w:p>
      <w:pPr>
        <w:spacing w:after="0" w:line="192" w:lineRule="exact"/>
        <w:rPr>
          <w:rFonts w:ascii="Arial" w:cs="Arial" w:eastAsia="Arial" w:hAnsi="Arial"/>
          <w:sz w:val="18"/>
          <w:szCs w:val="18"/>
          <w:color w:val="auto"/>
        </w:rPr>
      </w:pPr>
    </w:p>
    <w:p>
      <w:pPr>
        <w:ind w:left="160" w:right="199" w:firstLine="639"/>
        <w:spacing w:after="0" w:line="278" w:lineRule="auto"/>
        <w:tabs>
          <w:tab w:leader="none" w:pos="15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is in compliance with, and there is and has been no failure on the part of the Company and, to the Company’s knowledge, any of the Company’s directors or officers, in their capacities as such, to comply with, any provision of the Sarbanes-Oxley Act of 2002 and all rules and regulations promulgated thereunder or implementing the provisions thereof (the “</w:t>
      </w:r>
      <w:r>
        <w:rPr>
          <w:rFonts w:ascii="Arial" w:cs="Arial" w:eastAsia="Arial" w:hAnsi="Arial"/>
          <w:sz w:val="18"/>
          <w:szCs w:val="18"/>
          <w:b w:val="1"/>
          <w:bCs w:val="1"/>
          <w:u w:val="single" w:color="auto"/>
          <w:color w:val="auto"/>
        </w:rPr>
        <w:t>Sarbanes-Oxley Act</w:t>
      </w:r>
      <w:r>
        <w:rPr>
          <w:rFonts w:ascii="Arial" w:cs="Arial" w:eastAsia="Arial" w:hAnsi="Arial"/>
          <w:sz w:val="18"/>
          <w:szCs w:val="18"/>
          <w:color w:val="auto"/>
        </w:rPr>
        <w:t>”) and the rules and regulations promulgated in connection therewith, including Section 402 relating to loans.</w:t>
      </w:r>
    </w:p>
    <w:p>
      <w:pPr>
        <w:spacing w:after="0" w:line="178" w:lineRule="exact"/>
        <w:rPr>
          <w:rFonts w:ascii="Arial" w:cs="Arial" w:eastAsia="Arial" w:hAnsi="Arial"/>
          <w:sz w:val="18"/>
          <w:szCs w:val="18"/>
          <w:color w:val="auto"/>
        </w:rPr>
      </w:pPr>
    </w:p>
    <w:p>
      <w:pPr>
        <w:ind w:left="160" w:right="139" w:firstLine="639"/>
        <w:spacing w:after="0" w:line="272" w:lineRule="auto"/>
        <w:tabs>
          <w:tab w:leader="none" w:pos="14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the Company, any of its Subsidiaries, nor, to the knowledge of the Company, any of their respective directors, officers, agents, employees or affiliates, has taken or will take any action in furtherance of an offer, payment, promise to pay, or authorization or approval of the unlawful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each of its Subsidiaries and, to the Company’s knowledge, each of their respective affiliates have conducted their businesses in compliance with applicable anti-corruption laws.</w:t>
      </w:r>
    </w:p>
    <w:p>
      <w:pPr>
        <w:spacing w:after="0" w:line="184" w:lineRule="exact"/>
        <w:rPr>
          <w:rFonts w:ascii="Arial" w:cs="Arial" w:eastAsia="Arial" w:hAnsi="Arial"/>
          <w:sz w:val="18"/>
          <w:szCs w:val="18"/>
          <w:color w:val="auto"/>
        </w:rPr>
      </w:pPr>
    </w:p>
    <w:p>
      <w:pPr>
        <w:ind w:left="160" w:right="179" w:firstLine="639"/>
        <w:spacing w:after="0" w:line="270" w:lineRule="auto"/>
        <w:tabs>
          <w:tab w:leader="none" w:pos="16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 of the Company, any Subsidiary, affiliate, director, officer or employee thereof or, to the best of the Company’s knowledge, any agent, representative or other person acting on behalf of the Company or any of its Subsidiaries or affiliates, is aware of or has taken any action, directly or indirectly, that would result in a violation by such persons of any applicable anti-corruption laws, including the Foreign Corrupt Practices Act of 1977, as amended, and the rules and regulations thereunder (the “</w:t>
      </w:r>
      <w:r>
        <w:rPr>
          <w:rFonts w:ascii="Arial" w:cs="Arial" w:eastAsia="Arial" w:hAnsi="Arial"/>
          <w:sz w:val="18"/>
          <w:szCs w:val="18"/>
          <w:b w:val="1"/>
          <w:bCs w:val="1"/>
          <w:u w:val="single" w:color="auto"/>
          <w:color w:val="auto"/>
        </w:rPr>
        <w:t>FCPA</w:t>
      </w:r>
      <w:r>
        <w:rPr>
          <w:rFonts w:ascii="Arial" w:cs="Arial" w:eastAsia="Arial" w:hAnsi="Arial"/>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otherwise took any action (or failed to fully disclose any action) in contravention of the FCPA; and the Company, its Subsidiaries and each of their respective affiliates have conducted their businesses in compliance with the FCPA and have instituted and maintain, and will continue to maintain, policies and procedures designed to ensure, and which are reasonably expected to continue to ensure, continued compliance therewith.</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 w:name="page19"/>
    <w:bookmarkEnd w:id="18"/>
    <w:p>
      <w:pPr>
        <w:ind w:left="160" w:right="279" w:firstLine="639"/>
        <w:spacing w:after="0" w:line="274" w:lineRule="auto"/>
        <w:tabs>
          <w:tab w:leader="none" w:pos="15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u w:val="single" w:color="auto"/>
          <w:color w:val="auto"/>
        </w:rPr>
        <w:t>Money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Laundering Laws</w:t>
      </w:r>
      <w:r>
        <w:rPr>
          <w:rFonts w:ascii="Arial" w:cs="Arial" w:eastAsia="Arial" w:hAnsi="Arial"/>
          <w:sz w:val="18"/>
          <w:szCs w:val="18"/>
          <w:color w:val="auto"/>
        </w:rPr>
        <w:t>”) and no action, suit, investigation or proceeding by or before any court or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agency, authority or body or any arbitrator involving the Company or any of its Subsidiaries with respect to the Money Laundering Laws is pending or, to the best of the Company’s knowledge, threatened.</w:t>
      </w:r>
    </w:p>
    <w:p>
      <w:pPr>
        <w:spacing w:after="0" w:line="183" w:lineRule="exact"/>
        <w:rPr>
          <w:rFonts w:ascii="Arial" w:cs="Arial" w:eastAsia="Arial" w:hAnsi="Arial"/>
          <w:sz w:val="18"/>
          <w:szCs w:val="18"/>
          <w:color w:val="auto"/>
        </w:rPr>
      </w:pPr>
    </w:p>
    <w:p>
      <w:pPr>
        <w:ind w:left="160" w:right="179" w:firstLine="639"/>
        <w:spacing w:after="0" w:line="269" w:lineRule="auto"/>
        <w:tabs>
          <w:tab w:leader="none" w:pos="15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any director or officer thereof, nor, to the Company’s knowledge, any employee, agent, affiliate or representative of the Company or any of its Subsidiaries, is currently or is owned or controlled by an individual or entity that is subject to any sanctions administered or enforced by the United States government (including, without limitation, the Office of Foreign Assets Control of the United States Department of the Treasury), the United Nations Security Council, the European Union, Her Majesty’s Treasury or other relevant sanctions authority (collectively, “</w:t>
      </w:r>
      <w:r>
        <w:rPr>
          <w:rFonts w:ascii="Arial" w:cs="Arial" w:eastAsia="Arial" w:hAnsi="Arial"/>
          <w:sz w:val="18"/>
          <w:szCs w:val="18"/>
          <w:b w:val="1"/>
          <w:bCs w:val="1"/>
          <w:u w:val="single" w:color="auto"/>
          <w:color w:val="auto"/>
        </w:rPr>
        <w:t>Sanctions</w:t>
      </w:r>
      <w:r>
        <w:rPr>
          <w:rFonts w:ascii="Arial" w:cs="Arial" w:eastAsia="Arial" w:hAnsi="Arial"/>
          <w:sz w:val="18"/>
          <w:szCs w:val="18"/>
          <w:color w:val="auto"/>
        </w:rPr>
        <w:t>”) or is located, organized or resident in a country or territory that is the subject or target of Sanctions; and the Company will not directly or indirectly use the proceeds of the sale of the Shares, or lend, contribute or otherwise make available such proceeds to any Subsidiary, or any joint venture partner or other person or entity, for the purpose of financing or facilitating the activities of or business of any person or entity, or in any country or territory, that currently or at the time of such financing or facilitation is the subject of any Sanctions or in any other manner that will result in a violation by any person or entity (including any person participating in the transactions contemplated by this Agreement) of any Sanctions. For the past five years, the Company and its Subsidiaries have not knowingly engaged in and are not now knowingly engaged in any dealings or transactions with any person or entity, or in any country or territory, that at the time of the dealing or transaction is or was the subject of Sanctions.</w:t>
      </w:r>
    </w:p>
    <w:p>
      <w:pPr>
        <w:spacing w:after="0" w:line="191" w:lineRule="exact"/>
        <w:rPr>
          <w:rFonts w:ascii="Arial" w:cs="Arial" w:eastAsia="Arial" w:hAnsi="Arial"/>
          <w:sz w:val="18"/>
          <w:szCs w:val="18"/>
          <w:color w:val="auto"/>
        </w:rPr>
      </w:pPr>
    </w:p>
    <w:p>
      <w:pPr>
        <w:ind w:left="160" w:right="139" w:firstLine="639"/>
        <w:spacing w:after="0" w:line="268" w:lineRule="auto"/>
        <w:tabs>
          <w:tab w:leader="none" w:pos="15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and its Subsidiaries own or possess the right to use all inventions, patent applications, patents, trademarks, trade names, service names, domain names, copyrights, trade secrets, know-how and other intellectual property (collectively,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 as are (i) necessary or material for the conduct of their respective businesses as currently conducted or as currently proposed to be conducted and as described in the Registration Statement and the Prospectus and (ii) necessary or material for the commercialization of the products described in the Registration Statement and the Prospectus as being under development. There is no pending or, to the Company’s knowledge, threatened (i) action, suit, proceeding, or claim by others challenging the rights of the Company or any of its Subsidiaries in or to any such Intellectual Property that, if decided adversely to the Company or such Subsidiary would, individually or in the aggregate, have a Material Adverse Effect, and the Company is unaware of any facts which would form a reasonable basis for any such claim; (ii) action, suit, proceeding, or claim by others that the Company or any of its Subsidiaries infringes, misappropriates, or otherwise violates any Intellectual Property of others that, if decided adversely to the Company or such Subsidiary would, individually or in the aggregate, have a Material Adverse Effect, and the Company is unaware of any facts which would form a reasonable basis for any such claim; or (iii) action, suit, proceeding, or claim by others challenging the validity, scope, or enforceability of any such Intellectual Property owned or licensed by the Company or its Subsidiaries and the Company is unaware of any facts which would form a reasonable basis for any such claim. To the best of the Company’s knowledge, the operation of the business of the Company and its Subsidiaries as now conducted, and as described in the Prospectus, and in connection with the development and commercialization of the products described in the Prospectus does not infringe, misappropriate, conflict with or otherwise violate any claim of any patent or published patent application of any other person or entity. There is no prior art of which the Company or any of its Subsidiaries is aware that may render any patent owned or licensed by the Company or its Subsidiaries invalid or any patent application owned or licensed by the Company or its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 w:name="page20"/>
    <w:bookmarkEnd w:id="19"/>
    <w:p>
      <w:pPr>
        <w:ind w:left="160" w:right="179"/>
        <w:spacing w:after="0" w:line="268" w:lineRule="auto"/>
        <w:rPr>
          <w:sz w:val="20"/>
          <w:szCs w:val="20"/>
          <w:color w:val="auto"/>
        </w:rPr>
      </w:pPr>
      <w:r>
        <w:rPr>
          <w:rFonts w:ascii="Arial" w:cs="Arial" w:eastAsia="Arial" w:hAnsi="Arial"/>
          <w:sz w:val="18"/>
          <w:szCs w:val="18"/>
          <w:color w:val="auto"/>
        </w:rPr>
        <w:t>Subsidiaries unpatentable which has not been disclosed to the applicable government patent office. The Company’s granted or issued patents, registered trademarks and registered copyrights have been duly maintained and are in full force and effect, and none of the patents, trademarks and copyrights have been adjudged invalid or unenforceable in whole or in part. The Company knows of no infringement, misappropriation or violation by others of any Intellectual Property owned or licensed by the Company or its Subsidiaries which would reasonably be expected to have a Material Adverse Effect. Neither the Company nor any of its Subsidiaries is a party to or bound by any options, licenses or agreements with respect to the Intellectual Property of any other person or entity that are required to be set forth in the Prospectus and that are not described therein in all material respects. The Company and its Subsidiaries have taken all reasonable steps necessary to secure their interests in the Intellectual Property of the Company and its Subsidiaries from their employees and contractors and to protect the confidentiality of all of their confidential information and trade secrets. None of the technology or intellectual property used by the Company and its Subsidiaries in its business has been obtained or is being used by the Company or its Subsidiaries in violation of any contractual obligation binding on the Company or its Subsidiaries, or, to the Company’s knowledge, any of its officers, directors or employees or otherwise in violation of the rights of any persons. No third party has been granted by the Company or its Subsidiaries rights to the Intellectual Property of the Company or its Subsidiaries, including any rights that, if exercised, could enable such party to develop products competitive to those of the Company as described in the Registration Statement and the Prospectus. All Intellectual Property owned or exclusively licensed by the Company or its Subsidiaries are free and clear of all liens, encumbrances, defects or other restrictions (other than non-exclusive licenses granted in the ordinary course of business), except those that could not reasonably be expected, individually or in the aggregate, to have a Material Adverse Effect. The Company and its Subsidiaries are not subject to any judgment, order, writ, injunction or decree of any court or any federal, state, local, foreign or other governmental department, commission, board, bureau, agency or instrumentality, domestic or foreign, or any arbitrator, nor has it entered into or is it a party to any agreement made in settlement of any pending or threatened litigation, which materially restricts or impairs their use of any Intellectual Property.</w:t>
      </w:r>
    </w:p>
    <w:p>
      <w:pPr>
        <w:spacing w:after="0" w:line="191" w:lineRule="exact"/>
        <w:rPr>
          <w:sz w:val="20"/>
          <w:szCs w:val="20"/>
          <w:color w:val="auto"/>
        </w:rPr>
      </w:pPr>
    </w:p>
    <w:p>
      <w:pPr>
        <w:ind w:left="160" w:right="159" w:firstLine="639"/>
        <w:spacing w:after="0" w:line="303" w:lineRule="auto"/>
        <w:tabs>
          <w:tab w:leader="none" w:pos="154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and each of its Subsidiaries (i) are and have at all times been in full compliance with all laws, statutes, rules, regulations or guidance applicable to the Company and its Subsidiaries and the ownership, testing, development, manufacture, packaging, processing, use, distribution, marketing, advertising, labeling, promotion, sale, offer for sale, storage, import, export or disposal of any pharmaceuticals or biohazardous substances, materials or any other products developed, manufactured or distributed by the Company (including, without limitation, from the United States Food and Drug Administration (“</w:t>
      </w:r>
      <w:r>
        <w:rPr>
          <w:rFonts w:ascii="Arial" w:cs="Arial" w:eastAsia="Arial" w:hAnsi="Arial"/>
          <w:sz w:val="16"/>
          <w:szCs w:val="16"/>
          <w:b w:val="1"/>
          <w:bCs w:val="1"/>
          <w:u w:val="single" w:color="auto"/>
          <w:color w:val="auto"/>
        </w:rPr>
        <w:t>FDA</w:t>
      </w:r>
      <w:r>
        <w:rPr>
          <w:rFonts w:ascii="Arial" w:cs="Arial" w:eastAsia="Arial" w:hAnsi="Arial"/>
          <w:sz w:val="16"/>
          <w:szCs w:val="16"/>
          <w:color w:val="auto"/>
        </w:rPr>
        <w:t>”), European Medicines Agency (“</w:t>
      </w:r>
      <w:r>
        <w:rPr>
          <w:rFonts w:ascii="Arial" w:cs="Arial" w:eastAsia="Arial" w:hAnsi="Arial"/>
          <w:sz w:val="16"/>
          <w:szCs w:val="16"/>
          <w:b w:val="1"/>
          <w:bCs w:val="1"/>
          <w:u w:val="single" w:color="auto"/>
          <w:color w:val="auto"/>
        </w:rPr>
        <w:t>EMA</w:t>
      </w:r>
      <w:r>
        <w:rPr>
          <w:rFonts w:ascii="Arial" w:cs="Arial" w:eastAsia="Arial" w:hAnsi="Arial"/>
          <w:sz w:val="16"/>
          <w:szCs w:val="16"/>
          <w:color w:val="auto"/>
        </w:rPr>
        <w:t>”) and any local or other governmental or regulatory authority performing functions similar to those performed by the FDA or EMA) (collectively, “</w:t>
      </w:r>
      <w:r>
        <w:rPr>
          <w:rFonts w:ascii="Arial" w:cs="Arial" w:eastAsia="Arial" w:hAnsi="Arial"/>
          <w:sz w:val="16"/>
          <w:szCs w:val="16"/>
          <w:b w:val="1"/>
          <w:bCs w:val="1"/>
          <w:u w:val="single" w:color="auto"/>
          <w:color w:val="auto"/>
        </w:rPr>
        <w:t>Applicable Laws</w:t>
      </w:r>
      <w:r>
        <w:rPr>
          <w:rFonts w:ascii="Arial" w:cs="Arial" w:eastAsia="Arial" w:hAnsi="Arial"/>
          <w:sz w:val="16"/>
          <w:szCs w:val="16"/>
          <w:color w:val="auto"/>
        </w:rPr>
        <w:t>”), except as could not, individually or in the aggregate, reasonably be expected to result in a Material Adverse Effect, (ii) have not received any notice of adverse finding, warning letter, untitled letter or other correspondence or notice from the FDA or any other federal, state or foreign governmental authority having authority over the Company, any of its Subsidiaries or their activities alleging or asserting noncompliance with any Applicable Laws or any licenses, certificates, approvals, clearances, authorizations, permits and supplements or amendments thereto required by any such Applicable Laws (collectively, the “</w:t>
      </w:r>
      <w:r>
        <w:rPr>
          <w:rFonts w:ascii="Arial" w:cs="Arial" w:eastAsia="Arial" w:hAnsi="Arial"/>
          <w:sz w:val="16"/>
          <w:szCs w:val="16"/>
          <w:b w:val="1"/>
          <w:bCs w:val="1"/>
          <w:u w:val="single" w:color="auto"/>
          <w:color w:val="auto"/>
        </w:rPr>
        <w:t>Governmental Permits</w:t>
      </w:r>
      <w:r>
        <w:rPr>
          <w:rFonts w:ascii="Arial" w:cs="Arial" w:eastAsia="Arial" w:hAnsi="Arial"/>
          <w:sz w:val="16"/>
          <w:szCs w:val="16"/>
          <w:color w:val="auto"/>
        </w:rPr>
        <w:t>”), (iii) have made all filings with, the appropriate local, or other governmental or regulatory agencies or bodies that are necessary for the ownership or lease of their respective properties or the conduct of their respective businesses as described in the Registration Statement and the Prospectus, except where any failures to possess or make the same would not, singularly or in the aggregate, have a Material Adverse Effect, (iv) possess all material Governmental Permits necessary to conduct their respective businesses as described in the Registration Statement and the Prospectus, and such Governmental Permits are valid and in full force and effect and are not in violation of any term of any such Governmental Permits, (v) have filed, obtained, maintained or submitted all material reports, documents, forms, notices, applications,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160" w:right="239"/>
        <w:spacing w:after="0" w:line="269" w:lineRule="auto"/>
        <w:rPr>
          <w:sz w:val="20"/>
          <w:szCs w:val="20"/>
          <w:color w:val="auto"/>
        </w:rPr>
      </w:pPr>
      <w:r>
        <w:rPr>
          <w:rFonts w:ascii="Arial" w:cs="Arial" w:eastAsia="Arial" w:hAnsi="Arial"/>
          <w:sz w:val="18"/>
          <w:szCs w:val="18"/>
          <w:color w:val="auto"/>
        </w:rPr>
        <w:t>records, claims, submissions and supplements or amendments as required by any Applicable Laws or Governmental Permits and that all such reports, documents, forms, notices, applications, records, claims, submissions and supplements or amendments were complete and correct in all material respects on the date filed (or were corrected or supplemented by a subsequent submission), and (vi) are not a party to any corporate integrity agreements, monitoring agreements, consent decrees, settlement orders or similar agreements with or imposed by any governmental authority. All Governmental Permits are valid and in full force and effect, except where the validity or failure to be in full force and effect would not, singularly or in the aggregate, have a Material Adverse Effect. Neither the Company nor any Subsidiary has received notification of any revocation, modification, suspension, termination or invalidation (or proceedings related thereto) of any such Governmental Permit and the Company has no reason to believe that any such Governmental Permit will not be renewed. Neither the Company, any of its Subsidiaries nor, to the Company’s knowledge, any of their respective directors, officers, employees or agents has been convicted of any crime under any Applicable Laws or has been the subject of an FDA debarment proceeding. Neither the Company nor any of its Subsidiaries has been nor is now subject to the FDA’s Application Integrity Policy. To the Company’s knowledge, neither the Company, any of its Subsidiaries nor any of its directors, officers, employees or agents has made, or caused the making of, any false statements on, or material omissions from, any other records or documentation prepared or maintained to comply with the requirements of the FDA or any other governmental authority.</w:t>
      </w:r>
    </w:p>
    <w:p>
      <w:pPr>
        <w:spacing w:after="0" w:line="187" w:lineRule="exact"/>
        <w:rPr>
          <w:sz w:val="20"/>
          <w:szCs w:val="20"/>
          <w:color w:val="auto"/>
        </w:rPr>
      </w:pPr>
    </w:p>
    <w:p>
      <w:pPr>
        <w:ind w:left="160" w:right="199" w:firstLine="639"/>
        <w:spacing w:after="0" w:line="306" w:lineRule="auto"/>
        <w:tabs>
          <w:tab w:leader="none" w:pos="147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There is no legal or governmental proceeding to which the Company or any of its Subsidiaries is a party or of which any property or assets of the Company or any of its Subsidiaries is the subject, including any proceeding before the FDA, the EMA or any foreign, local, national or other governmental agency with jurisdiction over the types of products being developed by the Company that is required to be described in the Registration Statement or the Prospectus and is not described therein, or which, singularly or in the aggregate, if determined adversely to the Company or any of its Subsidiaries, could reasonably be expected to have a Material Adverse Effect; and no such proceedings are threatened or contemplated by governmental or regulatory authorities or threatened by others. The Company and its Subsidiaries (i) have not received notice of any claim, action, suit, proceeding, hearing, enforcement, investigation, arbitration or other action from any governmental authority or third party alleging that any product operation or activity is in violation of any Applicable Laws or Governmental Permits and have no knowledge that any such governmental authority or third party is considering any such claim, litigation, arbitration, action, suit, investigation or proceeding and (ii) have not received notice that any governmental authority has taken, is taking or intends to take action to limit, suspend, modify or revoke any Governmental Permits and the Company has no knowledge that any such governmental authority is considering such action.</w:t>
      </w:r>
    </w:p>
    <w:p>
      <w:pPr>
        <w:spacing w:after="0" w:line="389" w:lineRule="exact"/>
        <w:rPr>
          <w:rFonts w:ascii="Arial" w:cs="Arial" w:eastAsia="Arial" w:hAnsi="Arial"/>
          <w:sz w:val="16"/>
          <w:szCs w:val="16"/>
          <w:color w:val="auto"/>
        </w:rPr>
      </w:pPr>
    </w:p>
    <w:p>
      <w:pPr>
        <w:ind w:left="160" w:right="159" w:firstLine="639"/>
        <w:spacing w:after="0" w:line="269" w:lineRule="auto"/>
        <w:tabs>
          <w:tab w:leader="none" w:pos="14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research, non-clinical pre-clinical studies and clinical studies and tests conducted or being conducted by or on behalf of the Company or any of its Subsidiaries or in which any of their respective product candidates have participated and, to the Company’s knowledge, the preclinical studies and clinical trials directed or sponsored by the Company’s collaborators (collectively, the “</w:t>
      </w:r>
      <w:r>
        <w:rPr>
          <w:rFonts w:ascii="Arial" w:cs="Arial" w:eastAsia="Arial" w:hAnsi="Arial"/>
          <w:sz w:val="18"/>
          <w:szCs w:val="18"/>
          <w:b w:val="1"/>
          <w:bCs w:val="1"/>
          <w:u w:val="single" w:color="auto"/>
          <w:color w:val="auto"/>
        </w:rPr>
        <w:t>Studies</w:t>
      </w:r>
      <w:r>
        <w:rPr>
          <w:rFonts w:ascii="Arial" w:cs="Arial" w:eastAsia="Arial" w:hAnsi="Arial"/>
          <w:sz w:val="18"/>
          <w:szCs w:val="18"/>
          <w:color w:val="auto"/>
        </w:rPr>
        <w:t>”) that are described in, or the results of which are referred to in, the Registration Statement and the Prospectus were and, if still pending, are being conducted with reasonable care and in all material respects in accordance with the protocols, procedures and controls pursuant to all Applicable Laws and Governmental Permits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research, non-clinical studies or tests the results of which are inconsistent with, or otherwise call into question, the results described or referred to in the Registration Statement and the Prospectus; the Company and its Subsidiaries have made all such filings and obtained all such approvals as may be required by the EMA, the FDA or any committee thereof or from any other United States or foreign government agency with jurisdiction over the types of products being developed by the Company; neither</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ind w:left="160" w:right="179"/>
        <w:spacing w:after="0" w:line="243" w:lineRule="auto"/>
        <w:rPr>
          <w:sz w:val="20"/>
          <w:szCs w:val="20"/>
          <w:color w:val="auto"/>
        </w:rPr>
      </w:pPr>
      <w:r>
        <w:rPr>
          <w:rFonts w:ascii="Arial" w:cs="Arial" w:eastAsia="Arial" w:hAnsi="Arial"/>
          <w:sz w:val="20"/>
          <w:szCs w:val="20"/>
          <w:color w:val="auto"/>
        </w:rPr>
        <w:t>the Company nor any of its Subsidiaries has received any notice of, or correspondence from, any governmental authority requiring the termination, suspension or modification of any Study; and the Company and its Subsidiaries have each operated and currently are in compliance in all material respects with all applicable rules, regulations and policies of all governmental authorities. There have been no material serious adverse events resulting from any Study. To the Company’s knowledge, the manufacturing facilities and operations of its suppliers are operated in compliance in all material respects with all Applicable Laws and Governmental Permits.</w:t>
      </w:r>
    </w:p>
    <w:p>
      <w:pPr>
        <w:spacing w:after="0" w:line="208" w:lineRule="exact"/>
        <w:rPr>
          <w:sz w:val="20"/>
          <w:szCs w:val="20"/>
          <w:color w:val="auto"/>
        </w:rPr>
      </w:pPr>
    </w:p>
    <w:p>
      <w:pPr>
        <w:ind w:left="160" w:right="279" w:firstLine="639"/>
        <w:spacing w:after="0" w:line="274" w:lineRule="auto"/>
        <w:tabs>
          <w:tab w:leader="none" w:pos="14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Company acknowledges and agrees that the Agent has informed the Company that the Agent may, to the extent permitted under the Securities Act and the Exchange Act, purchase and sell Shares for its own account while this Agreement is in effect; </w:t>
      </w:r>
      <w:r>
        <w:rPr>
          <w:rFonts w:ascii="Arial" w:cs="Arial" w:eastAsia="Arial" w:hAnsi="Arial"/>
          <w:sz w:val="18"/>
          <w:szCs w:val="18"/>
          <w:i w:val="1"/>
          <w:iCs w:val="1"/>
          <w:color w:val="auto"/>
        </w:rPr>
        <w:t>provided</w:t>
      </w:r>
      <w:r>
        <w:rPr>
          <w:rFonts w:ascii="Arial" w:cs="Arial" w:eastAsia="Arial" w:hAnsi="Arial"/>
          <w:sz w:val="18"/>
          <w:szCs w:val="18"/>
          <w:color w:val="auto"/>
        </w:rPr>
        <w:t>,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182" w:lineRule="exact"/>
        <w:rPr>
          <w:rFonts w:ascii="Arial" w:cs="Arial" w:eastAsia="Arial" w:hAnsi="Arial"/>
          <w:sz w:val="18"/>
          <w:szCs w:val="18"/>
          <w:color w:val="auto"/>
        </w:rPr>
      </w:pPr>
    </w:p>
    <w:p>
      <w:pPr>
        <w:ind w:left="160" w:right="219" w:firstLine="639"/>
        <w:spacing w:after="0" w:line="260" w:lineRule="auto"/>
        <w:tabs>
          <w:tab w:leader="none" w:pos="1543"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Company is not a party to any agreement with an agent or underwriter for any other “at the market” or continuous equity transaction, other than the Prior Sales Agreement.</w:t>
      </w:r>
    </w:p>
    <w:p>
      <w:pPr>
        <w:spacing w:after="0" w:line="190" w:lineRule="exact"/>
        <w:rPr>
          <w:rFonts w:ascii="Arial" w:cs="Arial" w:eastAsia="Arial" w:hAnsi="Arial"/>
          <w:sz w:val="20"/>
          <w:szCs w:val="20"/>
          <w:color w:val="auto"/>
        </w:rPr>
      </w:pPr>
    </w:p>
    <w:p>
      <w:pPr>
        <w:ind w:left="160" w:right="139" w:firstLine="639"/>
        <w:spacing w:after="0" w:line="255" w:lineRule="auto"/>
        <w:tabs>
          <w:tab w:leader="none" w:pos="1543"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98" w:lineRule="exact"/>
        <w:rPr>
          <w:rFonts w:ascii="Arial" w:cs="Arial" w:eastAsia="Arial" w:hAnsi="Arial"/>
          <w:sz w:val="19"/>
          <w:szCs w:val="19"/>
          <w:color w:val="auto"/>
        </w:rPr>
      </w:pPr>
    </w:p>
    <w:p>
      <w:pPr>
        <w:ind w:left="160" w:right="159" w:firstLine="639"/>
        <w:spacing w:after="0" w:line="256" w:lineRule="auto"/>
        <w:tabs>
          <w:tab w:leader="none" w:pos="1753" w:val="left"/>
        </w:tabs>
        <w:numPr>
          <w:ilvl w:val="0"/>
          <w:numId w:val="29"/>
        </w:numPr>
        <w:rPr>
          <w:rFonts w:ascii="Arial" w:cs="Arial" w:eastAsia="Arial" w:hAnsi="Arial"/>
          <w:sz w:val="19"/>
          <w:szCs w:val="19"/>
          <w:color w:val="auto"/>
        </w:rPr>
      </w:pPr>
      <w:r>
        <w:rPr>
          <w:rFonts w:ascii="Arial" w:cs="Arial" w:eastAsia="Arial" w:hAnsi="Arial"/>
          <w:sz w:val="19"/>
          <w:szCs w:val="19"/>
          <w:color w:val="auto"/>
        </w:rPr>
        <w:t>As of the close of trading on Nasdaq on at least one date within the 60 calendar day period ending March 15, 2019,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Arial" w:cs="Arial" w:eastAsia="Arial" w:hAnsi="Arial"/>
          <w:sz w:val="19"/>
          <w:szCs w:val="19"/>
          <w:b w:val="1"/>
          <w:bCs w:val="1"/>
          <w:u w:val="single" w:color="auto"/>
          <w:color w:val="auto"/>
        </w:rPr>
        <w:t>Non-Affiliate Shares</w:t>
      </w:r>
      <w:r>
        <w:rPr>
          <w:rFonts w:ascii="Arial" w:cs="Arial" w:eastAsia="Arial" w:hAnsi="Arial"/>
          <w:sz w:val="19"/>
          <w:szCs w:val="19"/>
          <w:color w:val="auto"/>
        </w:rPr>
        <w:t>”), was equal to or greater than $75.0 million (calculated by multiplying (x) the price at</w:t>
      </w:r>
      <w:r>
        <w:rPr>
          <w:rFonts w:ascii="Arial" w:cs="Arial" w:eastAsia="Arial" w:hAnsi="Arial"/>
          <w:sz w:val="19"/>
          <w:szCs w:val="19"/>
          <w:b w:val="1"/>
          <w:bCs w:val="1"/>
          <w:color w:val="auto"/>
        </w:rPr>
        <w:t xml:space="preserve"> </w:t>
      </w:r>
      <w:r>
        <w:rPr>
          <w:rFonts w:ascii="Arial" w:cs="Arial" w:eastAsia="Arial" w:hAnsi="Arial"/>
          <w:sz w:val="19"/>
          <w:szCs w:val="19"/>
          <w:color w:val="auto"/>
        </w:rPr>
        <w:t>which the common equity of the Company was last sold on Nasdaq on such date by (y) the number of Non-Affiliate Shares outstanding on such date). The Company is not a shell company (as defined in Rule 405) and has not been a shell company for at least 12 calendar months previously.</w:t>
      </w:r>
    </w:p>
    <w:p>
      <w:pPr>
        <w:spacing w:after="0" w:line="198" w:lineRule="exact"/>
        <w:rPr>
          <w:rFonts w:ascii="Arial" w:cs="Arial" w:eastAsia="Arial" w:hAnsi="Arial"/>
          <w:sz w:val="19"/>
          <w:szCs w:val="19"/>
          <w:color w:val="auto"/>
        </w:rPr>
      </w:pPr>
    </w:p>
    <w:p>
      <w:pPr>
        <w:ind w:left="160" w:right="339" w:firstLine="639"/>
        <w:spacing w:after="0" w:line="246" w:lineRule="auto"/>
        <w:tabs>
          <w:tab w:leader="none" w:pos="1543" w:val="left"/>
        </w:tabs>
        <w:numPr>
          <w:ilvl w:val="0"/>
          <w:numId w:val="29"/>
        </w:numPr>
        <w:rPr>
          <w:rFonts w:ascii="Arial" w:cs="Arial" w:eastAsia="Arial" w:hAnsi="Arial"/>
          <w:sz w:val="20"/>
          <w:szCs w:val="20"/>
          <w:color w:val="auto"/>
        </w:rPr>
      </w:pPr>
      <w:r>
        <w:rPr>
          <w:rFonts w:ascii="Arial" w:cs="Arial" w:eastAsia="Arial" w:hAnsi="Arial"/>
          <w:sz w:val="20"/>
          <w:szCs w:val="20"/>
          <w:color w:val="auto"/>
        </w:rPr>
        <w:t>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205" w:lineRule="exact"/>
        <w:rPr>
          <w:rFonts w:ascii="Arial" w:cs="Arial" w:eastAsia="Arial" w:hAnsi="Arial"/>
          <w:sz w:val="20"/>
          <w:szCs w:val="20"/>
          <w:color w:val="auto"/>
        </w:rPr>
      </w:pPr>
    </w:p>
    <w:p>
      <w:pPr>
        <w:ind w:left="160" w:right="539" w:firstLine="639"/>
        <w:spacing w:after="0" w:line="291" w:lineRule="auto"/>
        <w:tabs>
          <w:tab w:leader="none" w:pos="15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the independent directors (or independent director nominees, once appointed, if applicable) named in the Registration Statement and Prospectus satisfies the independence standards established by Nasdaq and, with respect to members of the Company’s audit committee, the enhanced</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160" w:right="259"/>
        <w:spacing w:after="0" w:line="262" w:lineRule="auto"/>
        <w:rPr>
          <w:sz w:val="20"/>
          <w:szCs w:val="20"/>
          <w:color w:val="auto"/>
        </w:rPr>
      </w:pPr>
      <w:r>
        <w:rPr>
          <w:rFonts w:ascii="Arial" w:cs="Arial" w:eastAsia="Arial" w:hAnsi="Arial"/>
          <w:sz w:val="20"/>
          <w:szCs w:val="20"/>
          <w:color w:val="auto"/>
        </w:rPr>
        <w:t>independence standards contained in Rule 10A-3(b)(1) promulgated by the Commission under the Exchange Act.</w:t>
      </w:r>
    </w:p>
    <w:p>
      <w:pPr>
        <w:spacing w:after="0" w:line="188" w:lineRule="exact"/>
        <w:rPr>
          <w:sz w:val="20"/>
          <w:szCs w:val="20"/>
          <w:color w:val="auto"/>
        </w:rPr>
      </w:pPr>
    </w:p>
    <w:p>
      <w:pPr>
        <w:jc w:val="both"/>
        <w:ind w:left="160" w:right="139" w:firstLine="639"/>
        <w:spacing w:after="0" w:line="246" w:lineRule="auto"/>
        <w:tabs>
          <w:tab w:leader="none" w:pos="15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Neither the Company nor, to the Company’s knowledge, any of its affiliates (within the meaning of Rule 144 under the Securities Act) has, prior to the date hereof, made any offer or sale of any securities which could be “integrated” (within the meaning of the Securities Act) with the offer and sale of the Placement Shares hereunder.</w:t>
      </w:r>
    </w:p>
    <w:p>
      <w:pPr>
        <w:spacing w:after="0" w:line="205" w:lineRule="exact"/>
        <w:rPr>
          <w:sz w:val="20"/>
          <w:szCs w:val="20"/>
          <w:color w:val="auto"/>
        </w:rPr>
      </w:pPr>
    </w:p>
    <w:p>
      <w:pPr>
        <w:ind w:left="160" w:right="779" w:firstLine="639"/>
        <w:spacing w:after="0" w:line="282" w:lineRule="auto"/>
        <w:tabs>
          <w:tab w:leader="none" w:pos="15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(i) failed to pay any dividend or sinking fund installment on preferred stock or (ii) defaulted on any installment or payment due on indebtedness for borrowed money or on any rental on one or more long-term leases, which defaults, individually or in the aggregate, could reasonably be expected to result in a Material Adverse Effect.</w:t>
      </w:r>
    </w:p>
    <w:p>
      <w:pPr>
        <w:spacing w:after="0" w:line="175" w:lineRule="exact"/>
        <w:rPr>
          <w:rFonts w:ascii="Arial" w:cs="Arial" w:eastAsia="Arial" w:hAnsi="Arial"/>
          <w:sz w:val="18"/>
          <w:szCs w:val="18"/>
          <w:color w:val="auto"/>
        </w:rPr>
      </w:pPr>
    </w:p>
    <w:p>
      <w:pPr>
        <w:ind w:left="160" w:right="199" w:firstLine="639"/>
        <w:spacing w:after="0" w:line="242" w:lineRule="auto"/>
        <w:tabs>
          <w:tab w:leader="none" w:pos="1588" w:val="left"/>
        </w:tabs>
        <w:numPr>
          <w:ilvl w:val="0"/>
          <w:numId w:val="31"/>
        </w:numPr>
        <w:rPr>
          <w:rFonts w:ascii="Arial" w:cs="Arial" w:eastAsia="Arial" w:hAnsi="Arial"/>
          <w:sz w:val="20"/>
          <w:szCs w:val="20"/>
          <w:color w:val="auto"/>
        </w:rPr>
      </w:pPr>
      <w:r>
        <w:rPr>
          <w:rFonts w:ascii="Arial" w:cs="Arial" w:eastAsia="Arial" w:hAnsi="Arial"/>
          <w:sz w:val="20"/>
          <w:szCs w:val="20"/>
          <w:color w:val="auto"/>
        </w:rPr>
        <w:t>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211" w:lineRule="exact"/>
        <w:rPr>
          <w:rFonts w:ascii="Arial" w:cs="Arial" w:eastAsia="Arial" w:hAnsi="Arial"/>
          <w:sz w:val="20"/>
          <w:szCs w:val="20"/>
          <w:color w:val="auto"/>
        </w:rPr>
      </w:pPr>
    </w:p>
    <w:p>
      <w:pPr>
        <w:ind w:left="160" w:right="179" w:firstLine="639"/>
        <w:spacing w:after="0" w:line="274" w:lineRule="auto"/>
        <w:tabs>
          <w:tab w:leader="none" w:pos="15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182" w:lineRule="exact"/>
        <w:rPr>
          <w:rFonts w:ascii="Arial" w:cs="Arial" w:eastAsia="Arial" w:hAnsi="Arial"/>
          <w:sz w:val="18"/>
          <w:szCs w:val="18"/>
          <w:color w:val="auto"/>
        </w:rPr>
      </w:pPr>
    </w:p>
    <w:p>
      <w:pPr>
        <w:ind w:left="1580" w:hanging="781"/>
        <w:spacing w:after="0"/>
        <w:tabs>
          <w:tab w:leader="none" w:pos="15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Company is not in or subject to a bankruptcy or insolvency proceeding in any</w:t>
      </w:r>
    </w:p>
    <w:p>
      <w:pPr>
        <w:spacing w:after="0" w:line="15" w:lineRule="exact"/>
        <w:rPr>
          <w:rFonts w:ascii="Arial" w:cs="Arial" w:eastAsia="Arial" w:hAnsi="Arial"/>
          <w:sz w:val="20"/>
          <w:szCs w:val="20"/>
          <w:color w:val="auto"/>
        </w:rPr>
      </w:pPr>
    </w:p>
    <w:p>
      <w:pPr>
        <w:ind w:left="160"/>
        <w:spacing w:after="0"/>
        <w:rPr>
          <w:rFonts w:ascii="Arial" w:cs="Arial" w:eastAsia="Arial" w:hAnsi="Arial"/>
          <w:sz w:val="20"/>
          <w:szCs w:val="20"/>
          <w:color w:val="auto"/>
        </w:rPr>
      </w:pPr>
      <w:r>
        <w:rPr>
          <w:rFonts w:ascii="Arial" w:cs="Arial" w:eastAsia="Arial" w:hAnsi="Arial"/>
          <w:sz w:val="20"/>
          <w:szCs w:val="20"/>
          <w:color w:val="auto"/>
        </w:rPr>
        <w:t>jurisdiction.</w:t>
      </w:r>
    </w:p>
    <w:p>
      <w:pPr>
        <w:spacing w:after="0" w:line="213" w:lineRule="exact"/>
        <w:rPr>
          <w:rFonts w:ascii="Arial" w:cs="Arial" w:eastAsia="Arial" w:hAnsi="Arial"/>
          <w:sz w:val="20"/>
          <w:szCs w:val="20"/>
          <w:color w:val="auto"/>
        </w:rPr>
      </w:pPr>
    </w:p>
    <w:p>
      <w:pPr>
        <w:ind w:left="160" w:right="179" w:firstLine="639"/>
        <w:spacing w:after="0" w:line="255" w:lineRule="auto"/>
        <w:tabs>
          <w:tab w:leader="none" w:pos="1555"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Company and its Subsidiaries (i) are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the workplace (“</w:t>
      </w:r>
      <w:r>
        <w:rPr>
          <w:rFonts w:ascii="Arial" w:cs="Arial" w:eastAsia="Arial" w:hAnsi="Arial"/>
          <w:sz w:val="19"/>
          <w:szCs w:val="19"/>
          <w:b w:val="1"/>
          <w:bCs w:val="1"/>
          <w:u w:val="single" w:color="auto"/>
          <w:color w:val="auto"/>
        </w:rPr>
        <w:t>Occupational Laws</w:t>
      </w:r>
      <w:r>
        <w:rPr>
          <w:rFonts w:ascii="Arial" w:cs="Arial" w:eastAsia="Arial" w:hAnsi="Arial"/>
          <w:sz w:val="19"/>
          <w:szCs w:val="19"/>
          <w:color w:val="auto"/>
        </w:rPr>
        <w:t>”); (ii) have received all material permits, licenses or other approvals required of it under applicable Occupational Laws to conduct their respective businesses as currently conducted; and (iii) are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198" w:lineRule="exact"/>
        <w:rPr>
          <w:rFonts w:ascii="Arial" w:cs="Arial" w:eastAsia="Arial" w:hAnsi="Arial"/>
          <w:sz w:val="19"/>
          <w:szCs w:val="19"/>
          <w:color w:val="auto"/>
        </w:rPr>
      </w:pPr>
    </w:p>
    <w:p>
      <w:pPr>
        <w:ind w:left="160" w:right="299" w:firstLine="639"/>
        <w:spacing w:after="0" w:line="246" w:lineRule="auto"/>
        <w:tabs>
          <w:tab w:leader="none" w:pos="1482" w:val="left"/>
        </w:tabs>
        <w:numPr>
          <w:ilvl w:val="0"/>
          <w:numId w:val="31"/>
        </w:numPr>
        <w:rPr>
          <w:rFonts w:ascii="Arial" w:cs="Arial" w:eastAsia="Arial" w:hAnsi="Arial"/>
          <w:sz w:val="20"/>
          <w:szCs w:val="20"/>
          <w:color w:val="auto"/>
        </w:rPr>
      </w:pPr>
      <w:r>
        <w:rPr>
          <w:rFonts w:ascii="Arial" w:cs="Arial" w:eastAsia="Arial" w:hAnsi="Arial"/>
          <w:sz w:val="20"/>
          <w:szCs w:val="20"/>
          <w:color w:val="auto"/>
        </w:rPr>
        <w:t>No director or officer of the Company or any of its Subsidiaries is subject to any non-competition agreement or non-solicitation agreement with any employer or prior employer which could materially affect each director’s or officer’s ability to be and act in the capacity of a director or officer of the Company or a Subsidiary.</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160" w:right="159" w:firstLine="639"/>
        <w:spacing w:after="0" w:line="268" w:lineRule="auto"/>
        <w:tabs>
          <w:tab w:leader="none" w:pos="15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has duly and properly filed or caused to be filed with the U.S. Patent and Trademark Office (the “</w:t>
      </w:r>
      <w:r>
        <w:rPr>
          <w:rFonts w:ascii="Arial" w:cs="Arial" w:eastAsia="Arial" w:hAnsi="Arial"/>
          <w:sz w:val="18"/>
          <w:szCs w:val="18"/>
          <w:b w:val="1"/>
          <w:bCs w:val="1"/>
          <w:u w:val="single" w:color="auto"/>
          <w:color w:val="auto"/>
        </w:rPr>
        <w:t>PTO</w:t>
      </w:r>
      <w:r>
        <w:rPr>
          <w:rFonts w:ascii="Arial" w:cs="Arial" w:eastAsia="Arial" w:hAnsi="Arial"/>
          <w:sz w:val="18"/>
          <w:szCs w:val="18"/>
          <w:color w:val="auto"/>
        </w:rPr>
        <w:t>”) and applicable foreign and international patent and trademark authorities all patents, trademarks, copyrights and applications relating to the same owned by the Company and its Subsidiaries (the “</w:t>
      </w:r>
      <w:r>
        <w:rPr>
          <w:rFonts w:ascii="Arial" w:cs="Arial" w:eastAsia="Arial" w:hAnsi="Arial"/>
          <w:sz w:val="18"/>
          <w:szCs w:val="18"/>
          <w:b w:val="1"/>
          <w:bCs w:val="1"/>
          <w:u w:val="single" w:color="auto"/>
          <w:color w:val="auto"/>
        </w:rPr>
        <w:t>Company Patent and Trademark Applications</w:t>
      </w:r>
      <w:r>
        <w:rPr>
          <w:rFonts w:ascii="Arial" w:cs="Arial" w:eastAsia="Arial" w:hAnsi="Arial"/>
          <w:sz w:val="18"/>
          <w:szCs w:val="18"/>
          <w:color w:val="auto"/>
        </w:rPr>
        <w:t>”). To the knowledge of the Company, the Company has complied with the PTO’s duty of candor and disclosure for the Company Patent and Trademark Applications and has made no material misrepresentation in the Company Patent and Trademark Applications. To the Company’s knowledge, the Company Patent and Trademark Applications disclose patentable subject matter. The Company has not been notified of any inventorship challenges nor has any interference been declared or provoked nor is any material fact known by the Company that would preclude the issuance of patents with respect to the Company Patent and Trademark Applications or would render such patents, if issued, invalid or unenforceable. Except as would not have a Material Adverse Effect, neither the Company nor any of its Subsidiaries has breached and is currently in breach of any provision of any license, contract or other agreement governing the use by the Company or its Subsidiaries of Intellectual Property owned by third parties (collectively, the “</w:t>
      </w:r>
      <w:r>
        <w:rPr>
          <w:rFonts w:ascii="Arial" w:cs="Arial" w:eastAsia="Arial" w:hAnsi="Arial"/>
          <w:sz w:val="18"/>
          <w:szCs w:val="18"/>
          <w:b w:val="1"/>
          <w:bCs w:val="1"/>
          <w:u w:val="single" w:color="auto"/>
          <w:color w:val="auto"/>
        </w:rPr>
        <w:t>Licenses</w:t>
      </w:r>
      <w:r>
        <w:rPr>
          <w:rFonts w:ascii="Arial" w:cs="Arial" w:eastAsia="Arial" w:hAnsi="Arial"/>
          <w:sz w:val="18"/>
          <w:szCs w:val="18"/>
          <w:color w:val="auto"/>
        </w:rPr>
        <w:t>”) and no third party has alleged any such breach and the Company is unaware of any facts that would form a reasonable basis for such a claim. To the Company’s knowledge, no other party to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breach or default under any such Licenses or any event that, with the giving of notice or lapse of time, would constitute a breach or default thereunder. Except as would not have a Material Adverse Effect, neither the Company nor any of its Subsidiaries has been and is currently involved in any disputes regarding the Licenses. To the Company’s knowledge, all patents licensed to the Company pursuant to the Licenses are valid, enforceable and being duly maintained. To the Company’s knowledge, all patent applications licensed to the Company pursuant to the Licenses are being duly prosecuted.</w:t>
      </w:r>
    </w:p>
    <w:p>
      <w:pPr>
        <w:spacing w:after="0" w:line="192" w:lineRule="exact"/>
        <w:rPr>
          <w:rFonts w:ascii="Arial" w:cs="Arial" w:eastAsia="Arial" w:hAnsi="Arial"/>
          <w:sz w:val="18"/>
          <w:szCs w:val="18"/>
          <w:color w:val="auto"/>
        </w:rPr>
      </w:pPr>
    </w:p>
    <w:p>
      <w:pPr>
        <w:ind w:left="160" w:right="219" w:firstLine="639"/>
        <w:spacing w:after="0" w:line="257" w:lineRule="auto"/>
        <w:tabs>
          <w:tab w:leader="none" w:pos="1588"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At the original effectiveness of the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Securities Act) made any offer relating to the Placement Shares in reliance on the exemption of Rule 163 under the Securities Act, and (D) as of the Applicable Time, the Company was and is a “well-known seasoned issuer” (as defined in Rule 405 under the Securities Act).</w:t>
      </w:r>
    </w:p>
    <w:p>
      <w:pPr>
        <w:spacing w:after="0" w:line="195" w:lineRule="exact"/>
        <w:rPr>
          <w:sz w:val="20"/>
          <w:szCs w:val="20"/>
          <w:color w:val="auto"/>
        </w:rPr>
      </w:pPr>
    </w:p>
    <w:p>
      <w:pPr>
        <w:ind w:left="160" w:right="399" w:firstLine="648"/>
        <w:spacing w:after="0" w:line="250" w:lineRule="auto"/>
        <w:rPr>
          <w:sz w:val="20"/>
          <w:szCs w:val="20"/>
          <w:color w:val="auto"/>
        </w:rPr>
      </w:pPr>
      <w:r>
        <w:rPr>
          <w:rFonts w:ascii="Arial" w:cs="Arial" w:eastAsia="Arial" w:hAnsi="Arial"/>
          <w:sz w:val="20"/>
          <w:szCs w:val="20"/>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200" w:lineRule="exact"/>
        <w:rPr>
          <w:sz w:val="20"/>
          <w:szCs w:val="20"/>
          <w:color w:val="auto"/>
        </w:rPr>
      </w:pPr>
    </w:p>
    <w:p>
      <w:pPr>
        <w:ind w:left="1480" w:hanging="681"/>
        <w:spacing w:after="0"/>
        <w:tabs>
          <w:tab w:leader="none" w:pos="148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Covenants of the Company</w:t>
      </w:r>
      <w:r>
        <w:rPr>
          <w:rFonts w:ascii="Arial" w:cs="Arial" w:eastAsia="Arial" w:hAnsi="Arial"/>
          <w:sz w:val="19"/>
          <w:szCs w:val="19"/>
          <w:color w:val="auto"/>
        </w:rPr>
        <w:t>. The Company covenants and agrees with the Agent that:</w:t>
      </w:r>
    </w:p>
    <w:p>
      <w:pPr>
        <w:spacing w:after="0" w:line="241" w:lineRule="exact"/>
        <w:rPr>
          <w:sz w:val="20"/>
          <w:szCs w:val="20"/>
          <w:color w:val="auto"/>
        </w:rPr>
      </w:pPr>
    </w:p>
    <w:p>
      <w:pPr>
        <w:ind w:left="160" w:right="179" w:firstLine="639"/>
        <w:spacing w:after="0" w:line="272" w:lineRule="auto"/>
        <w:tabs>
          <w:tab w:leader="none" w:pos="148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Registration Statement Amendments</w:t>
      </w:r>
      <w:r>
        <w:rPr>
          <w:rFonts w:ascii="Arial" w:cs="Arial" w:eastAsia="Arial" w:hAnsi="Arial"/>
          <w:sz w:val="18"/>
          <w:szCs w:val="18"/>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24" w:name="page25"/>
    <w:bookmarkEnd w:id="24"/>
    <w:p>
      <w:pPr>
        <w:ind w:left="160" w:right="159"/>
        <w:spacing w:after="0" w:line="268" w:lineRule="auto"/>
        <w:rPr>
          <w:sz w:val="20"/>
          <w:szCs w:val="20"/>
          <w:color w:val="auto"/>
        </w:rPr>
      </w:pPr>
      <w:r>
        <w:rPr>
          <w:rFonts w:ascii="Arial" w:cs="Arial" w:eastAsia="Arial" w:hAnsi="Arial"/>
          <w:sz w:val="18"/>
          <w:szCs w:val="18"/>
          <w:color w:val="auto"/>
        </w:rPr>
        <w:t>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197" w:lineRule="exact"/>
        <w:rPr>
          <w:sz w:val="20"/>
          <w:szCs w:val="20"/>
          <w:color w:val="auto"/>
        </w:rPr>
      </w:pPr>
    </w:p>
    <w:p>
      <w:pPr>
        <w:ind w:left="160" w:right="239" w:firstLine="639"/>
        <w:spacing w:after="0" w:line="256" w:lineRule="auto"/>
        <w:tabs>
          <w:tab w:leader="none" w:pos="1498"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Notice of Commission Stop Orders</w:t>
      </w:r>
      <w:r>
        <w:rPr>
          <w:rFonts w:ascii="Arial" w:cs="Arial" w:eastAsia="Arial" w:hAnsi="Arial"/>
          <w:sz w:val="19"/>
          <w:szCs w:val="19"/>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94" w:lineRule="exact"/>
        <w:rPr>
          <w:rFonts w:ascii="Arial" w:cs="Arial" w:eastAsia="Arial" w:hAnsi="Arial"/>
          <w:sz w:val="19"/>
          <w:szCs w:val="19"/>
          <w:color w:val="auto"/>
        </w:rPr>
      </w:pPr>
    </w:p>
    <w:p>
      <w:pPr>
        <w:ind w:left="160" w:right="159" w:firstLine="639"/>
        <w:spacing w:after="0" w:line="269" w:lineRule="auto"/>
        <w:tabs>
          <w:tab w:leader="none" w:pos="148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Delivery of Prospectus; Subsequent Changes</w:t>
      </w:r>
      <w:r>
        <w:rPr>
          <w:rFonts w:ascii="Arial" w:cs="Arial" w:eastAsia="Arial" w:hAnsi="Arial"/>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jc w:val="both"/>
        <w:ind w:left="160" w:right="379"/>
        <w:spacing w:after="0" w:line="270" w:lineRule="auto"/>
        <w:rPr>
          <w:sz w:val="20"/>
          <w:szCs w:val="20"/>
          <w:color w:val="auto"/>
        </w:rPr>
      </w:pPr>
      <w:r>
        <w:rPr>
          <w:rFonts w:ascii="Arial" w:cs="Arial" w:eastAsia="Arial" w:hAnsi="Arial"/>
          <w:sz w:val="19"/>
          <w:szCs w:val="19"/>
          <w:color w:val="auto"/>
        </w:rPr>
        <w:t>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w:t>
      </w:r>
    </w:p>
    <w:p>
      <w:pPr>
        <w:spacing w:after="0" w:line="182" w:lineRule="exact"/>
        <w:rPr>
          <w:sz w:val="20"/>
          <w:szCs w:val="20"/>
          <w:color w:val="auto"/>
        </w:rPr>
      </w:pPr>
    </w:p>
    <w:p>
      <w:pPr>
        <w:ind w:left="160" w:right="179" w:firstLine="639"/>
        <w:spacing w:after="0" w:line="243" w:lineRule="auto"/>
        <w:tabs>
          <w:tab w:leader="none" w:pos="1498"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Listing of Placement Shares</w:t>
      </w:r>
      <w:r>
        <w:rPr>
          <w:rFonts w:ascii="Arial" w:cs="Arial" w:eastAsia="Arial" w:hAnsi="Arial"/>
          <w:sz w:val="20"/>
          <w:szCs w:val="20"/>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spacing w:after="0" w:line="206" w:lineRule="exact"/>
        <w:rPr>
          <w:rFonts w:ascii="Arial" w:cs="Arial" w:eastAsia="Arial" w:hAnsi="Arial"/>
          <w:sz w:val="20"/>
          <w:szCs w:val="20"/>
          <w:color w:val="auto"/>
        </w:rPr>
      </w:pPr>
    </w:p>
    <w:p>
      <w:pPr>
        <w:ind w:left="160" w:right="159" w:firstLine="639"/>
        <w:spacing w:after="0" w:line="271" w:lineRule="auto"/>
        <w:tabs>
          <w:tab w:leader="none" w:pos="148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Delivery of Registration Statement and Prospectus</w:t>
      </w:r>
      <w:r>
        <w:rPr>
          <w:rFonts w:ascii="Arial" w:cs="Arial" w:eastAsia="Arial" w:hAnsi="Arial"/>
          <w:sz w:val="18"/>
          <w:szCs w:val="18"/>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shall not be required to furnish any document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to the Agent to the extent such document is available on EDGAR.</w:t>
      </w:r>
    </w:p>
    <w:p>
      <w:pPr>
        <w:spacing w:after="0" w:line="188" w:lineRule="exact"/>
        <w:rPr>
          <w:rFonts w:ascii="Arial" w:cs="Arial" w:eastAsia="Arial" w:hAnsi="Arial"/>
          <w:sz w:val="18"/>
          <w:szCs w:val="18"/>
          <w:color w:val="auto"/>
        </w:rPr>
      </w:pPr>
    </w:p>
    <w:p>
      <w:pPr>
        <w:jc w:val="both"/>
        <w:ind w:left="160" w:right="279" w:firstLine="639"/>
        <w:spacing w:after="0" w:line="246" w:lineRule="auto"/>
        <w:tabs>
          <w:tab w:leader="none" w:pos="146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Earnings Statement</w:t>
      </w:r>
      <w:r>
        <w:rPr>
          <w:rFonts w:ascii="Arial" w:cs="Arial" w:eastAsia="Arial" w:hAnsi="Arial"/>
          <w:sz w:val="20"/>
          <w:szCs w:val="20"/>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w:t>
      </w:r>
    </w:p>
    <w:p>
      <w:pPr>
        <w:spacing w:after="0" w:line="205" w:lineRule="exact"/>
        <w:rPr>
          <w:rFonts w:ascii="Arial" w:cs="Arial" w:eastAsia="Arial" w:hAnsi="Arial"/>
          <w:sz w:val="20"/>
          <w:szCs w:val="20"/>
          <w:color w:val="auto"/>
        </w:rPr>
      </w:pPr>
    </w:p>
    <w:p>
      <w:pPr>
        <w:ind w:left="160" w:right="159" w:firstLine="639"/>
        <w:spacing w:after="0" w:line="268" w:lineRule="auto"/>
        <w:tabs>
          <w:tab w:leader="none" w:pos="149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but not limited to,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including the required Commission filing fees relating to the Placement Shares, (ii) the preparation, issuance, sale and delivery of the Placement Shares and any taxes due or payable in connection therewith, (iii) the qualification of the Placement Shares under securities laws in accordance with the provisions of 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Shares, (vii) the fees and associated expenses of the Agent’s outside legal counsel in connection with determining its compliance with the rules and regulations of FINRA, including any filings with FINRA’s Corporate Financing Department, in an amount not to exceed $15,000 (excluding FINRA filing fees referred to in clause (vi) above and in addition to the fees and disbursements referred to in clause (viii) below), and (viii) the reasonable fees and disbursements of the Agent’s outside legal counsel in 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ind w:left="160" w:right="659"/>
        <w:spacing w:after="0" w:line="262" w:lineRule="auto"/>
        <w:rPr>
          <w:sz w:val="20"/>
          <w:szCs w:val="20"/>
          <w:color w:val="auto"/>
        </w:rPr>
      </w:pPr>
      <w:r>
        <w:rPr>
          <w:rFonts w:ascii="Arial" w:cs="Arial" w:eastAsia="Arial" w:hAnsi="Arial"/>
          <w:sz w:val="20"/>
          <w:szCs w:val="20"/>
          <w:color w:val="auto"/>
        </w:rPr>
        <w:t>amount not to exceed $50,000 (in addition to the fees and associated expenses referred to in clause (vii) above).</w:t>
      </w:r>
    </w:p>
    <w:p>
      <w:pPr>
        <w:spacing w:after="0" w:line="188" w:lineRule="exact"/>
        <w:rPr>
          <w:sz w:val="20"/>
          <w:szCs w:val="20"/>
          <w:color w:val="auto"/>
        </w:rPr>
      </w:pPr>
    </w:p>
    <w:p>
      <w:pPr>
        <w:ind w:left="160" w:right="279" w:firstLine="639"/>
        <w:spacing w:after="0" w:line="260" w:lineRule="auto"/>
        <w:tabs>
          <w:tab w:leader="none" w:pos="1498"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Use of Proceeds</w:t>
      </w:r>
      <w:r>
        <w:rPr>
          <w:rFonts w:ascii="Arial" w:cs="Arial" w:eastAsia="Arial" w:hAnsi="Arial"/>
          <w:sz w:val="20"/>
          <w:szCs w:val="20"/>
          <w:color w:val="auto"/>
        </w:rPr>
        <w:t>. The Company will use the Net Proceeds as described in the Prospectus in the section entitled “Use of Proceeds.”</w:t>
      </w:r>
    </w:p>
    <w:p>
      <w:pPr>
        <w:spacing w:after="0" w:line="190" w:lineRule="exact"/>
        <w:rPr>
          <w:rFonts w:ascii="Arial" w:cs="Arial" w:eastAsia="Arial" w:hAnsi="Arial"/>
          <w:sz w:val="20"/>
          <w:szCs w:val="20"/>
          <w:color w:val="auto"/>
        </w:rPr>
      </w:pPr>
    </w:p>
    <w:p>
      <w:pPr>
        <w:ind w:left="160" w:right="139" w:firstLine="639"/>
        <w:spacing w:after="0" w:line="268" w:lineRule="auto"/>
        <w:tabs>
          <w:tab w:leader="none" w:pos="145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Notice of Other Sales</w:t>
      </w:r>
      <w:r>
        <w:rPr>
          <w:rFonts w:ascii="Arial" w:cs="Arial" w:eastAsia="Arial" w:hAnsi="Arial"/>
          <w:sz w:val="18"/>
          <w:szCs w:val="18"/>
          <w:color w:val="auto"/>
        </w:rPr>
        <w:t xml:space="preserve">. Without the prior written consent of the Agent, the Company will not, directly or indirectly, offer to sell, sell, contract to sell, grant any option to sell or otherwise dispose of any Shares (other than the Placement Shares offered pursuant to this Agreement or the Shares offered pursuant to the Prior Sales Agreement) or securities convertible into or exchangeable or exercisable for Shares, warrants or any rights to purchase or acquire Shares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(other than the Placement Shares offered pursuant to this Agreement) or securities convertible into or exchangeable or exercisable for Shares, warrants or any rights to purchase or acquire, Shares prior to the later of the termination of this Agreement and the sixtieth day immediately following the final Settlement Date with respect to Placement Shares sold pursuant to such Placement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restrictions will not be required in connection with the Company’s issuance or sale of (i) Shares, options to purchase Shares, other securities under the Company’s existing equity incentive plans, or Shares issuable upon the exercise of options or vesting of other securities, pursuant to any employee or director stock option or benefits plan, stock ownership plan or dividend reinvestment plan (but not Shares subject to a waiver to exceed plan limits in its dividend reinvestment plan) of the Company whether now in effect or hereafter implemented, (ii) Shares issuable upon conversion of securities or the exercise of warrants, options or other rights in effect or outstanding, and disclosed in filings by the Company available on EDGAR or otherwise in writing to the Agent and (iii) Shares or securities convertible into or exchangeable for Shares as consideration for mergers, acquisitions, other business combinations or strategic alliances occurring after the date of this Agreement which are not issued for capital raising purposes.</w:t>
      </w:r>
    </w:p>
    <w:p>
      <w:pPr>
        <w:spacing w:after="0" w:line="191" w:lineRule="exact"/>
        <w:rPr>
          <w:rFonts w:ascii="Arial" w:cs="Arial" w:eastAsia="Arial" w:hAnsi="Arial"/>
          <w:sz w:val="18"/>
          <w:szCs w:val="18"/>
          <w:color w:val="auto"/>
        </w:rPr>
      </w:pPr>
    </w:p>
    <w:p>
      <w:pPr>
        <w:ind w:left="160" w:right="159" w:firstLine="639"/>
        <w:spacing w:after="0" w:line="244" w:lineRule="auto"/>
        <w:tabs>
          <w:tab w:leader="none" w:pos="1454"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Change of Circumstances</w:t>
      </w:r>
      <w:r>
        <w:rPr>
          <w:rFonts w:ascii="Arial" w:cs="Arial" w:eastAsia="Arial" w:hAnsi="Arial"/>
          <w:sz w:val="20"/>
          <w:szCs w:val="20"/>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208" w:lineRule="exact"/>
        <w:rPr>
          <w:rFonts w:ascii="Arial" w:cs="Arial" w:eastAsia="Arial" w:hAnsi="Arial"/>
          <w:sz w:val="20"/>
          <w:szCs w:val="20"/>
          <w:color w:val="auto"/>
        </w:rPr>
      </w:pPr>
    </w:p>
    <w:p>
      <w:pPr>
        <w:ind w:left="160" w:right="199" w:firstLine="639"/>
        <w:spacing w:after="0" w:line="260" w:lineRule="auto"/>
        <w:tabs>
          <w:tab w:leader="none" w:pos="1498"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Due Diligence Cooperation</w:t>
      </w:r>
      <w:r>
        <w:rPr>
          <w:rFonts w:ascii="Arial" w:cs="Arial" w:eastAsia="Arial" w:hAnsi="Arial"/>
          <w:sz w:val="19"/>
          <w:szCs w:val="19"/>
          <w:color w:val="auto"/>
        </w:rPr>
        <w:t>. During the term of this Agreement, the Company will cooperate with any reasonable due diligence review conducted by the Agent, its affiliates agents and counsel from time to time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94" w:lineRule="exact"/>
        <w:rPr>
          <w:rFonts w:ascii="Arial" w:cs="Arial" w:eastAsia="Arial" w:hAnsi="Arial"/>
          <w:sz w:val="19"/>
          <w:szCs w:val="19"/>
          <w:color w:val="auto"/>
        </w:rPr>
      </w:pPr>
    </w:p>
    <w:p>
      <w:pPr>
        <w:ind w:left="160" w:right="299" w:firstLine="639"/>
        <w:spacing w:after="0" w:line="276" w:lineRule="auto"/>
        <w:tabs>
          <w:tab w:leader="none" w:pos="145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Required Filings Relating to Placement of Placement Shares</w:t>
      </w:r>
      <w:r>
        <w:rPr>
          <w:rFonts w:ascii="Arial" w:cs="Arial" w:eastAsia="Arial" w:hAnsi="Arial"/>
          <w:sz w:val="18"/>
          <w:szCs w:val="18"/>
          <w:color w:val="auto"/>
        </w:rPr>
        <w:t>.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 w:name="page28"/>
    <w:bookmarkEnd w:id="27"/>
    <w:p>
      <w:pPr>
        <w:ind w:left="160" w:right="199"/>
        <w:spacing w:after="0" w:line="258" w:lineRule="auto"/>
        <w:rPr>
          <w:sz w:val="20"/>
          <w:szCs w:val="20"/>
          <w:color w:val="auto"/>
        </w:rPr>
      </w:pPr>
      <w:r>
        <w:rPr>
          <w:rFonts w:ascii="Arial" w:cs="Arial" w:eastAsia="Arial" w:hAnsi="Arial"/>
          <w:sz w:val="19"/>
          <w:szCs w:val="19"/>
          <w:color w:val="auto"/>
        </w:rPr>
        <w:t xml:space="preserve">of copies of each such prospectus supplement to each exchange or market on which such sales were effected as may be required by the rules or regulations of such exchange or market; </w:t>
      </w:r>
      <w:r>
        <w:rPr>
          <w:rFonts w:ascii="Arial" w:cs="Arial" w:eastAsia="Arial" w:hAnsi="Arial"/>
          <w:sz w:val="19"/>
          <w:szCs w:val="19"/>
          <w:i w:val="1"/>
          <w:iCs w:val="1"/>
          <w:color w:val="auto"/>
        </w:rPr>
        <w:t>provided</w:t>
      </w:r>
      <w:r>
        <w:rPr>
          <w:rFonts w:ascii="Arial" w:cs="Arial" w:eastAsia="Arial" w:hAnsi="Arial"/>
          <w:sz w:val="19"/>
          <w:szCs w:val="19"/>
          <w:color w:val="auto"/>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194" w:lineRule="exact"/>
        <w:rPr>
          <w:sz w:val="20"/>
          <w:szCs w:val="20"/>
          <w:color w:val="auto"/>
        </w:rPr>
      </w:pPr>
    </w:p>
    <w:p>
      <w:pPr>
        <w:ind w:left="160" w:right="339" w:firstLine="639"/>
        <w:spacing w:after="0" w:line="250" w:lineRule="auto"/>
        <w:tabs>
          <w:tab w:leader="none" w:pos="1553"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Representation Dates; Certificate</w:t>
      </w:r>
      <w:r>
        <w:rPr>
          <w:rFonts w:ascii="Arial" w:cs="Arial" w:eastAsia="Arial" w:hAnsi="Arial"/>
          <w:sz w:val="20"/>
          <w:szCs w:val="20"/>
          <w:color w:val="auto"/>
        </w:rPr>
        <w:t>. On or prior to the date on which the Company first delivers a Placement Notice pursuant to this agreement (the “</w:t>
      </w:r>
      <w:r>
        <w:rPr>
          <w:rFonts w:ascii="Arial" w:cs="Arial" w:eastAsia="Arial" w:hAnsi="Arial"/>
          <w:sz w:val="20"/>
          <w:szCs w:val="20"/>
          <w:b w:val="1"/>
          <w:bCs w:val="1"/>
          <w:u w:val="single" w:color="auto"/>
          <w:color w:val="auto"/>
        </w:rPr>
        <w:t>First Placement Notice Date</w:t>
      </w:r>
      <w:r>
        <w:rPr>
          <w:rFonts w:ascii="Arial" w:cs="Arial" w:eastAsia="Arial" w:hAnsi="Arial"/>
          <w:sz w:val="20"/>
          <w:szCs w:val="20"/>
          <w:color w:val="auto"/>
        </w:rPr>
        <w:t>”) and each time the Company:</w:t>
      </w:r>
    </w:p>
    <w:p>
      <w:pPr>
        <w:spacing w:after="0" w:line="199" w:lineRule="exact"/>
        <w:rPr>
          <w:rFonts w:ascii="Arial" w:cs="Arial" w:eastAsia="Arial" w:hAnsi="Arial"/>
          <w:sz w:val="20"/>
          <w:szCs w:val="20"/>
          <w:color w:val="auto"/>
        </w:rPr>
      </w:pPr>
    </w:p>
    <w:p>
      <w:pPr>
        <w:ind w:left="160" w:right="199" w:firstLine="1287"/>
        <w:spacing w:after="0" w:line="244" w:lineRule="auto"/>
        <w:tabs>
          <w:tab w:leader="none" w:pos="2751" w:val="left"/>
        </w:tabs>
        <w:numPr>
          <w:ilvl w:val="1"/>
          <w:numId w:val="38"/>
        </w:numPr>
        <w:rPr>
          <w:rFonts w:ascii="Arial" w:cs="Arial" w:eastAsia="Arial" w:hAnsi="Arial"/>
          <w:sz w:val="20"/>
          <w:szCs w:val="20"/>
          <w:color w:val="auto"/>
        </w:rPr>
      </w:pPr>
      <w:r>
        <w:rPr>
          <w:rFonts w:ascii="Arial" w:cs="Arial" w:eastAsia="Arial" w:hAnsi="Arial"/>
          <w:sz w:val="20"/>
          <w:szCs w:val="20"/>
          <w:color w:val="auto"/>
        </w:rPr>
        <w:t>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spacing w:after="0" w:line="208" w:lineRule="exact"/>
        <w:rPr>
          <w:rFonts w:ascii="Arial" w:cs="Arial" w:eastAsia="Arial" w:hAnsi="Arial"/>
          <w:sz w:val="20"/>
          <w:szCs w:val="20"/>
          <w:color w:val="auto"/>
        </w:rPr>
      </w:pPr>
    </w:p>
    <w:p>
      <w:pPr>
        <w:ind w:left="160" w:right="259" w:firstLine="1287"/>
        <w:spacing w:after="0" w:line="250" w:lineRule="auto"/>
        <w:tabs>
          <w:tab w:leader="none" w:pos="2751" w:val="left"/>
        </w:tabs>
        <w:numPr>
          <w:ilvl w:val="1"/>
          <w:numId w:val="38"/>
        </w:numPr>
        <w:rPr>
          <w:rFonts w:ascii="Arial" w:cs="Arial" w:eastAsia="Arial" w:hAnsi="Arial"/>
          <w:sz w:val="20"/>
          <w:szCs w:val="20"/>
          <w:color w:val="auto"/>
        </w:rPr>
      </w:pPr>
      <w:r>
        <w:rPr>
          <w:rFonts w:ascii="Arial" w:cs="Arial" w:eastAsia="Arial" w:hAnsi="Arial"/>
          <w:sz w:val="20"/>
          <w:szCs w:val="20"/>
          <w:color w:val="auto"/>
        </w:rPr>
        <w:t>files an annual report on Form 10-K under the Exchange Act (including any Form 10-K/A containing amended financial information or a material amendment to the previously filed Form 10-K);</w:t>
      </w:r>
    </w:p>
    <w:p>
      <w:pPr>
        <w:spacing w:after="0" w:line="199" w:lineRule="exact"/>
        <w:rPr>
          <w:rFonts w:ascii="Arial" w:cs="Arial" w:eastAsia="Arial" w:hAnsi="Arial"/>
          <w:sz w:val="20"/>
          <w:szCs w:val="20"/>
          <w:color w:val="auto"/>
        </w:rPr>
      </w:pPr>
    </w:p>
    <w:p>
      <w:pPr>
        <w:ind w:left="2740" w:hanging="1293"/>
        <w:spacing w:after="0"/>
        <w:tabs>
          <w:tab w:leader="none" w:pos="2740" w:val="left"/>
        </w:tabs>
        <w:numPr>
          <w:ilvl w:val="1"/>
          <w:numId w:val="38"/>
        </w:numPr>
        <w:rPr>
          <w:rFonts w:ascii="Arial" w:cs="Arial" w:eastAsia="Arial" w:hAnsi="Arial"/>
          <w:sz w:val="20"/>
          <w:szCs w:val="20"/>
          <w:color w:val="auto"/>
        </w:rPr>
      </w:pPr>
      <w:r>
        <w:rPr>
          <w:rFonts w:ascii="Arial" w:cs="Arial" w:eastAsia="Arial" w:hAnsi="Arial"/>
          <w:sz w:val="20"/>
          <w:szCs w:val="20"/>
          <w:color w:val="auto"/>
        </w:rPr>
        <w:t>files a quarterly report on Form 10-Q under the Exchange Act; or</w:t>
      </w:r>
    </w:p>
    <w:p>
      <w:pPr>
        <w:spacing w:after="0" w:line="229" w:lineRule="exact"/>
        <w:rPr>
          <w:rFonts w:ascii="Arial" w:cs="Arial" w:eastAsia="Arial" w:hAnsi="Arial"/>
          <w:sz w:val="20"/>
          <w:szCs w:val="20"/>
          <w:color w:val="auto"/>
        </w:rPr>
      </w:pPr>
    </w:p>
    <w:p>
      <w:pPr>
        <w:ind w:left="160" w:right="159" w:firstLine="1287"/>
        <w:spacing w:after="0" w:line="246" w:lineRule="auto"/>
        <w:tabs>
          <w:tab w:leader="none" w:pos="2796" w:val="left"/>
        </w:tabs>
        <w:numPr>
          <w:ilvl w:val="1"/>
          <w:numId w:val="38"/>
        </w:numPr>
        <w:rPr>
          <w:rFonts w:ascii="Arial" w:cs="Arial" w:eastAsia="Arial" w:hAnsi="Arial"/>
          <w:sz w:val="20"/>
          <w:szCs w:val="20"/>
          <w:color w:val="auto"/>
        </w:rPr>
      </w:pPr>
      <w:r>
        <w:rPr>
          <w:rFonts w:ascii="Arial" w:cs="Arial" w:eastAsia="Arial" w:hAnsi="Arial"/>
          <w:sz w:val="20"/>
          <w:szCs w:val="20"/>
          <w:color w:val="auto"/>
        </w:rPr>
        <w:t>files a current report on Form 8-K containing amended financial information (other than an earnings release that is “furnished” pursuant to Item 2.02 or Item 7.01 of Form 8-K) under the Exchange Act (each date of filing of one or more of the documents referred to in clauses (i) through (iv) shall be a “</w:t>
      </w:r>
      <w:r>
        <w:rPr>
          <w:rFonts w:ascii="Arial" w:cs="Arial" w:eastAsia="Arial" w:hAnsi="Arial"/>
          <w:sz w:val="20"/>
          <w:szCs w:val="20"/>
          <w:b w:val="1"/>
          <w:bCs w:val="1"/>
          <w:u w:val="single" w:color="auto"/>
          <w:color w:val="auto"/>
        </w:rPr>
        <w:t>Representation Date</w:t>
      </w:r>
      <w:r>
        <w:rPr>
          <w:rFonts w:ascii="Arial" w:cs="Arial" w:eastAsia="Arial" w:hAnsi="Arial"/>
          <w:sz w:val="20"/>
          <w:szCs w:val="20"/>
          <w:color w:val="auto"/>
        </w:rPr>
        <w:t>”),</w:t>
      </w:r>
    </w:p>
    <w:p>
      <w:pPr>
        <w:spacing w:after="0" w:line="205" w:lineRule="exact"/>
        <w:rPr>
          <w:sz w:val="20"/>
          <w:szCs w:val="20"/>
          <w:color w:val="auto"/>
        </w:rPr>
      </w:pPr>
    </w:p>
    <w:p>
      <w:pPr>
        <w:ind w:left="160" w:right="319"/>
        <w:spacing w:after="0" w:line="272" w:lineRule="auto"/>
        <w:rPr>
          <w:sz w:val="20"/>
          <w:szCs w:val="20"/>
          <w:color w:val="auto"/>
        </w:rPr>
      </w:pPr>
      <w:r>
        <w:rPr>
          <w:rFonts w:ascii="Arial" w:cs="Arial" w:eastAsia="Arial" w:hAnsi="Arial"/>
          <w:sz w:val="18"/>
          <w:szCs w:val="18"/>
          <w:color w:val="auto"/>
        </w:rPr>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Arial" w:cs="Arial" w:eastAsia="Arial" w:hAnsi="Arial"/>
          <w:sz w:val="18"/>
          <w:szCs w:val="18"/>
          <w:b w:val="1"/>
          <w:bCs w:val="1"/>
          <w:u w:val="single" w:color="auto"/>
          <w:color w:val="auto"/>
        </w:rPr>
        <w:t>Exhibit</w:t>
      </w:r>
    </w:p>
    <w:p>
      <w:pPr>
        <w:spacing w:after="0" w:line="1" w:lineRule="exact"/>
        <w:rPr>
          <w:sz w:val="20"/>
          <w:szCs w:val="20"/>
          <w:color w:val="auto"/>
        </w:rPr>
      </w:pPr>
    </w:p>
    <w:p>
      <w:pPr>
        <w:ind w:left="160" w:right="259"/>
        <w:spacing w:after="0" w:line="268" w:lineRule="auto"/>
        <w:rPr>
          <w:sz w:val="20"/>
          <w:szCs w:val="20"/>
          <w:color w:val="auto"/>
        </w:rPr>
      </w:pPr>
      <w:r>
        <w:rPr>
          <w:rFonts w:ascii="Arial" w:cs="Arial" w:eastAsia="Arial" w:hAnsi="Arial"/>
          <w:sz w:val="18"/>
          <w:szCs w:val="18"/>
          <w:b w:val="1"/>
          <w:bCs w:val="1"/>
          <w:u w:val="single" w:color="auto"/>
          <w:color w:val="auto"/>
        </w:rPr>
        <w:t>7(m)</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as necessary, to relate to the Registration Statement and the Prospectus as then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supplemented), within three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waiver shall not apply for any Representation Date on which the Company files its annual report on Form 10-K (including any Form 10-K/A containing amended financial information or a material amendment to the previously filed Form 10-K).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Arial" w:cs="Arial" w:eastAsia="Arial" w:hAnsi="Arial"/>
          <w:sz w:val="18"/>
          <w:szCs w:val="18"/>
          <w:b w:val="1"/>
          <w:bCs w:val="1"/>
          <w:u w:val="single" w:color="auto"/>
          <w:color w:val="auto"/>
        </w:rPr>
        <w:t>Exhibit 7(m)</w:t>
      </w:r>
      <w:r>
        <w:rPr>
          <w:rFonts w:ascii="Arial" w:cs="Arial" w:eastAsia="Arial" w:hAnsi="Arial"/>
          <w:sz w:val="18"/>
          <w:szCs w:val="18"/>
          <w:color w:val="auto"/>
        </w:rPr>
        <w:t>, dated the date of such Placement Notice. Within three Trading Days of each Representation Date, the Company shall have furnished to the Agent such further information, certificates and documents as the Agent may reasonably request.</w:t>
      </w:r>
    </w:p>
    <w:p>
      <w:pPr>
        <w:spacing w:after="0" w:line="189" w:lineRule="exact"/>
        <w:rPr>
          <w:sz w:val="20"/>
          <w:szCs w:val="20"/>
          <w:color w:val="auto"/>
        </w:rPr>
      </w:pPr>
    </w:p>
    <w:p>
      <w:pPr>
        <w:ind w:left="160" w:right="399" w:firstLine="639"/>
        <w:spacing w:after="0" w:line="316" w:lineRule="auto"/>
        <w:tabs>
          <w:tab w:leader="none" w:pos="149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On or prior to the First Placement Notice Date and on any date on which the Company is obligated to deliver a certificate pursuant to Section 7(m) for which no waiver is</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ind w:left="160"/>
        <w:spacing w:after="0"/>
        <w:rPr>
          <w:sz w:val="20"/>
          <w:szCs w:val="20"/>
          <w:color w:val="auto"/>
        </w:rPr>
      </w:pPr>
      <w:r>
        <w:rPr>
          <w:rFonts w:ascii="Arial" w:cs="Arial" w:eastAsia="Arial" w:hAnsi="Arial"/>
          <w:sz w:val="18"/>
          <w:szCs w:val="18"/>
          <w:color w:val="auto"/>
        </w:rPr>
        <w:t>applicable, the Company shall cause to be furnished to the Agent the written opinion and negative assurance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9"/>
          <w:szCs w:val="19"/>
          <w:color w:val="auto"/>
        </w:rPr>
        <w:t>letter of DLA Piper LLP (US), counsel to the Company, or such other counsel satisfactory to the Agent</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Counsel</w:t>
      </w:r>
      <w:r>
        <w:rPr>
          <w:rFonts w:ascii="Arial" w:cs="Arial" w:eastAsia="Arial" w:hAnsi="Arial"/>
          <w:sz w:val="18"/>
          <w:szCs w:val="18"/>
          <w:color w:val="auto"/>
        </w:rPr>
        <w:t>”), in form and substance satisfactory to the Agent and its counsel, dated the date that</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opinion and negative assurance letter are required to be delivered, modified, as necessary, to relate to the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Registration Statement and the Prospectus as then amended or supplemented;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lieu</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of such opinion and negative assurance letter for subsequent Representation Dates, Company Counsel may</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furnish the Agent with a letter to the effect that the Agent may rely on a prior opinion or negative assurance</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letter delivered by such counsel under this Section 7(n) to the same extent as if it were dated the date of such</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letter (except that statements in such prior opinion or negative assurance letter shall be deemed to relate to the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Registration Statement and the Prospectus as amended or supplemented at such Representation Date).</w:t>
      </w:r>
    </w:p>
    <w:p>
      <w:pPr>
        <w:spacing w:after="0" w:line="236" w:lineRule="exact"/>
        <w:rPr>
          <w:sz w:val="20"/>
          <w:szCs w:val="20"/>
          <w:color w:val="auto"/>
        </w:rPr>
      </w:pPr>
    </w:p>
    <w:p>
      <w:pPr>
        <w:ind w:left="160" w:right="199" w:firstLine="639"/>
        <w:spacing w:after="0" w:line="270" w:lineRule="auto"/>
        <w:tabs>
          <w:tab w:leader="none" w:pos="149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Intellectual Property Opinion</w:t>
      </w:r>
      <w:r>
        <w:rPr>
          <w:rFonts w:ascii="Arial" w:cs="Arial" w:eastAsia="Arial" w:hAnsi="Arial"/>
          <w:sz w:val="18"/>
          <w:szCs w:val="18"/>
          <w:color w:val="auto"/>
        </w:rPr>
        <w:t>. On or prior to the First Placement Notice Date and on any date on which the Company is obligated to deliver a certificate pursuant to Section 7(m) for which no waiver is applicable, the Company shall cause to be furnished to the Agent the written opinion of Maschoff Brennan, counsel for the Company with respect to intellectual property matters, or such other intellectual property counsel satisfactory to the Agent (“</w:t>
      </w:r>
      <w:r>
        <w:rPr>
          <w:rFonts w:ascii="Arial" w:cs="Arial" w:eastAsia="Arial" w:hAnsi="Arial"/>
          <w:sz w:val="18"/>
          <w:szCs w:val="18"/>
          <w:b w:val="1"/>
          <w:bCs w:val="1"/>
          <w:u w:val="single" w:color="auto"/>
          <w:color w:val="auto"/>
        </w:rPr>
        <w:t>Intellectual Property Counsel</w:t>
      </w:r>
      <w:r>
        <w:rPr>
          <w:rFonts w:ascii="Arial" w:cs="Arial" w:eastAsia="Arial" w:hAnsi="Arial"/>
          <w:sz w:val="18"/>
          <w:szCs w:val="18"/>
          <w:color w:val="auto"/>
        </w:rPr>
        <w:t xml:space="preserve">”), in form and substance satisfactory to the Agent and its counsel, dated the date that the opinion letter is required to be delivered, modified, as necessary, to relate to the Registration Statement and the Prospectus as then amended or supplemented;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in lieu of such written opinion for subsequent Representation Dates, Intellectual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Counsel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90" w:lineRule="exact"/>
        <w:rPr>
          <w:rFonts w:ascii="Arial" w:cs="Arial" w:eastAsia="Arial" w:hAnsi="Arial"/>
          <w:sz w:val="18"/>
          <w:szCs w:val="18"/>
          <w:color w:val="auto"/>
        </w:rPr>
      </w:pPr>
    </w:p>
    <w:p>
      <w:pPr>
        <w:ind w:left="160" w:right="219" w:firstLine="639"/>
        <w:spacing w:after="0" w:line="254" w:lineRule="auto"/>
        <w:tabs>
          <w:tab w:leader="none" w:pos="149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Comfort Letter</w:t>
      </w:r>
      <w:r>
        <w:rPr>
          <w:rFonts w:ascii="Arial" w:cs="Arial" w:eastAsia="Arial" w:hAnsi="Arial"/>
          <w:sz w:val="19"/>
          <w:szCs w:val="19"/>
          <w:color w:val="auto"/>
        </w:rPr>
        <w:t>. On or prior to the First Placement Notice Date and on any date on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Arial" w:cs="Arial" w:eastAsia="Arial" w:hAnsi="Arial"/>
          <w:sz w:val="19"/>
          <w:szCs w:val="19"/>
          <w:b w:val="1"/>
          <w:bCs w:val="1"/>
          <w:u w:val="single" w:color="auto"/>
          <w:color w:val="auto"/>
        </w:rPr>
        <w:t>Comfort Letters</w:t>
      </w:r>
      <w:r>
        <w:rPr>
          <w:rFonts w:ascii="Arial" w:cs="Arial" w:eastAsia="Arial" w:hAnsi="Arial"/>
          <w:sz w:val="19"/>
          <w:szCs w:val="19"/>
          <w:color w:val="auto"/>
        </w:rPr>
        <w:t xml:space="preserve">”), dated the date the Comfort Letter is delivered, which shall meet the requirements set forth in this Section 7(p); </w:t>
      </w:r>
      <w:r>
        <w:rPr>
          <w:rFonts w:ascii="Arial" w:cs="Arial" w:eastAsia="Arial" w:hAnsi="Arial"/>
          <w:sz w:val="19"/>
          <w:szCs w:val="19"/>
          <w:i w:val="1"/>
          <w:iCs w:val="1"/>
          <w:color w:val="auto"/>
        </w:rPr>
        <w:t>provided</w:t>
      </w:r>
      <w:r>
        <w:rPr>
          <w:rFonts w:ascii="Arial" w:cs="Arial" w:eastAsia="Arial" w:hAnsi="Arial"/>
          <w:sz w:val="19"/>
          <w:szCs w:val="19"/>
          <w:color w:val="auto"/>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9"/>
          <w:szCs w:val="19"/>
          <w:b w:val="1"/>
          <w:bCs w:val="1"/>
          <w:u w:val="single" w:color="auto"/>
          <w:color w:val="auto"/>
        </w:rPr>
        <w:t>Initial Comfort Letter</w:t>
      </w:r>
      <w:r>
        <w:rPr>
          <w:rFonts w:ascii="Arial" w:cs="Arial" w:eastAsia="Arial" w:hAnsi="Arial"/>
          <w:sz w:val="19"/>
          <w:szCs w:val="19"/>
          <w:color w:val="auto"/>
        </w:rPr>
        <w:t>”) and (iii) 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200" w:lineRule="exact"/>
        <w:rPr>
          <w:rFonts w:ascii="Arial" w:cs="Arial" w:eastAsia="Arial" w:hAnsi="Arial"/>
          <w:sz w:val="19"/>
          <w:szCs w:val="19"/>
          <w:color w:val="auto"/>
        </w:rPr>
      </w:pPr>
    </w:p>
    <w:p>
      <w:pPr>
        <w:ind w:left="160" w:right="259" w:firstLine="639"/>
        <w:spacing w:after="0" w:line="260" w:lineRule="auto"/>
        <w:tabs>
          <w:tab w:leader="none" w:pos="149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Market Activities</w:t>
      </w:r>
      <w:r>
        <w:rPr>
          <w:rFonts w:ascii="Arial" w:cs="Arial" w:eastAsia="Arial" w:hAnsi="Arial"/>
          <w:sz w:val="19"/>
          <w:szCs w:val="19"/>
          <w:color w:val="auto"/>
        </w:rPr>
        <w:t>.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or (ii) sell, bid for, or purchase Shares in violation of Regulation M, or pay anyone any compensation for soliciting purchases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160" w:right="559"/>
        <w:spacing w:after="0" w:line="262" w:lineRule="auto"/>
        <w:rPr>
          <w:sz w:val="20"/>
          <w:szCs w:val="20"/>
          <w:color w:val="auto"/>
        </w:rPr>
      </w:pPr>
      <w:r>
        <w:rPr>
          <w:rFonts w:ascii="Arial" w:cs="Arial" w:eastAsia="Arial" w:hAnsi="Arial"/>
          <w:sz w:val="20"/>
          <w:szCs w:val="20"/>
          <w:color w:val="auto"/>
        </w:rPr>
        <w:t xml:space="preserve">Placement Shares other than the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Company may bid for and purchase Shares in accordance with Rule 10b-18 under the Exchange Act.</w:t>
      </w:r>
    </w:p>
    <w:p>
      <w:pPr>
        <w:spacing w:after="0" w:line="188" w:lineRule="exact"/>
        <w:rPr>
          <w:sz w:val="20"/>
          <w:szCs w:val="20"/>
          <w:color w:val="auto"/>
        </w:rPr>
      </w:pPr>
    </w:p>
    <w:p>
      <w:pPr>
        <w:ind w:left="160" w:right="259" w:firstLine="639"/>
        <w:spacing w:after="0" w:line="250" w:lineRule="auto"/>
        <w:tabs>
          <w:tab w:leader="none" w:pos="1465"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The Company and its Subsidiaries shall maintain, or cause to be maintained, insurance in such amounts and covering such risks as is reasonable and customary for the business for which it is engaged.</w:t>
      </w:r>
    </w:p>
    <w:p>
      <w:pPr>
        <w:spacing w:after="0" w:line="199" w:lineRule="exact"/>
        <w:rPr>
          <w:rFonts w:ascii="Arial" w:cs="Arial" w:eastAsia="Arial" w:hAnsi="Arial"/>
          <w:sz w:val="20"/>
          <w:szCs w:val="20"/>
          <w:color w:val="auto"/>
        </w:rPr>
      </w:pPr>
    </w:p>
    <w:p>
      <w:pPr>
        <w:ind w:left="160" w:right="319" w:firstLine="639"/>
        <w:spacing w:after="0" w:line="276" w:lineRule="auto"/>
        <w:tabs>
          <w:tab w:leader="none" w:pos="147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and each of its Subsidiaries shall maintain, or cause to be maintained, all material environmental Permits required by federal, state and local law in order to conduct their businesses as described in the Prospectus,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Effect.</w:t>
      </w:r>
    </w:p>
    <w:p>
      <w:pPr>
        <w:spacing w:after="0" w:line="178" w:lineRule="exact"/>
        <w:rPr>
          <w:rFonts w:ascii="Arial" w:cs="Arial" w:eastAsia="Arial" w:hAnsi="Arial"/>
          <w:sz w:val="18"/>
          <w:szCs w:val="18"/>
          <w:color w:val="auto"/>
        </w:rPr>
      </w:pPr>
    </w:p>
    <w:p>
      <w:pPr>
        <w:ind w:left="160" w:right="179" w:firstLine="639"/>
        <w:spacing w:after="0" w:line="246" w:lineRule="auto"/>
        <w:tabs>
          <w:tab w:leader="none" w:pos="1454"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Investment Company Act</w:t>
      </w:r>
      <w:r>
        <w:rPr>
          <w:rFonts w:ascii="Arial" w:cs="Arial" w:eastAsia="Arial" w:hAnsi="Arial"/>
          <w:sz w:val="20"/>
          <w:szCs w:val="20"/>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205" w:lineRule="exact"/>
        <w:rPr>
          <w:rFonts w:ascii="Arial" w:cs="Arial" w:eastAsia="Arial" w:hAnsi="Arial"/>
          <w:sz w:val="20"/>
          <w:szCs w:val="20"/>
          <w:color w:val="auto"/>
        </w:rPr>
      </w:pPr>
    </w:p>
    <w:p>
      <w:pPr>
        <w:ind w:left="160" w:right="159" w:firstLine="639"/>
        <w:spacing w:after="0" w:line="246" w:lineRule="auto"/>
        <w:tabs>
          <w:tab w:leader="none" w:pos="149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Securities Act and Exchange Act</w:t>
      </w:r>
      <w:r>
        <w:rPr>
          <w:rFonts w:ascii="Arial" w:cs="Arial" w:eastAsia="Arial" w:hAnsi="Arial"/>
          <w:sz w:val="20"/>
          <w:szCs w:val="20"/>
          <w:color w:val="auto"/>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205" w:lineRule="exact"/>
        <w:rPr>
          <w:rFonts w:ascii="Arial" w:cs="Arial" w:eastAsia="Arial" w:hAnsi="Arial"/>
          <w:sz w:val="20"/>
          <w:szCs w:val="20"/>
          <w:color w:val="auto"/>
        </w:rPr>
      </w:pPr>
    </w:p>
    <w:p>
      <w:pPr>
        <w:ind w:left="160" w:right="259" w:firstLine="639"/>
        <w:spacing w:after="0" w:line="243" w:lineRule="auto"/>
        <w:tabs>
          <w:tab w:leader="none" w:pos="149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No Offer to Sell</w:t>
      </w:r>
      <w:r>
        <w:rPr>
          <w:rFonts w:ascii="Arial" w:cs="Arial" w:eastAsia="Arial" w:hAnsi="Arial"/>
          <w:sz w:val="20"/>
          <w:szCs w:val="20"/>
          <w:color w:val="auto"/>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Shares hereunder.</w:t>
      </w:r>
    </w:p>
    <w:p>
      <w:pPr>
        <w:spacing w:after="0" w:line="210" w:lineRule="exact"/>
        <w:rPr>
          <w:rFonts w:ascii="Arial" w:cs="Arial" w:eastAsia="Arial" w:hAnsi="Arial"/>
          <w:sz w:val="20"/>
          <w:szCs w:val="20"/>
          <w:color w:val="auto"/>
        </w:rPr>
      </w:pPr>
    </w:p>
    <w:p>
      <w:pPr>
        <w:ind w:left="160" w:right="139" w:firstLine="639"/>
        <w:spacing w:after="0" w:line="270" w:lineRule="auto"/>
        <w:tabs>
          <w:tab w:leader="none" w:pos="154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Blue Sky and Other Qualifications</w:t>
      </w:r>
      <w:r>
        <w:rPr>
          <w:rFonts w:ascii="Arial" w:cs="Arial" w:eastAsia="Arial" w:hAnsi="Arial"/>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87" w:lineRule="exact"/>
        <w:rPr>
          <w:rFonts w:ascii="Arial" w:cs="Arial" w:eastAsia="Arial" w:hAnsi="Arial"/>
          <w:sz w:val="18"/>
          <w:szCs w:val="18"/>
          <w:color w:val="auto"/>
        </w:rPr>
      </w:pPr>
    </w:p>
    <w:p>
      <w:pPr>
        <w:ind w:left="160" w:right="159" w:firstLine="639"/>
        <w:spacing w:after="0" w:line="278" w:lineRule="auto"/>
        <w:tabs>
          <w:tab w:leader="none" w:pos="149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ind w:left="160" w:right="159"/>
        <w:spacing w:after="0" w:line="269" w:lineRule="auto"/>
        <w:rPr>
          <w:sz w:val="20"/>
          <w:szCs w:val="20"/>
          <w:color w:val="auto"/>
        </w:rPr>
      </w:pPr>
      <w:r>
        <w:rPr>
          <w:rFonts w:ascii="Arial" w:cs="Arial" w:eastAsia="Arial" w:hAnsi="Arial"/>
          <w:sz w:val="18"/>
          <w:szCs w:val="18"/>
          <w:color w:val="auto"/>
        </w:rPr>
        <w:t>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192" w:lineRule="exact"/>
        <w:rPr>
          <w:sz w:val="20"/>
          <w:szCs w:val="20"/>
          <w:color w:val="auto"/>
        </w:rPr>
      </w:pPr>
    </w:p>
    <w:p>
      <w:pPr>
        <w:jc w:val="both"/>
        <w:ind w:left="160" w:right="279" w:firstLine="639"/>
        <w:spacing w:after="0" w:line="250" w:lineRule="auto"/>
        <w:tabs>
          <w:tab w:leader="none" w:pos="1498"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Emerging Growth Company</w:t>
      </w:r>
      <w:r>
        <w:rPr>
          <w:rFonts w:ascii="Arial" w:cs="Arial" w:eastAsia="Arial" w:hAnsi="Arial"/>
          <w:sz w:val="20"/>
          <w:szCs w:val="20"/>
          <w:color w:val="auto"/>
        </w:rPr>
        <w:t>. The Company will promptly notify the Agent if the company ceases to be an Emerging Growth company at any time prior to the completion of the Agent’s distribution of the Placement Shares pursuant to this Agreement.</w:t>
      </w:r>
    </w:p>
    <w:p>
      <w:pPr>
        <w:spacing w:after="0" w:line="199" w:lineRule="exact"/>
        <w:rPr>
          <w:rFonts w:ascii="Arial" w:cs="Arial" w:eastAsia="Arial" w:hAnsi="Arial"/>
          <w:sz w:val="20"/>
          <w:szCs w:val="20"/>
          <w:color w:val="auto"/>
        </w:rPr>
      </w:pPr>
    </w:p>
    <w:p>
      <w:pPr>
        <w:ind w:left="160" w:right="159" w:firstLine="639"/>
        <w:spacing w:after="0" w:line="270" w:lineRule="auto"/>
        <w:tabs>
          <w:tab w:leader="none" w:pos="148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Renewal of Registration Statement.</w:t>
      </w:r>
      <w:r>
        <w:rPr>
          <w:rFonts w:ascii="Arial" w:cs="Arial" w:eastAsia="Arial" w:hAnsi="Arial"/>
          <w:sz w:val="18"/>
          <w:szCs w:val="18"/>
          <w:color w:val="auto"/>
        </w:rPr>
        <w:t xml:space="preserve"> If, immediately prior to the third anniversary of the initial effective date of the Registration Statement (the “</w:t>
      </w:r>
      <w:r>
        <w:rPr>
          <w:rFonts w:ascii="Arial" w:cs="Arial" w:eastAsia="Arial" w:hAnsi="Arial"/>
          <w:sz w:val="18"/>
          <w:szCs w:val="18"/>
          <w:b w:val="1"/>
          <w:bCs w:val="1"/>
          <w:u w:val="single" w:color="auto"/>
          <w:color w:val="auto"/>
        </w:rPr>
        <w:t>Renewal Date</w:t>
      </w:r>
      <w:r>
        <w:rPr>
          <w:rFonts w:ascii="Arial" w:cs="Arial" w:eastAsia="Arial" w:hAnsi="Arial"/>
          <w:sz w:val="18"/>
          <w:szCs w:val="18"/>
          <w:color w:val="auto"/>
        </w:rPr>
        <w:t>”), any of the Placement Shares remain unsold and this Agreement has not been terminated, the Company will, prior to the Renewal Date, file a new shelf registration statement or, if applicable, an automatic shelf registration statement relating to the Shares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187" w:lineRule="exact"/>
        <w:rPr>
          <w:sz w:val="20"/>
          <w:szCs w:val="20"/>
          <w:color w:val="auto"/>
        </w:rPr>
      </w:pPr>
    </w:p>
    <w:p>
      <w:pPr>
        <w:ind w:left="160" w:right="159" w:firstLine="639"/>
        <w:spacing w:after="0" w:line="255" w:lineRule="auto"/>
        <w:tabs>
          <w:tab w:leader="none" w:pos="1521"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General Instruction I.B.6. of Form S-3</w:t>
      </w:r>
      <w:r>
        <w:rPr>
          <w:rFonts w:ascii="Arial" w:cs="Arial" w:eastAsia="Arial" w:hAnsi="Arial"/>
          <w:sz w:val="19"/>
          <w:szCs w:val="19"/>
          <w:color w:val="auto"/>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available to be offered and sold by the Company under this Agreement pursuant to General Instruction I.B.6. of Form S-3;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Company may delay the filing of any such prospectus supplement for up to 30</w:t>
      </w:r>
      <w:r>
        <w:rPr>
          <w:rFonts w:ascii="Arial" w:cs="Arial" w:eastAsia="Arial" w:hAnsi="Arial"/>
          <w:sz w:val="19"/>
          <w:szCs w:val="19"/>
          <w:i w:val="1"/>
          <w:iCs w:val="1"/>
          <w:color w:val="auto"/>
        </w:rPr>
        <w:t xml:space="preserve"> </w:t>
      </w:r>
      <w:r>
        <w:rPr>
          <w:rFonts w:ascii="Arial" w:cs="Arial" w:eastAsia="Arial" w:hAnsi="Arial"/>
          <w:sz w:val="19"/>
          <w:szCs w:val="19"/>
          <w:color w:val="auto"/>
        </w:rPr>
        <w:t>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jc w:val="both"/>
        <w:ind w:left="160" w:right="599" w:firstLine="639"/>
        <w:spacing w:after="0" w:line="250" w:lineRule="auto"/>
        <w:tabs>
          <w:tab w:leader="none" w:pos="1543"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Tax Indemnity</w:t>
      </w:r>
      <w:r>
        <w:rPr>
          <w:rFonts w:ascii="Arial" w:cs="Arial" w:eastAsia="Arial" w:hAnsi="Arial"/>
          <w:sz w:val="20"/>
          <w:szCs w:val="20"/>
          <w:color w:val="auto"/>
        </w:rPr>
        <w:t>. The Company will indemnify and hold harmless the Agent against any documentary, stamp or similar issue tax, including any interest and penalties, on the issue and sale of the Placement Shares.</w:t>
      </w:r>
    </w:p>
    <w:p>
      <w:pPr>
        <w:spacing w:after="0" w:line="200" w:lineRule="exact"/>
        <w:rPr>
          <w:rFonts w:ascii="Arial" w:cs="Arial" w:eastAsia="Arial" w:hAnsi="Arial"/>
          <w:sz w:val="20"/>
          <w:szCs w:val="20"/>
          <w:color w:val="auto"/>
        </w:rPr>
      </w:pPr>
    </w:p>
    <w:p>
      <w:pPr>
        <w:ind w:left="160" w:right="259" w:firstLine="639"/>
        <w:spacing w:after="0" w:line="260" w:lineRule="auto"/>
        <w:tabs>
          <w:tab w:leader="none" w:pos="1521"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Transfer Agent</w:t>
      </w:r>
      <w:r>
        <w:rPr>
          <w:rFonts w:ascii="Arial" w:cs="Arial" w:eastAsia="Arial" w:hAnsi="Arial"/>
          <w:sz w:val="20"/>
          <w:szCs w:val="20"/>
          <w:color w:val="auto"/>
        </w:rPr>
        <w:t>. The Company has engaged and will maintain, at its sole expense, a transfer agent and registrar for the Shares.</w:t>
      </w:r>
    </w:p>
    <w:p>
      <w:pPr>
        <w:spacing w:after="0" w:line="190" w:lineRule="exact"/>
        <w:rPr>
          <w:rFonts w:ascii="Arial" w:cs="Arial" w:eastAsia="Arial" w:hAnsi="Arial"/>
          <w:sz w:val="20"/>
          <w:szCs w:val="20"/>
          <w:color w:val="auto"/>
        </w:rPr>
      </w:pPr>
    </w:p>
    <w:p>
      <w:pPr>
        <w:ind w:left="160" w:right="159" w:firstLine="639"/>
        <w:spacing w:after="0" w:line="255" w:lineRule="auto"/>
        <w:tabs>
          <w:tab w:leader="none" w:pos="1543"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Rollover Shares</w:t>
      </w:r>
      <w:r>
        <w:rPr>
          <w:rFonts w:ascii="Arial" w:cs="Arial" w:eastAsia="Arial" w:hAnsi="Arial"/>
          <w:sz w:val="19"/>
          <w:szCs w:val="19"/>
          <w:color w:val="auto"/>
        </w:rPr>
        <w:t>. If the Company elects to issue and sell through the Agent any Rollover Shares, the Company will file with the Commission an amended Prospectus Supplement pursuant to Rule 424(b) under the Securities Act which shall include the aggregate dollar amount of all Placement Shares (including (i) up to $80.0 million of Shares and (ii) the aggregate dollar amount of all Rollover Shares the Company would like to issue and sell pursuant to this Sales Agreement) prior to the delivery of any Placement Notice for the Rollover Shares by the Company. Such amended Prospectus Supplement shall state that it supersedes the original Prospectus Supplement in its entirety. Notwithstanding anything to the contrary contained herein, the Company agrees that from the date of this Agreement, should the Company deliver a Placement Notice, such notice will instruct the Agent to first sell any remaining Rollover Shares pursuant to the Prior Sales Agreement and under the Prior Registration Statement for so long as such Prior Registration Statement is effective.</w:t>
      </w:r>
    </w:p>
    <w:p>
      <w:pPr>
        <w:spacing w:after="0" w:line="202" w:lineRule="exact"/>
        <w:rPr>
          <w:sz w:val="20"/>
          <w:szCs w:val="20"/>
          <w:color w:val="auto"/>
        </w:rPr>
      </w:pPr>
    </w:p>
    <w:p>
      <w:pPr>
        <w:ind w:left="160" w:right="159" w:firstLine="639"/>
        <w:spacing w:after="0" w:line="243" w:lineRule="auto"/>
        <w:tabs>
          <w:tab w:leader="none" w:pos="1483"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Conditions to the Agent’s Obligations</w:t>
      </w:r>
      <w:r>
        <w:rPr>
          <w:rFonts w:ascii="Arial" w:cs="Arial" w:eastAsia="Arial" w:hAnsi="Arial"/>
          <w:sz w:val="20"/>
          <w:szCs w:val="20"/>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210" w:lineRule="exact"/>
        <w:rPr>
          <w:sz w:val="20"/>
          <w:szCs w:val="20"/>
          <w:color w:val="auto"/>
        </w:rPr>
      </w:pPr>
    </w:p>
    <w:p>
      <w:pPr>
        <w:ind w:left="160" w:right="219" w:firstLine="639"/>
        <w:spacing w:after="0" w:line="304" w:lineRule="auto"/>
        <w:tabs>
          <w:tab w:leader="none" w:pos="1487"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Registration Statement Effective</w:t>
      </w:r>
      <w:r>
        <w:rPr>
          <w:rFonts w:ascii="Arial" w:cs="Arial" w:eastAsia="Arial" w:hAnsi="Arial"/>
          <w:sz w:val="16"/>
          <w:szCs w:val="16"/>
          <w:color w:val="auto"/>
        </w:rPr>
        <w:t>. The Registration Statement shall be effective and shall be available for all offers and sales of Placement Shares (i) that have been issued pursuant to all prior Placement Notices and (ii) that will be issued pursuant to any Placement Notice. The Company shall have paid the required Commission filing fees relating to the Placement Shares within the time required by Rule 456(b)(1)</w:t>
      </w:r>
    </w:p>
    <w:p>
      <w:pPr>
        <w:spacing w:after="0" w:line="2" w:lineRule="exact"/>
        <w:rPr>
          <w:rFonts w:ascii="Arial" w:cs="Arial" w:eastAsia="Arial" w:hAnsi="Arial"/>
          <w:sz w:val="16"/>
          <w:szCs w:val="16"/>
          <w:color w:val="auto"/>
        </w:rPr>
      </w:pPr>
    </w:p>
    <w:p>
      <w:pPr>
        <w:ind w:left="160" w:right="179" w:hanging="9"/>
        <w:spacing w:after="0"/>
        <w:tabs>
          <w:tab w:leader="none" w:pos="396" w:val="left"/>
        </w:tabs>
        <w:numPr>
          <w:ilvl w:val="0"/>
          <w:numId w:val="47"/>
        </w:numPr>
        <w:rPr>
          <w:rFonts w:ascii="Arial" w:cs="Arial" w:eastAsia="Arial" w:hAnsi="Arial"/>
          <w:sz w:val="20"/>
          <w:szCs w:val="20"/>
          <w:color w:val="auto"/>
        </w:rPr>
      </w:pPr>
      <w:r>
        <w:rPr>
          <w:rFonts w:ascii="Arial" w:cs="Arial" w:eastAsia="Arial" w:hAnsi="Arial"/>
          <w:sz w:val="20"/>
          <w:szCs w:val="20"/>
          <w:color w:val="auto"/>
        </w:rPr>
        <w:t>under the Securities Act without regard to the proviso therein and otherwise in accordance with Rules 456(b) and 457(r) under the Securities Act (including, if applicable, by updating the “Calculation of Registration Fee” table in accordance with Rule 456(b)(1)(ii) either in a post-effective amendment to the Registration Statement or on the cover page of a prospectus filed pursuant to Rule 424(b) under the Securities Act).</w:t>
      </w:r>
    </w:p>
    <w:p>
      <w:pPr>
        <w:spacing w:after="0" w:line="211" w:lineRule="exact"/>
        <w:rPr>
          <w:rFonts w:ascii="Arial" w:cs="Arial" w:eastAsia="Arial" w:hAnsi="Arial"/>
          <w:sz w:val="20"/>
          <w:szCs w:val="20"/>
          <w:color w:val="auto"/>
        </w:rPr>
      </w:pPr>
    </w:p>
    <w:p>
      <w:pPr>
        <w:ind w:left="160" w:right="259" w:firstLine="639"/>
        <w:spacing w:after="0" w:line="269" w:lineRule="auto"/>
        <w:tabs>
          <w:tab w:leader="none" w:pos="1498"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Prospectus Supplement</w:t>
      </w:r>
      <w:r>
        <w:rPr>
          <w:rFonts w:ascii="Arial" w:cs="Arial" w:eastAsia="Arial" w:hAnsi="Arial"/>
          <w:sz w:val="19"/>
          <w:szCs w:val="19"/>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83" w:lineRule="exact"/>
        <w:rPr>
          <w:rFonts w:ascii="Arial" w:cs="Arial" w:eastAsia="Arial" w:hAnsi="Arial"/>
          <w:sz w:val="19"/>
          <w:szCs w:val="19"/>
          <w:color w:val="auto"/>
        </w:rPr>
      </w:pPr>
    </w:p>
    <w:p>
      <w:pPr>
        <w:ind w:left="1480" w:hanging="681"/>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No Material Notices</w:t>
      </w:r>
      <w:r>
        <w:rPr>
          <w:rFonts w:ascii="Arial" w:cs="Arial" w:eastAsia="Arial" w:hAnsi="Arial"/>
          <w:sz w:val="18"/>
          <w:szCs w:val="18"/>
          <w:color w:val="auto"/>
        </w:rPr>
        <w:t>. None of the following events shall have occurred and be continuing:</w:t>
      </w:r>
    </w:p>
    <w:p>
      <w:pPr>
        <w:spacing w:after="0" w:line="38" w:lineRule="exact"/>
        <w:rPr>
          <w:rFonts w:ascii="Arial" w:cs="Arial" w:eastAsia="Arial" w:hAnsi="Arial"/>
          <w:sz w:val="18"/>
          <w:szCs w:val="18"/>
          <w:color w:val="auto"/>
        </w:rPr>
      </w:pPr>
    </w:p>
    <w:p>
      <w:pPr>
        <w:ind w:left="160" w:right="299" w:hanging="9"/>
        <w:spacing w:after="0" w:line="269" w:lineRule="auto"/>
        <w:tabs>
          <w:tab w:leader="none" w:pos="3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ind w:left="160" w:right="159"/>
        <w:spacing w:after="0" w:line="258" w:lineRule="auto"/>
        <w:rPr>
          <w:sz w:val="20"/>
          <w:szCs w:val="20"/>
          <w:color w:val="auto"/>
        </w:rPr>
      </w:pPr>
      <w:r>
        <w:rPr>
          <w:rFonts w:ascii="Arial" w:cs="Arial" w:eastAsia="Arial" w:hAnsi="Arial"/>
          <w:sz w:val="19"/>
          <w:szCs w:val="19"/>
          <w:color w:val="auto"/>
        </w:rPr>
        <w:t>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94" w:lineRule="exact"/>
        <w:rPr>
          <w:sz w:val="20"/>
          <w:szCs w:val="20"/>
          <w:color w:val="auto"/>
        </w:rPr>
      </w:pPr>
    </w:p>
    <w:p>
      <w:pPr>
        <w:ind w:left="160" w:right="179" w:firstLine="639"/>
        <w:spacing w:after="0" w:line="282" w:lineRule="auto"/>
        <w:tabs>
          <w:tab w:leader="none" w:pos="149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The Agent shall not have advised the Company that the Registration Statement or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spacing w:after="0" w:line="175" w:lineRule="exact"/>
        <w:rPr>
          <w:rFonts w:ascii="Arial" w:cs="Arial" w:eastAsia="Arial" w:hAnsi="Arial"/>
          <w:sz w:val="18"/>
          <w:szCs w:val="18"/>
          <w:color w:val="auto"/>
        </w:rPr>
      </w:pPr>
    </w:p>
    <w:p>
      <w:pPr>
        <w:ind w:left="160" w:right="199" w:firstLine="639"/>
        <w:spacing w:after="0" w:line="271" w:lineRule="auto"/>
        <w:tabs>
          <w:tab w:leader="none" w:pos="1487"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Material Changes</w:t>
      </w:r>
      <w:r>
        <w:rPr>
          <w:rFonts w:ascii="Arial" w:cs="Arial" w:eastAsia="Arial" w:hAnsi="Arial"/>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8" w:lineRule="exact"/>
        <w:rPr>
          <w:rFonts w:ascii="Arial" w:cs="Arial" w:eastAsia="Arial" w:hAnsi="Arial"/>
          <w:sz w:val="18"/>
          <w:szCs w:val="18"/>
          <w:color w:val="auto"/>
        </w:rPr>
      </w:pPr>
    </w:p>
    <w:p>
      <w:pPr>
        <w:ind w:left="160" w:right="179" w:firstLine="639"/>
        <w:spacing w:after="0" w:line="270" w:lineRule="auto"/>
        <w:tabs>
          <w:tab w:leader="none" w:pos="146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Company Counsel Legal Opinions</w:t>
      </w:r>
      <w:r>
        <w:rPr>
          <w:rFonts w:ascii="Arial" w:cs="Arial" w:eastAsia="Arial" w:hAnsi="Arial"/>
          <w:sz w:val="18"/>
          <w:szCs w:val="18"/>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w:t>
      </w:r>
    </w:p>
    <w:p>
      <w:pPr>
        <w:spacing w:after="0" w:line="2"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20"/>
          <w:szCs w:val="20"/>
          <w:color w:val="auto"/>
        </w:rPr>
        <w:t>Section 7(o), as applicable.</w:t>
      </w:r>
    </w:p>
    <w:p>
      <w:pPr>
        <w:spacing w:after="0" w:line="213" w:lineRule="exact"/>
        <w:rPr>
          <w:rFonts w:ascii="Arial" w:cs="Arial" w:eastAsia="Arial" w:hAnsi="Arial"/>
          <w:sz w:val="18"/>
          <w:szCs w:val="18"/>
          <w:color w:val="auto"/>
        </w:rPr>
      </w:pPr>
    </w:p>
    <w:p>
      <w:pPr>
        <w:ind w:left="160" w:right="139" w:firstLine="639"/>
        <w:spacing w:after="0" w:line="244" w:lineRule="auto"/>
        <w:tabs>
          <w:tab w:leader="none" w:pos="1498"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Agent’s Counsel Legal Opinion</w:t>
      </w:r>
      <w:r>
        <w:rPr>
          <w:rFonts w:ascii="Arial" w:cs="Arial" w:eastAsia="Arial" w:hAnsi="Arial"/>
          <w:sz w:val="20"/>
          <w:szCs w:val="20"/>
          <w:color w:val="auto"/>
        </w:rPr>
        <w:t>. The Agent shall have received from Covington &amp; Burling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spacing w:after="0" w:line="208" w:lineRule="exact"/>
        <w:rPr>
          <w:rFonts w:ascii="Arial" w:cs="Arial" w:eastAsia="Arial" w:hAnsi="Arial"/>
          <w:sz w:val="20"/>
          <w:szCs w:val="20"/>
          <w:color w:val="auto"/>
        </w:rPr>
      </w:pPr>
    </w:p>
    <w:p>
      <w:pPr>
        <w:ind w:left="160" w:right="319" w:firstLine="639"/>
        <w:spacing w:after="0" w:line="250" w:lineRule="auto"/>
        <w:tabs>
          <w:tab w:leader="none" w:pos="1498"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Comfort Letter</w:t>
      </w:r>
      <w:r>
        <w:rPr>
          <w:rFonts w:ascii="Arial" w:cs="Arial" w:eastAsia="Arial" w:hAnsi="Arial"/>
          <w:sz w:val="20"/>
          <w:szCs w:val="20"/>
          <w:color w:val="auto"/>
        </w:rPr>
        <w:t>. The Agent shall have received the Comfort Letter required to be delivered pursuant to Section 7(p) on or before the date on which such delivery of such Comfort Letter is required pursuant to Section 7(p).</w:t>
      </w:r>
    </w:p>
    <w:p>
      <w:pPr>
        <w:spacing w:after="0" w:line="199" w:lineRule="exact"/>
        <w:rPr>
          <w:rFonts w:ascii="Arial" w:cs="Arial" w:eastAsia="Arial" w:hAnsi="Arial"/>
          <w:sz w:val="20"/>
          <w:szCs w:val="20"/>
          <w:color w:val="auto"/>
        </w:rPr>
      </w:pPr>
    </w:p>
    <w:p>
      <w:pPr>
        <w:ind w:left="160" w:right="599" w:firstLine="639"/>
        <w:spacing w:after="0" w:line="250" w:lineRule="auto"/>
        <w:tabs>
          <w:tab w:leader="none" w:pos="1454"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Representation Certificate</w:t>
      </w:r>
      <w:r>
        <w:rPr>
          <w:rFonts w:ascii="Arial" w:cs="Arial" w:eastAsia="Arial" w:hAnsi="Arial"/>
          <w:sz w:val="20"/>
          <w:szCs w:val="20"/>
          <w:color w:val="auto"/>
        </w:rPr>
        <w:t>. The Agent shall have received the certificate required to be delivered pursuant to Section 7(m) on or before the date on which delivery of such certificate is required pursuant to Section 7(m).</w:t>
      </w:r>
    </w:p>
    <w:p>
      <w:pPr>
        <w:spacing w:after="0" w:line="199" w:lineRule="exact"/>
        <w:rPr>
          <w:rFonts w:ascii="Arial" w:cs="Arial" w:eastAsia="Arial" w:hAnsi="Arial"/>
          <w:sz w:val="20"/>
          <w:szCs w:val="20"/>
          <w:color w:val="auto"/>
        </w:rPr>
      </w:pPr>
    </w:p>
    <w:p>
      <w:pPr>
        <w:jc w:val="both"/>
        <w:ind w:left="160" w:right="199" w:firstLine="639"/>
        <w:spacing w:after="0" w:line="278" w:lineRule="auto"/>
        <w:tabs>
          <w:tab w:leader="none" w:pos="152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On or prior to the First Placement Notice Date, the Agent shall have received a certificate, signed on behalf of the Company by its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ind w:left="160" w:right="199"/>
        <w:spacing w:after="0" w:line="264" w:lineRule="auto"/>
        <w:rPr>
          <w:sz w:val="20"/>
          <w:szCs w:val="20"/>
          <w:color w:val="auto"/>
        </w:rPr>
      </w:pPr>
      <w:r>
        <w:rPr>
          <w:rFonts w:ascii="Arial" w:cs="Arial" w:eastAsia="Arial" w:hAnsi="Arial"/>
          <w:sz w:val="19"/>
          <w:szCs w:val="19"/>
          <w:color w:val="auto"/>
        </w:rPr>
        <w:t xml:space="preserve">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w:t>
      </w:r>
    </w:p>
    <w:p>
      <w:pPr>
        <w:spacing w:after="0" w:line="188" w:lineRule="exact"/>
        <w:rPr>
          <w:sz w:val="20"/>
          <w:szCs w:val="20"/>
          <w:color w:val="auto"/>
        </w:rPr>
      </w:pPr>
    </w:p>
    <w:p>
      <w:pPr>
        <w:ind w:left="1480" w:hanging="681"/>
        <w:spacing w:after="0"/>
        <w:tabs>
          <w:tab w:leader="none" w:pos="14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[Reserved.]</w:t>
      </w:r>
    </w:p>
    <w:p>
      <w:pPr>
        <w:spacing w:after="0" w:line="229" w:lineRule="exact"/>
        <w:rPr>
          <w:rFonts w:ascii="Arial" w:cs="Arial" w:eastAsia="Arial" w:hAnsi="Arial"/>
          <w:sz w:val="20"/>
          <w:szCs w:val="20"/>
          <w:color w:val="auto"/>
        </w:rPr>
      </w:pPr>
    </w:p>
    <w:p>
      <w:pPr>
        <w:ind w:left="160" w:right="279" w:firstLine="639"/>
        <w:spacing w:after="0" w:line="250" w:lineRule="auto"/>
        <w:tabs>
          <w:tab w:leader="none" w:pos="1454"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No Suspension</w:t>
      </w:r>
      <w:r>
        <w:rPr>
          <w:rFonts w:ascii="Arial" w:cs="Arial" w:eastAsia="Arial" w:hAnsi="Arial"/>
          <w:sz w:val="20"/>
          <w:szCs w:val="20"/>
          <w:color w:val="auto"/>
        </w:rPr>
        <w:t>. The Shares are duly listed, and admitted and authorized for trading, subject to official notice of issuance, on Nasdaq. Trading in the Shares shall not have been suspended on, and the Shares shall not have been delisted from, Nasdaq.</w:t>
      </w:r>
    </w:p>
    <w:p>
      <w:pPr>
        <w:spacing w:after="0" w:line="199" w:lineRule="exact"/>
        <w:rPr>
          <w:rFonts w:ascii="Arial" w:cs="Arial" w:eastAsia="Arial" w:hAnsi="Arial"/>
          <w:sz w:val="20"/>
          <w:szCs w:val="20"/>
          <w:color w:val="auto"/>
        </w:rPr>
      </w:pPr>
    </w:p>
    <w:p>
      <w:pPr>
        <w:ind w:left="160" w:right="279" w:firstLine="639"/>
        <w:spacing w:after="0" w:line="276" w:lineRule="auto"/>
        <w:tabs>
          <w:tab w:leader="none" w:pos="155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Other Materials</w:t>
      </w:r>
      <w:r>
        <w:rPr>
          <w:rFonts w:ascii="Arial" w:cs="Arial" w:eastAsia="Arial" w:hAnsi="Arial"/>
          <w:sz w:val="18"/>
          <w:szCs w:val="18"/>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 the Agent with conformed copies of such opinions, certificates, letters and other documents as the Agent may have reasonably requested.</w:t>
      </w:r>
    </w:p>
    <w:p>
      <w:pPr>
        <w:spacing w:after="0" w:line="178" w:lineRule="exact"/>
        <w:rPr>
          <w:rFonts w:ascii="Arial" w:cs="Arial" w:eastAsia="Arial" w:hAnsi="Arial"/>
          <w:sz w:val="18"/>
          <w:szCs w:val="18"/>
          <w:color w:val="auto"/>
        </w:rPr>
      </w:pPr>
    </w:p>
    <w:p>
      <w:pPr>
        <w:ind w:left="160" w:right="239" w:firstLine="639"/>
        <w:spacing w:after="0" w:line="263" w:lineRule="auto"/>
        <w:tabs>
          <w:tab w:leader="none" w:pos="1498"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Securities Act Filings Made</w:t>
      </w:r>
      <w:r>
        <w:rPr>
          <w:rFonts w:ascii="Arial" w:cs="Arial" w:eastAsia="Arial" w:hAnsi="Arial"/>
          <w:sz w:val="19"/>
          <w:szCs w:val="19"/>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190" w:lineRule="exact"/>
        <w:rPr>
          <w:rFonts w:ascii="Arial" w:cs="Arial" w:eastAsia="Arial" w:hAnsi="Arial"/>
          <w:sz w:val="19"/>
          <w:szCs w:val="19"/>
          <w:color w:val="auto"/>
        </w:rPr>
      </w:pPr>
    </w:p>
    <w:p>
      <w:pPr>
        <w:ind w:left="160" w:right="159" w:firstLine="639"/>
        <w:spacing w:after="0" w:line="263" w:lineRule="auto"/>
        <w:tabs>
          <w:tab w:leader="none" w:pos="1498"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Approval for Listing</w:t>
      </w:r>
      <w:r>
        <w:rPr>
          <w:rFonts w:ascii="Arial" w:cs="Arial" w:eastAsia="Arial" w:hAnsi="Arial"/>
          <w:sz w:val="19"/>
          <w:szCs w:val="19"/>
          <w:color w:val="auto"/>
        </w:rPr>
        <w:t>. The Placement Shares shall either have been (i) approved for listing on Nasdaq, subject only to notice of issuance, or (ii) the Company shall have filed an application for listing of the Placement Shares on Nasdaq at, or prior to, the First Placement Notice Date and Nasdaq shall have reviewed such application and not provided any objections thereto.</w:t>
      </w:r>
    </w:p>
    <w:p>
      <w:pPr>
        <w:spacing w:after="0" w:line="190" w:lineRule="exact"/>
        <w:rPr>
          <w:rFonts w:ascii="Arial" w:cs="Arial" w:eastAsia="Arial" w:hAnsi="Arial"/>
          <w:sz w:val="19"/>
          <w:szCs w:val="19"/>
          <w:color w:val="auto"/>
        </w:rPr>
      </w:pPr>
    </w:p>
    <w:p>
      <w:pPr>
        <w:jc w:val="both"/>
        <w:ind w:left="160" w:right="579" w:firstLine="639"/>
        <w:spacing w:after="0" w:line="250" w:lineRule="auto"/>
        <w:tabs>
          <w:tab w:leader="none" w:pos="1498"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FINRA</w:t>
      </w:r>
      <w:r>
        <w:rPr>
          <w:rFonts w:ascii="Arial" w:cs="Arial" w:eastAsia="Arial" w:hAnsi="Arial"/>
          <w:sz w:val="20"/>
          <w:szCs w:val="20"/>
          <w:color w:val="auto"/>
        </w:rPr>
        <w:t>. If the offering is required to be filed with FINRA, FINRA shall have raised no objection to the terms of the offering contemplated hereby and the amount of compensation allowable or payable to the Agent as described in the Prospectus.</w:t>
      </w:r>
    </w:p>
    <w:p>
      <w:pPr>
        <w:spacing w:after="0" w:line="199" w:lineRule="exact"/>
        <w:rPr>
          <w:rFonts w:ascii="Arial" w:cs="Arial" w:eastAsia="Arial" w:hAnsi="Arial"/>
          <w:sz w:val="20"/>
          <w:szCs w:val="20"/>
          <w:color w:val="auto"/>
        </w:rPr>
      </w:pPr>
    </w:p>
    <w:p>
      <w:pPr>
        <w:ind w:left="160" w:right="179" w:firstLine="639"/>
        <w:spacing w:after="0" w:line="260" w:lineRule="auto"/>
        <w:tabs>
          <w:tab w:leader="none" w:pos="1498"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No Termination Event</w:t>
      </w:r>
      <w:r>
        <w:rPr>
          <w:rFonts w:ascii="Arial" w:cs="Arial" w:eastAsia="Arial" w:hAnsi="Arial"/>
          <w:sz w:val="20"/>
          <w:szCs w:val="20"/>
          <w:color w:val="auto"/>
        </w:rPr>
        <w:t>. There shall not have occurred any event that would permit the Agent to terminate this Agreement pursuant to Section 11(a).</w:t>
      </w:r>
    </w:p>
    <w:p>
      <w:pPr>
        <w:spacing w:after="0" w:line="190" w:lineRule="exact"/>
        <w:rPr>
          <w:sz w:val="20"/>
          <w:szCs w:val="20"/>
          <w:color w:val="auto"/>
        </w:rPr>
      </w:pPr>
    </w:p>
    <w:p>
      <w:pPr>
        <w:ind w:left="1480" w:hanging="681"/>
        <w:spacing w:after="0"/>
        <w:tabs>
          <w:tab w:leader="none" w:pos="148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Indemnification and Contribution</w:t>
      </w:r>
      <w:r>
        <w:rPr>
          <w:rFonts w:ascii="Arial" w:cs="Arial" w:eastAsia="Arial" w:hAnsi="Arial"/>
          <w:sz w:val="20"/>
          <w:szCs w:val="20"/>
          <w:color w:val="auto"/>
        </w:rPr>
        <w:t>.</w:t>
      </w:r>
    </w:p>
    <w:p>
      <w:pPr>
        <w:spacing w:after="0" w:line="229" w:lineRule="exact"/>
        <w:rPr>
          <w:sz w:val="20"/>
          <w:szCs w:val="20"/>
          <w:color w:val="auto"/>
        </w:rPr>
      </w:pPr>
    </w:p>
    <w:p>
      <w:pPr>
        <w:ind w:left="160" w:right="159" w:firstLine="639"/>
        <w:spacing w:after="0" w:line="270" w:lineRule="auto"/>
        <w:tabs>
          <w:tab w:leader="none" w:pos="148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Company Indemnification</w:t>
      </w:r>
      <w:r>
        <w:rPr>
          <w:rFonts w:ascii="Arial" w:cs="Arial" w:eastAsia="Arial" w:hAnsi="Arial"/>
          <w:sz w:val="18"/>
          <w:szCs w:val="18"/>
          <w:color w:val="auto"/>
        </w:rPr>
        <w:t>.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but not limited to, any and all investigative, legal and other expenses reasonably incurred in connection with, and any and all amounts paid in settlement of (in accordance with this Section 9), any action, suit, investigation or proceeding between any of the indemnified parties and any indemnifying parties or between any indemnified party and any third party (including, without limitation,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ind w:left="160" w:right="239"/>
        <w:spacing w:after="0" w:line="270" w:lineRule="auto"/>
        <w:rPr>
          <w:sz w:val="20"/>
          <w:szCs w:val="20"/>
          <w:color w:val="auto"/>
        </w:rPr>
      </w:pPr>
      <w:r>
        <w:rPr>
          <w:rFonts w:ascii="Arial" w:cs="Arial" w:eastAsia="Arial" w:hAnsi="Arial"/>
          <w:sz w:val="18"/>
          <w:szCs w:val="18"/>
          <w:color w:val="auto"/>
        </w:rPr>
        <w:t xml:space="preserve">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Shares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 (z) any breach by any of the indemnifying parties of any of their respective representations, warranties or agreements contained in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188" w:lineRule="exact"/>
        <w:rPr>
          <w:sz w:val="20"/>
          <w:szCs w:val="20"/>
          <w:color w:val="auto"/>
        </w:rPr>
      </w:pPr>
    </w:p>
    <w:p>
      <w:pPr>
        <w:ind w:left="160" w:right="199" w:firstLine="639"/>
        <w:spacing w:after="0" w:line="273" w:lineRule="auto"/>
        <w:tabs>
          <w:tab w:leader="none" w:pos="1498"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Agent Indemnification</w:t>
      </w:r>
      <w:r>
        <w:rPr>
          <w:rFonts w:ascii="Arial" w:cs="Arial" w:eastAsia="Arial" w:hAnsi="Arial"/>
          <w:sz w:val="18"/>
          <w:szCs w:val="18"/>
          <w:color w:val="auto"/>
        </w:rPr>
        <w:t>. The Agent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82" w:lineRule="exact"/>
        <w:rPr>
          <w:rFonts w:ascii="Arial" w:cs="Arial" w:eastAsia="Arial" w:hAnsi="Arial"/>
          <w:sz w:val="18"/>
          <w:szCs w:val="18"/>
          <w:color w:val="auto"/>
        </w:rPr>
      </w:pPr>
    </w:p>
    <w:p>
      <w:pPr>
        <w:ind w:left="160" w:right="139" w:firstLine="639"/>
        <w:spacing w:after="0" w:line="267" w:lineRule="auto"/>
        <w:tabs>
          <w:tab w:leader="none" w:pos="1487"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w:t>
      </w:r>
    </w:p>
    <w:p>
      <w:pPr>
        <w:spacing w:after="0" w:line="3" w:lineRule="exact"/>
        <w:rPr>
          <w:rFonts w:ascii="Arial" w:cs="Arial" w:eastAsia="Arial" w:hAnsi="Arial"/>
          <w:sz w:val="18"/>
          <w:szCs w:val="18"/>
          <w:color w:val="auto"/>
        </w:rPr>
      </w:pPr>
    </w:p>
    <w:p>
      <w:pPr>
        <w:ind w:left="160" w:right="259" w:hanging="9"/>
        <w:spacing w:after="0" w:line="270"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35" w:name="page36"/>
    <w:bookmarkEnd w:id="35"/>
    <w:p>
      <w:pPr>
        <w:ind w:left="160" w:right="199"/>
        <w:spacing w:after="0" w:line="269" w:lineRule="auto"/>
        <w:rPr>
          <w:sz w:val="20"/>
          <w:szCs w:val="20"/>
          <w:color w:val="auto"/>
        </w:rPr>
      </w:pPr>
      <w:r>
        <w:rPr>
          <w:rFonts w:ascii="Arial" w:cs="Arial" w:eastAsia="Arial" w:hAnsi="Arial"/>
          <w:sz w:val="18"/>
          <w:szCs w:val="18"/>
          <w:color w:val="auto"/>
        </w:rPr>
        <w:t>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195" w:lineRule="exact"/>
        <w:rPr>
          <w:sz w:val="20"/>
          <w:szCs w:val="20"/>
          <w:color w:val="auto"/>
        </w:rPr>
      </w:pPr>
    </w:p>
    <w:p>
      <w:pPr>
        <w:ind w:left="160" w:right="159" w:firstLine="639"/>
        <w:spacing w:after="0" w:line="273" w:lineRule="auto"/>
        <w:tabs>
          <w:tab w:leader="none" w:pos="149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Settlement Without Consent if Failure to Reimburse</w:t>
      </w:r>
      <w:r>
        <w:rPr>
          <w:rFonts w:ascii="Arial" w:cs="Arial" w:eastAsia="Arial" w:hAnsi="Arial"/>
          <w:sz w:val="18"/>
          <w:szCs w:val="18"/>
          <w:i w:val="1"/>
          <w:iCs w:val="1"/>
          <w:color w:val="auto"/>
        </w:rPr>
        <w:t>.</w:t>
      </w:r>
      <w:r>
        <w:rPr>
          <w:rFonts w:ascii="Arial" w:cs="Arial" w:eastAsia="Arial" w:hAnsi="Arial"/>
          <w:sz w:val="18"/>
          <w:szCs w:val="18"/>
          <w:color w:val="auto"/>
        </w:rPr>
        <w:t xml:space="preserve"> 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2" w:lineRule="exact"/>
        <w:rPr>
          <w:rFonts w:ascii="Arial" w:cs="Arial" w:eastAsia="Arial" w:hAnsi="Arial"/>
          <w:sz w:val="18"/>
          <w:szCs w:val="18"/>
          <w:color w:val="auto"/>
        </w:rPr>
      </w:pPr>
    </w:p>
    <w:p>
      <w:pPr>
        <w:ind w:left="160" w:right="159" w:firstLine="639"/>
        <w:spacing w:after="0" w:line="268" w:lineRule="auto"/>
        <w:tabs>
          <w:tab w:leader="none" w:pos="155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ind w:left="160" w:right="159"/>
        <w:spacing w:after="0" w:line="268" w:lineRule="auto"/>
        <w:rPr>
          <w:sz w:val="20"/>
          <w:szCs w:val="20"/>
          <w:color w:val="auto"/>
        </w:rPr>
      </w:pPr>
      <w:r>
        <w:rPr>
          <w:rFonts w:ascii="Arial" w:cs="Arial" w:eastAsia="Arial" w:hAnsi="Arial"/>
          <w:sz w:val="18"/>
          <w:szCs w:val="18"/>
          <w:color w:val="auto"/>
        </w:rPr>
        <w:t xml:space="preserve">equitable if contributions pursuant to this Section 9(e) were to be determined by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192" w:lineRule="exact"/>
        <w:rPr>
          <w:sz w:val="20"/>
          <w:szCs w:val="20"/>
          <w:color w:val="auto"/>
        </w:rPr>
      </w:pPr>
    </w:p>
    <w:p>
      <w:pPr>
        <w:ind w:left="160" w:right="159" w:firstLine="639"/>
        <w:spacing w:after="0" w:line="276" w:lineRule="auto"/>
        <w:tabs>
          <w:tab w:leader="none" w:pos="151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Representations and Agreements to Survive Delivery</w:t>
      </w:r>
      <w:r>
        <w:rPr>
          <w:rFonts w:ascii="Arial" w:cs="Arial" w:eastAsia="Arial" w:hAnsi="Arial"/>
          <w:sz w:val="18"/>
          <w:szCs w:val="18"/>
          <w:color w:val="auto"/>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78" w:lineRule="exact"/>
        <w:rPr>
          <w:rFonts w:ascii="Arial" w:cs="Arial" w:eastAsia="Arial" w:hAnsi="Arial"/>
          <w:sz w:val="18"/>
          <w:szCs w:val="18"/>
          <w:color w:val="auto"/>
        </w:rPr>
      </w:pPr>
    </w:p>
    <w:p>
      <w:pPr>
        <w:ind w:left="1500" w:hanging="701"/>
        <w:spacing w:after="0"/>
        <w:tabs>
          <w:tab w:leader="none" w:pos="15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w:t>
      </w:r>
    </w:p>
    <w:p>
      <w:pPr>
        <w:spacing w:after="0" w:line="229" w:lineRule="exact"/>
        <w:rPr>
          <w:sz w:val="20"/>
          <w:szCs w:val="20"/>
          <w:color w:val="auto"/>
        </w:rPr>
      </w:pPr>
    </w:p>
    <w:p>
      <w:pPr>
        <w:ind w:left="160" w:right="199" w:firstLine="639"/>
        <w:spacing w:after="0" w:line="269" w:lineRule="auto"/>
        <w:tabs>
          <w:tab w:leader="none" w:pos="14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case of any failure of the Company to deliver (or cause another person to deliver) any</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ind w:left="160" w:right="259"/>
        <w:spacing w:after="0" w:line="259" w:lineRule="auto"/>
        <w:rPr>
          <w:sz w:val="20"/>
          <w:szCs w:val="20"/>
          <w:color w:val="auto"/>
        </w:rPr>
      </w:pPr>
      <w:r>
        <w:rPr>
          <w:rFonts w:ascii="Arial" w:cs="Arial" w:eastAsia="Arial" w:hAnsi="Arial"/>
          <w:sz w:val="19"/>
          <w:szCs w:val="19"/>
          <w:color w:val="auto"/>
        </w:rPr>
        <w:t>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194" w:lineRule="exact"/>
        <w:rPr>
          <w:sz w:val="20"/>
          <w:szCs w:val="20"/>
          <w:color w:val="auto"/>
        </w:rPr>
      </w:pPr>
    </w:p>
    <w:p>
      <w:pPr>
        <w:ind w:left="160" w:right="159" w:firstLine="639"/>
        <w:spacing w:after="0" w:line="244" w:lineRule="auto"/>
        <w:tabs>
          <w:tab w:leader="none" w:pos="1498"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208" w:lineRule="exact"/>
        <w:rPr>
          <w:rFonts w:ascii="Arial" w:cs="Arial" w:eastAsia="Arial" w:hAnsi="Arial"/>
          <w:sz w:val="20"/>
          <w:szCs w:val="20"/>
          <w:color w:val="auto"/>
        </w:rPr>
      </w:pPr>
    </w:p>
    <w:p>
      <w:pPr>
        <w:ind w:left="160" w:right="159" w:firstLine="639"/>
        <w:spacing w:after="0" w:line="244" w:lineRule="auto"/>
        <w:tabs>
          <w:tab w:leader="none" w:pos="1487"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208" w:lineRule="exact"/>
        <w:rPr>
          <w:rFonts w:ascii="Arial" w:cs="Arial" w:eastAsia="Arial" w:hAnsi="Arial"/>
          <w:sz w:val="20"/>
          <w:szCs w:val="20"/>
          <w:color w:val="auto"/>
        </w:rPr>
      </w:pPr>
    </w:p>
    <w:p>
      <w:pPr>
        <w:ind w:left="160" w:right="319" w:firstLine="639"/>
        <w:spacing w:after="0" w:line="244" w:lineRule="auto"/>
        <w:tabs>
          <w:tab w:leader="none" w:pos="1498"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provisions of Section 7(g), Section 9, Section 10, Section 11(f), Section 16 and Section 17 hereof shall remain in full force and effect notwithstanding such termination.</w:t>
      </w:r>
    </w:p>
    <w:p>
      <w:pPr>
        <w:spacing w:after="0" w:line="208" w:lineRule="exact"/>
        <w:rPr>
          <w:rFonts w:ascii="Arial" w:cs="Arial" w:eastAsia="Arial" w:hAnsi="Arial"/>
          <w:sz w:val="20"/>
          <w:szCs w:val="20"/>
          <w:color w:val="auto"/>
        </w:rPr>
      </w:pPr>
    </w:p>
    <w:p>
      <w:pPr>
        <w:ind w:left="160" w:right="139" w:firstLine="639"/>
        <w:spacing w:after="0" w:line="282" w:lineRule="auto"/>
        <w:tabs>
          <w:tab w:leader="none" w:pos="14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This Agreement shall remain in full force and effect unless terminated pursuant to Sections 11(a), (b), (c), or (d) above or otherwise by mutual agreement of the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termination by mutual agreement shall in all cases be deemed to provide that Section 7(g), Section 9, Section 10, Section 11(f), Section 16 and Section 17 shall remain in full force and effect.</w:t>
      </w:r>
    </w:p>
    <w:p>
      <w:pPr>
        <w:spacing w:after="0" w:line="175" w:lineRule="exact"/>
        <w:rPr>
          <w:rFonts w:ascii="Arial" w:cs="Arial" w:eastAsia="Arial" w:hAnsi="Arial"/>
          <w:sz w:val="18"/>
          <w:szCs w:val="18"/>
          <w:color w:val="auto"/>
        </w:rPr>
      </w:pPr>
    </w:p>
    <w:p>
      <w:pPr>
        <w:ind w:left="160" w:right="279" w:firstLine="639"/>
        <w:spacing w:after="0" w:line="273" w:lineRule="auto"/>
        <w:tabs>
          <w:tab w:leader="none" w:pos="14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remain obligated to reimburse the Agent’s expenses pursuant to Section 7(g).</w:t>
      </w:r>
    </w:p>
    <w:p>
      <w:pPr>
        <w:spacing w:after="0" w:line="183" w:lineRule="exact"/>
        <w:rPr>
          <w:sz w:val="20"/>
          <w:szCs w:val="20"/>
          <w:color w:val="auto"/>
        </w:rPr>
      </w:pPr>
    </w:p>
    <w:p>
      <w:pPr>
        <w:ind w:left="160" w:right="179" w:firstLine="639"/>
        <w:spacing w:after="0" w:line="250" w:lineRule="auto"/>
        <w:tabs>
          <w:tab w:leader="none" w:pos="1515"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0"/>
          <w:szCs w:val="20"/>
          <w:color w:val="auto"/>
        </w:rPr>
        <w:t>SVB Leerink LLC</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1301 Avenue of the Americas, 12</w:t>
      </w:r>
      <w:r>
        <w:rPr>
          <w:rFonts w:ascii="Arial" w:cs="Arial" w:eastAsia="Arial" w:hAnsi="Arial"/>
          <w:sz w:val="10"/>
          <w:szCs w:val="10"/>
          <w:color w:val="auto"/>
        </w:rPr>
        <w:t>th</w:t>
      </w:r>
      <w:r>
        <w:rPr>
          <w:rFonts w:ascii="Arial" w:cs="Arial" w:eastAsia="Arial" w:hAnsi="Arial"/>
          <w:sz w:val="20"/>
          <w:szCs w:val="20"/>
          <w:color w:val="auto"/>
        </w:rPr>
        <w:t xml:space="preserve"> Floor</w:t>
      </w:r>
    </w:p>
    <w:p>
      <w:pPr>
        <w:ind w:left="720"/>
        <w:spacing w:after="0"/>
        <w:rPr>
          <w:sz w:val="20"/>
          <w:szCs w:val="20"/>
          <w:color w:val="auto"/>
        </w:rPr>
      </w:pPr>
      <w:r>
        <w:rPr>
          <w:rFonts w:ascii="Arial" w:cs="Arial" w:eastAsia="Arial" w:hAnsi="Arial"/>
          <w:sz w:val="20"/>
          <w:szCs w:val="20"/>
          <w:color w:val="auto"/>
        </w:rPr>
        <w:t>New York, New York 10019</w:t>
      </w:r>
    </w:p>
    <w:p>
      <w:pPr>
        <w:ind w:left="720"/>
        <w:spacing w:after="0"/>
        <w:rPr>
          <w:sz w:val="20"/>
          <w:szCs w:val="20"/>
          <w:color w:val="auto"/>
        </w:rPr>
      </w:pPr>
      <w:r>
        <w:rPr>
          <w:rFonts w:ascii="Arial" w:cs="Arial" w:eastAsia="Arial" w:hAnsi="Arial"/>
          <w:sz w:val="20"/>
          <w:szCs w:val="20"/>
          <w:color w:val="auto"/>
        </w:rPr>
        <w:t>Attention: Gabriel Cavazos</w:t>
      </w:r>
    </w:p>
    <w:p>
      <w:pPr>
        <w:ind w:left="720"/>
        <w:spacing w:after="0"/>
        <w:rPr>
          <w:sz w:val="20"/>
          <w:szCs w:val="20"/>
          <w:color w:val="auto"/>
        </w:rPr>
      </w:pPr>
      <w:r>
        <w:rPr>
          <w:rFonts w:ascii="Arial" w:cs="Arial" w:eastAsia="Arial" w:hAnsi="Arial"/>
          <w:sz w:val="20"/>
          <w:szCs w:val="20"/>
          <w:color w:val="auto"/>
        </w:rPr>
        <w:t>Facsimile: (646) 499-7130</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with copies (which shall not constitute notice) to:</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38" w:name="page39"/>
    <w:bookmarkEnd w:id="38"/>
    <w:p>
      <w:pPr>
        <w:ind w:left="720"/>
        <w:spacing w:after="0"/>
        <w:rPr>
          <w:sz w:val="20"/>
          <w:szCs w:val="20"/>
          <w:color w:val="auto"/>
        </w:rPr>
      </w:pPr>
      <w:r>
        <w:rPr>
          <w:rFonts w:ascii="Arial" w:cs="Arial" w:eastAsia="Arial" w:hAnsi="Arial"/>
          <w:sz w:val="20"/>
          <w:szCs w:val="20"/>
          <w:color w:val="auto"/>
        </w:rPr>
        <w:t>SVB Leerink LLC</w:t>
      </w:r>
    </w:p>
    <w:p>
      <w:pPr>
        <w:spacing w:after="0" w:line="1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1301 Avenue of the Americas, 12</w:t>
      </w:r>
      <w:r>
        <w:rPr>
          <w:rFonts w:ascii="Arial" w:cs="Arial" w:eastAsia="Arial" w:hAnsi="Arial"/>
          <w:sz w:val="10"/>
          <w:szCs w:val="10"/>
          <w:color w:val="auto"/>
        </w:rPr>
        <w:t>th</w:t>
      </w:r>
      <w:r>
        <w:rPr>
          <w:rFonts w:ascii="Arial" w:cs="Arial" w:eastAsia="Arial" w:hAnsi="Arial"/>
          <w:sz w:val="20"/>
          <w:szCs w:val="20"/>
          <w:color w:val="auto"/>
        </w:rPr>
        <w:t xml:space="preserve"> Floor</w:t>
      </w:r>
    </w:p>
    <w:p>
      <w:pPr>
        <w:ind w:left="720"/>
        <w:spacing w:after="0"/>
        <w:rPr>
          <w:sz w:val="20"/>
          <w:szCs w:val="20"/>
          <w:color w:val="auto"/>
        </w:rPr>
      </w:pPr>
      <w:r>
        <w:rPr>
          <w:rFonts w:ascii="Arial" w:cs="Arial" w:eastAsia="Arial" w:hAnsi="Arial"/>
          <w:sz w:val="20"/>
          <w:szCs w:val="20"/>
          <w:color w:val="auto"/>
        </w:rPr>
        <w:t>New York, New York 10019</w:t>
      </w:r>
    </w:p>
    <w:p>
      <w:pPr>
        <w:ind w:left="720"/>
        <w:spacing w:after="0"/>
        <w:rPr>
          <w:sz w:val="20"/>
          <w:szCs w:val="20"/>
          <w:color w:val="auto"/>
        </w:rPr>
      </w:pPr>
      <w:r>
        <w:rPr>
          <w:rFonts w:ascii="Arial" w:cs="Arial" w:eastAsia="Arial" w:hAnsi="Arial"/>
          <w:sz w:val="20"/>
          <w:szCs w:val="20"/>
          <w:color w:val="auto"/>
        </w:rPr>
        <w:t>Attention: Stuart R. Nayman, Esq.</w:t>
      </w:r>
    </w:p>
    <w:p>
      <w:pPr>
        <w:ind w:left="720"/>
        <w:spacing w:after="0"/>
        <w:rPr>
          <w:sz w:val="20"/>
          <w:szCs w:val="20"/>
          <w:color w:val="auto"/>
        </w:rPr>
      </w:pPr>
      <w:r>
        <w:rPr>
          <w:rFonts w:ascii="Arial" w:cs="Arial" w:eastAsia="Arial" w:hAnsi="Arial"/>
          <w:sz w:val="20"/>
          <w:szCs w:val="20"/>
          <w:color w:val="auto"/>
        </w:rPr>
        <w:t>Facsimile: (646) 499-7051</w:t>
      </w:r>
    </w:p>
    <w:p>
      <w:pPr>
        <w:ind w:left="720"/>
        <w:spacing w:after="0"/>
        <w:rPr>
          <w:sz w:val="20"/>
          <w:szCs w:val="20"/>
          <w:color w:val="auto"/>
        </w:rPr>
      </w:pPr>
      <w:r>
        <w:rPr>
          <w:rFonts w:ascii="Arial" w:cs="Arial" w:eastAsia="Arial" w:hAnsi="Arial"/>
          <w:sz w:val="20"/>
          <w:szCs w:val="20"/>
          <w:color w:val="auto"/>
        </w:rPr>
        <w:t>E-mail: stuart.nayman@leerink.com</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Covington &amp; Burling LLP</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New York Times Building</w:t>
      </w:r>
    </w:p>
    <w:p>
      <w:pPr>
        <w:ind w:left="720"/>
        <w:spacing w:after="0"/>
        <w:rPr>
          <w:sz w:val="20"/>
          <w:szCs w:val="20"/>
          <w:color w:val="auto"/>
        </w:rPr>
      </w:pPr>
      <w:r>
        <w:rPr>
          <w:rFonts w:ascii="Arial" w:cs="Arial" w:eastAsia="Arial" w:hAnsi="Arial"/>
          <w:sz w:val="20"/>
          <w:szCs w:val="20"/>
          <w:color w:val="auto"/>
        </w:rPr>
        <w:t>620 Eighth Avenue</w:t>
      </w:r>
    </w:p>
    <w:p>
      <w:pPr>
        <w:ind w:left="720"/>
        <w:spacing w:after="0"/>
        <w:rPr>
          <w:sz w:val="20"/>
          <w:szCs w:val="20"/>
          <w:color w:val="auto"/>
        </w:rPr>
      </w:pPr>
      <w:r>
        <w:rPr>
          <w:rFonts w:ascii="Arial" w:cs="Arial" w:eastAsia="Arial" w:hAnsi="Arial"/>
          <w:sz w:val="20"/>
          <w:szCs w:val="20"/>
          <w:color w:val="auto"/>
        </w:rPr>
        <w:t>New York, New York 10018</w:t>
      </w:r>
    </w:p>
    <w:p>
      <w:pPr>
        <w:ind w:left="720"/>
        <w:spacing w:after="0"/>
        <w:rPr>
          <w:sz w:val="20"/>
          <w:szCs w:val="20"/>
          <w:color w:val="auto"/>
        </w:rPr>
      </w:pPr>
      <w:r>
        <w:rPr>
          <w:rFonts w:ascii="Arial" w:cs="Arial" w:eastAsia="Arial" w:hAnsi="Arial"/>
          <w:sz w:val="20"/>
          <w:szCs w:val="20"/>
          <w:color w:val="auto"/>
        </w:rPr>
        <w:t>Attention: Brian Rosenzweig, Esq.</w:t>
      </w:r>
    </w:p>
    <w:p>
      <w:pPr>
        <w:ind w:left="720"/>
        <w:spacing w:after="0"/>
        <w:rPr>
          <w:sz w:val="20"/>
          <w:szCs w:val="20"/>
          <w:color w:val="auto"/>
        </w:rPr>
      </w:pPr>
      <w:r>
        <w:rPr>
          <w:rFonts w:ascii="Arial" w:cs="Arial" w:eastAsia="Arial" w:hAnsi="Arial"/>
          <w:sz w:val="20"/>
          <w:szCs w:val="20"/>
          <w:color w:val="auto"/>
        </w:rPr>
        <w:t>Facsimile: (646) 441-9108</w:t>
      </w:r>
    </w:p>
    <w:p>
      <w:pPr>
        <w:ind w:left="720"/>
        <w:spacing w:after="0"/>
        <w:rPr>
          <w:sz w:val="20"/>
          <w:szCs w:val="20"/>
          <w:color w:val="auto"/>
        </w:rPr>
      </w:pPr>
      <w:r>
        <w:rPr>
          <w:rFonts w:ascii="Arial" w:cs="Arial" w:eastAsia="Arial" w:hAnsi="Arial"/>
          <w:sz w:val="20"/>
          <w:szCs w:val="20"/>
          <w:color w:val="auto"/>
        </w:rPr>
        <w:t>E-mail: brosenzweig@cov.com</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and if to the Company, shall be delivered to:</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Axsome Therapeutics, Inc.</w:t>
      </w:r>
    </w:p>
    <w:p>
      <w:pPr>
        <w:spacing w:after="0" w:line="16" w:lineRule="exact"/>
        <w:rPr>
          <w:sz w:val="20"/>
          <w:szCs w:val="20"/>
          <w:color w:val="auto"/>
        </w:rPr>
      </w:pPr>
    </w:p>
    <w:p>
      <w:pPr>
        <w:ind w:left="800" w:right="7059" w:hanging="1"/>
        <w:spacing w:after="0" w:line="266" w:lineRule="auto"/>
        <w:tabs>
          <w:tab w:leader="none" w:pos="11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Broadway 3</w:t>
      </w:r>
      <w:r>
        <w:rPr>
          <w:rFonts w:ascii="Arial" w:cs="Arial" w:eastAsia="Arial" w:hAnsi="Arial"/>
          <w:sz w:val="9"/>
          <w:szCs w:val="9"/>
          <w:color w:val="auto"/>
        </w:rPr>
        <w:t>rd</w:t>
      </w:r>
      <w:r>
        <w:rPr>
          <w:rFonts w:ascii="Arial" w:cs="Arial" w:eastAsia="Arial" w:hAnsi="Arial"/>
          <w:sz w:val="18"/>
          <w:szCs w:val="18"/>
          <w:color w:val="auto"/>
        </w:rPr>
        <w:t xml:space="preserve"> Floor</w:t>
      </w:r>
    </w:p>
    <w:p>
      <w:pPr>
        <w:ind w:left="800" w:right="5479"/>
        <w:spacing w:after="0" w:line="282" w:lineRule="auto"/>
        <w:rPr>
          <w:rFonts w:ascii="Arial" w:cs="Arial" w:eastAsia="Arial" w:hAnsi="Arial"/>
          <w:sz w:val="18"/>
          <w:szCs w:val="18"/>
          <w:color w:val="auto"/>
        </w:rPr>
      </w:pPr>
      <w:r>
        <w:rPr>
          <w:rFonts w:ascii="Arial" w:cs="Arial" w:eastAsia="Arial" w:hAnsi="Arial"/>
          <w:sz w:val="18"/>
          <w:szCs w:val="18"/>
          <w:color w:val="auto"/>
        </w:rPr>
        <w:t>New York, New York 10038 Attention: Chief Executive Officer Facsimile: (212) 320-0245</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with copies (which shall not constitute notice) to:</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DLA Piper LLP (US)</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51 John F. Kennedy Parkway, Suite 120</w:t>
      </w:r>
    </w:p>
    <w:p>
      <w:pPr>
        <w:ind w:left="800"/>
        <w:spacing w:after="0"/>
        <w:rPr>
          <w:sz w:val="20"/>
          <w:szCs w:val="20"/>
          <w:color w:val="auto"/>
        </w:rPr>
      </w:pPr>
      <w:r>
        <w:rPr>
          <w:rFonts w:ascii="Arial" w:cs="Arial" w:eastAsia="Arial" w:hAnsi="Arial"/>
          <w:sz w:val="20"/>
          <w:szCs w:val="20"/>
          <w:color w:val="auto"/>
        </w:rPr>
        <w:t>Short Hills, New Jersey 07078</w:t>
      </w:r>
    </w:p>
    <w:p>
      <w:pPr>
        <w:ind w:left="800"/>
        <w:spacing w:after="0"/>
        <w:rPr>
          <w:sz w:val="20"/>
          <w:szCs w:val="20"/>
          <w:color w:val="auto"/>
        </w:rPr>
      </w:pPr>
      <w:r>
        <w:rPr>
          <w:rFonts w:ascii="Arial" w:cs="Arial" w:eastAsia="Arial" w:hAnsi="Arial"/>
          <w:sz w:val="20"/>
          <w:szCs w:val="20"/>
          <w:color w:val="auto"/>
        </w:rPr>
        <w:t>Attention: Emilio Ragosa, Esq.</w:t>
      </w:r>
    </w:p>
    <w:p>
      <w:pPr>
        <w:ind w:left="800"/>
        <w:spacing w:after="0"/>
        <w:rPr>
          <w:sz w:val="20"/>
          <w:szCs w:val="20"/>
          <w:color w:val="auto"/>
        </w:rPr>
      </w:pPr>
      <w:r>
        <w:rPr>
          <w:rFonts w:ascii="Arial" w:cs="Arial" w:eastAsia="Arial" w:hAnsi="Arial"/>
          <w:sz w:val="20"/>
          <w:szCs w:val="20"/>
          <w:color w:val="auto"/>
        </w:rPr>
        <w:t>Facsimile: (973) 215-2804</w:t>
      </w:r>
    </w:p>
    <w:p>
      <w:pPr>
        <w:ind w:left="800"/>
        <w:spacing w:after="0"/>
        <w:rPr>
          <w:sz w:val="20"/>
          <w:szCs w:val="20"/>
          <w:color w:val="auto"/>
        </w:rPr>
      </w:pPr>
      <w:r>
        <w:rPr>
          <w:rFonts w:ascii="Arial" w:cs="Arial" w:eastAsia="Arial" w:hAnsi="Arial"/>
          <w:sz w:val="20"/>
          <w:szCs w:val="20"/>
          <w:color w:val="auto"/>
        </w:rPr>
        <w:t>E-mail: emilio.ragosa@dlapiper.com</w:t>
      </w:r>
    </w:p>
    <w:p>
      <w:pPr>
        <w:spacing w:after="0" w:line="200" w:lineRule="exact"/>
        <w:rPr>
          <w:sz w:val="20"/>
          <w:szCs w:val="20"/>
          <w:color w:val="auto"/>
        </w:rPr>
      </w:pPr>
    </w:p>
    <w:p>
      <w:pPr>
        <w:spacing w:after="0" w:line="243" w:lineRule="exact"/>
        <w:rPr>
          <w:sz w:val="20"/>
          <w:szCs w:val="20"/>
          <w:color w:val="auto"/>
        </w:rPr>
      </w:pPr>
    </w:p>
    <w:p>
      <w:pPr>
        <w:ind w:left="160" w:right="159"/>
        <w:spacing w:after="0" w:line="272" w:lineRule="auto"/>
        <w:rPr>
          <w:sz w:val="20"/>
          <w:szCs w:val="20"/>
          <w:color w:val="auto"/>
        </w:rPr>
      </w:pPr>
      <w:r>
        <w:rPr>
          <w:rFonts w:ascii="Arial" w:cs="Arial" w:eastAsia="Arial" w:hAnsi="Arial"/>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shall mean any day on which the Nasdaq and commercial banks in the City of New York are open for business.</w:t>
      </w:r>
    </w:p>
    <w:p>
      <w:pPr>
        <w:spacing w:after="0" w:line="179" w:lineRule="exact"/>
        <w:rPr>
          <w:sz w:val="20"/>
          <w:szCs w:val="20"/>
          <w:color w:val="auto"/>
        </w:rPr>
      </w:pPr>
    </w:p>
    <w:p>
      <w:pPr>
        <w:ind w:left="160" w:right="559"/>
        <w:spacing w:after="0" w:line="280"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b w:val="1"/>
          <w:bCs w:val="1"/>
          <w:u w:val="single" w:color="auto"/>
          <w:color w:val="auto"/>
        </w:rPr>
        <w:t>Electronic Notice</w:t>
      </w:r>
      <w:r>
        <w:rPr>
          <w:rFonts w:ascii="Arial" w:cs="Arial" w:eastAsia="Arial" w:hAnsi="Arial"/>
          <w:sz w:val="18"/>
          <w:szCs w:val="18"/>
          <w:color w:val="auto"/>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39" w:name="page40"/>
    <w:bookmarkEnd w:id="39"/>
    <w:p>
      <w:pPr>
        <w:ind w:left="160" w:right="379"/>
        <w:spacing w:after="0" w:line="268" w:lineRule="auto"/>
        <w:rPr>
          <w:sz w:val="20"/>
          <w:szCs w:val="20"/>
          <w:color w:val="auto"/>
        </w:rPr>
      </w:pPr>
      <w:r>
        <w:rPr>
          <w:rFonts w:ascii="Arial" w:cs="Arial" w:eastAsia="Arial" w:hAnsi="Arial"/>
          <w:sz w:val="20"/>
          <w:szCs w:val="20"/>
          <w:color w:val="auto"/>
        </w:rPr>
        <w:t>nonelectronic form (“</w:t>
      </w:r>
      <w:r>
        <w:rPr>
          <w:rFonts w:ascii="Arial" w:cs="Arial" w:eastAsia="Arial" w:hAnsi="Arial"/>
          <w:sz w:val="20"/>
          <w:szCs w:val="20"/>
          <w:b w:val="1"/>
          <w:bCs w:val="1"/>
          <w:u w:val="single" w:color="auto"/>
          <w:color w:val="auto"/>
        </w:rPr>
        <w:t>Nonelectronic Notice</w:t>
      </w:r>
      <w:r>
        <w:rPr>
          <w:rFonts w:ascii="Arial" w:cs="Arial" w:eastAsia="Arial" w:hAnsi="Arial"/>
          <w:sz w:val="20"/>
          <w:szCs w:val="20"/>
          <w:color w:val="auto"/>
        </w:rPr>
        <w:t>”), which shall be sent to the requesting party within 10 days of receipt of the written request for Nonelectronic Notice.</w:t>
      </w:r>
    </w:p>
    <w:p>
      <w:pPr>
        <w:spacing w:after="0" w:line="182" w:lineRule="exact"/>
        <w:rPr>
          <w:sz w:val="20"/>
          <w:szCs w:val="20"/>
          <w:color w:val="auto"/>
        </w:rPr>
      </w:pPr>
    </w:p>
    <w:p>
      <w:pPr>
        <w:ind w:left="160" w:right="199" w:firstLine="639"/>
        <w:spacing w:after="0" w:line="255" w:lineRule="auto"/>
        <w:tabs>
          <w:tab w:leader="none" w:pos="1515"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Agent may assign its rights and obligations hereunder to an affiliate of the Agent without obtaining the Company’s consent, so long as such affiliate is a registered broker-dealer.</w:t>
      </w:r>
    </w:p>
    <w:p>
      <w:pPr>
        <w:spacing w:after="0" w:line="201" w:lineRule="exact"/>
        <w:rPr>
          <w:rFonts w:ascii="Arial" w:cs="Arial" w:eastAsia="Arial" w:hAnsi="Arial"/>
          <w:sz w:val="19"/>
          <w:szCs w:val="19"/>
          <w:color w:val="auto"/>
        </w:rPr>
      </w:pPr>
    </w:p>
    <w:p>
      <w:pPr>
        <w:ind w:left="160" w:right="259" w:firstLine="639"/>
        <w:spacing w:after="0" w:line="250" w:lineRule="auto"/>
        <w:tabs>
          <w:tab w:leader="none" w:pos="1515"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Adjustments for Share Splits</w:t>
      </w:r>
      <w:r>
        <w:rPr>
          <w:rFonts w:ascii="Arial" w:cs="Arial" w:eastAsia="Arial" w:hAnsi="Arial"/>
          <w:sz w:val="20"/>
          <w:szCs w:val="20"/>
          <w:color w:val="auto"/>
        </w:rPr>
        <w:t>. The parties acknowledge and agree that all share-related numbers contained in this Agreement shall be adjusted to take into account any share split, share dividend or similar event effected with respect to the Shares.</w:t>
      </w:r>
    </w:p>
    <w:p>
      <w:pPr>
        <w:spacing w:after="0" w:line="199" w:lineRule="exact"/>
        <w:rPr>
          <w:rFonts w:ascii="Arial" w:cs="Arial" w:eastAsia="Arial" w:hAnsi="Arial"/>
          <w:sz w:val="20"/>
          <w:szCs w:val="20"/>
          <w:color w:val="auto"/>
        </w:rPr>
      </w:pPr>
    </w:p>
    <w:p>
      <w:pPr>
        <w:ind w:left="160" w:right="159" w:firstLine="639"/>
        <w:spacing w:after="0" w:line="269" w:lineRule="auto"/>
        <w:tabs>
          <w:tab w:leader="none" w:pos="151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 Severability; Waiver</w:t>
      </w:r>
      <w:r>
        <w:rPr>
          <w:rFonts w:ascii="Arial" w:cs="Arial" w:eastAsia="Arial" w:hAnsi="Arial"/>
          <w:sz w:val="18"/>
          <w:szCs w:val="18"/>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of this Agreement may be amended by either party from time to time by sending a notice containing a revised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to the other party in the manner provided in Section 12 and, upon such amendment, all references herein to </w:t>
      </w:r>
      <w:r>
        <w:rPr>
          <w:rFonts w:ascii="Arial" w:cs="Arial" w:eastAsia="Arial" w:hAnsi="Arial"/>
          <w:sz w:val="18"/>
          <w:szCs w:val="18"/>
          <w:b w:val="1"/>
          <w:bCs w:val="1"/>
          <w:u w:val="single" w:color="auto"/>
          <w:color w:val="auto"/>
        </w:rPr>
        <w:t>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shall automatically be deemed to refer to such amended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In the event that any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77" w:lineRule="exact"/>
        <w:rPr>
          <w:rFonts w:ascii="Arial" w:cs="Arial" w:eastAsia="Arial" w:hAnsi="Arial"/>
          <w:sz w:val="18"/>
          <w:szCs w:val="18"/>
          <w:color w:val="auto"/>
        </w:rPr>
      </w:pPr>
    </w:p>
    <w:p>
      <w:pPr>
        <w:ind w:left="160" w:right="199" w:firstLine="639"/>
        <w:spacing w:after="0" w:line="259" w:lineRule="auto"/>
        <w:tabs>
          <w:tab w:leader="none" w:pos="1515"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 AND TIME; WAIVER OF JURY TRIAL</w:t>
      </w:r>
      <w:r>
        <w:rPr>
          <w:rFonts w:ascii="Arial" w:cs="Arial" w:eastAsia="Arial" w:hAnsi="Arial"/>
          <w:sz w:val="19"/>
          <w:szCs w:val="19"/>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92" w:lineRule="exact"/>
        <w:rPr>
          <w:rFonts w:ascii="Arial" w:cs="Arial" w:eastAsia="Arial" w:hAnsi="Arial"/>
          <w:sz w:val="19"/>
          <w:szCs w:val="19"/>
          <w:color w:val="auto"/>
        </w:rPr>
      </w:pPr>
    </w:p>
    <w:p>
      <w:pPr>
        <w:ind w:left="160" w:right="299" w:firstLine="639"/>
        <w:spacing w:after="0" w:line="316" w:lineRule="auto"/>
        <w:tabs>
          <w:tab w:leader="none" w:pos="151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Each party hereby irrevocably submits to the exclusive jurisdiction of the state and federal courts sitting in the City of New York, Borough of Manhattan, for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40" w:name="page41"/>
    <w:bookmarkEnd w:id="40"/>
    <w:p>
      <w:pPr>
        <w:ind w:left="160" w:right="159"/>
        <w:spacing w:after="0" w:line="272" w:lineRule="auto"/>
        <w:rPr>
          <w:sz w:val="20"/>
          <w:szCs w:val="20"/>
          <w:color w:val="auto"/>
        </w:rPr>
      </w:pPr>
      <w:r>
        <w:rPr>
          <w:rFonts w:ascii="Arial" w:cs="Arial" w:eastAsia="Arial" w:hAnsi="Arial"/>
          <w:sz w:val="18"/>
          <w:szCs w:val="18"/>
          <w:color w:val="auto"/>
        </w:rPr>
        <w:t>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86" w:lineRule="exact"/>
        <w:rPr>
          <w:sz w:val="20"/>
          <w:szCs w:val="20"/>
          <w:color w:val="auto"/>
        </w:rPr>
      </w:pPr>
    </w:p>
    <w:p>
      <w:pPr>
        <w:ind w:left="1500" w:hanging="701"/>
        <w:spacing w:after="0"/>
        <w:tabs>
          <w:tab w:leader="none" w:pos="150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Construction</w:t>
      </w:r>
      <w:r>
        <w:rPr>
          <w:rFonts w:ascii="Arial" w:cs="Arial" w:eastAsia="Arial" w:hAnsi="Arial"/>
          <w:sz w:val="20"/>
          <w:szCs w:val="20"/>
          <w:color w:val="auto"/>
        </w:rPr>
        <w:t>.</w:t>
      </w:r>
    </w:p>
    <w:p>
      <w:pPr>
        <w:spacing w:after="0" w:line="229" w:lineRule="exact"/>
        <w:rPr>
          <w:sz w:val="20"/>
          <w:szCs w:val="20"/>
          <w:color w:val="auto"/>
        </w:rPr>
      </w:pPr>
    </w:p>
    <w:p>
      <w:pPr>
        <w:ind w:left="160" w:right="539" w:firstLine="639"/>
        <w:spacing w:after="0" w:line="260" w:lineRule="auto"/>
        <w:tabs>
          <w:tab w:leader="none" w:pos="1487"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section and exhibit headings herein are for convenience only and shall not affect the construction hereof.</w:t>
      </w:r>
    </w:p>
    <w:p>
      <w:pPr>
        <w:spacing w:after="0" w:line="190" w:lineRule="exact"/>
        <w:rPr>
          <w:rFonts w:ascii="Arial" w:cs="Arial" w:eastAsia="Arial" w:hAnsi="Arial"/>
          <w:sz w:val="20"/>
          <w:szCs w:val="20"/>
          <w:color w:val="auto"/>
        </w:rPr>
      </w:pPr>
    </w:p>
    <w:p>
      <w:pPr>
        <w:ind w:left="1480" w:hanging="681"/>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Words defined in the singular shall have a comparable meaning when used in the plural, and</w:t>
      </w:r>
    </w:p>
    <w:p>
      <w:pPr>
        <w:spacing w:after="0" w:line="38"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20"/>
          <w:szCs w:val="20"/>
          <w:color w:val="auto"/>
        </w:rPr>
        <w:t>vice versa.</w:t>
      </w:r>
    </w:p>
    <w:p>
      <w:pPr>
        <w:spacing w:after="0" w:line="213" w:lineRule="exact"/>
        <w:rPr>
          <w:rFonts w:ascii="Arial" w:cs="Arial" w:eastAsia="Arial" w:hAnsi="Arial"/>
          <w:sz w:val="18"/>
          <w:szCs w:val="18"/>
          <w:color w:val="auto"/>
        </w:rPr>
      </w:pPr>
    </w:p>
    <w:p>
      <w:pPr>
        <w:ind w:left="160" w:right="299" w:firstLine="639"/>
        <w:spacing w:after="0" w:line="250" w:lineRule="auto"/>
        <w:tabs>
          <w:tab w:leader="none" w:pos="1487"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words “hereof,” “hereto,” “herein” and “hereunder” and words of similar import, when used in this Agreement, shall refer to this Agreement as a whole and not to any particular provision of this Agreement.</w:t>
      </w:r>
    </w:p>
    <w:p>
      <w:pPr>
        <w:spacing w:after="0" w:line="199" w:lineRule="exact"/>
        <w:rPr>
          <w:rFonts w:ascii="Arial" w:cs="Arial" w:eastAsia="Arial" w:hAnsi="Arial"/>
          <w:sz w:val="20"/>
          <w:szCs w:val="20"/>
          <w:color w:val="auto"/>
        </w:rPr>
      </w:pPr>
    </w:p>
    <w:p>
      <w:pPr>
        <w:ind w:left="160" w:right="379" w:firstLine="639"/>
        <w:spacing w:after="0" w:line="260" w:lineRule="auto"/>
        <w:tabs>
          <w:tab w:leader="none" w:pos="1498" w:val="left"/>
        </w:tabs>
        <w:numPr>
          <w:ilvl w:val="0"/>
          <w:numId w:val="63"/>
        </w:numPr>
        <w:rPr>
          <w:rFonts w:ascii="Arial" w:cs="Arial" w:eastAsia="Arial" w:hAnsi="Arial"/>
          <w:sz w:val="20"/>
          <w:szCs w:val="20"/>
          <w:color w:val="auto"/>
        </w:rPr>
      </w:pPr>
      <w:r>
        <w:rPr>
          <w:rFonts w:ascii="Arial" w:cs="Arial" w:eastAsia="Arial" w:hAnsi="Arial"/>
          <w:sz w:val="20"/>
          <w:szCs w:val="20"/>
          <w:color w:val="auto"/>
        </w:rPr>
        <w:t>Wherever the word “include,” “includes” or “including” is used in this Agreement, it shall be deemed to be followed by the words “without limitation.”</w:t>
      </w:r>
    </w:p>
    <w:p>
      <w:pPr>
        <w:spacing w:after="0" w:line="190" w:lineRule="exact"/>
        <w:rPr>
          <w:rFonts w:ascii="Arial" w:cs="Arial" w:eastAsia="Arial" w:hAnsi="Arial"/>
          <w:sz w:val="20"/>
          <w:szCs w:val="20"/>
          <w:color w:val="auto"/>
        </w:rPr>
      </w:pPr>
    </w:p>
    <w:p>
      <w:pPr>
        <w:ind w:left="1480" w:hanging="681"/>
        <w:spacing w:after="0"/>
        <w:tabs>
          <w:tab w:leader="none" w:pos="14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References herein to any gender shall include each other gender.</w:t>
      </w:r>
    </w:p>
    <w:p>
      <w:pPr>
        <w:spacing w:after="0" w:line="229" w:lineRule="exact"/>
        <w:rPr>
          <w:rFonts w:ascii="Arial" w:cs="Arial" w:eastAsia="Arial" w:hAnsi="Arial"/>
          <w:sz w:val="20"/>
          <w:szCs w:val="20"/>
          <w:color w:val="auto"/>
        </w:rPr>
      </w:pPr>
    </w:p>
    <w:p>
      <w:pPr>
        <w:ind w:left="160" w:right="299" w:firstLine="639"/>
        <w:spacing w:after="0" w:line="328" w:lineRule="auto"/>
        <w:tabs>
          <w:tab w:leader="none" w:pos="1465"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42" w:lineRule="exact"/>
        <w:rPr>
          <w:sz w:val="20"/>
          <w:szCs w:val="20"/>
          <w:color w:val="auto"/>
        </w:rPr>
      </w:pPr>
    </w:p>
    <w:p>
      <w:pPr>
        <w:ind w:left="160" w:right="159" w:firstLine="639"/>
        <w:spacing w:after="0" w:line="270" w:lineRule="auto"/>
        <w:tabs>
          <w:tab w:leader="none" w:pos="151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The Company represents, warrants and agrees that, unless it obtains the prior written consent of the Agent, which consent shall not be unreasonably withheld, conditioned or delayed, and the Agent represents, warrants and agrees that, unless it obtains the prior written consent of the Company,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Arial" w:cs="Arial" w:eastAsia="Arial" w:hAnsi="Arial"/>
          <w:sz w:val="18"/>
          <w:szCs w:val="18"/>
          <w:b w:val="1"/>
          <w:bCs w:val="1"/>
          <w:u w:val="single" w:color="auto"/>
          <w:color w:val="auto"/>
        </w:rPr>
        <w:t>Permitted Free Writing Prospectus</w:t>
      </w:r>
      <w:r>
        <w:rPr>
          <w:rFonts w:ascii="Arial" w:cs="Arial" w:eastAsia="Arial" w:hAnsi="Arial"/>
          <w:sz w:val="18"/>
          <w:szCs w:val="18"/>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90" w:lineRule="exact"/>
        <w:rPr>
          <w:rFonts w:ascii="Arial" w:cs="Arial" w:eastAsia="Arial" w:hAnsi="Arial"/>
          <w:sz w:val="18"/>
          <w:szCs w:val="18"/>
          <w:color w:val="auto"/>
        </w:rPr>
      </w:pPr>
    </w:p>
    <w:p>
      <w:pPr>
        <w:ind w:left="1500" w:hanging="701"/>
        <w:spacing w:after="0"/>
        <w:tabs>
          <w:tab w:leader="none" w:pos="150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Absence of Fiduciary Relationship</w:t>
      </w:r>
      <w:r>
        <w:rPr>
          <w:rFonts w:ascii="Arial" w:cs="Arial" w:eastAsia="Arial" w:hAnsi="Arial"/>
          <w:sz w:val="20"/>
          <w:szCs w:val="20"/>
          <w:color w:val="auto"/>
        </w:rPr>
        <w:t>. The Company acknowledges and agrees that:</w:t>
      </w:r>
    </w:p>
    <w:p>
      <w:pPr>
        <w:spacing w:after="0" w:line="229" w:lineRule="exact"/>
        <w:rPr>
          <w:sz w:val="20"/>
          <w:szCs w:val="20"/>
          <w:color w:val="auto"/>
        </w:rPr>
      </w:pPr>
    </w:p>
    <w:p>
      <w:pPr>
        <w:ind w:left="160" w:right="439" w:firstLine="639"/>
        <w:spacing w:after="0" w:line="386" w:lineRule="auto"/>
        <w:tabs>
          <w:tab w:leader="none" w:pos="1487"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Agent has been retained to act as sales agent in connection with the sale of the Shares, the Agent has acted at arms’ length and no fiduciary or advisory relationship between the Company or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1" w:name="page42"/>
    <w:bookmarkEnd w:id="41"/>
    <w:p>
      <w:pPr>
        <w:ind w:left="160" w:right="179"/>
        <w:spacing w:after="0" w:line="279" w:lineRule="auto"/>
        <w:rPr>
          <w:sz w:val="20"/>
          <w:szCs w:val="20"/>
          <w:color w:val="auto"/>
        </w:rPr>
      </w:pPr>
      <w:r>
        <w:rPr>
          <w:rFonts w:ascii="Arial" w:cs="Arial" w:eastAsia="Arial" w:hAnsi="Arial"/>
          <w:sz w:val="18"/>
          <w:szCs w:val="18"/>
          <w:color w:val="auto"/>
        </w:rPr>
        <w:t>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76" w:lineRule="exact"/>
        <w:rPr>
          <w:sz w:val="20"/>
          <w:szCs w:val="20"/>
          <w:color w:val="auto"/>
        </w:rPr>
      </w:pPr>
    </w:p>
    <w:p>
      <w:pPr>
        <w:ind w:left="160" w:right="359" w:firstLine="639"/>
        <w:spacing w:after="0" w:line="260" w:lineRule="auto"/>
        <w:tabs>
          <w:tab w:leader="none" w:pos="1498"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Company is capable of evaluating, and understanding and understands and accepts, the terms, risks and conditions of the transactions contemplated by this Agreement;</w:t>
      </w:r>
    </w:p>
    <w:p>
      <w:pPr>
        <w:spacing w:after="0" w:line="190" w:lineRule="exact"/>
        <w:rPr>
          <w:rFonts w:ascii="Arial" w:cs="Arial" w:eastAsia="Arial" w:hAnsi="Arial"/>
          <w:sz w:val="20"/>
          <w:szCs w:val="20"/>
          <w:color w:val="auto"/>
        </w:rPr>
      </w:pPr>
    </w:p>
    <w:p>
      <w:pPr>
        <w:jc w:val="both"/>
        <w:ind w:left="160" w:right="499" w:firstLine="639"/>
        <w:spacing w:after="0" w:line="269" w:lineRule="auto"/>
        <w:tabs>
          <w:tab w:leader="none" w:pos="1487" w:val="left"/>
        </w:tabs>
        <w:numPr>
          <w:ilvl w:val="0"/>
          <w:numId w:val="66"/>
        </w:numPr>
        <w:rPr>
          <w:rFonts w:ascii="Arial" w:cs="Arial" w:eastAsia="Arial" w:hAnsi="Arial"/>
          <w:sz w:val="19"/>
          <w:szCs w:val="19"/>
          <w:color w:val="auto"/>
        </w:rPr>
      </w:pPr>
      <w:r>
        <w:rPr>
          <w:rFonts w:ascii="Arial" w:cs="Arial" w:eastAsia="Arial" w:hAnsi="Arial"/>
          <w:sz w:val="19"/>
          <w:szCs w:val="19"/>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83" w:lineRule="exact"/>
        <w:rPr>
          <w:rFonts w:ascii="Arial" w:cs="Arial" w:eastAsia="Arial" w:hAnsi="Arial"/>
          <w:sz w:val="19"/>
          <w:szCs w:val="19"/>
          <w:color w:val="auto"/>
        </w:rPr>
      </w:pPr>
    </w:p>
    <w:p>
      <w:pPr>
        <w:ind w:left="160" w:right="219" w:firstLine="639"/>
        <w:spacing w:after="0" w:line="282" w:lineRule="auto"/>
        <w:tabs>
          <w:tab w:leader="none" w:pos="14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75" w:lineRule="exact"/>
        <w:rPr>
          <w:rFonts w:ascii="Arial" w:cs="Arial" w:eastAsia="Arial" w:hAnsi="Arial"/>
          <w:sz w:val="18"/>
          <w:szCs w:val="18"/>
          <w:color w:val="auto"/>
        </w:rPr>
      </w:pPr>
    </w:p>
    <w:p>
      <w:pPr>
        <w:jc w:val="both"/>
        <w:ind w:left="160" w:right="339" w:firstLine="639"/>
        <w:spacing w:after="0" w:line="259" w:lineRule="auto"/>
        <w:tabs>
          <w:tab w:leader="none" w:pos="1487"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spacing w:after="0" w:line="192" w:lineRule="exact"/>
        <w:rPr>
          <w:sz w:val="20"/>
          <w:szCs w:val="20"/>
          <w:color w:val="auto"/>
        </w:rPr>
      </w:pPr>
    </w:p>
    <w:p>
      <w:pPr>
        <w:ind w:left="160" w:right="239" w:firstLine="639"/>
        <w:spacing w:after="0" w:line="342" w:lineRule="auto"/>
        <w:tabs>
          <w:tab w:leader="none" w:pos="151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31" w:lineRule="exact"/>
        <w:rPr>
          <w:rFonts w:ascii="Arial" w:cs="Arial" w:eastAsia="Arial" w:hAnsi="Arial"/>
          <w:sz w:val="16"/>
          <w:szCs w:val="16"/>
          <w:color w:val="auto"/>
        </w:rPr>
      </w:pPr>
    </w:p>
    <w:p>
      <w:pPr>
        <w:ind w:left="160" w:right="279" w:firstLine="639"/>
        <w:spacing w:after="0" w:line="246" w:lineRule="auto"/>
        <w:tabs>
          <w:tab w:leader="none" w:pos="1515"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Use of Information</w:t>
      </w:r>
      <w:r>
        <w:rPr>
          <w:rFonts w:ascii="Arial" w:cs="Arial" w:eastAsia="Arial" w:hAnsi="Arial"/>
          <w:sz w:val="20"/>
          <w:szCs w:val="20"/>
          <w:color w:val="auto"/>
        </w:rPr>
        <w:t>. The Agent may not provide any information gained in connection with this Agreement and the transactions contemplated by this Agreement, including due diligence, to any third party other than its legal counsel advising it on this Agreement unless expressly approved by the Company in writing.</w:t>
      </w:r>
    </w:p>
    <w:p>
      <w:pPr>
        <w:spacing w:after="0" w:line="199" w:lineRule="exact"/>
        <w:rPr>
          <w:rFonts w:ascii="Arial" w:cs="Arial" w:eastAsia="Arial" w:hAnsi="Arial"/>
          <w:sz w:val="20"/>
          <w:szCs w:val="20"/>
          <w:color w:val="auto"/>
        </w:rPr>
      </w:pPr>
    </w:p>
    <w:p>
      <w:pPr>
        <w:ind w:left="160" w:right="339" w:firstLine="639"/>
        <w:spacing w:after="0" w:line="294" w:lineRule="auto"/>
        <w:tabs>
          <w:tab w:leader="none" w:pos="158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Agent’s Information; Knowledge of the Company</w:t>
      </w:r>
      <w:r>
        <w:rPr>
          <w:rFonts w:ascii="Arial" w:cs="Arial" w:eastAsia="Arial" w:hAnsi="Arial"/>
          <w:sz w:val="18"/>
          <w:szCs w:val="18"/>
          <w:color w:val="auto"/>
        </w:rPr>
        <w:t>. As used in this Agreement, “</w:t>
      </w:r>
      <w:r>
        <w:rPr>
          <w:rFonts w:ascii="Arial" w:cs="Arial" w:eastAsia="Arial" w:hAnsi="Arial"/>
          <w:sz w:val="18"/>
          <w:szCs w:val="18"/>
          <w:b w:val="1"/>
          <w:bCs w:val="1"/>
          <w:u w:val="single" w:color="auto"/>
          <w:color w:val="auto"/>
        </w:rPr>
        <w:t>Agent’s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Information</w:t>
      </w:r>
      <w:r>
        <w:rPr>
          <w:rFonts w:ascii="Arial" w:cs="Arial" w:eastAsia="Arial" w:hAnsi="Arial"/>
          <w:sz w:val="18"/>
          <w:szCs w:val="18"/>
          <w:color w:val="auto"/>
        </w:rPr>
        <w:t>” means solely the following information in the Registration Statement and the Prospectus: the</w:t>
      </w:r>
      <w:r>
        <w:rPr>
          <w:rFonts w:ascii="Arial" w:cs="Arial" w:eastAsia="Arial" w:hAnsi="Arial"/>
          <w:sz w:val="18"/>
          <w:szCs w:val="18"/>
          <w:b w:val="1"/>
          <w:bCs w:val="1"/>
          <w:color w:val="auto"/>
        </w:rPr>
        <w:t xml:space="preserve"> </w:t>
      </w:r>
      <w:r>
        <w:rPr>
          <w:rFonts w:ascii="Arial" w:cs="Arial" w:eastAsia="Arial" w:hAnsi="Arial"/>
          <w:sz w:val="18"/>
          <w:szCs w:val="18"/>
          <w:color w:val="auto"/>
        </w:rPr>
        <w:t>fifth paragraph under the heading “Plan of Distribution” in the Prospectus Supplement.</w:t>
      </w:r>
    </w:p>
    <w:p>
      <w:pPr>
        <w:spacing w:after="0" w:line="164" w:lineRule="exact"/>
        <w:rPr>
          <w:sz w:val="20"/>
          <w:szCs w:val="20"/>
          <w:color w:val="auto"/>
        </w:rPr>
      </w:pPr>
    </w:p>
    <w:p>
      <w:pPr>
        <w:ind w:left="160" w:right="159" w:firstLine="648"/>
        <w:spacing w:after="0" w:line="243" w:lineRule="auto"/>
        <w:rPr>
          <w:sz w:val="20"/>
          <w:szCs w:val="20"/>
          <w:color w:val="auto"/>
        </w:rPr>
      </w:pPr>
      <w:r>
        <w:rPr>
          <w:rFonts w:ascii="Arial" w:cs="Arial" w:eastAsia="Arial" w:hAnsi="Arial"/>
          <w:sz w:val="20"/>
          <w:szCs w:val="20"/>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207" w:lineRule="exact"/>
        <w:rPr>
          <w:sz w:val="20"/>
          <w:szCs w:val="20"/>
          <w:color w:val="auto"/>
        </w:rPr>
      </w:pPr>
    </w:p>
    <w:p>
      <w:pPr>
        <w:ind w:left="160" w:right="179" w:firstLine="648"/>
        <w:spacing w:after="0" w:line="269" w:lineRule="auto"/>
        <w:rPr>
          <w:sz w:val="20"/>
          <w:szCs w:val="20"/>
          <w:color w:val="auto"/>
        </w:rPr>
      </w:pPr>
      <w:r>
        <w:rPr>
          <w:rFonts w:ascii="Arial" w:cs="Arial" w:eastAsia="Arial" w:hAnsi="Arial"/>
          <w:sz w:val="19"/>
          <w:szCs w:val="19"/>
          <w:color w:val="auto"/>
        </w:rPr>
        <w:t>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499110</wp:posOffset>
            </wp:positionV>
            <wp:extent cx="554863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t>[Remainder of Page Intentionally Blank]</w:t>
      </w:r>
    </w:p>
    <w:p>
      <w:pPr>
        <w:sectPr>
          <w:pgSz w:w="11900" w:h="16838" w:orient="portrait"/>
          <w:cols w:equalWidth="0" w:num="1">
            <w:col w:w="9019"/>
          </w:cols>
          <w:pgMar w:left="1440" w:top="3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528320</wp:posOffset>
            </wp:positionV>
            <wp:extent cx="554863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type w:val="continuous"/>
        </w:sectPr>
      </w:pPr>
    </w:p>
    <w:bookmarkStart w:id="43" w:name="page44"/>
    <w:bookmarkEnd w:id="43"/>
    <w:p>
      <w:pPr>
        <w:ind w:left="160" w:right="179" w:firstLine="648"/>
        <w:spacing w:after="0" w:line="250" w:lineRule="auto"/>
        <w:rPr>
          <w:sz w:val="20"/>
          <w:szCs w:val="20"/>
          <w:color w:val="auto"/>
        </w:rPr>
      </w:pPr>
      <w:r>
        <w:rPr>
          <w:rFonts w:ascii="Arial" w:cs="Arial" w:eastAsia="Arial" w:hAnsi="Arial"/>
          <w:sz w:val="20"/>
          <w:szCs w:val="20"/>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200" w:lineRule="exact"/>
        <w:rPr>
          <w:sz w:val="20"/>
          <w:szCs w:val="20"/>
          <w:color w:val="auto"/>
        </w:rPr>
      </w:pPr>
    </w:p>
    <w:p>
      <w:pPr>
        <w:spacing w:after="0" w:line="243"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3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AXSOME THERAPEUTICS, INC.</w:t>
      </w:r>
    </w:p>
    <w:p>
      <w:pPr>
        <w:spacing w:after="0" w:line="200" w:lineRule="exact"/>
        <w:rPr>
          <w:sz w:val="20"/>
          <w:szCs w:val="20"/>
          <w:color w:val="auto"/>
        </w:rPr>
      </w:pPr>
    </w:p>
    <w:p>
      <w:pPr>
        <w:spacing w:after="0" w:line="245" w:lineRule="exact"/>
        <w:rPr>
          <w:sz w:val="20"/>
          <w:szCs w:val="20"/>
          <w:color w:val="auto"/>
        </w:rPr>
      </w:pPr>
    </w:p>
    <w:p>
      <w:pPr>
        <w:ind w:left="4600"/>
        <w:spacing w:after="0"/>
        <w:tabs>
          <w:tab w:leader="none" w:pos="5080" w:val="left"/>
        </w:tabs>
        <w:rPr>
          <w:sz w:val="20"/>
          <w:szCs w:val="20"/>
          <w:color w:val="auto"/>
        </w:rPr>
      </w:pPr>
      <w:r>
        <w:rPr>
          <w:rFonts w:ascii="Arial" w:cs="Arial" w:eastAsia="Arial" w:hAnsi="Arial"/>
          <w:sz w:val="18"/>
          <w:szCs w:val="18"/>
          <w:color w:val="auto"/>
        </w:rPr>
        <w:t>By:</w:t>
        <w:tab/>
        <w:t>/s/ Herriot Tabuteau, M.D.</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-130810</wp:posOffset>
            </wp:positionV>
            <wp:extent cx="24009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9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ACCEPTED as of the date</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first-above written</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SVB LEERINK LLC</w:t>
      </w:r>
    </w:p>
    <w:p>
      <w:pPr>
        <w:spacing w:after="0" w:line="200" w:lineRule="exact"/>
        <w:rPr>
          <w:sz w:val="20"/>
          <w:szCs w:val="20"/>
          <w:color w:val="auto"/>
        </w:rPr>
      </w:pPr>
    </w:p>
    <w:p>
      <w:pPr>
        <w:spacing w:after="0" w:line="227"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18"/>
          <w:szCs w:val="18"/>
          <w:color w:val="auto"/>
        </w:rPr>
        <w:t>By:</w:t>
        <w:tab/>
        <w:t>/s/ Gabriel P. Cavazos</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Name:Gabriel P. Cavazos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24098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1240790</wp:posOffset>
            </wp:positionV>
            <wp:extent cx="554863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44" w:name="page45"/>
    <w:bookmarkEnd w:id="44"/>
    <w:tbl>
      <w:tblPr>
        <w:tblLayout w:type="fixed"/>
        <w:tblInd w:w="160" w:type="dxa"/>
        <w:tblCellMar>
          <w:top w:w="0" w:type="dxa"/>
          <w:left w:w="0" w:type="dxa"/>
          <w:bottom w:w="0" w:type="dxa"/>
          <w:right w:w="0" w:type="dxa"/>
        </w:tblCellMar>
      </w:tblPr>
      <w:tr>
        <w:trPr>
          <w:trHeight w:val="230"/>
        </w:trPr>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SCHEDULE 1</w:t>
            </w:r>
          </w:p>
        </w:tc>
        <w:tc>
          <w:tcPr>
            <w:tcW w:w="920" w:type="dxa"/>
            <w:vAlign w:val="bottom"/>
          </w:tcPr>
          <w:p>
            <w:pPr>
              <w:spacing w:after="0"/>
              <w:rPr>
                <w:sz w:val="19"/>
                <w:szCs w:val="19"/>
                <w:color w:val="auto"/>
              </w:rPr>
            </w:pPr>
          </w:p>
        </w:tc>
      </w:tr>
      <w:tr>
        <w:trPr>
          <w:trHeight w:val="898"/>
        </w:trPr>
        <w:tc>
          <w:tcPr>
            <w:tcW w:w="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rPr>
              <w:t>FORM OF PLACEMENT NOTICE</w:t>
            </w:r>
          </w:p>
        </w:tc>
      </w:tr>
      <w:tr>
        <w:trPr>
          <w:trHeight w:val="463"/>
        </w:trPr>
        <w:tc>
          <w:tcPr>
            <w:tcW w:w="640" w:type="dxa"/>
            <w:vAlign w:val="bottom"/>
          </w:tcPr>
          <w:p>
            <w:pPr>
              <w:spacing w:after="0"/>
              <w:rPr>
                <w:sz w:val="20"/>
                <w:szCs w:val="20"/>
                <w:color w:val="auto"/>
              </w:rPr>
            </w:pPr>
            <w:r>
              <w:rPr>
                <w:rFonts w:ascii="Arial" w:cs="Arial" w:eastAsia="Arial" w:hAnsi="Arial"/>
                <w:sz w:val="20"/>
                <w:szCs w:val="20"/>
                <w:color w:val="auto"/>
              </w:rPr>
              <w:t>From:[</w:t>
            </w:r>
          </w:p>
        </w:tc>
        <w:tc>
          <w:tcPr>
            <w:tcW w:w="218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640" w:type="dxa"/>
            <w:vAlign w:val="bottom"/>
          </w:tcPr>
          <w:p>
            <w:pPr>
              <w:spacing w:after="0"/>
              <w:rPr>
                <w:sz w:val="19"/>
                <w:szCs w:val="19"/>
                <w:color w:val="auto"/>
              </w:rPr>
            </w:pPr>
          </w:p>
        </w:tc>
        <w:tc>
          <w:tcPr>
            <w:tcW w:w="5260" w:type="dxa"/>
            <w:vAlign w:val="bottom"/>
            <w:gridSpan w:val="4"/>
          </w:tcPr>
          <w:p>
            <w:pPr>
              <w:ind w:left="100"/>
              <w:spacing w:after="0"/>
              <w:rPr>
                <w:sz w:val="20"/>
                <w:szCs w:val="20"/>
                <w:color w:val="auto"/>
              </w:rPr>
            </w:pPr>
            <w:r>
              <w:rPr>
                <w:rFonts w:ascii="Arial" w:cs="Arial" w:eastAsia="Arial" w:hAnsi="Arial"/>
                <w:sz w:val="20"/>
                <w:szCs w:val="20"/>
                <w:color w:val="auto"/>
              </w:rPr>
              <w:t>[TITLE]</w:t>
            </w:r>
          </w:p>
        </w:tc>
      </w:tr>
      <w:tr>
        <w:trPr>
          <w:trHeight w:val="230"/>
        </w:trPr>
        <w:tc>
          <w:tcPr>
            <w:tcW w:w="5900" w:type="dxa"/>
            <w:vAlign w:val="bottom"/>
            <w:gridSpan w:val="5"/>
          </w:tcPr>
          <w:p>
            <w:pPr>
              <w:ind w:left="60"/>
              <w:spacing w:after="0"/>
              <w:rPr>
                <w:sz w:val="20"/>
                <w:szCs w:val="20"/>
                <w:color w:val="auto"/>
              </w:rPr>
            </w:pPr>
            <w:r>
              <w:rPr>
                <w:rFonts w:ascii="Arial" w:cs="Arial" w:eastAsia="Arial" w:hAnsi="Arial"/>
                <w:sz w:val="20"/>
                <w:szCs w:val="20"/>
                <w:color w:val="auto"/>
              </w:rPr>
              <w:t>Axsome Therapeutics, Inc.</w:t>
            </w:r>
          </w:p>
        </w:tc>
      </w:tr>
      <w:tr>
        <w:trPr>
          <w:trHeight w:val="246"/>
        </w:trPr>
        <w:tc>
          <w:tcPr>
            <w:tcW w:w="640" w:type="dxa"/>
            <w:vAlign w:val="bottom"/>
          </w:tcPr>
          <w:p>
            <w:pPr>
              <w:spacing w:after="0"/>
              <w:rPr>
                <w:sz w:val="20"/>
                <w:szCs w:val="20"/>
                <w:color w:val="auto"/>
              </w:rPr>
            </w:pPr>
            <w:r>
              <w:rPr>
                <w:rFonts w:ascii="Arial" w:cs="Arial" w:eastAsia="Arial" w:hAnsi="Arial"/>
                <w:sz w:val="20"/>
                <w:szCs w:val="20"/>
                <w:color w:val="auto"/>
              </w:rPr>
              <w:t>Cc:[</w:t>
            </w:r>
          </w:p>
        </w:tc>
        <w:tc>
          <w:tcPr>
            <w:tcW w:w="2180" w:type="dxa"/>
            <w:vAlign w:val="bottom"/>
          </w:tcPr>
          <w:p>
            <w:pPr>
              <w:jc w:val="right"/>
              <w:ind w:right="501"/>
              <w:spacing w:after="0"/>
              <w:rPr>
                <w:sz w:val="20"/>
                <w:szCs w:val="20"/>
                <w:color w:val="auto"/>
              </w:rPr>
            </w:pPr>
            <w:r>
              <w:rPr>
                <w:rFonts w:ascii="Arial" w:cs="Arial" w:eastAsia="Arial" w:hAnsi="Arial"/>
                <w:sz w:val="20"/>
                <w:szCs w:val="20"/>
                <w:color w:val="auto"/>
              </w:rPr>
              <w:t>]</w:t>
            </w: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ind w:left="160"/>
        <w:spacing w:after="0"/>
        <w:rPr>
          <w:sz w:val="20"/>
          <w:szCs w:val="20"/>
          <w:color w:val="auto"/>
        </w:rPr>
      </w:pPr>
      <w:r>
        <w:rPr>
          <w:rFonts w:ascii="Arial" w:cs="Arial" w:eastAsia="Arial" w:hAnsi="Arial"/>
          <w:sz w:val="20"/>
          <w:szCs w:val="20"/>
          <w:color w:val="auto"/>
        </w:rPr>
        <w:t>To:SVB Leerink LLC</w:t>
      </w:r>
    </w:p>
    <w:p>
      <w:pPr>
        <w:ind w:left="160"/>
        <w:spacing w:after="0"/>
        <w:rPr>
          <w:sz w:val="20"/>
          <w:szCs w:val="20"/>
          <w:color w:val="auto"/>
        </w:rPr>
      </w:pPr>
      <w:r>
        <w:rPr>
          <w:rFonts w:ascii="Arial" w:cs="Arial" w:eastAsia="Arial" w:hAnsi="Arial"/>
          <w:sz w:val="20"/>
          <w:szCs w:val="20"/>
          <w:color w:val="auto"/>
        </w:rPr>
        <w:t>Subject:SVB Leerink—At the Market Offering—Placement Notice</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Pursuant to the terms and subject to the conditions contained in the Sales Agreement, dated December 5,</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20"/>
          <w:szCs w:val="20"/>
          <w:color w:val="auto"/>
        </w:rPr>
        <w:t>2019 (the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by and between Axsome Therapeutics, Inc., a Delaware corporation (the</w:t>
      </w:r>
    </w:p>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SVB Leerink LLC (“</w:t>
      </w:r>
      <w:r>
        <w:rPr>
          <w:rFonts w:ascii="Arial" w:cs="Arial" w:eastAsia="Arial" w:hAnsi="Arial"/>
          <w:sz w:val="18"/>
          <w:szCs w:val="18"/>
          <w:b w:val="1"/>
          <w:bCs w:val="1"/>
          <w:u w:val="single" w:color="auto"/>
          <w:color w:val="auto"/>
        </w:rPr>
        <w:t>SVB Leerink</w:t>
      </w:r>
      <w:r>
        <w:rPr>
          <w:rFonts w:ascii="Arial" w:cs="Arial" w:eastAsia="Arial" w:hAnsi="Arial"/>
          <w:sz w:val="18"/>
          <w:szCs w:val="18"/>
          <w:color w:val="auto"/>
        </w:rPr>
        <w:t>”), I hereby request on behalf of the Company that SVB</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Leerink sell up to [ ] shares of common stock, $0.0001 par value per share, of the Company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w:t>
      </w:r>
    </w:p>
    <w:p>
      <w:pPr>
        <w:spacing w:after="0" w:line="22" w:lineRule="exact"/>
        <w:rPr>
          <w:sz w:val="20"/>
          <w:szCs w:val="20"/>
          <w:color w:val="auto"/>
        </w:rPr>
      </w:pPr>
    </w:p>
    <w:p>
      <w:pPr>
        <w:ind w:left="160"/>
        <w:spacing w:after="0"/>
        <w:tabs>
          <w:tab w:leader="none" w:pos="2940" w:val="left"/>
        </w:tabs>
        <w:rPr>
          <w:sz w:val="20"/>
          <w:szCs w:val="20"/>
          <w:color w:val="auto"/>
        </w:rPr>
      </w:pPr>
      <w:r>
        <w:rPr>
          <w:rFonts w:ascii="Arial" w:cs="Arial" w:eastAsia="Arial" w:hAnsi="Arial"/>
          <w:sz w:val="20"/>
          <w:szCs w:val="20"/>
          <w:color w:val="auto"/>
        </w:rPr>
        <w:t>at a minimum market price of $</w:t>
      </w:r>
      <w:r>
        <w:rPr>
          <w:sz w:val="20"/>
          <w:szCs w:val="20"/>
          <w:color w:val="auto"/>
        </w:rPr>
        <w:tab/>
      </w:r>
      <w:r>
        <w:rPr>
          <w:rFonts w:ascii="Arial" w:cs="Arial" w:eastAsia="Arial" w:hAnsi="Arial"/>
          <w:sz w:val="16"/>
          <w:szCs w:val="16"/>
          <w:color w:val="auto"/>
        </w:rPr>
        <w:t xml:space="preserve">per share[;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more than [ ] Shares shall be sold in any one</w:t>
      </w:r>
    </w:p>
    <w:p>
      <w:pPr>
        <w:ind w:left="160"/>
        <w:spacing w:after="0"/>
        <w:rPr>
          <w:sz w:val="20"/>
          <w:szCs w:val="20"/>
          <w:color w:val="auto"/>
        </w:rPr>
      </w:pPr>
      <w:r>
        <w:rPr>
          <w:rFonts w:ascii="Arial" w:cs="Arial" w:eastAsia="Arial" w:hAnsi="Arial"/>
          <w:sz w:val="18"/>
          <w:szCs w:val="18"/>
          <w:color w:val="auto"/>
        </w:rPr>
        <w:t>Trading Day (as such term is defined in Section 3 of the Agreement)]. Sales should begin [on the date of this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Placement Notice] and end on [DATE] [until all Shares that are the subject of this Placement Notice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1087120</wp:posOffset>
            </wp:positionV>
            <wp:extent cx="554863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9"/>
          <w:szCs w:val="19"/>
          <w:b w:val="1"/>
          <w:bCs w:val="1"/>
          <w:u w:val="single" w:color="auto"/>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0"/>
        <w:spacing w:after="0"/>
        <w:rPr>
          <w:sz w:val="20"/>
          <w:szCs w:val="20"/>
          <w:color w:val="auto"/>
        </w:rPr>
      </w:pPr>
      <w:r>
        <w:rPr>
          <w:rFonts w:ascii="Arial" w:cs="Arial" w:eastAsia="Arial" w:hAnsi="Arial"/>
          <w:sz w:val="20"/>
          <w:szCs w:val="20"/>
          <w:b w:val="1"/>
          <w:bCs w:val="1"/>
          <w:u w:val="single" w:color="auto"/>
          <w:color w:val="auto"/>
        </w:rPr>
        <w:t>The Company</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Herriot Tabuteau, Chief Executive Officer</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Nick Pizzie, Chief Financial Officer</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0"/>
          <w:szCs w:val="20"/>
          <w:b w:val="1"/>
          <w:bCs w:val="1"/>
          <w:u w:val="single" w:color="auto"/>
          <w:color w:val="auto"/>
        </w:rPr>
        <w:t>SVB Leerink</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Rahul Chaudhary</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Patrick Morley</w:t>
      </w:r>
    </w:p>
    <w:p>
      <w:pPr>
        <w:ind w:left="160"/>
        <w:spacing w:after="0"/>
        <w:rPr>
          <w:sz w:val="20"/>
          <w:szCs w:val="20"/>
          <w:color w:val="auto"/>
        </w:rPr>
      </w:pPr>
      <w:r>
        <w:rPr>
          <w:rFonts w:ascii="Arial" w:cs="Arial" w:eastAsia="Arial" w:hAnsi="Arial"/>
          <w:sz w:val="20"/>
          <w:szCs w:val="20"/>
          <w:color w:val="auto"/>
        </w:rPr>
        <w:t>Sam Spector</w:t>
      </w:r>
    </w:p>
    <w:p>
      <w:pPr>
        <w:ind w:left="160"/>
        <w:spacing w:after="0"/>
        <w:rPr>
          <w:sz w:val="20"/>
          <w:szCs w:val="20"/>
          <w:color w:val="auto"/>
        </w:rPr>
      </w:pPr>
      <w:r>
        <w:rPr>
          <w:rFonts w:ascii="Arial" w:cs="Arial" w:eastAsia="Arial" w:hAnsi="Arial"/>
          <w:sz w:val="20"/>
          <w:szCs w:val="20"/>
          <w:color w:val="auto"/>
        </w:rPr>
        <w:t>Stuart Nayman</w:t>
      </w:r>
    </w:p>
    <w:p>
      <w:pPr>
        <w:ind w:left="160"/>
        <w:spacing w:after="0"/>
        <w:rPr>
          <w:sz w:val="20"/>
          <w:szCs w:val="20"/>
          <w:color w:val="auto"/>
        </w:rPr>
      </w:pPr>
      <w:r>
        <w:rPr>
          <w:rFonts w:ascii="Arial" w:cs="Arial" w:eastAsia="Arial" w:hAnsi="Arial"/>
          <w:sz w:val="20"/>
          <w:szCs w:val="20"/>
          <w:color w:val="auto"/>
        </w:rPr>
        <w:t>Eric Olson</w:t>
      </w:r>
    </w:p>
    <w:p>
      <w:pPr>
        <w:ind w:left="160"/>
        <w:spacing w:after="0"/>
        <w:rPr>
          <w:sz w:val="20"/>
          <w:szCs w:val="20"/>
          <w:color w:val="auto"/>
        </w:rPr>
      </w:pPr>
      <w:r>
        <w:rPr>
          <w:rFonts w:ascii="Arial" w:cs="Arial" w:eastAsia="Arial" w:hAnsi="Arial"/>
          <w:sz w:val="20"/>
          <w:szCs w:val="20"/>
          <w:color w:val="auto"/>
        </w:rPr>
        <w:t>Gabriel Cavazos</w:t>
      </w:r>
    </w:p>
    <w:p>
      <w:pPr>
        <w:ind w:left="160"/>
        <w:spacing w:after="0"/>
        <w:rPr>
          <w:sz w:val="20"/>
          <w:szCs w:val="20"/>
          <w:color w:val="auto"/>
        </w:rPr>
      </w:pPr>
      <w:r>
        <w:rPr>
          <w:rFonts w:ascii="Arial" w:cs="Arial" w:eastAsia="Arial" w:hAnsi="Arial"/>
          <w:sz w:val="20"/>
          <w:szCs w:val="20"/>
          <w:color w:val="auto"/>
        </w:rPr>
        <w:t>Brian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926465</wp:posOffset>
            </wp:positionV>
            <wp:extent cx="554863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b w:val="1"/>
          <w:bCs w:val="1"/>
          <w:u w:val="single" w:color="auto"/>
          <w:color w:val="auto"/>
        </w:rPr>
        <w:t>SCHEDULE 3</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Compensation</w:t>
      </w:r>
    </w:p>
    <w:p>
      <w:pPr>
        <w:spacing w:after="0" w:line="200" w:lineRule="exact"/>
        <w:rPr>
          <w:sz w:val="20"/>
          <w:szCs w:val="20"/>
          <w:color w:val="auto"/>
        </w:rPr>
      </w:pPr>
    </w:p>
    <w:p>
      <w:pPr>
        <w:spacing w:after="0" w:line="265" w:lineRule="exact"/>
        <w:rPr>
          <w:sz w:val="20"/>
          <w:szCs w:val="20"/>
          <w:color w:val="auto"/>
        </w:rPr>
      </w:pPr>
    </w:p>
    <w:p>
      <w:pPr>
        <w:ind w:left="160" w:right="539"/>
        <w:spacing w:after="0" w:line="386" w:lineRule="auto"/>
        <w:rPr>
          <w:sz w:val="20"/>
          <w:szCs w:val="20"/>
          <w:color w:val="auto"/>
        </w:rPr>
      </w:pPr>
      <w:r>
        <w:rPr>
          <w:rFonts w:ascii="Arial" w:cs="Arial" w:eastAsia="Arial" w:hAnsi="Arial"/>
          <w:sz w:val="16"/>
          <w:szCs w:val="16"/>
          <w:color w:val="auto"/>
        </w:rPr>
        <w:t xml:space="preserve">The Company shall pay SVB Leerink compensation in cash equal to 3.0% of the gross proceeds from the sales of Shares pursuant to the terms of the Sales Agreement of which this </w:t>
      </w:r>
      <w:r>
        <w:rPr>
          <w:rFonts w:ascii="Arial" w:cs="Arial" w:eastAsia="Arial" w:hAnsi="Arial"/>
          <w:sz w:val="16"/>
          <w:szCs w:val="16"/>
          <w:b w:val="1"/>
          <w:bCs w:val="1"/>
          <w:u w:val="single" w:color="auto"/>
          <w:color w:val="auto"/>
        </w:rPr>
        <w:t>Schedule 3</w:t>
      </w:r>
      <w:r>
        <w:rPr>
          <w:rFonts w:ascii="Arial" w:cs="Arial" w:eastAsia="Arial" w:hAnsi="Arial"/>
          <w:sz w:val="16"/>
          <w:szCs w:val="16"/>
          <w:color w:val="auto"/>
        </w:rPr>
        <w:t xml:space="preserve">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1581785</wp:posOffset>
            </wp:positionV>
            <wp:extent cx="554863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b w:val="1"/>
          <w:bCs w:val="1"/>
          <w:u w:val="single" w:color="auto"/>
          <w:color w:val="auto"/>
        </w:rPr>
        <w:t>Exhibit 7(m)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OFFICERS’ CERTIFICATE</w:t>
      </w:r>
    </w:p>
    <w:p>
      <w:pPr>
        <w:spacing w:after="0" w:line="200" w:lineRule="exact"/>
        <w:rPr>
          <w:sz w:val="20"/>
          <w:szCs w:val="20"/>
          <w:color w:val="auto"/>
        </w:rPr>
      </w:pPr>
    </w:p>
    <w:p>
      <w:pPr>
        <w:spacing w:after="0" w:line="265" w:lineRule="exact"/>
        <w:rPr>
          <w:sz w:val="20"/>
          <w:szCs w:val="20"/>
          <w:color w:val="auto"/>
        </w:rPr>
      </w:pPr>
    </w:p>
    <w:p>
      <w:pPr>
        <w:ind w:left="160" w:right="259"/>
        <w:spacing w:after="0" w:line="243" w:lineRule="auto"/>
        <w:rPr>
          <w:sz w:val="20"/>
          <w:szCs w:val="20"/>
          <w:color w:val="auto"/>
        </w:rPr>
      </w:pPr>
      <w:r>
        <w:rPr>
          <w:rFonts w:ascii="Arial" w:cs="Arial" w:eastAsia="Arial" w:hAnsi="Arial"/>
          <w:sz w:val="20"/>
          <w:szCs w:val="20"/>
          <w:color w:val="auto"/>
        </w:rPr>
        <w:t>Each of Herriot Tabuteau, the duly qualified and elected Chief Executive Officer of Axsome Therapeutics, Inc., a Delaware corporation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Nick Pizzie, the duly qualified and elected Chief Financial Officer of the Company, does hereby certify in his respective capacity and on behalf of the Company, pursuant to Section 7(m) of the Sales Agreement, dated December 5, 2019 (the “</w:t>
      </w:r>
      <w:r>
        <w:rPr>
          <w:rFonts w:ascii="Arial" w:cs="Arial" w:eastAsia="Arial" w:hAnsi="Arial"/>
          <w:sz w:val="20"/>
          <w:szCs w:val="20"/>
          <w:b w:val="1"/>
          <w:bCs w:val="1"/>
          <w:u w:val="single" w:color="auto"/>
          <w:color w:val="auto"/>
        </w:rPr>
        <w:t>Sales</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by and between the Company and SVB Leerink LLC, that, after due inquiry, to the best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of the undersigned:</w:t>
      </w:r>
    </w:p>
    <w:p>
      <w:pPr>
        <w:spacing w:after="0" w:line="210" w:lineRule="exact"/>
        <w:rPr>
          <w:sz w:val="20"/>
          <w:szCs w:val="20"/>
          <w:color w:val="auto"/>
        </w:rPr>
      </w:pPr>
    </w:p>
    <w:p>
      <w:pPr>
        <w:ind w:left="160" w:right="179" w:firstLine="639"/>
        <w:spacing w:after="0" w:line="274" w:lineRule="auto"/>
        <w:tabs>
          <w:tab w:leader="none" w:pos="14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w:t>
      </w:r>
    </w:p>
    <w:p>
      <w:pPr>
        <w:spacing w:after="0" w:line="182" w:lineRule="exact"/>
        <w:rPr>
          <w:rFonts w:ascii="Arial" w:cs="Arial" w:eastAsia="Arial" w:hAnsi="Arial"/>
          <w:sz w:val="18"/>
          <w:szCs w:val="18"/>
          <w:color w:val="auto"/>
        </w:rPr>
      </w:pPr>
    </w:p>
    <w:p>
      <w:pPr>
        <w:ind w:left="160" w:right="299" w:firstLine="639"/>
        <w:spacing w:after="0" w:line="260" w:lineRule="auto"/>
        <w:tabs>
          <w:tab w:leader="none" w:pos="1455"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Company has complied with all agreements and satisfied all conditions on its part to be performed or satisfied pursuant to the Sales Agreement at or prior to the date hereof.</w:t>
      </w:r>
    </w:p>
    <w:p>
      <w:pPr>
        <w:spacing w:after="0" w:line="190" w:lineRule="exact"/>
        <w:rPr>
          <w:rFonts w:ascii="Arial" w:cs="Arial" w:eastAsia="Arial" w:hAnsi="Arial"/>
          <w:sz w:val="20"/>
          <w:szCs w:val="20"/>
          <w:color w:val="auto"/>
        </w:rPr>
      </w:pPr>
    </w:p>
    <w:p>
      <w:pPr>
        <w:ind w:left="160" w:right="199" w:firstLine="639"/>
        <w:spacing w:after="0" w:line="272" w:lineRule="auto"/>
        <w:tabs>
          <w:tab w:leader="none" w:pos="145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spacing w:after="0" w:line="184" w:lineRule="exact"/>
        <w:rPr>
          <w:rFonts w:ascii="Arial" w:cs="Arial" w:eastAsia="Arial" w:hAnsi="Arial"/>
          <w:sz w:val="18"/>
          <w:szCs w:val="18"/>
          <w:color w:val="auto"/>
        </w:rPr>
      </w:pPr>
    </w:p>
    <w:p>
      <w:pPr>
        <w:ind w:left="160" w:right="319" w:firstLine="639"/>
        <w:spacing w:after="0" w:line="243" w:lineRule="auto"/>
        <w:tabs>
          <w:tab w:leader="none" w:pos="1499"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w:t>
      </w:r>
    </w:p>
    <w:p>
      <w:pPr>
        <w:spacing w:after="0" w:line="210" w:lineRule="exact"/>
        <w:rPr>
          <w:rFonts w:ascii="Arial" w:cs="Arial" w:eastAsia="Arial" w:hAnsi="Arial"/>
          <w:sz w:val="20"/>
          <w:szCs w:val="20"/>
          <w:color w:val="auto"/>
        </w:rPr>
      </w:pPr>
    </w:p>
    <w:p>
      <w:pPr>
        <w:ind w:left="1480" w:hanging="681"/>
        <w:spacing w:after="0"/>
        <w:tabs>
          <w:tab w:leader="none" w:pos="14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Company does not possess any material non-public information.</w:t>
      </w:r>
    </w:p>
    <w:p>
      <w:pPr>
        <w:spacing w:after="0" w:line="229" w:lineRule="exact"/>
        <w:rPr>
          <w:rFonts w:ascii="Arial" w:cs="Arial" w:eastAsia="Arial" w:hAnsi="Arial"/>
          <w:sz w:val="20"/>
          <w:szCs w:val="20"/>
          <w:color w:val="auto"/>
        </w:rPr>
      </w:pPr>
    </w:p>
    <w:p>
      <w:pPr>
        <w:ind w:left="160" w:right="439" w:firstLine="639"/>
        <w:spacing w:after="0" w:line="282" w:lineRule="auto"/>
        <w:tabs>
          <w:tab w:leader="none" w:pos="14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incorporation, amended and restated bylaws and applicable law.</w:t>
      </w:r>
    </w:p>
    <w:p>
      <w:pPr>
        <w:spacing w:after="0" w:line="175" w:lineRule="exact"/>
        <w:rPr>
          <w:sz w:val="20"/>
          <w:szCs w:val="20"/>
          <w:color w:val="auto"/>
        </w:rPr>
      </w:pPr>
    </w:p>
    <w:p>
      <w:pPr>
        <w:ind w:left="160" w:right="359" w:firstLine="648"/>
        <w:spacing w:after="0" w:line="260" w:lineRule="auto"/>
        <w:rPr>
          <w:sz w:val="20"/>
          <w:szCs w:val="20"/>
          <w:color w:val="auto"/>
        </w:rPr>
      </w:pPr>
      <w:r>
        <w:rPr>
          <w:rFonts w:ascii="Arial" w:cs="Arial" w:eastAsia="Arial" w:hAnsi="Arial"/>
          <w:sz w:val="20"/>
          <w:szCs w:val="20"/>
          <w:color w:val="auto"/>
        </w:rPr>
        <w:t>Capitalized terms used but not defined herein shall have the meanings ascribed to them in the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612140</wp:posOffset>
            </wp:positionV>
            <wp:extent cx="554863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8" w:name="page49"/>
    <w:bookmarkEnd w:id="48"/>
    <w:p>
      <w:pPr>
        <w:ind w:left="160" w:right="359" w:firstLine="648"/>
        <w:spacing w:after="0" w:line="250" w:lineRule="auto"/>
        <w:rPr>
          <w:sz w:val="20"/>
          <w:szCs w:val="20"/>
          <w:color w:val="auto"/>
        </w:rPr>
      </w:pPr>
      <w:r>
        <w:rPr>
          <w:rFonts w:ascii="Arial" w:cs="Arial" w:eastAsia="Arial" w:hAnsi="Arial"/>
          <w:sz w:val="20"/>
          <w:szCs w:val="20"/>
          <w:color w:val="auto"/>
        </w:rPr>
        <w:t>IN WITNESS WHEREOF, each of the undersigned, in his respective capacity as Chief Executive Officer and Chief Financial Officer of the Company, has executed this Officers’ Certificate on behalf of the Company.</w:t>
      </w:r>
    </w:p>
    <w:p>
      <w:pPr>
        <w:spacing w:after="0" w:line="200" w:lineRule="exact"/>
        <w:rPr>
          <w:sz w:val="20"/>
          <w:szCs w:val="20"/>
          <w:color w:val="auto"/>
        </w:rPr>
      </w:pPr>
    </w:p>
    <w:p>
      <w:pPr>
        <w:spacing w:after="0" w:line="23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Herriot Tabuteau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24955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14605</wp:posOffset>
            </wp:positionV>
            <wp:extent cx="24955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24955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14605</wp:posOffset>
            </wp:positionV>
            <wp:extent cx="24955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Company Signature Page to Officers’ Certificate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353695</wp:posOffset>
            </wp:positionV>
            <wp:extent cx="554863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1)"/>
      <w:numFmt w:val="lowerLetter"/>
      <w:start w:val="4"/>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2"/>
    </w:lvl>
  </w:abstractNum>
  <w:abstractNum w:abstractNumId="4">
    <w:nsid w:val="3804823E"/>
    <w:multiLevelType w:val="hybridMultilevel"/>
    <w:lvl w:ilvl="0">
      <w:lvlJc w:val="left"/>
      <w:lvlText w:val="%1."/>
      <w:numFmt w:val="decimal"/>
      <w:start w:val="3"/>
    </w:lvl>
  </w:abstractNum>
  <w:abstractNum w:abstractNumId="5">
    <w:nsid w:val="77465F01"/>
    <w:multiLevelType w:val="hybridMultilevel"/>
    <w:lvl w:ilvl="0">
      <w:lvlJc w:val="left"/>
      <w:lvlText w:val="(%1)"/>
      <w:numFmt w:val="lowerLetter"/>
      <w:start w:val="1"/>
    </w:lvl>
  </w:abstractNum>
  <w:abstractNum w:abstractNumId="6">
    <w:nsid w:val="7724C67E"/>
    <w:multiLevelType w:val="hybridMultilevel"/>
    <w:lvl w:ilvl="0">
      <w:lvlJc w:val="left"/>
      <w:lvlText w:val="(%1)"/>
      <w:numFmt w:val="lowerLetter"/>
      <w:start w:val="2"/>
    </w:lvl>
  </w:abstractNum>
  <w:abstractNum w:abstractNumId="7">
    <w:nsid w:val="5C482A97"/>
    <w:multiLevelType w:val="hybridMultilevel"/>
    <w:lvl w:ilvl="0">
      <w:lvlJc w:val="left"/>
      <w:lvlText w:val="%1."/>
      <w:numFmt w:val="decimal"/>
      <w:start w:val="5"/>
    </w:lvl>
  </w:abstractNum>
  <w:abstractNum w:abstractNumId="8">
    <w:nsid w:val="2463B9EA"/>
    <w:multiLevelType w:val="hybridMultilevel"/>
    <w:lvl w:ilvl="0">
      <w:lvlJc w:val="left"/>
      <w:lvlText w:val="(%1)"/>
      <w:numFmt w:val="lowerLetter"/>
      <w:start w:val="1"/>
    </w:lvl>
  </w:abstractNum>
  <w:abstractNum w:abstractNumId="9">
    <w:nsid w:val="5E884ADC"/>
    <w:multiLevelType w:val="hybridMultilevel"/>
    <w:lvl w:ilvl="0">
      <w:lvlJc w:val="left"/>
      <w:lvlText w:val="(%1)"/>
      <w:numFmt w:val="lowerLetter"/>
      <w:start w:val="3"/>
    </w:lvl>
  </w:abstractNum>
  <w:abstractNum w:abstractNumId="10">
    <w:nsid w:val="51EAD36B"/>
    <w:multiLevelType w:val="hybridMultilevel"/>
    <w:lvl w:ilvl="0">
      <w:lvlJc w:val="left"/>
      <w:lvlText w:val="%1."/>
      <w:numFmt w:val="decimal"/>
      <w:start w:val="6"/>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1)"/>
      <w:numFmt w:val="lowerLetter"/>
      <w:start w:val="2"/>
    </w:lvl>
  </w:abstractNum>
  <w:abstractNum w:abstractNumId="13">
    <w:nsid w:val="153EA438"/>
    <w:multiLevelType w:val="hybridMultilevel"/>
    <w:lvl w:ilvl="0">
      <w:lvlJc w:val="left"/>
      <w:lvlText w:val="(%1)"/>
      <w:numFmt w:val="lowerLetter"/>
      <w:start w:val="6"/>
    </w:lvl>
  </w:abstractNum>
  <w:abstractNum w:abstractNumId="14">
    <w:nsid w:val="3855585C"/>
    <w:multiLevelType w:val="hybridMultilevel"/>
    <w:lvl w:ilvl="0">
      <w:lvlJc w:val="left"/>
      <w:lvlText w:val="(%1)"/>
      <w:numFmt w:val="lowerLetter"/>
      <w:start w:val="12"/>
    </w:lvl>
  </w:abstractNum>
  <w:abstractNum w:abstractNumId="15">
    <w:nsid w:val="70A64E2A"/>
    <w:multiLevelType w:val="hybridMultilevel"/>
    <w:lvl w:ilvl="0">
      <w:lvlJc w:val="left"/>
      <w:lvlText w:val="(%1)"/>
      <w:numFmt w:val="lowerLetter"/>
      <w:start w:val="14"/>
    </w:lvl>
  </w:abstractNum>
  <w:abstractNum w:abstractNumId="16">
    <w:nsid w:val="6A2342EC"/>
    <w:multiLevelType w:val="hybridMultilevel"/>
    <w:lvl w:ilvl="0">
      <w:lvlJc w:val="left"/>
      <w:lvlText w:val="(%1)"/>
      <w:numFmt w:val="lowerLetter"/>
      <w:start w:val="19"/>
    </w:lvl>
  </w:abstractNum>
  <w:abstractNum w:abstractNumId="17">
    <w:nsid w:val="2A487CB0"/>
    <w:multiLevelType w:val="hybridMultilevel"/>
    <w:lvl w:ilvl="0">
      <w:lvlJc w:val="left"/>
      <w:lvlText w:val="(%1)"/>
      <w:numFmt w:val="lowerLetter"/>
      <w:start w:val="22"/>
    </w:lvl>
  </w:abstractNum>
  <w:abstractNum w:abstractNumId="18">
    <w:nsid w:val="1D4ED43B"/>
    <w:multiLevelType w:val="hybridMultilevel"/>
    <w:lvl w:ilvl="0">
      <w:lvlJc w:val="left"/>
      <w:lvlText w:val="(%1)"/>
      <w:numFmt w:val="lowerLetter"/>
      <w:start w:val="26"/>
    </w:lvl>
  </w:abstractNum>
  <w:abstractNum w:abstractNumId="19">
    <w:nsid w:val="725A06FB"/>
    <w:multiLevelType w:val="hybridMultilevel"/>
    <w:lvl w:ilvl="0">
      <w:lvlJc w:val="left"/>
      <w:lvlText w:val="(%1)"/>
      <w:numFmt w:val="lowerLetter"/>
      <w:start w:val="27"/>
    </w:lvl>
  </w:abstractNum>
  <w:abstractNum w:abstractNumId="20">
    <w:nsid w:val="2CD89A32"/>
    <w:multiLevelType w:val="hybridMultilevel"/>
    <w:lvl w:ilvl="0">
      <w:lvlJc w:val="left"/>
      <w:lvlText w:val="(%1)"/>
      <w:numFmt w:val="lowerLetter"/>
      <w:start w:val="35"/>
    </w:lvl>
    <w:lvl w:ilvl="1">
      <w:lvlJc w:val="left"/>
      <w:lvlText w:val="(%2)"/>
      <w:numFmt w:val="lowerLetter"/>
      <w:start w:val="30"/>
    </w:lvl>
  </w:abstractNum>
  <w:abstractNum w:abstractNumId="21">
    <w:nsid w:val="57E4CCAF"/>
    <w:multiLevelType w:val="hybridMultilevel"/>
    <w:lvl w:ilvl="0">
      <w:lvlJc w:val="left"/>
      <w:lvlText w:val="(%1)"/>
      <w:numFmt w:val="lowerLetter"/>
      <w:start w:val="9"/>
    </w:lvl>
    <w:lvl w:ilvl="1">
      <w:lvlJc w:val="left"/>
      <w:lvlText w:val="%2"/>
      <w:numFmt w:val="lowerLetter"/>
      <w:start w:val="1"/>
    </w:lvl>
  </w:abstractNum>
  <w:abstractNum w:abstractNumId="22">
    <w:nsid w:val="7A6D8D3C"/>
    <w:multiLevelType w:val="hybridMultilevel"/>
    <w:lvl w:ilvl="0">
      <w:lvlJc w:val="left"/>
      <w:lvlText w:val="(%1)"/>
      <w:numFmt w:val="lowerLetter"/>
      <w:start w:val="35"/>
    </w:lvl>
    <w:lvl w:ilvl="1">
      <w:lvlJc w:val="left"/>
      <w:lvlText w:val="(%2)"/>
      <w:numFmt w:val="lowerLetter"/>
      <w:start w:val="33"/>
    </w:lvl>
  </w:abstractNum>
  <w:abstractNum w:abstractNumId="23">
    <w:nsid w:val="4B588F54"/>
    <w:multiLevelType w:val="hybridMultilevel"/>
    <w:lvl w:ilvl="0">
      <w:lvlJc w:val="left"/>
      <w:lvlText w:val="(%1)"/>
      <w:numFmt w:val="lowerLetter"/>
      <w:start w:val="34"/>
    </w:lvl>
  </w:abstractNum>
  <w:abstractNum w:abstractNumId="24">
    <w:nsid w:val="542289EC"/>
    <w:multiLevelType w:val="hybridMultilevel"/>
    <w:lvl w:ilvl="0">
      <w:lvlJc w:val="left"/>
      <w:lvlText w:val="(%1)"/>
      <w:numFmt w:val="lowerLetter"/>
      <w:start w:val="36"/>
    </w:lvl>
  </w:abstractNum>
  <w:abstractNum w:abstractNumId="25">
    <w:nsid w:val="6DE91B18"/>
    <w:multiLevelType w:val="hybridMultilevel"/>
    <w:lvl w:ilvl="0">
      <w:lvlJc w:val="left"/>
      <w:lvlText w:val="(%1)"/>
      <w:numFmt w:val="lowerLetter"/>
      <w:start w:val="40"/>
    </w:lvl>
  </w:abstractNum>
  <w:abstractNum w:abstractNumId="26">
    <w:nsid w:val="38437FDB"/>
    <w:multiLevelType w:val="hybridMultilevel"/>
    <w:lvl w:ilvl="0">
      <w:lvlJc w:val="left"/>
      <w:lvlText w:val="(%1)"/>
      <w:numFmt w:val="lowerLetter"/>
      <w:start w:val="43"/>
    </w:lvl>
  </w:abstractNum>
  <w:abstractNum w:abstractNumId="27">
    <w:nsid w:val="7644A45C"/>
    <w:multiLevelType w:val="hybridMultilevel"/>
    <w:lvl w:ilvl="0">
      <w:lvlJc w:val="left"/>
      <w:lvlText w:val="(%1)"/>
      <w:numFmt w:val="lowerLetter"/>
      <w:start w:val="44"/>
    </w:lvl>
  </w:abstractNum>
  <w:abstractNum w:abstractNumId="28">
    <w:nsid w:val="32FFF902"/>
    <w:multiLevelType w:val="hybridMultilevel"/>
    <w:lvl w:ilvl="0">
      <w:lvlJc w:val="left"/>
      <w:lvlText w:val="(%1)"/>
      <w:numFmt w:val="lowerLetter"/>
      <w:start w:val="46"/>
    </w:lvl>
  </w:abstractNum>
  <w:abstractNum w:abstractNumId="29">
    <w:nsid w:val="684A481A"/>
    <w:multiLevelType w:val="hybridMultilevel"/>
    <w:lvl w:ilvl="0">
      <w:lvlJc w:val="left"/>
      <w:lvlText w:val="(%1)"/>
      <w:numFmt w:val="lowerLetter"/>
      <w:start w:val="52"/>
    </w:lvl>
  </w:abstractNum>
  <w:abstractNum w:abstractNumId="30">
    <w:nsid w:val="579478FE"/>
    <w:multiLevelType w:val="hybridMultilevel"/>
    <w:lvl w:ilvl="0">
      <w:lvlJc w:val="left"/>
      <w:lvlText w:val="(%1)"/>
      <w:numFmt w:val="lowerLetter"/>
      <w:start w:val="53"/>
    </w:lvl>
  </w:abstractNum>
  <w:abstractNum w:abstractNumId="31">
    <w:nsid w:val="749ABB43"/>
    <w:multiLevelType w:val="hybridMultilevel"/>
    <w:lvl w:ilvl="0">
      <w:lvlJc w:val="left"/>
      <w:lvlText w:val="(%1)"/>
      <w:numFmt w:val="lowerLetter"/>
      <w:start w:val="59"/>
    </w:lvl>
  </w:abstractNum>
  <w:abstractNum w:abstractNumId="32">
    <w:nsid w:val="3DC240FB"/>
    <w:multiLevelType w:val="hybridMultilevel"/>
    <w:lvl w:ilvl="0">
      <w:lvlJc w:val="left"/>
      <w:lvlText w:val="%1."/>
      <w:numFmt w:val="decimal"/>
      <w:start w:val="7"/>
    </w:lvl>
  </w:abstractNum>
  <w:abstractNum w:abstractNumId="33">
    <w:nsid w:val="1BA026FA"/>
    <w:multiLevelType w:val="hybridMultilevel"/>
    <w:lvl w:ilvl="0">
      <w:lvlJc w:val="left"/>
      <w:lvlText w:val="(%1)"/>
      <w:numFmt w:val="lowerLetter"/>
      <w:start w:val="1"/>
    </w:lvl>
  </w:abstractNum>
  <w:abstractNum w:abstractNumId="34">
    <w:nsid w:val="79A1DEAA"/>
    <w:multiLevelType w:val="hybridMultilevel"/>
    <w:lvl w:ilvl="0">
      <w:lvlJc w:val="left"/>
      <w:lvlText w:val="(%1)"/>
      <w:numFmt w:val="lowerLetter"/>
      <w:start w:val="2"/>
    </w:lvl>
  </w:abstractNum>
  <w:abstractNum w:abstractNumId="35">
    <w:nsid w:val="75C6C33A"/>
    <w:multiLevelType w:val="hybridMultilevel"/>
    <w:lvl w:ilvl="0">
      <w:lvlJc w:val="left"/>
      <w:lvlText w:val="(%1)"/>
      <w:numFmt w:val="lowerLetter"/>
      <w:start w:val="4"/>
    </w:lvl>
  </w:abstractNum>
  <w:abstractNum w:abstractNumId="36">
    <w:nsid w:val="12E685FB"/>
    <w:multiLevelType w:val="hybridMultilevel"/>
    <w:lvl w:ilvl="0">
      <w:lvlJc w:val="left"/>
      <w:lvlText w:val="(%1)"/>
      <w:numFmt w:val="lowerLetter"/>
      <w:start w:val="8"/>
    </w:lvl>
  </w:abstractNum>
  <w:abstractNum w:abstractNumId="37">
    <w:nsid w:val="70C6A529"/>
    <w:multiLevelType w:val="hybridMultilevel"/>
    <w:lvl w:ilvl="0">
      <w:lvlJc w:val="left"/>
      <w:lvlText w:val="(%1)"/>
      <w:numFmt w:val="lowerLetter"/>
      <w:start w:val="13"/>
    </w:lvl>
    <w:lvl w:ilvl="1">
      <w:lvlJc w:val="left"/>
      <w:lvlText w:val="(%2)"/>
      <w:numFmt w:val="lowerRoman"/>
      <w:start w:val="1"/>
    </w:lvl>
  </w:abstractNum>
  <w:abstractNum w:abstractNumId="38">
    <w:nsid w:val="520EEDD1"/>
    <w:multiLevelType w:val="hybridMultilevel"/>
    <w:lvl w:ilvl="0">
      <w:lvlJc w:val="left"/>
      <w:lvlText w:val="(%1)"/>
      <w:numFmt w:val="lowerLetter"/>
      <w:start w:val="14"/>
    </w:lvl>
  </w:abstractNum>
  <w:abstractNum w:abstractNumId="39">
    <w:nsid w:val="374A3FE6"/>
    <w:multiLevelType w:val="hybridMultilevel"/>
    <w:lvl w:ilvl="0">
      <w:lvlJc w:val="left"/>
      <w:lvlText w:val="(%1)"/>
      <w:numFmt w:val="lowerLetter"/>
      <w:start w:val="15"/>
    </w:lvl>
  </w:abstractNum>
  <w:abstractNum w:abstractNumId="40">
    <w:nsid w:val="4F4EF005"/>
    <w:multiLevelType w:val="hybridMultilevel"/>
    <w:lvl w:ilvl="0">
      <w:lvlJc w:val="left"/>
      <w:lvlText w:val="(%1)"/>
      <w:numFmt w:val="lowerLetter"/>
      <w:start w:val="18"/>
    </w:lvl>
  </w:abstractNum>
  <w:abstractNum w:abstractNumId="41">
    <w:nsid w:val="23F9C13C"/>
    <w:multiLevelType w:val="hybridMultilevel"/>
    <w:lvl w:ilvl="0">
      <w:lvlJc w:val="left"/>
      <w:lvlText w:val="(%1)"/>
      <w:numFmt w:val="lowerLetter"/>
      <w:start w:val="25"/>
    </w:lvl>
  </w:abstractNum>
  <w:abstractNum w:abstractNumId="42">
    <w:nsid w:val="649BB77C"/>
    <w:multiLevelType w:val="hybridMultilevel"/>
    <w:lvl w:ilvl="0">
      <w:lvlJc w:val="left"/>
      <w:lvlText w:val="(%1)"/>
      <w:numFmt w:val="lowerLetter"/>
      <w:start w:val="27"/>
    </w:lvl>
  </w:abstractNum>
  <w:abstractNum w:abstractNumId="43">
    <w:nsid w:val="275AC794"/>
    <w:multiLevelType w:val="hybridMultilevel"/>
    <w:lvl w:ilvl="0">
      <w:lvlJc w:val="left"/>
      <w:lvlText w:val="(%1)"/>
      <w:numFmt w:val="lowerLetter"/>
      <w:start w:val="28"/>
    </w:lvl>
  </w:abstractNum>
  <w:abstractNum w:abstractNumId="44">
    <w:nsid w:val="39386575"/>
    <w:multiLevelType w:val="hybridMultilevel"/>
    <w:lvl w:ilvl="0">
      <w:lvlJc w:val="left"/>
      <w:lvlText w:val="%1."/>
      <w:numFmt w:val="decimal"/>
      <w:start w:val="8"/>
    </w:lvl>
  </w:abstractNum>
  <w:abstractNum w:abstractNumId="45">
    <w:nsid w:val="1CF10FD8"/>
    <w:multiLevelType w:val="hybridMultilevel"/>
    <w:lvl w:ilvl="0">
      <w:lvlJc w:val="left"/>
      <w:lvlText w:val="%1"/>
      <w:numFmt w:val="lowerLetter"/>
      <w:start w:val="1"/>
    </w:lvl>
    <w:lvl w:ilvl="1">
      <w:lvlJc w:val="left"/>
      <w:lvlText w:val="(%2)"/>
      <w:numFmt w:val="lowerLetter"/>
      <w:start w:val="1"/>
    </w:lvl>
  </w:abstractNum>
  <w:abstractNum w:abstractNumId="46">
    <w:nsid w:val="180115BE"/>
    <w:multiLevelType w:val="hybridMultilevel"/>
    <w:lvl w:ilvl="0">
      <w:lvlJc w:val="left"/>
      <w:lvlText w:val="(%1)"/>
      <w:numFmt w:val="lowerLetter"/>
      <w:start w:val="9"/>
    </w:lvl>
    <w:lvl w:ilvl="1">
      <w:lvlJc w:val="left"/>
      <w:lvlText w:val="(%2)"/>
      <w:numFmt w:val="lowerLetter"/>
      <w:start w:val="2"/>
    </w:lvl>
  </w:abstractNum>
  <w:abstractNum w:abstractNumId="47">
    <w:nsid w:val="235BA861"/>
    <w:multiLevelType w:val="hybridMultilevel"/>
    <w:lvl w:ilvl="0">
      <w:lvlJc w:val="left"/>
      <w:lvlText w:val="(%1)"/>
      <w:numFmt w:val="lowerLetter"/>
      <w:start w:val="9"/>
    </w:lvl>
    <w:lvl w:ilvl="1">
      <w:lvlJc w:val="left"/>
      <w:lvlText w:val="%2"/>
      <w:numFmt w:val="lowerLetter"/>
      <w:start w:val="1"/>
    </w:lvl>
  </w:abstractNum>
  <w:abstractNum w:abstractNumId="48">
    <w:nsid w:val="47398C89"/>
    <w:multiLevelType w:val="hybridMultilevel"/>
    <w:lvl w:ilvl="0">
      <w:lvlJc w:val="left"/>
      <w:lvlText w:val="(%1)"/>
      <w:numFmt w:val="lowerLetter"/>
      <w:start w:val="4"/>
    </w:lvl>
  </w:abstractNum>
  <w:abstractNum w:abstractNumId="49">
    <w:nsid w:val="354FE9F9"/>
    <w:multiLevelType w:val="hybridMultilevel"/>
    <w:lvl w:ilvl="0">
      <w:lvlJc w:val="left"/>
      <w:lvlText w:val="(%1)"/>
      <w:numFmt w:val="lowerLetter"/>
      <w:start w:val="11"/>
    </w:lvl>
  </w:abstractNum>
  <w:abstractNum w:abstractNumId="50">
    <w:nsid w:val="15B5AF5C"/>
    <w:multiLevelType w:val="hybridMultilevel"/>
    <w:lvl w:ilvl="0">
      <w:lvlJc w:val="left"/>
      <w:lvlText w:val="%1."/>
      <w:numFmt w:val="decimal"/>
      <w:start w:val="9"/>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decimal"/>
      <w:start w:val="1"/>
    </w:lvl>
    <w:lvl w:ilvl="1">
      <w:lvlJc w:val="left"/>
      <w:lvlText w:val="(%2)"/>
      <w:numFmt w:val="lowerLetter"/>
      <w:start w:val="2"/>
    </w:lvl>
  </w:abstractNum>
  <w:abstractNum w:abstractNumId="53">
    <w:nsid w:val="10233C99"/>
    <w:multiLevelType w:val="hybridMultilevel"/>
    <w:lvl w:ilvl="0">
      <w:lvlJc w:val="left"/>
      <w:lvlText w:val="(%1)"/>
      <w:numFmt w:val="decimal"/>
      <w:start w:val="2"/>
    </w:lvl>
    <w:lvl w:ilvl="1">
      <w:lvlJc w:val="left"/>
      <w:lvlText w:val="%2"/>
      <w:numFmt w:val="lowerLetter"/>
      <w:start w:val="1"/>
    </w:lvl>
  </w:abstractNum>
  <w:abstractNum w:abstractNumId="54">
    <w:nsid w:val="3F6AB60F"/>
    <w:multiLevelType w:val="hybridMultilevel"/>
    <w:lvl w:ilvl="0">
      <w:lvlJc w:val="left"/>
      <w:lvlText w:val="(%1)"/>
      <w:numFmt w:val="lowerLetter"/>
      <w:start w:val="4"/>
    </w:lvl>
  </w:abstractNum>
  <w:abstractNum w:abstractNumId="55">
    <w:nsid w:val="61574095"/>
    <w:multiLevelType w:val="hybridMultilevel"/>
    <w:lvl w:ilvl="0">
      <w:lvlJc w:val="left"/>
      <w:lvlText w:val="%1."/>
      <w:numFmt w:val="decimal"/>
      <w:start w:val="10"/>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lowerLetter"/>
      <w:start w:val="2"/>
    </w:lvl>
  </w:abstractNum>
  <w:abstractNum w:abstractNumId="58">
    <w:nsid w:val="579BE4F1"/>
    <w:multiLevelType w:val="hybridMultilevel"/>
    <w:lvl w:ilvl="0">
      <w:lvlJc w:val="left"/>
      <w:lvlText w:val="%1."/>
      <w:numFmt w:val="decimal"/>
      <w:start w:val="12"/>
    </w:lvl>
  </w:abstractNum>
  <w:abstractNum w:abstractNumId="59">
    <w:nsid w:val="310C50B3"/>
    <w:multiLevelType w:val="hybridMultilevel"/>
    <w:lvl w:ilvl="0">
      <w:lvlJc w:val="left"/>
      <w:lvlText w:val="%1"/>
      <w:numFmt w:val="decimal"/>
      <w:start w:val="200"/>
    </w:lvl>
  </w:abstractNum>
  <w:abstractNum w:abstractNumId="60">
    <w:nsid w:val="5FF87E05"/>
    <w:multiLevelType w:val="hybridMultilevel"/>
    <w:lvl w:ilvl="0">
      <w:lvlJc w:val="left"/>
      <w:lvlText w:val="%1."/>
      <w:numFmt w:val="decimal"/>
      <w:start w:val="13"/>
    </w:lvl>
  </w:abstractNum>
  <w:abstractNum w:abstractNumId="61">
    <w:nsid w:val="2F305DEF"/>
    <w:multiLevelType w:val="hybridMultilevel"/>
    <w:lvl w:ilvl="0">
      <w:lvlJc w:val="left"/>
      <w:lvlText w:val="%1."/>
      <w:numFmt w:val="decimal"/>
      <w:start w:val="18"/>
    </w:lvl>
  </w:abstractNum>
  <w:abstractNum w:abstractNumId="62">
    <w:nsid w:val="25A70BF7"/>
    <w:multiLevelType w:val="hybridMultilevel"/>
    <w:lvl w:ilvl="0">
      <w:lvlJc w:val="left"/>
      <w:lvlText w:val="(%1)"/>
      <w:numFmt w:val="lowerLetter"/>
      <w:start w:val="1"/>
    </w:lvl>
  </w:abstractNum>
  <w:abstractNum w:abstractNumId="63">
    <w:nsid w:val="1DBABF00"/>
    <w:multiLevelType w:val="hybridMultilevel"/>
    <w:lvl w:ilvl="0">
      <w:lvlJc w:val="left"/>
      <w:lvlText w:val="%1."/>
      <w:numFmt w:val="decimal"/>
      <w:start w:val="19"/>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lowerLetter"/>
      <w:start w:val="2"/>
    </w:lvl>
  </w:abstractNum>
  <w:abstractNum w:abstractNumId="66">
    <w:nsid w:val="1381823A"/>
    <w:multiLevelType w:val="hybridMultilevel"/>
    <w:lvl w:ilvl="0">
      <w:lvlJc w:val="left"/>
      <w:lvlText w:val="%1."/>
      <w:numFmt w:val="decimal"/>
      <w:start w:val="21"/>
    </w:lvl>
  </w:abstractNum>
  <w:abstractNum w:abstractNumId="67">
    <w:nsid w:val="5DB70AE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2019-12-28T01:16:53Z</dcterms:created>
  <dcterms:modified xsi:type="dcterms:W3CDTF">2019-12-28T01:16:53Z</dcterms:modified>
</cp:coreProperties>
</file>