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Coleman Mark</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Axsome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AXSM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05/27/2025</w:t>
            </w:r>
          </w:p>
        </w:tc>
        <w:tc>
          <w:tcPr>
            <w:tcW w:w="1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440" w:type="dxa"/>
            <w:vAlign w:val="bottom"/>
            <w:gridSpan w:val="3"/>
            <w:vMerge w:val="continue"/>
          </w:tcPr>
          <w:p>
            <w:pPr>
              <w:spacing w:after="0"/>
              <w:rPr>
                <w:sz w:val="11"/>
                <w:szCs w:val="11"/>
                <w:color w:val="auto"/>
              </w:rPr>
            </w:pPr>
          </w:p>
        </w:tc>
        <w:tc>
          <w:tcPr>
            <w:tcW w:w="1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WORLD TRADE CENTER, 29TH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jc w:val="center"/>
              <w:ind w:right="55"/>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05/27/2025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3,750</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5"/>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105.47</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50,387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05/28/2025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3,750</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5"/>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103.43</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46,637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403,856</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4"/>
                <w:szCs w:val="14"/>
                <w:color w:val="auto"/>
              </w:rPr>
            </w:pP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sale of underlying shares of previously exercised stock options.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transaction was pursuant to a pre-approved 10b5-1 plan.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$104.75 and $106.50.</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$102.71 and $104.38.</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are held by an entity, of which the reporting person has voting and dispositive power, and therefore, the reporting person is deemed to be the indirect beneficial owner of such shares.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Herriot Tabuteau, M.D.,</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05/29/2025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70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70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8379"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2025-05-29T18:02:52Z</dcterms:created>
  <dcterms:modified xsi:type="dcterms:W3CDTF">2025-05-29T18:02:52Z</dcterms:modified>
</cp:coreProperties>
</file>