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March 27, 2018</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Axsome Therapeutics,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60"/>
          </w:cols>
          <w:pgMar w:left="240" w:top="544"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001-37635</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45-4241907</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40"/>
          </w:cols>
          <w:pgMar w:left="240" w:top="544" w:right="29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25 Broadway, 9th Floor</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10004</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40"/>
          </w:cols>
          <w:pgMar w:left="240" w:top="544" w:right="299" w:bottom="1440" w:gutter="0" w:footer="0" w:header="0"/>
          <w:type w:val="continuous"/>
        </w:sectPr>
      </w:pP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200" w:lineRule="exact"/>
        <w:rPr>
          <w:sz w:val="24"/>
          <w:szCs w:val="24"/>
          <w:color w:val="auto"/>
        </w:rPr>
      </w:pP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544"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80" w:firstLine="972"/>
        <w:spacing w:after="0" w:line="264" w:lineRule="auto"/>
        <w:rPr>
          <w:sz w:val="20"/>
          <w:szCs w:val="20"/>
          <w:color w:val="auto"/>
        </w:rPr>
      </w:pPr>
      <w:r>
        <w:rPr>
          <w:rFonts w:ascii="Arial" w:cs="Arial" w:eastAsia="Arial" w:hAnsi="Arial"/>
          <w:sz w:val="18"/>
          <w:szCs w:val="18"/>
          <w:color w:val="auto"/>
        </w:rPr>
        <w:t>On March 27, 2019, Axsome Therapeutics, Inc. (the “Company”) issued a press release announcing that it had received, from the U.S. Food and Drug Administration, Breakthrough Therapy Designation for one of the Company’s product candidates, AXS-05, for the treatment of major depressive disorder.</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full text of the press release is filed as Exhibit 99.1 hereto,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7340" w:type="dxa"/>
            <w:vAlign w:val="bottom"/>
            <w:vMerge w:val="restart"/>
          </w:tcPr>
          <w:p>
            <w:pPr>
              <w:jc w:val="right"/>
              <w:ind w:right="4519"/>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73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tcBorders>
              <w:top w:val="single" w:sz="8" w:color="auto"/>
            </w:tcBorders>
          </w:tcPr>
          <w:p>
            <w:pPr>
              <w:jc w:val="right"/>
              <w:ind w:right="330"/>
              <w:spacing w:after="0" w:line="170" w:lineRule="exact"/>
              <w:rPr>
                <w:sz w:val="20"/>
                <w:szCs w:val="20"/>
                <w:color w:val="auto"/>
              </w:rPr>
            </w:pPr>
            <w:r>
              <w:rPr>
                <w:rFonts w:ascii="Arial" w:cs="Arial" w:eastAsia="Arial" w:hAnsi="Arial"/>
                <w:sz w:val="18"/>
                <w:szCs w:val="18"/>
                <w:color w:val="auto"/>
              </w:rPr>
              <w:t>99.1</w:t>
            </w:r>
          </w:p>
        </w:tc>
        <w:tc>
          <w:tcPr>
            <w:tcW w:w="340" w:type="dxa"/>
            <w:vAlign w:val="bottom"/>
          </w:tcPr>
          <w:p>
            <w:pPr>
              <w:spacing w:after="0"/>
              <w:rPr>
                <w:sz w:val="14"/>
                <w:szCs w:val="14"/>
                <w:color w:val="auto"/>
              </w:rPr>
            </w:pPr>
          </w:p>
        </w:tc>
        <w:tc>
          <w:tcPr>
            <w:tcW w:w="9920" w:type="dxa"/>
            <w:vAlign w:val="bottom"/>
            <w:tcBorders>
              <w:top w:val="single" w:sz="8" w:color="auto"/>
            </w:tcBorders>
            <w:gridSpan w:val="2"/>
          </w:tcPr>
          <w:p>
            <w:pPr>
              <w:jc w:val="right"/>
              <w:ind w:right="7259"/>
              <w:spacing w:after="0" w:line="170"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Press release dated March 27, 2019.</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80" w:type="dxa"/>
            <w:vAlign w:val="bottom"/>
            <w:tcBorders>
              <w:top w:val="single" w:sz="8" w:color="0000EE"/>
            </w:tcBorders>
          </w:tcPr>
          <w:p>
            <w:pPr>
              <w:spacing w:after="0"/>
              <w:rPr>
                <w:sz w:val="24"/>
                <w:szCs w:val="24"/>
                <w:color w:val="auto"/>
              </w:rPr>
            </w:pPr>
          </w:p>
        </w:tc>
        <w:tc>
          <w:tcPr>
            <w:tcW w:w="7340" w:type="dxa"/>
            <w:vAlign w:val="bottom"/>
          </w:tcPr>
          <w:p>
            <w:pPr>
              <w:jc w:val="right"/>
              <w:ind w:right="5579"/>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580" w:type="dxa"/>
            <w:vAlign w:val="bottom"/>
            <w:tcBorders>
              <w:bottom w:val="single" w:sz="8" w:color="808080"/>
            </w:tcBorders>
          </w:tcPr>
          <w:p>
            <w:pPr>
              <w:spacing w:after="0"/>
              <w:rPr>
                <w:sz w:val="11"/>
                <w:szCs w:val="11"/>
                <w:color w:val="auto"/>
              </w:rPr>
            </w:pPr>
          </w:p>
        </w:tc>
        <w:tc>
          <w:tcPr>
            <w:tcW w:w="73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740" w:type="dxa"/>
            <w:vAlign w:val="bottom"/>
            <w:gridSpan w:val="2"/>
          </w:tcPr>
          <w:p>
            <w:pPr>
              <w:ind w:left="2320"/>
              <w:spacing w:after="0"/>
              <w:rPr>
                <w:sz w:val="20"/>
                <w:szCs w:val="20"/>
                <w:color w:val="auto"/>
              </w:rPr>
            </w:pPr>
            <w:r>
              <w:rPr>
                <w:rFonts w:ascii="Arial" w:cs="Arial" w:eastAsia="Arial" w:hAnsi="Arial"/>
                <w:sz w:val="18"/>
                <w:szCs w:val="18"/>
                <w:b w:val="1"/>
                <w:bCs w:val="1"/>
                <w:color w:val="auto"/>
              </w:rPr>
              <w:t>Axsome Therapeutics, Inc.</w:t>
            </w:r>
          </w:p>
        </w:tc>
        <w:tc>
          <w:tcPr>
            <w:tcW w:w="40" w:type="dxa"/>
            <w:vAlign w:val="bottom"/>
          </w:tcPr>
          <w:p>
            <w:pPr>
              <w:spacing w:after="0"/>
              <w:rPr>
                <w:sz w:val="20"/>
                <w:szCs w:val="20"/>
                <w:color w:val="auto"/>
              </w:rPr>
            </w:pPr>
          </w:p>
        </w:tc>
      </w:tr>
      <w:tr>
        <w:trPr>
          <w:trHeight w:val="648"/>
        </w:trPr>
        <w:tc>
          <w:tcPr>
            <w:tcW w:w="3680" w:type="dxa"/>
            <w:vAlign w:val="bottom"/>
          </w:tcPr>
          <w:p>
            <w:pPr>
              <w:spacing w:after="0"/>
              <w:rPr>
                <w:sz w:val="20"/>
                <w:szCs w:val="20"/>
                <w:color w:val="auto"/>
              </w:rPr>
            </w:pPr>
            <w:r>
              <w:rPr>
                <w:rFonts w:ascii="Arial" w:cs="Arial" w:eastAsia="Arial" w:hAnsi="Arial"/>
                <w:sz w:val="18"/>
                <w:szCs w:val="18"/>
                <w:color w:val="auto"/>
              </w:rPr>
              <w:t>Dated: March 27, 2019</w:t>
            </w:r>
          </w:p>
        </w:tc>
        <w:tc>
          <w:tcPr>
            <w:tcW w:w="7740" w:type="dxa"/>
            <w:vAlign w:val="bottom"/>
            <w:gridSpan w:val="2"/>
          </w:tcPr>
          <w:p>
            <w:pPr>
              <w:ind w:left="2320"/>
              <w:spacing w:after="0"/>
              <w:rPr>
                <w:sz w:val="20"/>
                <w:szCs w:val="20"/>
                <w:color w:val="auto"/>
              </w:rPr>
            </w:pPr>
            <w:r>
              <w:rPr>
                <w:rFonts w:ascii="Arial" w:cs="Arial" w:eastAsia="Arial" w:hAnsi="Arial"/>
                <w:sz w:val="18"/>
                <w:szCs w:val="18"/>
                <w:color w:val="auto"/>
              </w:rPr>
              <w:t>By:   /s/ Herriot Tabuteau, M.D.</w:t>
            </w:r>
          </w:p>
        </w:tc>
        <w:tc>
          <w:tcPr>
            <w:tcW w:w="40" w:type="dxa"/>
            <w:vAlign w:val="bottom"/>
          </w:tcPr>
          <w:p>
            <w:pPr>
              <w:spacing w:after="0"/>
              <w:rPr>
                <w:sz w:val="24"/>
                <w:szCs w:val="24"/>
                <w:color w:val="auto"/>
              </w:rPr>
            </w:pPr>
          </w:p>
        </w:tc>
      </w:tr>
      <w:tr>
        <w:trPr>
          <w:trHeight w:val="182"/>
        </w:trPr>
        <w:tc>
          <w:tcPr>
            <w:tcW w:w="3680" w:type="dxa"/>
            <w:vAlign w:val="bottom"/>
          </w:tcPr>
          <w:p>
            <w:pPr>
              <w:spacing w:after="0"/>
              <w:rPr>
                <w:sz w:val="15"/>
                <w:szCs w:val="15"/>
                <w:color w:val="auto"/>
              </w:rPr>
            </w:pPr>
          </w:p>
        </w:tc>
        <w:tc>
          <w:tcPr>
            <w:tcW w:w="2820" w:type="dxa"/>
            <w:vAlign w:val="bottom"/>
          </w:tcPr>
          <w:p>
            <w:pPr>
              <w:ind w:left="2320"/>
              <w:spacing w:after="0" w:line="182" w:lineRule="exact"/>
              <w:rPr>
                <w:sz w:val="20"/>
                <w:szCs w:val="20"/>
                <w:color w:val="auto"/>
              </w:rPr>
            </w:pPr>
            <w:r>
              <w:rPr>
                <w:rFonts w:ascii="Arial" w:cs="Arial" w:eastAsia="Arial" w:hAnsi="Arial"/>
                <w:sz w:val="18"/>
                <w:szCs w:val="18"/>
                <w:color w:val="auto"/>
                <w:w w:val="90"/>
              </w:rPr>
              <w:t>Name:</w:t>
            </w:r>
          </w:p>
        </w:tc>
        <w:tc>
          <w:tcPr>
            <w:tcW w:w="492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Herriot Tabuteau, M.D.</w:t>
            </w:r>
          </w:p>
        </w:tc>
        <w:tc>
          <w:tcPr>
            <w:tcW w:w="40" w:type="dxa"/>
            <w:vAlign w:val="bottom"/>
          </w:tcPr>
          <w:p>
            <w:pPr>
              <w:spacing w:after="0"/>
              <w:rPr>
                <w:sz w:val="15"/>
                <w:szCs w:val="15"/>
                <w:color w:val="auto"/>
              </w:rPr>
            </w:pPr>
          </w:p>
        </w:tc>
      </w:tr>
      <w:tr>
        <w:trPr>
          <w:trHeight w:val="230"/>
        </w:trPr>
        <w:tc>
          <w:tcPr>
            <w:tcW w:w="3680" w:type="dxa"/>
            <w:vAlign w:val="bottom"/>
          </w:tcPr>
          <w:p>
            <w:pPr>
              <w:spacing w:after="0"/>
              <w:rPr>
                <w:sz w:val="20"/>
                <w:szCs w:val="20"/>
                <w:color w:val="auto"/>
              </w:rPr>
            </w:pPr>
          </w:p>
        </w:tc>
        <w:tc>
          <w:tcPr>
            <w:tcW w:w="7740" w:type="dxa"/>
            <w:vAlign w:val="bottom"/>
            <w:gridSpan w:val="2"/>
          </w:tcPr>
          <w:p>
            <w:pPr>
              <w:ind w:left="2320"/>
              <w:spacing w:after="0"/>
              <w:rPr>
                <w:sz w:val="20"/>
                <w:szCs w:val="20"/>
                <w:color w:val="auto"/>
              </w:rPr>
            </w:pPr>
            <w:r>
              <w:rPr>
                <w:rFonts w:ascii="Arial" w:cs="Arial" w:eastAsia="Arial" w:hAnsi="Arial"/>
                <w:sz w:val="18"/>
                <w:szCs w:val="18"/>
                <w:color w:val="auto"/>
              </w:rPr>
              <w:t>Title: President and Chief Executive Officer</w:t>
            </w:r>
          </w:p>
        </w:tc>
        <w:tc>
          <w:tcPr>
            <w:tcW w:w="40" w:type="dxa"/>
            <w:vAlign w:val="bottom"/>
          </w:tcPr>
          <w:p>
            <w:pPr>
              <w:spacing w:after="0"/>
              <w:rPr>
                <w:sz w:val="20"/>
                <w:szCs w:val="20"/>
                <w:color w:val="auto"/>
              </w:rPr>
            </w:pPr>
          </w:p>
        </w:tc>
      </w:tr>
      <w:tr>
        <w:trPr>
          <w:trHeight w:val="432"/>
        </w:trPr>
        <w:tc>
          <w:tcPr>
            <w:tcW w:w="3680" w:type="dxa"/>
            <w:vAlign w:val="bottom"/>
          </w:tcPr>
          <w:p>
            <w:pPr>
              <w:spacing w:after="0"/>
              <w:rPr>
                <w:sz w:val="24"/>
                <w:szCs w:val="24"/>
                <w:color w:val="auto"/>
              </w:rPr>
            </w:pPr>
          </w:p>
        </w:tc>
        <w:tc>
          <w:tcPr>
            <w:tcW w:w="2820" w:type="dxa"/>
            <w:vAlign w:val="bottom"/>
          </w:tcPr>
          <w:p>
            <w:pPr>
              <w:ind w:left="1980"/>
              <w:spacing w:after="0"/>
              <w:rPr>
                <w:sz w:val="20"/>
                <w:szCs w:val="20"/>
                <w:color w:val="auto"/>
              </w:rPr>
            </w:pPr>
            <w:r>
              <w:rPr>
                <w:rFonts w:ascii="Arial" w:cs="Arial" w:eastAsia="Arial" w:hAnsi="Arial"/>
                <w:sz w:val="18"/>
                <w:szCs w:val="18"/>
                <w:color w:val="auto"/>
              </w:rPr>
              <w:t>3</w:t>
            </w:r>
          </w:p>
        </w:tc>
        <w:tc>
          <w:tcPr>
            <w:tcW w:w="4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80" w:type="dxa"/>
            <w:vAlign w:val="bottom"/>
            <w:tcBorders>
              <w:bottom w:val="single" w:sz="8" w:color="808080"/>
            </w:tcBorders>
          </w:tcPr>
          <w:p>
            <w:pPr>
              <w:spacing w:after="0"/>
              <w:rPr>
                <w:sz w:val="11"/>
                <w:szCs w:val="11"/>
                <w:color w:val="auto"/>
              </w:rPr>
            </w:pPr>
          </w:p>
        </w:tc>
        <w:tc>
          <w:tcPr>
            <w:tcW w:w="2820" w:type="dxa"/>
            <w:vAlign w:val="bottom"/>
            <w:tcBorders>
              <w:bottom w:val="single" w:sz="8" w:color="808080"/>
            </w:tcBorders>
          </w:tcPr>
          <w:p>
            <w:pPr>
              <w:spacing w:after="0"/>
              <w:rPr>
                <w:sz w:val="11"/>
                <w:szCs w:val="11"/>
                <w:color w:val="auto"/>
              </w:rPr>
            </w:pPr>
          </w:p>
        </w:tc>
        <w:tc>
          <w:tcPr>
            <w:tcW w:w="4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ind w:left="1048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440815" cy="4800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081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Receives FDA Breakthrough Therapy Designation for AXS-05 for the Treatment of Major Depressive Disorder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Designation offers potential for expedited development and review</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NEW YORK, March 27, 2019 (Globe Newswire) — Axsome Therapeutics, Inc. (NASDAQ: AXSM), a clinical-stage biopharmaceutical company developing novel therapies for the management of central nervous system (CNS) disorders, today announced that the U.S. Food and Drug Administration (FDA) has granted Breakthrough Therapy designation for AXS-05 for the treatment of major depressive disorder (MDD). AXS-05 is a novel, oral, investigational NMDA receptor antagonist with multimodal activity.</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Breakthrough Therapy designation is granted to potentially expedite development and review timelines for a promising investigational medicine when preliminary clinical evidence indicates it may demonstrate substantial improvement on one or more clinically significant endpoints over available therapies for a serious or life-threatening condition. The designation for AXS-05 in MDD was supported by the recent positive results from the Phase 2 ASCEND study, a randomized, double-blind, active-controlled, multicenter, U.S. trial, in which 80 patients with confirmed moderate to severe MDD were treated with AXS-05 or the active comparator bupropion. In this trial, treatment with AXS-05 resulted in a substantial, rapid, and statistically significant reduction in depressive symptoms as compared to the active comparator bupropion. On the pre-specified primary endpoint, AXS-05 demonstrated a statistically significant average mean reduction from baseline in the Montgomery-Åsberg Depression Rating Scale (MADRS) total score over the 6-week treatment period of 13.7 points for AXS-05 compared to 8.8 for bupropion (p&lt;0.001). AXS-05 was safe and well tolerated with the most commonly reported adverse events in the AXS-05 arm being nausea, dizziness, dry mouth, decreased appetite, and anxiety.</w:t>
      </w:r>
    </w:p>
    <w:p>
      <w:pPr>
        <w:spacing w:after="0" w:line="18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“This Breakthrough Therapy designation from the FDA for AXS-05 in major depressive disorder exemplifies Axsome’s commitment to developing novel medicines that have the potential to significantly improve the lives of patients living with serious CNS disorders,” said Herriot Tabuteau, MD, Chief Executive Officer of Axsome. “There is a significant unmet medical need for new and mechanistically differentiated treatments for depression. We look forward to working closely with the FDA over the coming months to expedite the development of AXS-05 for the treatment of major depressive disorder.”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FDA Breakthrough Therapy Designation</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Breakthrough Therapy designation is granted by the FDA in order to expedite the development and review of drugs for serious or life-threatening conditions. In order to receive Breakthrough Therapy designation, a drug must demonstrate preliminary clinical evidence that the drug may have substantial improvement on at least one clinically significant endpoint over available therapy. Breakthrough Therapy designation provides an organizational commitment involving senior managers from the FDA, more intensive FDA guidance on an efficient drug development program, and greater access to and more frequent communication with the FDA throughout the entire drug development and review process. It also provides the opportunity to submit sections of a New Drug Application (NDA) on a rolling basis, where the FDA may review portions of the NDA as they are received instead of waiting for the entire NDA submission. In addition, Breakthrough Therapy designated products are eligible for Priority Review, where the FDA has a goal to take action on an application within six months, as opposed to ten months under standard review. Breakthrough Therapy designation does not change the standards for approval.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Major Depressive Disorder (MDD)</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Major depressive disorder (MDD) is a debilitating, chronic, biologically-based disorder characterized by low mood, inability to feel pleasure, feelings of guilt and worthlessness, low energy, and other emotional and physical symptoms, and which impairs social, occupational, educational, or other important functioning. In severe cases, MDD can result in suicide. According to the National Institutes of Health, an estimated 6.7% of U.S. adults, or approximately 16 million, experience MDD each year(1). According to the World Health Organization (WHO), depression is the leading cause of disability worldwide, and is a major contributor to the overall global burden of disease(2). Nearly two-thirds of diagnosed and treated patients do not experience adequate treatment response with currently available first-line therapy(3), highlighting the need for additional therapies with new mechanisms of action.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both"/>
        <w:spacing w:after="0" w:line="277" w:lineRule="auto"/>
        <w:rPr>
          <w:sz w:val="20"/>
          <w:szCs w:val="20"/>
          <w:color w:val="auto"/>
        </w:rPr>
      </w:pPr>
      <w:r>
        <w:rPr>
          <w:rFonts w:ascii="Arial" w:cs="Arial" w:eastAsia="Arial" w:hAnsi="Arial"/>
          <w:sz w:val="18"/>
          <w:szCs w:val="18"/>
          <w:color w:val="auto"/>
        </w:rPr>
        <w:t>The majority of initial failures also fail second-line treatment. Patients diagnosed with MDD are defined as having treatment resistant depression (TRD) if they have failed to respond to two or more antidepressant therapies.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AXS-05</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AXS-05 is a novel, oral, investigational NMDA receptor antagonist with multimodal activity under development for the treatment of major depressive disorder and other central nervous system (CNS) disorders. AXS-05 consists of dextromethorphan and bupropion and utilizes Axsome’s metabolic inhibition technology. The dextromethorphan component of AXS-05 is a non-competitive N-methyl-D-aspartate (NMDA) receptor antagonist, also known as a glutamate receptor modulator, which is a novel mechanism of action, meaning it works differently than currently available therapies for depression. The dextromethorphan component of AXS-05 is also a sigma-1 receptor agonist, nicotinic acetylcholine receptor antagonist, and inhibitor of the serotonin and norepinephrine transporters. The bupropion component of AXS-05 serves to increase the bioavailability of dextromethorphan, and is a norepinephrine and dopamine reuptake inhibitor, and a nicotinic acetylcholine receptor antagonist. AXS-05 is covered by more than 30 issued U.S. and international patents which provide protection out to 2034. AXS-05 is not approved by the FDA.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Axsome Therapeutics, Inc. is a clinical-stage biopharmaceutical company developing novel therapies for the management of central nervous system (CNS) disorders for which there are limited treatment options. Axsome’s core CNS product candidate portfolio includes four clinical-stage candidates, AXS-05, AXS-07, AXS-09, and AXS-12. AXS-05 is currently in a Phase 3 trial in treatment resistant depression (TRD), a Phase 2/3 trial in agitation associated with Alzheimer’s disease (AD), and a Phase 2 trial in smoking cessation. AXS-05 is also being developed for major depressive disorder (MDD). AXS-07 is currently in a Phase 3 trial for the acute treatment of migraine. AXS-12 is currently in a Phase 2 trial in narcolepsy. The Axsome Pain and Primary Care business unit (Axsome PPC) houses Axsome’s pain and primary care assets, including AXS-02 and AXS-06, and intellectual property which covers these and related product candidates and molecules being developed by Axsome and others. AXS-02 is being developed for osteoporosis, the pain of knee osteoarthritis, and chronic low back pain. AXS-06 is being developed for osteoarthritis and rheumatoid arthritis. AXS-02, AXS-05, AXS-06, AXS-07, AXS-09, and AXS-12 are investigational drug products not approved by the FDA. For more information, please visit the Company’s website at axsome.com. The Company may occasionally disseminate material, nonpublic information on the company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18268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References</w:t>
      </w:r>
    </w:p>
    <w:p>
      <w:pPr>
        <w:spacing w:after="0" w:line="229" w:lineRule="exact"/>
        <w:rPr>
          <w:sz w:val="20"/>
          <w:szCs w:val="20"/>
          <w:color w:val="auto"/>
        </w:rPr>
      </w:pPr>
    </w:p>
    <w:p>
      <w:pPr>
        <w:ind w:left="260" w:hanging="252"/>
        <w:spacing w:after="0"/>
        <w:tabs>
          <w:tab w:leader="none" w:pos="260" w:val="left"/>
        </w:tabs>
        <w:numPr>
          <w:ilvl w:val="0"/>
          <w:numId w:val="1"/>
        </w:numPr>
        <w:rPr>
          <w:rFonts w:ascii="Arial" w:cs="Arial" w:eastAsia="Arial" w:hAnsi="Arial"/>
          <w:sz w:val="17"/>
          <w:szCs w:val="17"/>
          <w:color w:val="auto"/>
        </w:rPr>
      </w:pPr>
      <w:r>
        <w:rPr>
          <w:rFonts w:ascii="Arial" w:cs="Arial" w:eastAsia="Arial" w:hAnsi="Arial"/>
          <w:sz w:val="17"/>
          <w:szCs w:val="17"/>
          <w:color w:val="auto"/>
        </w:rPr>
        <w:t>National Institute of Mental Health. (2017). Major Depression. Retrieved from https://www.nimh.nih.gov/health/statistics/major-depression.shtml.</w:t>
      </w:r>
    </w:p>
    <w:p>
      <w:pPr>
        <w:spacing w:after="0" w:line="236" w:lineRule="exact"/>
        <w:rPr>
          <w:rFonts w:ascii="Arial" w:cs="Arial" w:eastAsia="Arial" w:hAnsi="Arial"/>
          <w:sz w:val="17"/>
          <w:szCs w:val="17"/>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World Health Organization. Fact Sheets: Depression.</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Rush AJ, et al. (2007) Am J. Psychiatry 163:11, pp. 1905-1917 (STAR*D Study).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and completion of the trials, futility analyses and receipt of interim results, which are not necessarily indicative of the final results of our ongoing clinical trials;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FDA’s agreement with the Company’s plan to discontinue the bupropion treatment arm of the ADVANCE-1 study in accordance with the independent data monitoring committee’s recommendations);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jc w:val="both"/>
        <w:spacing w:after="0" w:line="254" w:lineRule="auto"/>
        <w:rPr>
          <w:sz w:val="20"/>
          <w:szCs w:val="20"/>
          <w:color w:val="auto"/>
        </w:rPr>
      </w:pPr>
      <w:r>
        <w:rPr>
          <w:rFonts w:ascii="Arial" w:cs="Arial" w:eastAsia="Arial" w:hAnsi="Arial"/>
          <w:sz w:val="18"/>
          <w:szCs w:val="18"/>
          <w:color w:val="auto"/>
        </w:rPr>
        <w:t>potential for the ASCEND clinical trial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205" w:lineRule="auto"/>
        <w:rPr>
          <w:sz w:val="20"/>
          <w:szCs w:val="20"/>
          <w:color w:val="auto"/>
        </w:rPr>
      </w:pPr>
      <w:r>
        <w:rPr>
          <w:rFonts w:ascii="Arial" w:cs="Arial" w:eastAsia="Arial" w:hAnsi="Arial"/>
          <w:sz w:val="18"/>
          <w:szCs w:val="18"/>
          <w:color w:val="auto"/>
        </w:rPr>
        <w:t>25 Broadway, 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2019-12-28T13:59:21Z</dcterms:created>
  <dcterms:modified xsi:type="dcterms:W3CDTF">2019-12-28T13:59:21Z</dcterms:modified>
</cp:coreProperties>
</file>