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586105</wp:posOffset>
            </wp:positionH>
            <wp:positionV relativeFrom="page">
              <wp:posOffset>157480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page">
              <wp:posOffset>586105</wp:posOffset>
            </wp:positionH>
            <wp:positionV relativeFrom="page">
              <wp:posOffset>200660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t>UNITED STATES</w:t>
      </w:r>
    </w:p>
    <w:p>
      <w:pPr>
        <w:jc w:val="center"/>
        <w:ind w:right="-20"/>
        <w:spacing w:after="0" w:line="215"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144145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8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jc w:val="center"/>
        <w:ind w:right="-20"/>
        <w:spacing w:after="0" w:line="205" w:lineRule="auto"/>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October 16, 2019</w:t>
      </w: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Axsome Therapeutics, Inc.</w:t>
      </w: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1" w:lineRule="exact"/>
        <w:rPr>
          <w:sz w:val="24"/>
          <w:szCs w:val="24"/>
          <w:color w:val="auto"/>
        </w:rPr>
      </w:pPr>
    </w:p>
    <w:tbl>
      <w:tblPr>
        <w:tblLayout w:type="fixed"/>
        <w:tblInd w:w="681" w:type="dxa"/>
        <w:tblCellMar>
          <w:top w:w="0" w:type="dxa"/>
          <w:left w:w="0" w:type="dxa"/>
          <w:bottom w:w="0" w:type="dxa"/>
          <w:right w:w="0" w:type="dxa"/>
        </w:tblCellMar>
      </w:tblPr>
      <w:tr>
        <w:trPr>
          <w:trHeight w:val="207"/>
        </w:trPr>
        <w:tc>
          <w:tcPr>
            <w:tcW w:w="35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212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001-37635</w:t>
            </w:r>
          </w:p>
        </w:tc>
        <w:tc>
          <w:tcPr>
            <w:tcW w:w="276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45-4241907</w:t>
            </w:r>
          </w:p>
        </w:tc>
        <w:tc>
          <w:tcPr>
            <w:tcW w:w="0" w:type="dxa"/>
            <w:vAlign w:val="bottom"/>
          </w:tcPr>
          <w:p>
            <w:pPr>
              <w:spacing w:after="0"/>
              <w:rPr>
                <w:sz w:val="1"/>
                <w:szCs w:val="1"/>
                <w:color w:val="auto"/>
              </w:rPr>
            </w:pPr>
          </w:p>
        </w:tc>
      </w:tr>
      <w:tr>
        <w:trPr>
          <w:trHeight w:val="176"/>
        </w:trPr>
        <w:tc>
          <w:tcPr>
            <w:tcW w:w="3560" w:type="dxa"/>
            <w:vAlign w:val="bottom"/>
          </w:tcPr>
          <w:p>
            <w:pPr>
              <w:jc w:val="center"/>
              <w:ind w:right="1590"/>
              <w:spacing w:after="0" w:line="176" w:lineRule="exact"/>
              <w:rPr>
                <w:sz w:val="20"/>
                <w:szCs w:val="20"/>
                <w:color w:val="auto"/>
              </w:rPr>
            </w:pPr>
            <w:r>
              <w:rPr>
                <w:rFonts w:ascii="Arial" w:cs="Arial" w:eastAsia="Arial" w:hAnsi="Arial"/>
                <w:sz w:val="18"/>
                <w:szCs w:val="18"/>
                <w:color w:val="auto"/>
                <w:w w:val="91"/>
              </w:rPr>
              <w:t>(State or other jurisdiction</w:t>
            </w:r>
          </w:p>
        </w:tc>
        <w:tc>
          <w:tcPr>
            <w:tcW w:w="2120" w:type="dxa"/>
            <w:vAlign w:val="bottom"/>
          </w:tcPr>
          <w:p>
            <w:pPr>
              <w:jc w:val="center"/>
              <w:ind w:right="410"/>
              <w:spacing w:after="0" w:line="176" w:lineRule="exact"/>
              <w:rPr>
                <w:sz w:val="20"/>
                <w:szCs w:val="20"/>
                <w:color w:val="auto"/>
              </w:rPr>
            </w:pPr>
            <w:r>
              <w:rPr>
                <w:rFonts w:ascii="Arial" w:cs="Arial" w:eastAsia="Arial" w:hAnsi="Arial"/>
                <w:sz w:val="18"/>
                <w:szCs w:val="18"/>
                <w:color w:val="auto"/>
                <w:w w:val="93"/>
              </w:rPr>
              <w:t>(Commission</w:t>
            </w:r>
          </w:p>
        </w:tc>
        <w:tc>
          <w:tcPr>
            <w:tcW w:w="2760" w:type="dxa"/>
            <w:vAlign w:val="bottom"/>
          </w:tcPr>
          <w:p>
            <w:pPr>
              <w:jc w:val="center"/>
              <w:ind w:left="1350"/>
              <w:spacing w:after="0" w:line="176"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560" w:type="dxa"/>
            <w:vAlign w:val="bottom"/>
          </w:tcPr>
          <w:p>
            <w:pPr>
              <w:jc w:val="center"/>
              <w:ind w:right="1610"/>
              <w:spacing w:after="0"/>
              <w:rPr>
                <w:sz w:val="20"/>
                <w:szCs w:val="20"/>
                <w:color w:val="auto"/>
              </w:rPr>
            </w:pPr>
            <w:r>
              <w:rPr>
                <w:rFonts w:ascii="Arial" w:cs="Arial" w:eastAsia="Arial" w:hAnsi="Arial"/>
                <w:sz w:val="18"/>
                <w:szCs w:val="18"/>
                <w:color w:val="auto"/>
                <w:w w:val="93"/>
              </w:rPr>
              <w:t>of incorporation)</w:t>
            </w:r>
          </w:p>
        </w:tc>
        <w:tc>
          <w:tcPr>
            <w:tcW w:w="2120" w:type="dxa"/>
            <w:vAlign w:val="bottom"/>
          </w:tcPr>
          <w:p>
            <w:pPr>
              <w:jc w:val="center"/>
              <w:ind w:right="410"/>
              <w:spacing w:after="0"/>
              <w:rPr>
                <w:sz w:val="20"/>
                <w:szCs w:val="20"/>
                <w:color w:val="auto"/>
              </w:rPr>
            </w:pPr>
            <w:r>
              <w:rPr>
                <w:rFonts w:ascii="Arial" w:cs="Arial" w:eastAsia="Arial" w:hAnsi="Arial"/>
                <w:sz w:val="18"/>
                <w:szCs w:val="18"/>
                <w:color w:val="auto"/>
                <w:w w:val="94"/>
              </w:rPr>
              <w:t>File Number)</w:t>
            </w:r>
          </w:p>
        </w:tc>
        <w:tc>
          <w:tcPr>
            <w:tcW w:w="2760" w:type="dxa"/>
            <w:vAlign w:val="bottom"/>
          </w:tcPr>
          <w:p>
            <w:pPr>
              <w:jc w:val="center"/>
              <w:ind w:left="13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42"/>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1"/>
              </w:rPr>
              <w:t>200 Broadway, 3rd Floor</w:t>
            </w:r>
          </w:p>
        </w:tc>
        <w:tc>
          <w:tcPr>
            <w:tcW w:w="2120" w:type="dxa"/>
            <w:vAlign w:val="bottom"/>
          </w:tcPr>
          <w:p>
            <w:pPr>
              <w:spacing w:after="0"/>
              <w:rPr>
                <w:sz w:val="21"/>
                <w:szCs w:val="21"/>
                <w:color w:val="auto"/>
              </w:rPr>
            </w:pPr>
          </w:p>
        </w:tc>
        <w:tc>
          <w:tcPr>
            <w:tcW w:w="2760" w:type="dxa"/>
            <w:vAlign w:val="bottom"/>
            <w:vMerge w:val="restart"/>
          </w:tcPr>
          <w:p>
            <w:pPr>
              <w:jc w:val="right"/>
              <w:ind w:right="1210"/>
              <w:spacing w:after="0"/>
              <w:rPr>
                <w:sz w:val="20"/>
                <w:szCs w:val="20"/>
                <w:color w:val="auto"/>
              </w:rPr>
            </w:pPr>
            <w:r>
              <w:rPr>
                <w:rFonts w:ascii="Arial" w:cs="Arial" w:eastAsia="Arial" w:hAnsi="Arial"/>
                <w:sz w:val="18"/>
                <w:szCs w:val="18"/>
                <w:b w:val="1"/>
                <w:bCs w:val="1"/>
                <w:color w:val="auto"/>
              </w:rPr>
              <w:t>10038</w:t>
            </w:r>
          </w:p>
        </w:tc>
        <w:tc>
          <w:tcPr>
            <w:tcW w:w="0" w:type="dxa"/>
            <w:vAlign w:val="bottom"/>
          </w:tcPr>
          <w:p>
            <w:pPr>
              <w:spacing w:after="0"/>
              <w:rPr>
                <w:sz w:val="1"/>
                <w:szCs w:val="1"/>
                <w:color w:val="auto"/>
              </w:rPr>
            </w:pPr>
          </w:p>
        </w:tc>
      </w:tr>
      <w:tr>
        <w:trPr>
          <w:trHeight w:val="176"/>
        </w:trPr>
        <w:tc>
          <w:tcPr>
            <w:tcW w:w="3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New York, New York</w:t>
            </w:r>
          </w:p>
        </w:tc>
        <w:tc>
          <w:tcPr>
            <w:tcW w:w="2120" w:type="dxa"/>
            <w:vAlign w:val="bottom"/>
          </w:tcPr>
          <w:p>
            <w:pPr>
              <w:spacing w:after="0"/>
              <w:rPr>
                <w:sz w:val="15"/>
                <w:szCs w:val="15"/>
                <w:color w:val="auto"/>
              </w:rPr>
            </w:pP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20" w:type="dxa"/>
            <w:vAlign w:val="bottom"/>
          </w:tcPr>
          <w:p>
            <w:pPr>
              <w:spacing w:after="0"/>
              <w:rPr>
                <w:sz w:val="20"/>
                <w:szCs w:val="20"/>
                <w:color w:val="auto"/>
              </w:rPr>
            </w:pPr>
          </w:p>
        </w:tc>
        <w:tc>
          <w:tcPr>
            <w:tcW w:w="2760" w:type="dxa"/>
            <w:vAlign w:val="bottom"/>
          </w:tcPr>
          <w:p>
            <w:pPr>
              <w:jc w:val="center"/>
              <w:ind w:right="1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8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9" w:lineRule="exact"/>
        <w:rPr>
          <w:sz w:val="24"/>
          <w:szCs w:val="24"/>
          <w:color w:val="auto"/>
        </w:rPr>
      </w:pPr>
    </w:p>
    <w:tbl>
      <w:tblPr>
        <w:tblLayout w:type="fixed"/>
        <w:tblInd w:w="661" w:type="dxa"/>
        <w:tblCellMar>
          <w:top w:w="0" w:type="dxa"/>
          <w:left w:w="0" w:type="dxa"/>
          <w:bottom w:w="0" w:type="dxa"/>
          <w:right w:w="0" w:type="dxa"/>
        </w:tblCellMar>
      </w:tblPr>
      <w:tr>
        <w:trPr>
          <w:trHeight w:val="171"/>
        </w:trPr>
        <w:tc>
          <w:tcPr>
            <w:tcW w:w="2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2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Trading Symbol(s)</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12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AXSM</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107315</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51" w:lineRule="exact"/>
        <w:rPr>
          <w:sz w:val="24"/>
          <w:szCs w:val="24"/>
          <w:color w:val="auto"/>
        </w:rPr>
      </w:pPr>
    </w:p>
    <w:p>
      <w:pPr>
        <w:ind w:left="1" w:right="220"/>
        <w:spacing w:after="0" w:line="235"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4" w:lineRule="exact"/>
        <w:rPr>
          <w:sz w:val="24"/>
          <w:szCs w:val="24"/>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left="1" w:right="620"/>
        <w:spacing w:after="0" w:line="25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 w:lineRule="exact"/>
        <w:rPr>
          <w:sz w:val="24"/>
          <w:szCs w:val="24"/>
          <w:color w:val="auto"/>
        </w:rPr>
      </w:pPr>
    </w:p>
    <w:p>
      <w:pPr>
        <w:ind w:left="1"/>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9" w:lineRule="exact"/>
        <w:rPr>
          <w:sz w:val="24"/>
          <w:szCs w:val="24"/>
          <w:color w:val="auto"/>
        </w:rPr>
      </w:pPr>
    </w:p>
    <w:p>
      <w:pPr>
        <w:ind w:left="1"/>
        <w:spacing w:after="0" w:line="21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99060</wp:posOffset>
            </wp:positionV>
            <wp:extent cx="638873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476885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74" w:right="919" w:bottom="1440" w:gutter="0" w:footer="0" w:header="0"/>
        </w:sectPr>
      </w:pPr>
    </w:p>
    <w:bookmarkStart w:id="1" w:name="page2"/>
    <w:bookmarkEnd w:id="1"/>
    <w:p>
      <w:pPr>
        <w:ind w:left="1"/>
        <w:spacing w:after="0"/>
        <w:rPr>
          <w:sz w:val="20"/>
          <w:szCs w:val="20"/>
          <w:color w:val="auto"/>
        </w:rPr>
      </w:pPr>
      <w:r>
        <w:rPr>
          <w:rFonts w:ascii="Arial" w:cs="Arial" w:eastAsia="Arial" w:hAnsi="Arial"/>
          <w:sz w:val="18"/>
          <w:szCs w:val="18"/>
          <w:b w:val="1"/>
          <w:bCs w:val="1"/>
          <w:color w:val="auto"/>
        </w:rPr>
        <w:t>Item 8.01. Other Events.</w:t>
      </w:r>
    </w:p>
    <w:p>
      <w:pPr>
        <w:spacing w:after="0" w:line="148" w:lineRule="exact"/>
        <w:rPr>
          <w:sz w:val="20"/>
          <w:szCs w:val="20"/>
          <w:color w:val="auto"/>
        </w:rPr>
      </w:pPr>
    </w:p>
    <w:p>
      <w:pPr>
        <w:jc w:val="both"/>
        <w:ind w:left="1" w:right="300" w:firstLine="648"/>
        <w:spacing w:after="0" w:line="224" w:lineRule="auto"/>
        <w:rPr>
          <w:sz w:val="20"/>
          <w:szCs w:val="20"/>
          <w:color w:val="auto"/>
        </w:rPr>
      </w:pPr>
      <w:r>
        <w:rPr>
          <w:rFonts w:ascii="Arial" w:cs="Arial" w:eastAsia="Arial" w:hAnsi="Arial"/>
          <w:sz w:val="18"/>
          <w:szCs w:val="18"/>
          <w:color w:val="auto"/>
        </w:rPr>
        <w:t>On October 16, 2019, Axsome Therapeutics, Inc. (the “Company”) issued a press release announcing the completion of patient enrollment in the Company’s GEMINI Study, a Phase 3, randomized, double-blind, placebo-controlled trial of AXS-05 in patients with major depressive disorder.</w:t>
      </w:r>
    </w:p>
    <w:p>
      <w:pPr>
        <w:spacing w:after="0" w:line="123" w:lineRule="exact"/>
        <w:rPr>
          <w:sz w:val="20"/>
          <w:szCs w:val="20"/>
          <w:color w:val="auto"/>
        </w:rPr>
      </w:pPr>
    </w:p>
    <w:p>
      <w:pPr>
        <w:ind w:left="641"/>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44" w:lineRule="exact"/>
        <w:rPr>
          <w:sz w:val="20"/>
          <w:szCs w:val="20"/>
          <w:color w:val="auto"/>
        </w:rPr>
      </w:pPr>
    </w:p>
    <w:p>
      <w:pPr>
        <w:ind w:left="861" w:hanging="861"/>
        <w:spacing w:after="0"/>
        <w:tabs>
          <w:tab w:leader="none" w:pos="8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67"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320" w:type="dxa"/>
            <w:vAlign w:val="bottom"/>
          </w:tcPr>
          <w:p>
            <w:pPr>
              <w:spacing w:after="0"/>
              <w:rPr>
                <w:sz w:val="16"/>
                <w:szCs w:val="16"/>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1360" w:type="dxa"/>
            <w:vAlign w:val="bottom"/>
            <w:gridSpan w:val="2"/>
          </w:tcPr>
          <w:p>
            <w:pPr>
              <w:ind w:left="320"/>
              <w:spacing w:after="0"/>
              <w:rPr>
                <w:sz w:val="20"/>
                <w:szCs w:val="20"/>
                <w:color w:val="auto"/>
              </w:rPr>
            </w:pPr>
            <w:r>
              <w:rPr>
                <w:rFonts w:ascii="Arial" w:cs="Arial" w:eastAsia="Arial" w:hAnsi="Arial"/>
                <w:sz w:val="18"/>
                <w:szCs w:val="18"/>
                <w:color w:val="auto"/>
              </w:rPr>
              <w:t>99.1</w:t>
            </w:r>
          </w:p>
        </w:tc>
        <w:tc>
          <w:tcPr>
            <w:tcW w:w="8740" w:type="dxa"/>
            <w:vAlign w:val="bottom"/>
            <w:gridSpan w:val="4"/>
          </w:tcPr>
          <w:p>
            <w:pPr>
              <w:ind w:left="28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October 16, 2019.</w:t>
              </w:r>
            </w:hyperlink>
          </w:p>
        </w:tc>
      </w:tr>
      <w:tr>
        <w:trPr>
          <w:trHeight w:val="859"/>
        </w:trPr>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Borders>
              <w:top w:val="single" w:sz="8" w:color="0000EE"/>
            </w:tcBorders>
          </w:tcPr>
          <w:p>
            <w:pPr>
              <w:spacing w:after="0"/>
              <w:rPr>
                <w:sz w:val="24"/>
                <w:szCs w:val="24"/>
                <w:color w:val="auto"/>
              </w:rPr>
            </w:pPr>
          </w:p>
        </w:tc>
        <w:tc>
          <w:tcPr>
            <w:tcW w:w="5660" w:type="dxa"/>
            <w:vAlign w:val="bottom"/>
          </w:tcPr>
          <w:p>
            <w:pPr>
              <w:jc w:val="right"/>
              <w:ind w:right="4928"/>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4"/>
                <w:szCs w:val="24"/>
                <w:color w:val="auto"/>
              </w:rPr>
            </w:pPr>
          </w:p>
        </w:tc>
      </w:tr>
      <w:tr>
        <w:trPr>
          <w:trHeight w:val="721"/>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01"/>
          </w:cols>
          <w:pgMar w:left="919" w:top="108" w:right="8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6680" w:type="dxa"/>
            <w:vAlign w:val="bottom"/>
            <w:gridSpan w:val="2"/>
          </w:tcPr>
          <w:p>
            <w:pPr>
              <w:ind w:left="1660"/>
              <w:spacing w:after="0"/>
              <w:rPr>
                <w:sz w:val="20"/>
                <w:szCs w:val="20"/>
                <w:color w:val="auto"/>
              </w:rPr>
            </w:pPr>
            <w:r>
              <w:rPr>
                <w:rFonts w:ascii="Arial" w:cs="Arial" w:eastAsia="Arial" w:hAnsi="Arial"/>
                <w:sz w:val="18"/>
                <w:szCs w:val="18"/>
                <w:b w:val="1"/>
                <w:bCs w:val="1"/>
                <w:color w:val="auto"/>
              </w:rPr>
              <w:t>Axsome Therapeutics, Inc.</w:t>
            </w:r>
          </w:p>
        </w:tc>
        <w:tc>
          <w:tcPr>
            <w:tcW w:w="0" w:type="dxa"/>
            <w:vAlign w:val="bottom"/>
          </w:tcPr>
          <w:p>
            <w:pPr>
              <w:spacing w:after="0"/>
              <w:rPr>
                <w:sz w:val="1"/>
                <w:szCs w:val="1"/>
                <w:color w:val="auto"/>
              </w:rPr>
            </w:pPr>
          </w:p>
        </w:tc>
      </w:tr>
      <w:tr>
        <w:trPr>
          <w:trHeight w:val="473"/>
        </w:trPr>
        <w:tc>
          <w:tcPr>
            <w:tcW w:w="3380" w:type="dxa"/>
            <w:vAlign w:val="bottom"/>
          </w:tcPr>
          <w:p>
            <w:pPr>
              <w:spacing w:after="0"/>
              <w:rPr>
                <w:sz w:val="20"/>
                <w:szCs w:val="20"/>
                <w:color w:val="auto"/>
              </w:rPr>
            </w:pPr>
            <w:r>
              <w:rPr>
                <w:rFonts w:ascii="Arial" w:cs="Arial" w:eastAsia="Arial" w:hAnsi="Arial"/>
                <w:sz w:val="18"/>
                <w:szCs w:val="18"/>
                <w:color w:val="auto"/>
              </w:rPr>
              <w:t>Dated: October 16, 2019</w:t>
            </w:r>
          </w:p>
        </w:tc>
        <w:tc>
          <w:tcPr>
            <w:tcW w:w="2060" w:type="dxa"/>
            <w:vAlign w:val="bottom"/>
          </w:tcPr>
          <w:p>
            <w:pPr>
              <w:ind w:left="1660"/>
              <w:spacing w:after="0"/>
              <w:rPr>
                <w:sz w:val="20"/>
                <w:szCs w:val="20"/>
                <w:color w:val="auto"/>
              </w:rPr>
            </w:pPr>
            <w:r>
              <w:rPr>
                <w:rFonts w:ascii="Arial" w:cs="Arial" w:eastAsia="Arial" w:hAnsi="Arial"/>
                <w:sz w:val="18"/>
                <w:szCs w:val="18"/>
                <w:color w:val="auto"/>
              </w:rPr>
              <w:t>By:</w:t>
            </w:r>
          </w:p>
        </w:tc>
        <w:tc>
          <w:tcPr>
            <w:tcW w:w="4620" w:type="dxa"/>
            <w:vAlign w:val="bottom"/>
          </w:tcPr>
          <w:p>
            <w:pPr>
              <w:ind w:left="40"/>
              <w:spacing w:after="0"/>
              <w:rPr>
                <w:sz w:val="20"/>
                <w:szCs w:val="20"/>
                <w:color w:val="auto"/>
              </w:rPr>
            </w:pPr>
            <w:r>
              <w:rPr>
                <w:rFonts w:ascii="Arial" w:cs="Arial" w:eastAsia="Arial" w:hAnsi="Arial"/>
                <w:sz w:val="18"/>
                <w:szCs w:val="18"/>
                <w:color w:val="auto"/>
              </w:rPr>
              <w:t>/s/ Herriot Tabuteau, M.D.</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60" w:type="dxa"/>
            <w:vAlign w:val="bottom"/>
            <w:vMerge w:val="restart"/>
          </w:tcPr>
          <w:p>
            <w:pPr>
              <w:ind w:left="1660"/>
              <w:spacing w:after="0" w:line="189" w:lineRule="exact"/>
              <w:rPr>
                <w:sz w:val="20"/>
                <w:szCs w:val="20"/>
                <w:color w:val="auto"/>
              </w:rPr>
            </w:pPr>
            <w:r>
              <w:rPr>
                <w:rFonts w:ascii="Arial" w:cs="Arial" w:eastAsia="Arial" w:hAnsi="Arial"/>
                <w:sz w:val="18"/>
                <w:szCs w:val="18"/>
                <w:color w:val="auto"/>
                <w:w w:val="71"/>
              </w:rPr>
              <w:t>Name:</w:t>
            </w: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4620" w:type="dxa"/>
            <w:vAlign w:val="bottom"/>
          </w:tcPr>
          <w:p>
            <w:pPr>
              <w:ind w:left="200"/>
              <w:spacing w:after="0" w:line="142" w:lineRule="exact"/>
              <w:rPr>
                <w:sz w:val="20"/>
                <w:szCs w:val="20"/>
                <w:color w:val="auto"/>
              </w:rPr>
            </w:pPr>
            <w:r>
              <w:rPr>
                <w:rFonts w:ascii="Arial" w:cs="Arial" w:eastAsia="Arial" w:hAnsi="Arial"/>
                <w:sz w:val="16"/>
                <w:szCs w:val="16"/>
                <w:color w:val="auto"/>
              </w:rPr>
              <w:t>Herriot Tabuteau, M.D.</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p>
        </w:tc>
        <w:tc>
          <w:tcPr>
            <w:tcW w:w="2060" w:type="dxa"/>
            <w:vAlign w:val="bottom"/>
          </w:tcPr>
          <w:p>
            <w:pPr>
              <w:ind w:left="1660"/>
              <w:spacing w:after="0"/>
              <w:rPr>
                <w:sz w:val="20"/>
                <w:szCs w:val="20"/>
                <w:color w:val="auto"/>
              </w:rPr>
            </w:pPr>
            <w:r>
              <w:rPr>
                <w:rFonts w:ascii="Arial" w:cs="Arial" w:eastAsia="Arial" w:hAnsi="Arial"/>
                <w:sz w:val="18"/>
                <w:szCs w:val="18"/>
                <w:color w:val="auto"/>
                <w:w w:val="97"/>
              </w:rPr>
              <w:t>Title:</w:t>
            </w:r>
          </w:p>
        </w:tc>
        <w:tc>
          <w:tcPr>
            <w:tcW w:w="462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98"/>
        </w:trPr>
        <w:tc>
          <w:tcPr>
            <w:tcW w:w="3380" w:type="dxa"/>
            <w:vAlign w:val="bottom"/>
          </w:tcPr>
          <w:p>
            <w:pPr>
              <w:spacing w:after="0"/>
              <w:rPr>
                <w:sz w:val="24"/>
                <w:szCs w:val="24"/>
                <w:color w:val="auto"/>
              </w:rPr>
            </w:pPr>
          </w:p>
        </w:tc>
        <w:tc>
          <w:tcPr>
            <w:tcW w:w="2060" w:type="dxa"/>
            <w:vAlign w:val="bottom"/>
          </w:tcPr>
          <w:p>
            <w:pPr>
              <w:ind w:left="1620"/>
              <w:spacing w:after="0"/>
              <w:rPr>
                <w:sz w:val="20"/>
                <w:szCs w:val="20"/>
                <w:color w:val="auto"/>
              </w:rPr>
            </w:pPr>
            <w:r>
              <w:rPr>
                <w:rFonts w:ascii="Arial" w:cs="Arial" w:eastAsia="Arial" w:hAnsi="Arial"/>
                <w:sz w:val="14"/>
                <w:szCs w:val="14"/>
                <w:color w:val="auto"/>
              </w:rPr>
              <w:t>3</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1"/>
        </w:trPr>
        <w:tc>
          <w:tcPr>
            <w:tcW w:w="33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08" w:right="919" w:bottom="1440" w:gutter="0" w:footer="0" w:header="0"/>
        </w:sectPr>
      </w:pPr>
    </w:p>
    <w:bookmarkStart w:id="3" w:name="page4"/>
    <w:bookmarkEnd w:id="3"/>
    <w:p>
      <w:pPr>
        <w:ind w:left="846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1440815"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Axsome Therapeutics Announces Completion of Patient Enrollment in the GEMINI Phase 3 Trial of AXS-05 in Major Depressive Disorder</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 YORK, October 16, 2019 (Globe Newswire) – Axsome Therapeutics, Inc. (NASDAQ: AXSM), a clinical-stage biopharmaceutical company developing novel therapies for the management of central nervous system (CNS) disorders, today announced the completion of patient enrollment in the GEMINI study, a Phase 3, randomized, double-blind, placebo-controlled trial of AXS-05 in patients with major depressive disorder (MDD). AXS-05 (dextromethorphan/bupropion modulated delivery tablet) is a novel, oral, investigational NMDA receptor antagonist with multimodal activity. Axsome remains on track to report topline results from GEMINI in the fourth quarter of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GEMINI Trial</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GEMINI (Glutamatergic and Monoaminergic Modulation in Depression) is a Phase 3, randomized, double-blind, multicenter, placebo-controlled trial of AXS-05 in patients with major depressive disorder (MDD). Approximately 300 patients with a confirmed diagnosis of moderate to severe MDD will be randomized in a 1:1 ratio to treatment with AXS-05 or placebo for 6 weeks. Assessments including the Montgomery-Åsberg Depression Rating Scale (MADRS), safety parameters, clinician-rated scales, as well as patient-reported outcome measures will be conducted throughout the study.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Major Depressive Disorder (MDD)</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Major depressive disorder (MDD) is a debilitating, chronic, biologically-based disorder characterized by low mood, inability to feel pleasure, feelings of guilt and worthlessness, low energy, and other emotional and physical symptoms, and which impairs social, occupational, educational, or other important functioning. In severe cases, MDD can result in suicide. According to the National Institutes of Health, an estimated 7.1% of U.S. adults, or approximately 17.3 million, experience MDD each year</w:t>
      </w:r>
      <w:r>
        <w:rPr>
          <w:rFonts w:ascii="Arial" w:cs="Arial" w:eastAsia="Arial" w:hAnsi="Arial"/>
          <w:sz w:val="7"/>
          <w:szCs w:val="7"/>
          <w:color w:val="auto"/>
        </w:rPr>
        <w:t>1</w:t>
      </w:r>
      <w:r>
        <w:rPr>
          <w:rFonts w:ascii="Arial" w:cs="Arial" w:eastAsia="Arial" w:hAnsi="Arial"/>
          <w:sz w:val="16"/>
          <w:szCs w:val="16"/>
          <w:color w:val="auto"/>
        </w:rPr>
        <w:t>. According to the World Health Organization (WHO), depression is the leading cause of disability worldwide, and is a major contributor to the overall global burden of disease</w:t>
      </w:r>
      <w:r>
        <w:rPr>
          <w:rFonts w:ascii="Arial" w:cs="Arial" w:eastAsia="Arial" w:hAnsi="Arial"/>
          <w:sz w:val="7"/>
          <w:szCs w:val="7"/>
          <w:color w:val="auto"/>
        </w:rPr>
        <w:t>2</w:t>
      </w:r>
      <w:r>
        <w:rPr>
          <w:rFonts w:ascii="Arial" w:cs="Arial" w:eastAsia="Arial" w:hAnsi="Arial"/>
          <w:sz w:val="16"/>
          <w:szCs w:val="16"/>
          <w:color w:val="auto"/>
        </w:rPr>
        <w:t>. Nearly two-thirds of diagnosed and treated patients do not experience adequate treatment response with currently available first-line therapy</w:t>
      </w:r>
      <w:r>
        <w:rPr>
          <w:rFonts w:ascii="Arial" w:cs="Arial" w:eastAsia="Arial" w:hAnsi="Arial"/>
          <w:sz w:val="7"/>
          <w:szCs w:val="7"/>
          <w:color w:val="auto"/>
        </w:rPr>
        <w:t>3</w:t>
      </w:r>
      <w:r>
        <w:rPr>
          <w:rFonts w:ascii="Arial" w:cs="Arial" w:eastAsia="Arial" w:hAnsi="Arial"/>
          <w:sz w:val="16"/>
          <w:szCs w:val="16"/>
          <w:color w:val="auto"/>
        </w:rPr>
        <w:t>, highlighting the need for additional therapies with new mechanisms of action. The majority of patients who initially fail also fail second-line treatment. Patients diagnosed with MDD are defined as having treatment resistant depression (TRD) if they have failed to respond to two or more antidepressant therapies.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AXS-05</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AXS-05 is a novel, oral, patent-protected, investigational NMDA receptor antagonist with multimodal activity under development for the treatment of major depressive disorder and other central nervous system (CNS) disorders. AXS-05 consists of a proprietary formulation and dose of dextromethorphan and bupropion and utilizes Axsome’s metabolic inhibition technology. The dextromethorphan component of AXS-05 is a non-competitive N-methyl-D-aspartate (NMDA) receptor antagonist, also known as a glutamate receptor modulator, which is a novel mechanism of action, meaning it works differently than currently approved therapies for major depressive disorder. The dextromethorphan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AXS-05 is covered by more than 37 issued U.S. and international patents which provide protection out to 2034. AXS-05 has been granted U.S. Food and Drug Administration (FDA) Breakthrough Therapy designation for the treatment of MDD. AXS-05 is not approved by the FDA.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3 trial in major depressive disorder (MDD), and a Phase 2/3 trial in agitation associated with Alzheimer’s disease (AD). AXS-05 is also being developed for smoking cessation treatment. AXS-07 is currently in a Phase 3 trial for the acute treatment of migraine. AXS-12 is currently in a Phase 2 trial in narcolepsy. AXS-05,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495300</wp:posOffset>
            </wp:positionV>
            <wp:extent cx="59601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21" w:right="1239" w:bottom="1440" w:gutter="0" w:footer="0" w:header="0"/>
        </w:sectPr>
      </w:pPr>
    </w:p>
    <w:bookmarkStart w:id="4" w:name="page5"/>
    <w:bookmarkEnd w:id="4"/>
    <w:p>
      <w:pPr>
        <w:ind w:left="5"/>
        <w:spacing w:after="0"/>
        <w:rPr>
          <w:sz w:val="20"/>
          <w:szCs w:val="20"/>
          <w:color w:val="auto"/>
        </w:rPr>
      </w:pPr>
      <w:r>
        <w:rPr>
          <w:rFonts w:ascii="Arial" w:cs="Arial" w:eastAsia="Arial" w:hAnsi="Arial"/>
          <w:sz w:val="18"/>
          <w:szCs w:val="18"/>
          <w:b w:val="1"/>
          <w:bCs w:val="1"/>
          <w:color w:val="auto"/>
        </w:rPr>
        <w:t>References</w:t>
      </w:r>
    </w:p>
    <w:p>
      <w:pPr>
        <w:spacing w:after="0" w:line="121" w:lineRule="exact"/>
        <w:rPr>
          <w:sz w:val="20"/>
          <w:szCs w:val="20"/>
          <w:color w:val="auto"/>
        </w:rPr>
      </w:pPr>
    </w:p>
    <w:p>
      <w:pPr>
        <w:ind w:left="5" w:right="3560" w:hanging="5"/>
        <w:spacing w:after="0" w:line="308" w:lineRule="auto"/>
        <w:tabs>
          <w:tab w:leader="none" w:pos="185" w:val="left"/>
        </w:tabs>
        <w:numPr>
          <w:ilvl w:val="0"/>
          <w:numId w:val="3"/>
        </w:numPr>
        <w:rPr>
          <w:rFonts w:ascii="Arial" w:cs="Arial" w:eastAsia="Arial" w:hAnsi="Arial"/>
          <w:sz w:val="17"/>
          <w:szCs w:val="17"/>
          <w:color w:val="auto"/>
        </w:rPr>
      </w:pPr>
      <w:r>
        <w:rPr>
          <w:rFonts w:ascii="Arial" w:cs="Arial" w:eastAsia="Arial" w:hAnsi="Arial"/>
          <w:sz w:val="17"/>
          <w:szCs w:val="17"/>
          <w:color w:val="auto"/>
        </w:rPr>
        <w:t>National Institute of Mental Health. (2017). Major Depression. Retrieved from https://www.nimh.nih.gov/health/statistics/major-depression.shtml.</w:t>
      </w:r>
    </w:p>
    <w:p>
      <w:pPr>
        <w:spacing w:after="0" w:line="38" w:lineRule="exact"/>
        <w:rPr>
          <w:rFonts w:ascii="Arial" w:cs="Arial" w:eastAsia="Arial" w:hAnsi="Arial"/>
          <w:sz w:val="17"/>
          <w:szCs w:val="17"/>
          <w:color w:val="auto"/>
        </w:rPr>
      </w:pPr>
    </w:p>
    <w:p>
      <w:pPr>
        <w:ind w:left="185" w:hanging="185"/>
        <w:spacing w:after="0"/>
        <w:tabs>
          <w:tab w:leader="none" w:pos="185"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World Health Organization. Fact Sheets: Depression.</w:t>
      </w:r>
    </w:p>
    <w:p>
      <w:pPr>
        <w:spacing w:after="0" w:line="117" w:lineRule="exact"/>
        <w:rPr>
          <w:rFonts w:ascii="Arial" w:cs="Arial" w:eastAsia="Arial" w:hAnsi="Arial"/>
          <w:sz w:val="18"/>
          <w:szCs w:val="18"/>
          <w:color w:val="auto"/>
        </w:rPr>
      </w:pPr>
    </w:p>
    <w:p>
      <w:pPr>
        <w:ind w:left="185" w:hanging="185"/>
        <w:spacing w:after="0"/>
        <w:tabs>
          <w:tab w:leader="none" w:pos="185" w:val="left"/>
        </w:tabs>
        <w:numPr>
          <w:ilvl w:val="0"/>
          <w:numId w:val="3"/>
        </w:numPr>
        <w:rPr>
          <w:rFonts w:ascii="Arial" w:cs="Arial" w:eastAsia="Arial" w:hAnsi="Arial"/>
          <w:sz w:val="18"/>
          <w:szCs w:val="18"/>
          <w:color w:val="auto"/>
        </w:rPr>
      </w:pPr>
      <w:r>
        <w:rPr>
          <w:rFonts w:ascii="Arial" w:cs="Arial" w:eastAsia="Arial" w:hAnsi="Arial"/>
          <w:sz w:val="18"/>
          <w:szCs w:val="18"/>
          <w:color w:val="auto"/>
        </w:rPr>
        <w:t>Rush AJ, et al. (2007) Am J. Psychiatry 163:11, pp. 1905-1917 (STAR*D Study).</w:t>
      </w:r>
    </w:p>
    <w:p>
      <w:pPr>
        <w:spacing w:after="0" w:line="194"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jc w:val="both"/>
        <w:ind w:left="5"/>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and the Company’s current expectations regarding its plans for future equity financings prior to the readout from its Phase 3 trials;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348"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color w:val="auto"/>
        </w:rPr>
        <w:t>Axsome Therapeutics, Inc.</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color w:val="auto"/>
        </w:rPr>
        <w:t>200 Broadway, 3</w:t>
      </w:r>
      <w:r>
        <w:rPr>
          <w:rFonts w:ascii="Arial" w:cs="Arial" w:eastAsia="Arial" w:hAnsi="Arial"/>
          <w:sz w:val="8"/>
          <w:szCs w:val="8"/>
          <w:color w:val="auto"/>
        </w:rPr>
        <w:t>rd</w:t>
      </w:r>
      <w:r>
        <w:rPr>
          <w:rFonts w:ascii="Arial" w:cs="Arial" w:eastAsia="Arial" w:hAnsi="Arial"/>
          <w:sz w:val="18"/>
          <w:szCs w:val="18"/>
          <w:color w:val="auto"/>
        </w:rPr>
        <w:t xml:space="preserve"> Floor</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color w:val="auto"/>
        </w:rPr>
        <w:t>New York, NY 10038</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495300</wp:posOffset>
            </wp:positionV>
            <wp:extent cx="5960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sectPr>
      <w:pgSz w:w="11900" w:h="16838" w:orient="portrait"/>
      <w:cols w:equalWidth="0" w:num="1">
        <w:col w:w="9405"/>
      </w:cols>
      <w:pgMar w:left="1255" w:top="33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2019-12-28T05:01:55Z</dcterms:created>
  <dcterms:modified xsi:type="dcterms:W3CDTF">2019-12-28T05:01:55Z</dcterms:modified>
</cp:coreProperties>
</file>