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719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19772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TABUTEAU HERRIOT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12/02/2025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2"/>
        <w:spacing w:after="0"/>
        <w:tabs>
          <w:tab w:leader="none" w:pos="172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80" w:space="58"/>
            <w:col w:w="3342"/>
          </w:cols>
          <w:pgMar w:left="460" w:top="217" w:right="359" w:bottom="0" w:gutter="0" w:footer="0" w:header="0"/>
          <w:type w:val="continuous"/>
        </w:sect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jc w:val="center"/>
              <w:ind w:left="409"/>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49,252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56,481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12/02/2025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49,252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144.59</w:t>
            </w:r>
            <w:r>
              <w:rPr>
                <w:rFonts w:ascii="Times New Roman" w:cs="Times New Roman" w:eastAsia="Times New Roman" w:hAnsi="Times New Roman"/>
                <w:sz w:val="21"/>
                <w:szCs w:val="21"/>
                <w:color w:val="008000"/>
                <w:w w:val="93"/>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20,163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27,392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12/03/2025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20,163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146.94</w:t>
            </w:r>
            <w:r>
              <w:rPr>
                <w:rFonts w:ascii="Times New Roman" w:cs="Times New Roman" w:eastAsia="Times New Roman" w:hAnsi="Times New Roman"/>
                <w:sz w:val="21"/>
                <w:szCs w:val="21"/>
                <w:color w:val="008000"/>
                <w:w w:val="93"/>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12/04/2025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10,558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17,787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8"/>
              </w:rPr>
              <w:t>12/04/2025</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right"/>
              <w:ind w:right="70"/>
              <w:spacing w:after="0"/>
              <w:rPr>
                <w:sz w:val="20"/>
                <w:szCs w:val="20"/>
                <w:color w:val="auto"/>
              </w:rPr>
            </w:pPr>
            <w:r>
              <w:rPr>
                <w:rFonts w:ascii="Times New Roman" w:cs="Times New Roman" w:eastAsia="Times New Roman" w:hAnsi="Times New Roman"/>
                <w:sz w:val="17"/>
                <w:szCs w:val="17"/>
                <w:color w:val="0000FF"/>
              </w:rPr>
              <w:t>10,558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148.18</w:t>
            </w:r>
            <w:r>
              <w:rPr>
                <w:rFonts w:ascii="Times New Roman" w:cs="Times New Roman" w:eastAsia="Times New Roman" w:hAnsi="Times New Roman"/>
                <w:sz w:val="21"/>
                <w:szCs w:val="21"/>
                <w:color w:val="008000"/>
                <w:w w:val="93"/>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7,344,500</w:t>
            </w:r>
          </w:p>
        </w:tc>
        <w:tc>
          <w:tcPr>
            <w:tcW w:w="320" w:type="dxa"/>
            <w:vAlign w:val="bottom"/>
          </w:tcPr>
          <w:p>
            <w:pPr>
              <w:spacing w:after="0"/>
              <w:rPr>
                <w:sz w:val="21"/>
                <w:szCs w:val="21"/>
                <w:color w:val="auto"/>
              </w:rPr>
            </w:pPr>
          </w:p>
        </w:tc>
        <w:tc>
          <w:tcPr>
            <w:tcW w:w="520" w:type="dxa"/>
            <w:vAlign w:val="bottom"/>
            <w:vMerge w:val="restart"/>
          </w:tcPr>
          <w:p>
            <w:pPr>
              <w:jc w:val="center"/>
              <w:ind w:right="27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4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42"/>
              <w:spacing w:after="0" w:line="128" w:lineRule="exact"/>
              <w:rPr>
                <w:sz w:val="20"/>
                <w:szCs w:val="20"/>
                <w:color w:val="auto"/>
              </w:rPr>
            </w:pPr>
            <w:r>
              <w:rPr>
                <w:rFonts w:ascii="Arial" w:cs="Arial" w:eastAsia="Arial" w:hAnsi="Arial"/>
                <w:sz w:val="12"/>
                <w:szCs w:val="12"/>
                <w:b w:val="1"/>
                <w:bCs w:val="1"/>
                <w:color w:val="auto"/>
                <w:w w:val="94"/>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144.59</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12/02/2025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49,252</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49,252</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202,545</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146.94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12/03/2025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20,163</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20,163</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182,382</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ind w:left="1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148.18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12/04/2025</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10,558</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05/27/2017</w:t>
            </w:r>
          </w:p>
        </w:tc>
        <w:tc>
          <w:tcPr>
            <w:tcW w:w="7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05/27/2026</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10,558</w:t>
            </w:r>
          </w:p>
        </w:tc>
        <w:tc>
          <w:tcPr>
            <w:tcW w:w="40" w:type="dxa"/>
            <w:vAlign w:val="bottom"/>
          </w:tcPr>
          <w:p>
            <w:pPr>
              <w:spacing w:after="0"/>
              <w:rPr>
                <w:sz w:val="16"/>
                <w:szCs w:val="16"/>
                <w:color w:val="auto"/>
              </w:rPr>
            </w:pPr>
          </w:p>
        </w:tc>
        <w:tc>
          <w:tcPr>
            <w:tcW w:w="680" w:type="dxa"/>
            <w:vAlign w:val="bottom"/>
            <w:gridSpan w:val="2"/>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171,824</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8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Necessary exercise of stock options set to expire due to attainment of the 10-year expiration date of such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subsequent sale of the underlying shares of the aforementioned exercise of stock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$141.79 and $149.23.</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$142.66 and $148.39.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$146.77 and $149.41.</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12/04/2025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2025-12-04T18:44:24Z</dcterms:created>
  <dcterms:modified xsi:type="dcterms:W3CDTF">2025-12-04T18:44:24Z</dcterms:modified>
</cp:coreProperties>
</file>