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0001579428</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Axsome Therapeutics,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2012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Axsome Therapeutics,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45 ROCKEFELLER PLAZA, SUITE 2000</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NEW YORK</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10111</w:t>
      </w:r>
      <w:r>
        <w:rPr>
          <w:sz w:val="20"/>
          <w:szCs w:val="20"/>
          <w:color w:val="auto"/>
        </w:rPr>
        <w:tab/>
      </w:r>
      <w:r>
        <w:rPr>
          <w:rFonts w:ascii="Arial" w:cs="Arial" w:eastAsia="Arial" w:hAnsi="Arial"/>
          <w:sz w:val="22"/>
          <w:szCs w:val="22"/>
          <w:color w:val="auto"/>
        </w:rPr>
        <w:t>212-203-5072</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3240" w:type="dxa"/>
            <w:vAlign w:val="bottom"/>
          </w:tcPr>
          <w:p>
            <w:pPr>
              <w:jc w:val="center"/>
              <w:ind w:left="61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ind w:left="1520"/>
              <w:spacing w:after="0"/>
              <w:rPr>
                <w:sz w:val="20"/>
                <w:szCs w:val="20"/>
                <w:color w:val="auto"/>
              </w:rPr>
            </w:pPr>
            <w:r>
              <w:rPr>
                <w:rFonts w:ascii="Arial" w:cs="Arial" w:eastAsia="Arial" w:hAnsi="Arial"/>
                <w:sz w:val="22"/>
                <w:szCs w:val="22"/>
                <w:b w:val="1"/>
                <w:bCs w:val="1"/>
                <w:color w:val="auto"/>
              </w:rPr>
              <w:t>Middle Name</w:t>
            </w: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rPr>
              <w:t>Tabuteau</w:t>
            </w:r>
          </w:p>
        </w:tc>
        <w:tc>
          <w:tcPr>
            <w:tcW w:w="3240" w:type="dxa"/>
            <w:vAlign w:val="bottom"/>
          </w:tcPr>
          <w:p>
            <w:pPr>
              <w:ind w:left="300"/>
              <w:spacing w:after="0"/>
              <w:rPr>
                <w:sz w:val="20"/>
                <w:szCs w:val="20"/>
                <w:color w:val="auto"/>
              </w:rPr>
            </w:pPr>
            <w:r>
              <w:rPr>
                <w:rFonts w:ascii="Arial" w:cs="Arial" w:eastAsia="Arial" w:hAnsi="Arial"/>
                <w:sz w:val="22"/>
                <w:szCs w:val="22"/>
                <w:color w:val="auto"/>
              </w:rPr>
              <w:t>Herriot</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3240" w:type="dxa"/>
            <w:vAlign w:val="bottom"/>
          </w:tcPr>
          <w:p>
            <w:pPr>
              <w:jc w:val="center"/>
              <w:ind w:left="61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w w:val="97"/>
              </w:rPr>
              <w:t>45 Rockefeller Plaza, Suite 2000</w:t>
            </w:r>
          </w:p>
        </w:tc>
        <w:tc>
          <w:tcPr>
            <w:tcW w:w="3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tcPr>
          <w:p>
            <w:pPr>
              <w:jc w:val="center"/>
              <w:ind w:left="59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ind w:left="1420"/>
              <w:spacing w:after="0"/>
              <w:rPr>
                <w:sz w:val="20"/>
                <w:szCs w:val="20"/>
                <w:color w:val="auto"/>
              </w:rPr>
            </w:pPr>
            <w:r>
              <w:rPr>
                <w:rFonts w:ascii="Arial" w:cs="Arial" w:eastAsia="Arial" w:hAnsi="Arial"/>
                <w:sz w:val="22"/>
                <w:szCs w:val="22"/>
                <w:b w:val="1"/>
                <w:bCs w:val="1"/>
                <w:color w:val="auto"/>
              </w:rPr>
              <w:t>ZIP/PostalCode</w:t>
            </w: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rPr>
              <w:t>New York</w:t>
            </w:r>
          </w:p>
        </w:tc>
        <w:tc>
          <w:tcPr>
            <w:tcW w:w="3240" w:type="dxa"/>
            <w:vAlign w:val="bottom"/>
          </w:tcPr>
          <w:p>
            <w:pPr>
              <w:ind w:left="300"/>
              <w:spacing w:after="0"/>
              <w:rPr>
                <w:sz w:val="20"/>
                <w:szCs w:val="20"/>
                <w:color w:val="auto"/>
              </w:rPr>
            </w:pPr>
            <w:r>
              <w:rPr>
                <w:rFonts w:ascii="Arial" w:cs="Arial" w:eastAsia="Arial" w:hAnsi="Arial"/>
                <w:sz w:val="22"/>
                <w:szCs w:val="22"/>
                <w:color w:val="auto"/>
              </w:rPr>
              <w:t>NEW YORK</w:t>
            </w:r>
          </w:p>
        </w:tc>
        <w:tc>
          <w:tcPr>
            <w:tcW w:w="5020" w:type="dxa"/>
            <w:vAlign w:val="bottom"/>
          </w:tcPr>
          <w:p>
            <w:pPr>
              <w:ind w:left="460"/>
              <w:spacing w:after="0"/>
              <w:rPr>
                <w:sz w:val="20"/>
                <w:szCs w:val="20"/>
                <w:color w:val="auto"/>
              </w:rPr>
            </w:pPr>
            <w:r>
              <w:rPr>
                <w:rFonts w:ascii="Arial" w:cs="Arial" w:eastAsia="Arial" w:hAnsi="Arial"/>
                <w:sz w:val="22"/>
                <w:szCs w:val="22"/>
                <w:color w:val="auto"/>
              </w:rPr>
              <w:t>10111</w:t>
            </w:r>
          </w:p>
        </w:tc>
        <w:tc>
          <w:tcPr>
            <w:tcW w:w="0" w:type="dxa"/>
            <w:vAlign w:val="bottom"/>
          </w:tcPr>
          <w:p>
            <w:pPr>
              <w:spacing w:after="0"/>
              <w:rPr>
                <w:sz w:val="1"/>
                <w:szCs w:val="1"/>
                <w:color w:val="auto"/>
              </w:rPr>
            </w:pPr>
          </w:p>
        </w:tc>
      </w:tr>
      <w:tr>
        <w:trPr>
          <w:trHeight w:val="324"/>
        </w:trPr>
        <w:tc>
          <w:tcPr>
            <w:tcW w:w="640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4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tcPr>
          <w:p>
            <w:pPr>
              <w:spacing w:after="0"/>
              <w:rPr>
                <w:sz w:val="18"/>
                <w:szCs w:val="18"/>
                <w:color w:val="auto"/>
              </w:rPr>
            </w:pPr>
          </w:p>
        </w:tc>
        <w:tc>
          <w:tcPr>
            <w:tcW w:w="324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4. Industry Group</w:t>
            </w:r>
          </w:p>
        </w:tc>
        <w:tc>
          <w:tcPr>
            <w:tcW w:w="3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316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3240" w:type="dxa"/>
            <w:vAlign w:val="bottom"/>
          </w:tcPr>
          <w:p>
            <w:pPr>
              <w:ind w:left="78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160" w:type="dxa"/>
            <w:vAlign w:val="bottom"/>
          </w:tcPr>
          <w:p>
            <w:pPr>
              <w:ind w:left="260"/>
              <w:spacing w:after="0"/>
              <w:rPr>
                <w:sz w:val="20"/>
                <w:szCs w:val="20"/>
                <w:color w:val="auto"/>
              </w:rPr>
            </w:pPr>
            <w:r>
              <w:rPr>
                <w:rFonts w:ascii="Arial" w:cs="Arial" w:eastAsia="Arial" w:hAnsi="Arial"/>
                <w:sz w:val="22"/>
                <w:szCs w:val="22"/>
                <w:color w:val="auto"/>
              </w:rPr>
              <w:t>Banking &amp; Financial Services</w:t>
            </w:r>
          </w:p>
        </w:tc>
        <w:tc>
          <w:tcPr>
            <w:tcW w:w="3240" w:type="dxa"/>
            <w:vAlign w:val="bottom"/>
          </w:tcPr>
          <w:p>
            <w:pPr>
              <w:ind w:left="980"/>
              <w:spacing w:after="0"/>
              <w:rPr>
                <w:sz w:val="20"/>
                <w:szCs w:val="20"/>
                <w:color w:val="auto"/>
              </w:rPr>
            </w:pPr>
            <w:r>
              <w:rPr>
                <w:rFonts w:ascii="Arial" w:cs="Arial" w:eastAsia="Arial" w:hAnsi="Arial"/>
                <w:sz w:val="22"/>
                <w:szCs w:val="22"/>
                <w:color w:val="auto"/>
              </w:rPr>
              <w:t>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324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3240" w:type="dxa"/>
            <w:vAlign w:val="bottom"/>
            <w:vMerge w:val="restart"/>
          </w:tcPr>
          <w:p>
            <w:pPr>
              <w:ind w:left="98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Insurance</w:t>
            </w:r>
          </w:p>
        </w:tc>
        <w:tc>
          <w:tcPr>
            <w:tcW w:w="324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160" w:type="dxa"/>
            <w:vAlign w:val="bottom"/>
            <w:vMerge w:val="continue"/>
          </w:tcPr>
          <w:p>
            <w:pPr>
              <w:spacing w:after="0"/>
              <w:rPr>
                <w:sz w:val="15"/>
                <w:szCs w:val="15"/>
                <w:color w:val="auto"/>
              </w:rPr>
            </w:pPr>
          </w:p>
        </w:tc>
        <w:tc>
          <w:tcPr>
            <w:tcW w:w="3240" w:type="dxa"/>
            <w:vAlign w:val="bottom"/>
            <w:vMerge w:val="restart"/>
          </w:tcPr>
          <w:p>
            <w:pPr>
              <w:ind w:left="980"/>
              <w:spacing w:after="0"/>
              <w:rPr>
                <w:sz w:val="20"/>
                <w:szCs w:val="20"/>
                <w:color w:val="auto"/>
              </w:rPr>
            </w:pPr>
            <w:r>
              <w:rPr>
                <w:rFonts w:ascii="Arial" w:cs="Arial" w:eastAsia="Arial" w:hAnsi="Arial"/>
                <w:sz w:val="22"/>
                <w:szCs w:val="22"/>
                <w:color w:val="auto"/>
              </w:rPr>
              <w:t>Hospitals &amp; Physicians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3240" w:type="dxa"/>
            <w:vAlign w:val="bottom"/>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60" w:type="dxa"/>
            <w:vAlign w:val="bottom"/>
            <w:vMerge w:val="continue"/>
          </w:tcPr>
          <w:p>
            <w:pPr>
              <w:spacing w:after="0"/>
              <w:rPr>
                <w:sz w:val="11"/>
                <w:szCs w:val="11"/>
                <w:color w:val="auto"/>
              </w:rPr>
            </w:pPr>
          </w:p>
        </w:tc>
        <w:tc>
          <w:tcPr>
            <w:tcW w:w="3240" w:type="dxa"/>
            <w:vAlign w:val="bottom"/>
            <w:vMerge w:val="restart"/>
          </w:tcPr>
          <w:p>
            <w:pPr>
              <w:ind w:left="820"/>
              <w:spacing w:after="0"/>
              <w:rPr>
                <w:sz w:val="20"/>
                <w:szCs w:val="20"/>
                <w:color w:val="auto"/>
              </w:rPr>
            </w:pPr>
            <w:r>
              <w:rPr>
                <w:rFonts w:ascii="Arial" w:cs="Arial" w:eastAsia="Arial" w:hAnsi="Arial"/>
                <w:sz w:val="22"/>
                <w:szCs w:val="22"/>
                <w:color w:val="auto"/>
              </w:rPr>
              <w:t>X Pharmaceuticals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3160" w:type="dxa"/>
            <w:vAlign w:val="bottom"/>
          </w:tcPr>
          <w:p>
            <w:pPr>
              <w:ind w:left="460"/>
              <w:spacing w:after="0"/>
              <w:rPr>
                <w:sz w:val="20"/>
                <w:szCs w:val="20"/>
                <w:color w:val="auto"/>
              </w:rPr>
            </w:pPr>
            <w:r>
              <w:rPr>
                <w:rFonts w:ascii="Arial" w:cs="Arial" w:eastAsia="Arial" w:hAnsi="Arial"/>
                <w:sz w:val="22"/>
                <w:szCs w:val="22"/>
                <w:color w:val="auto"/>
              </w:rPr>
              <w:t>Investment Banking</w:t>
            </w:r>
          </w:p>
        </w:tc>
        <w:tc>
          <w:tcPr>
            <w:tcW w:w="324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160" w:type="dxa"/>
            <w:vAlign w:val="bottom"/>
          </w:tcPr>
          <w:p>
            <w:pPr>
              <w:ind w:left="460"/>
              <w:spacing w:after="0"/>
              <w:rPr>
                <w:sz w:val="20"/>
                <w:szCs w:val="20"/>
                <w:color w:val="auto"/>
              </w:rPr>
            </w:pPr>
            <w:r>
              <w:rPr>
                <w:rFonts w:ascii="Arial" w:cs="Arial" w:eastAsia="Arial" w:hAnsi="Arial"/>
                <w:sz w:val="22"/>
                <w:szCs w:val="22"/>
                <w:color w:val="auto"/>
              </w:rPr>
              <w:t>Pooled Investment Fund</w:t>
            </w:r>
          </w:p>
        </w:tc>
        <w:tc>
          <w:tcPr>
            <w:tcW w:w="3240" w:type="dxa"/>
            <w:vAlign w:val="bottom"/>
          </w:tcPr>
          <w:p>
            <w:pPr>
              <w:ind w:left="980"/>
              <w:spacing w:after="0"/>
              <w:rPr>
                <w:sz w:val="20"/>
                <w:szCs w:val="20"/>
                <w:color w:val="auto"/>
              </w:rPr>
            </w:pPr>
            <w:r>
              <w:rPr>
                <w:rFonts w:ascii="Arial" w:cs="Arial" w:eastAsia="Arial" w:hAnsi="Arial"/>
                <w:sz w:val="22"/>
                <w:szCs w:val="22"/>
                <w:color w:val="auto"/>
              </w:rPr>
              <w:t>Other Health Care</w:t>
            </w:r>
          </w:p>
        </w:tc>
        <w:tc>
          <w:tcPr>
            <w:tcW w:w="5020" w:type="dxa"/>
            <w:vAlign w:val="bottom"/>
          </w:tcPr>
          <w:p>
            <w:pPr>
              <w:ind w:left="3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-1845310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-1845310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20"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9"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Arial" w:cs="Arial" w:eastAsia="Arial" w:hAnsi="Arial"/>
                <w:sz w:val="22"/>
                <w:szCs w:val="22"/>
                <w:color w:val="auto"/>
              </w:rPr>
              <w:t>Manufacturing</w:t>
            </w:r>
          </w:p>
        </w:tc>
        <w:tc>
          <w:tcPr>
            <w:tcW w:w="2980" w:type="dxa"/>
            <w:vAlign w:val="bottom"/>
          </w:tcPr>
          <w:p>
            <w:pPr>
              <w:ind w:left="44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200" w:type="dxa"/>
            <w:vAlign w:val="bottom"/>
          </w:tcPr>
          <w:p>
            <w:pPr>
              <w:spacing w:after="0"/>
              <w:rPr>
                <w:sz w:val="20"/>
                <w:szCs w:val="20"/>
                <w:color w:val="auto"/>
              </w:rPr>
            </w:pPr>
            <w:r>
              <w:rPr>
                <w:rFonts w:ascii="Arial" w:cs="Arial" w:eastAsia="Arial" w:hAnsi="Arial"/>
                <w:sz w:val="22"/>
                <w:szCs w:val="22"/>
                <w:color w:val="auto"/>
              </w:rPr>
              <w:t>Real Estate</w:t>
            </w:r>
          </w:p>
        </w:tc>
        <w:tc>
          <w:tcPr>
            <w:tcW w:w="2980" w:type="dxa"/>
            <w:vAlign w:val="bottom"/>
          </w:tcPr>
          <w:p>
            <w:pPr>
              <w:ind w:left="64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80" w:type="dxa"/>
            <w:vAlign w:val="bottom"/>
            <w:vMerge w:val="restart"/>
          </w:tcPr>
          <w:p>
            <w:pPr>
              <w:ind w:left="44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59"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59" w:orient="portrait"/>
          <w:cols w:equalWidth="0" w:num="1">
            <w:col w:w="10219"/>
          </w:cols>
          <w:pgMar w:left="240" w:top="118" w:right="1440" w:bottom="0"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59" w:orient="portrait"/>
          <w:cols w:equalWidth="0" w:num="2">
            <w:col w:w="3920" w:space="720"/>
            <w:col w:w="5579"/>
          </w:cols>
          <w:pgMar w:left="240" w:top="118" w:right="1440" w:bottom="0"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2014-12-30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19"/>
          <w:szCs w:val="19"/>
          <w:color w:val="auto"/>
        </w:rPr>
        <w:t>Equity</w:t>
      </w:r>
      <w:r>
        <w:rPr>
          <w:sz w:val="20"/>
          <w:szCs w:val="20"/>
          <w:color w:val="auto"/>
        </w:rPr>
        <w:tab/>
      </w:r>
      <w:r>
        <w:rPr>
          <w:rFonts w:ascii="Arial" w:cs="Arial" w:eastAsia="Arial" w:hAnsi="Arial"/>
          <w:sz w:val="19"/>
          <w:szCs w:val="19"/>
          <w:color w:val="auto"/>
        </w:rPr>
        <w:t>Pooled Investment Fund Interests</w:t>
      </w:r>
    </w:p>
    <w:p>
      <w:pPr>
        <w:spacing w:after="0" w:line="79"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Debt</w:t>
      </w:r>
      <w:r>
        <w:rPr>
          <w:sz w:val="20"/>
          <w:szCs w:val="20"/>
          <w:color w:val="auto"/>
        </w:rPr>
        <w:tab/>
      </w:r>
      <w:r>
        <w:rPr>
          <w:rFonts w:ascii="Arial" w:cs="Arial" w:eastAsia="Arial" w:hAnsi="Arial"/>
          <w:sz w:val="19"/>
          <w:szCs w:val="19"/>
          <w:color w:val="auto"/>
        </w:rPr>
        <w:t>Tenant-in-Common Securities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Security to be Acquired Upon Exercise of Option, Warrant or</w:t>
      </w:r>
      <w:r>
        <w:rPr>
          <w:sz w:val="20"/>
          <w:szCs w:val="20"/>
          <w:color w:val="auto"/>
        </w:rPr>
        <w:tab/>
      </w:r>
      <w:r>
        <w:rPr>
          <w:rFonts w:ascii="Arial" w:cs="Arial" w:eastAsia="Arial" w:hAnsi="Arial"/>
          <w:sz w:val="19"/>
          <w:szCs w:val="19"/>
          <w:color w:val="auto"/>
        </w:rPr>
        <w:t>Other (describe)</w:t>
      </w:r>
    </w:p>
    <w:p>
      <w:pPr>
        <w:sectPr>
          <w:pgSz w:w="11900" w:h="16859" w:orient="portrait"/>
          <w:cols w:equalWidth="0" w:num="1">
            <w:col w:w="10219"/>
          </w:cols>
          <w:pgMar w:left="240" w:top="118"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4040" w:type="dxa"/>
            <w:vAlign w:val="bottom"/>
            <w:gridSpan w:val="2"/>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$25,000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2"/>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5660" w:type="dxa"/>
            <w:vAlign w:val="bottom"/>
            <w:gridSpan w:val="2"/>
          </w:tcPr>
          <w:p>
            <w:pPr>
              <w:ind w:left="25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$2,000,000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88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$1,315,000 USD</w:t>
            </w: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$685,000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88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ectPr>
          <w:pgSz w:w="11900" w:h="16838" w:orient="portrait"/>
          <w:cols w:equalWidth="0" w:num="1">
            <w:col w:w="11380"/>
          </w:cols>
          <w:pgMar w:left="240" w:top="118" w:right="279" w:bottom="0" w:gutter="0" w:footer="0" w:header="0"/>
          <w:type w:val="continuous"/>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813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10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0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780" w:type="dxa"/>
            <w:vAlign w:val="bottom"/>
            <w:tcBorders>
              <w:top w:val="single" w:sz="8" w:color="2C2C2C"/>
              <w:bottom w:val="single" w:sz="8" w:color="808080"/>
            </w:tcBorders>
          </w:tcPr>
          <w:p>
            <w:pPr>
              <w:ind w:left="11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1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Axsome Therapeutics, Inc.</w:t>
            </w:r>
          </w:p>
        </w:tc>
        <w:tc>
          <w:tcPr>
            <w:tcW w:w="2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Herriot Tabuteau</w:t>
            </w:r>
          </w:p>
        </w:tc>
        <w:tc>
          <w:tcPr>
            <w:tcW w:w="20" w:type="dxa"/>
            <w:vAlign w:val="bottom"/>
          </w:tcPr>
          <w:p>
            <w:pPr>
              <w:spacing w:after="0"/>
              <w:rPr>
                <w:sz w:val="22"/>
                <w:szCs w:val="22"/>
                <w:color w:val="auto"/>
              </w:rPr>
            </w:pPr>
          </w:p>
        </w:tc>
        <w:tc>
          <w:tcPr>
            <w:tcW w:w="20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Herriot Tabuteau</w:t>
            </w:r>
          </w:p>
        </w:tc>
        <w:tc>
          <w:tcPr>
            <w:tcW w:w="20" w:type="dxa"/>
            <w:vAlign w:val="bottom"/>
          </w:tcPr>
          <w:p>
            <w:pPr>
              <w:spacing w:after="0"/>
              <w:rPr>
                <w:sz w:val="22"/>
                <w:szCs w:val="22"/>
                <w:color w:val="auto"/>
              </w:rPr>
            </w:pPr>
          </w:p>
        </w:tc>
        <w:tc>
          <w:tcPr>
            <w:tcW w:w="27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2015-01-07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2"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2019-12-09T04:07:18Z</dcterms:created>
  <dcterms:modified xsi:type="dcterms:W3CDTF">2019-12-09T04:07:18Z</dcterms:modified>
</cp:coreProperties>
</file>