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w:t>
      </w:r>
    </w:p>
    <w:p>
      <w:pPr>
        <w:jc w:val="center"/>
        <w:ind w:right="-39"/>
        <w:spacing w:after="0" w:line="211" w:lineRule="auto"/>
        <w:rPr>
          <w:sz w:val="20"/>
          <w:szCs w:val="20"/>
          <w:color w:val="auto"/>
        </w:rPr>
      </w:pPr>
      <w:r>
        <w:rPr>
          <w:rFonts w:ascii="Arial" w:cs="Arial" w:eastAsia="Arial" w:hAnsi="Arial"/>
          <w:sz w:val="25"/>
          <w:szCs w:val="25"/>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55880</wp:posOffset>
            </wp:positionV>
            <wp:extent cx="14319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140"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10-Q</w:t>
      </w:r>
    </w:p>
    <w:p>
      <w:pPr>
        <w:spacing w:after="0" w:line="41" w:lineRule="exact"/>
        <w:rPr>
          <w:sz w:val="24"/>
          <w:szCs w:val="24"/>
          <w:color w:val="auto"/>
        </w:rPr>
      </w:pPr>
    </w:p>
    <w:p>
      <w:pPr>
        <w:ind w:left="260" w:hanging="210"/>
        <w:spacing w:after="0"/>
        <w:tabs>
          <w:tab w:leader="none" w:pos="26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w:t>
      </w:r>
    </w:p>
    <w:p>
      <w:pPr>
        <w:ind w:left="4460"/>
        <w:spacing w:after="0"/>
        <w:rPr>
          <w:rFonts w:ascii="MS PGothic" w:cs="MS PGothic" w:eastAsia="MS PGothic" w:hAnsi="MS PGothic"/>
          <w:sz w:val="17"/>
          <w:szCs w:val="17"/>
          <w:color w:val="auto"/>
          <w:highlight w:val="black"/>
        </w:rPr>
      </w:pPr>
      <w:r>
        <w:rPr>
          <w:rFonts w:ascii="Arial" w:cs="Arial" w:eastAsia="Arial" w:hAnsi="Arial"/>
          <w:sz w:val="18"/>
          <w:szCs w:val="18"/>
          <w:b w:val="1"/>
          <w:bCs w:val="1"/>
          <w:color w:val="auto"/>
        </w:rPr>
        <w:t>1934</w:t>
      </w:r>
    </w:p>
    <w:p>
      <w:pPr>
        <w:spacing w:after="0" w:line="79" w:lineRule="exact"/>
        <w:rPr>
          <w:sz w:val="24"/>
          <w:szCs w:val="24"/>
          <w:color w:val="auto"/>
        </w:rPr>
      </w:pPr>
    </w:p>
    <w:p>
      <w:pPr>
        <w:ind w:left="3260"/>
        <w:spacing w:after="0"/>
        <w:rPr>
          <w:sz w:val="20"/>
          <w:szCs w:val="20"/>
          <w:color w:val="auto"/>
        </w:rPr>
      </w:pPr>
      <w:r>
        <w:rPr>
          <w:rFonts w:ascii="Arial" w:cs="Arial" w:eastAsia="Arial" w:hAnsi="Arial"/>
          <w:sz w:val="14"/>
          <w:szCs w:val="14"/>
          <w:b w:val="1"/>
          <w:bCs w:val="1"/>
          <w:color w:val="auto"/>
        </w:rPr>
        <w:t>For the quarterly period ended June 30, 2018</w:t>
      </w:r>
    </w:p>
    <w:p>
      <w:pPr>
        <w:spacing w:after="0" w:line="109" w:lineRule="exact"/>
        <w:rPr>
          <w:sz w:val="24"/>
          <w:szCs w:val="24"/>
          <w:color w:val="auto"/>
        </w:rPr>
      </w:pPr>
    </w:p>
    <w:p>
      <w:pPr>
        <w:ind w:left="4420"/>
        <w:spacing w:after="0"/>
        <w:rPr>
          <w:sz w:val="20"/>
          <w:szCs w:val="20"/>
          <w:color w:val="auto"/>
        </w:rPr>
      </w:pPr>
      <w:r>
        <w:rPr>
          <w:rFonts w:ascii="Arial" w:cs="Arial" w:eastAsia="Arial" w:hAnsi="Arial"/>
          <w:sz w:val="14"/>
          <w:szCs w:val="14"/>
          <w:b w:val="1"/>
          <w:bCs w:val="1"/>
          <w:color w:val="auto"/>
        </w:rPr>
        <w:t>OR</w:t>
      </w:r>
    </w:p>
    <w:p>
      <w:pPr>
        <w:spacing w:after="0" w:line="113" w:lineRule="exact"/>
        <w:rPr>
          <w:sz w:val="24"/>
          <w:szCs w:val="24"/>
          <w:color w:val="auto"/>
        </w:rPr>
      </w:pPr>
    </w:p>
    <w:p>
      <w:pPr>
        <w:ind w:left="260" w:hanging="216"/>
        <w:spacing w:after="0"/>
        <w:tabs>
          <w:tab w:leader="none" w:pos="26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w:t>
      </w:r>
    </w:p>
    <w:p>
      <w:pPr>
        <w:ind w:left="4460"/>
        <w:spacing w:after="0"/>
        <w:rPr>
          <w:rFonts w:ascii="MS PGothic" w:cs="MS PGothic" w:eastAsia="MS PGothic" w:hAnsi="MS PGothic"/>
          <w:sz w:val="17"/>
          <w:szCs w:val="17"/>
          <w:color w:val="auto"/>
        </w:rPr>
      </w:pPr>
      <w:r>
        <w:rPr>
          <w:rFonts w:ascii="Arial" w:cs="Arial" w:eastAsia="Arial" w:hAnsi="Arial"/>
          <w:sz w:val="18"/>
          <w:szCs w:val="18"/>
          <w:b w:val="1"/>
          <w:bCs w:val="1"/>
          <w:color w:val="auto"/>
        </w:rPr>
        <w:t>1934</w:t>
      </w:r>
    </w:p>
    <w:p>
      <w:pPr>
        <w:spacing w:after="0" w:line="160" w:lineRule="exact"/>
        <w:rPr>
          <w:sz w:val="24"/>
          <w:szCs w:val="24"/>
          <w:color w:val="auto"/>
        </w:rPr>
      </w:pPr>
    </w:p>
    <w:p>
      <w:pPr>
        <w:ind w:left="3040"/>
        <w:spacing w:after="0"/>
        <w:rPr>
          <w:sz w:val="20"/>
          <w:szCs w:val="20"/>
          <w:color w:val="auto"/>
        </w:rPr>
      </w:pPr>
      <w:r>
        <w:rPr>
          <w:rFonts w:ascii="Arial" w:cs="Arial" w:eastAsia="Arial" w:hAnsi="Arial"/>
          <w:sz w:val="14"/>
          <w:szCs w:val="14"/>
          <w:b w:val="1"/>
          <w:bCs w:val="1"/>
          <w:color w:val="auto"/>
        </w:rPr>
        <w:t>For the transition period from ________ to ________</w:t>
      </w:r>
    </w:p>
    <w:p>
      <w:pPr>
        <w:spacing w:after="0" w:line="18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001-37635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68580</wp:posOffset>
            </wp:positionV>
            <wp:extent cx="14319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145"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AXSOME THERAPEUTICS, INC.</w:t>
      </w: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71" w:lineRule="exact"/>
        <w:rPr>
          <w:sz w:val="24"/>
          <w:szCs w:val="24"/>
          <w:color w:val="auto"/>
        </w:rPr>
      </w:pPr>
    </w:p>
    <w:tbl>
      <w:tblPr>
        <w:tblLayout w:type="fixed"/>
        <w:tblInd w:w="960" w:type="dxa"/>
        <w:tblCellMar>
          <w:top w:w="0" w:type="dxa"/>
          <w:left w:w="0" w:type="dxa"/>
          <w:bottom w:w="0" w:type="dxa"/>
          <w:right w:w="0" w:type="dxa"/>
        </w:tblCellMar>
      </w:tblPr>
      <w:tr>
        <w:trPr>
          <w:trHeight w:val="207"/>
        </w:trPr>
        <w:tc>
          <w:tcPr>
            <w:tcW w:w="3540" w:type="dxa"/>
            <w:vAlign w:val="bottom"/>
          </w:tcPr>
          <w:p>
            <w:pPr>
              <w:jc w:val="center"/>
              <w:ind w:right="838"/>
              <w:spacing w:after="0"/>
              <w:rPr>
                <w:sz w:val="20"/>
                <w:szCs w:val="20"/>
                <w:color w:val="auto"/>
              </w:rPr>
            </w:pPr>
            <w:r>
              <w:rPr>
                <w:rFonts w:ascii="Arial" w:cs="Arial" w:eastAsia="Arial" w:hAnsi="Arial"/>
                <w:sz w:val="18"/>
                <w:szCs w:val="18"/>
                <w:b w:val="1"/>
                <w:bCs w:val="1"/>
                <w:color w:val="auto"/>
                <w:w w:val="93"/>
              </w:rPr>
              <w:t>Delaware</w:t>
            </w:r>
          </w:p>
        </w:tc>
        <w:tc>
          <w:tcPr>
            <w:tcW w:w="3680" w:type="dxa"/>
            <w:vAlign w:val="bottom"/>
          </w:tcPr>
          <w:p>
            <w:pPr>
              <w:jc w:val="right"/>
              <w:ind w:right="863"/>
              <w:spacing w:after="0"/>
              <w:rPr>
                <w:sz w:val="20"/>
                <w:szCs w:val="20"/>
                <w:color w:val="auto"/>
              </w:rPr>
            </w:pPr>
            <w:r>
              <w:rPr>
                <w:rFonts w:ascii="Arial" w:cs="Arial" w:eastAsia="Arial" w:hAnsi="Arial"/>
                <w:sz w:val="18"/>
                <w:szCs w:val="18"/>
                <w:b w:val="1"/>
                <w:bCs w:val="1"/>
                <w:color w:val="auto"/>
              </w:rPr>
              <w:t>45-4241907</w:t>
            </w:r>
          </w:p>
        </w:tc>
        <w:tc>
          <w:tcPr>
            <w:tcW w:w="0" w:type="dxa"/>
            <w:vAlign w:val="bottom"/>
          </w:tcPr>
          <w:p>
            <w:pPr>
              <w:spacing w:after="0"/>
              <w:rPr>
                <w:sz w:val="1"/>
                <w:szCs w:val="1"/>
                <w:color w:val="auto"/>
              </w:rPr>
            </w:pPr>
          </w:p>
        </w:tc>
      </w:tr>
      <w:tr>
        <w:trPr>
          <w:trHeight w:val="135"/>
        </w:trPr>
        <w:tc>
          <w:tcPr>
            <w:tcW w:w="3540" w:type="dxa"/>
            <w:vAlign w:val="bottom"/>
          </w:tcPr>
          <w:p>
            <w:pPr>
              <w:jc w:val="center"/>
              <w:ind w:right="838"/>
              <w:spacing w:after="0" w:line="135" w:lineRule="exact"/>
              <w:rPr>
                <w:sz w:val="20"/>
                <w:szCs w:val="20"/>
                <w:color w:val="auto"/>
              </w:rPr>
            </w:pPr>
            <w:r>
              <w:rPr>
                <w:rFonts w:ascii="Arial" w:cs="Arial" w:eastAsia="Arial" w:hAnsi="Arial"/>
                <w:sz w:val="14"/>
                <w:szCs w:val="14"/>
                <w:color w:val="auto"/>
                <w:w w:val="94"/>
              </w:rPr>
              <w:t>(State or other jurisdiction of</w:t>
            </w:r>
          </w:p>
        </w:tc>
        <w:tc>
          <w:tcPr>
            <w:tcW w:w="3680" w:type="dxa"/>
            <w:vAlign w:val="bottom"/>
          </w:tcPr>
          <w:p>
            <w:pPr>
              <w:jc w:val="center"/>
              <w:ind w:left="863"/>
              <w:spacing w:after="0" w:line="135" w:lineRule="exact"/>
              <w:rPr>
                <w:sz w:val="20"/>
                <w:szCs w:val="20"/>
                <w:color w:val="auto"/>
              </w:rPr>
            </w:pPr>
            <w:r>
              <w:rPr>
                <w:rFonts w:ascii="Arial" w:cs="Arial" w:eastAsia="Arial" w:hAnsi="Arial"/>
                <w:sz w:val="14"/>
                <w:szCs w:val="14"/>
                <w:color w:val="auto"/>
                <w:w w:val="95"/>
              </w:rPr>
              <w:t>(I.R.S. Employer</w:t>
            </w:r>
          </w:p>
        </w:tc>
        <w:tc>
          <w:tcPr>
            <w:tcW w:w="0" w:type="dxa"/>
            <w:vAlign w:val="bottom"/>
          </w:tcPr>
          <w:p>
            <w:pPr>
              <w:spacing w:after="0"/>
              <w:rPr>
                <w:sz w:val="1"/>
                <w:szCs w:val="1"/>
                <w:color w:val="auto"/>
              </w:rPr>
            </w:pPr>
          </w:p>
        </w:tc>
      </w:tr>
      <w:tr>
        <w:trPr>
          <w:trHeight w:val="182"/>
        </w:trPr>
        <w:tc>
          <w:tcPr>
            <w:tcW w:w="3540" w:type="dxa"/>
            <w:vAlign w:val="bottom"/>
          </w:tcPr>
          <w:p>
            <w:pPr>
              <w:jc w:val="center"/>
              <w:ind w:right="838"/>
              <w:spacing w:after="0"/>
              <w:rPr>
                <w:sz w:val="20"/>
                <w:szCs w:val="20"/>
                <w:color w:val="auto"/>
              </w:rPr>
            </w:pPr>
            <w:r>
              <w:rPr>
                <w:rFonts w:ascii="Arial" w:cs="Arial" w:eastAsia="Arial" w:hAnsi="Arial"/>
                <w:sz w:val="14"/>
                <w:szCs w:val="14"/>
                <w:color w:val="auto"/>
                <w:w w:val="95"/>
              </w:rPr>
              <w:t>incorporation or organization)</w:t>
            </w:r>
          </w:p>
        </w:tc>
        <w:tc>
          <w:tcPr>
            <w:tcW w:w="3680" w:type="dxa"/>
            <w:vAlign w:val="bottom"/>
          </w:tcPr>
          <w:p>
            <w:pPr>
              <w:jc w:val="center"/>
              <w:ind w:left="843"/>
              <w:spacing w:after="0"/>
              <w:rPr>
                <w:sz w:val="20"/>
                <w:szCs w:val="20"/>
                <w:color w:val="auto"/>
              </w:rPr>
            </w:pPr>
            <w:r>
              <w:rPr>
                <w:rFonts w:ascii="Arial" w:cs="Arial" w:eastAsia="Arial" w:hAnsi="Arial"/>
                <w:sz w:val="14"/>
                <w:szCs w:val="14"/>
                <w:color w:val="auto"/>
                <w:w w:val="99"/>
              </w:rPr>
              <w:t>Identification No.)</w:t>
            </w:r>
          </w:p>
        </w:tc>
        <w:tc>
          <w:tcPr>
            <w:tcW w:w="0" w:type="dxa"/>
            <w:vAlign w:val="bottom"/>
          </w:tcPr>
          <w:p>
            <w:pPr>
              <w:spacing w:after="0"/>
              <w:rPr>
                <w:sz w:val="1"/>
                <w:szCs w:val="1"/>
                <w:color w:val="auto"/>
              </w:rPr>
            </w:pPr>
          </w:p>
        </w:tc>
      </w:tr>
      <w:tr>
        <w:trPr>
          <w:trHeight w:val="250"/>
        </w:trPr>
        <w:tc>
          <w:tcPr>
            <w:tcW w:w="3540" w:type="dxa"/>
            <w:vAlign w:val="bottom"/>
          </w:tcPr>
          <w:p>
            <w:pPr>
              <w:jc w:val="center"/>
              <w:ind w:right="838"/>
              <w:spacing w:after="0"/>
              <w:rPr>
                <w:sz w:val="20"/>
                <w:szCs w:val="20"/>
                <w:color w:val="auto"/>
              </w:rPr>
            </w:pPr>
            <w:r>
              <w:rPr>
                <w:rFonts w:ascii="Arial" w:cs="Arial" w:eastAsia="Arial" w:hAnsi="Arial"/>
                <w:sz w:val="18"/>
                <w:szCs w:val="18"/>
                <w:b w:val="1"/>
                <w:bCs w:val="1"/>
                <w:color w:val="auto"/>
                <w:w w:val="91"/>
              </w:rPr>
              <w:t>25 Broadway</w:t>
            </w:r>
          </w:p>
        </w:tc>
        <w:tc>
          <w:tcPr>
            <w:tcW w:w="3680" w:type="dxa"/>
            <w:vAlign w:val="bottom"/>
            <w:vMerge w:val="restart"/>
          </w:tcPr>
          <w:p>
            <w:pPr>
              <w:jc w:val="right"/>
              <w:ind w:right="1083"/>
              <w:spacing w:after="0"/>
              <w:rPr>
                <w:sz w:val="20"/>
                <w:szCs w:val="20"/>
                <w:color w:val="auto"/>
              </w:rPr>
            </w:pPr>
            <w:r>
              <w:rPr>
                <w:rFonts w:ascii="Arial" w:cs="Arial" w:eastAsia="Arial" w:hAnsi="Arial"/>
                <w:sz w:val="18"/>
                <w:szCs w:val="18"/>
                <w:b w:val="1"/>
                <w:bCs w:val="1"/>
                <w:color w:val="auto"/>
              </w:rPr>
              <w:t>10004</w:t>
            </w:r>
          </w:p>
        </w:tc>
        <w:tc>
          <w:tcPr>
            <w:tcW w:w="0" w:type="dxa"/>
            <w:vAlign w:val="bottom"/>
          </w:tcPr>
          <w:p>
            <w:pPr>
              <w:spacing w:after="0"/>
              <w:rPr>
                <w:sz w:val="1"/>
                <w:szCs w:val="1"/>
                <w:color w:val="auto"/>
              </w:rPr>
            </w:pPr>
          </w:p>
        </w:tc>
      </w:tr>
      <w:tr>
        <w:trPr>
          <w:trHeight w:val="176"/>
        </w:trPr>
        <w:tc>
          <w:tcPr>
            <w:tcW w:w="3540" w:type="dxa"/>
            <w:vAlign w:val="bottom"/>
          </w:tcPr>
          <w:p>
            <w:pPr>
              <w:jc w:val="center"/>
              <w:ind w:right="838"/>
              <w:spacing w:after="0" w:line="176" w:lineRule="exact"/>
              <w:rPr>
                <w:sz w:val="20"/>
                <w:szCs w:val="20"/>
                <w:color w:val="auto"/>
              </w:rPr>
            </w:pPr>
            <w:r>
              <w:rPr>
                <w:rFonts w:ascii="Arial" w:cs="Arial" w:eastAsia="Arial" w:hAnsi="Arial"/>
                <w:sz w:val="18"/>
                <w:szCs w:val="18"/>
                <w:b w:val="1"/>
                <w:bCs w:val="1"/>
                <w:color w:val="auto"/>
                <w:w w:val="91"/>
              </w:rPr>
              <w:t>9</w:t>
            </w:r>
            <w:r>
              <w:rPr>
                <w:rFonts w:ascii="Arial" w:cs="Arial" w:eastAsia="Arial" w:hAnsi="Arial"/>
                <w:sz w:val="8"/>
                <w:szCs w:val="8"/>
                <w:b w:val="1"/>
                <w:bCs w:val="1"/>
                <w:color w:val="auto"/>
                <w:w w:val="91"/>
              </w:rPr>
              <w:t>th</w:t>
            </w:r>
            <w:r>
              <w:rPr>
                <w:rFonts w:ascii="Arial" w:cs="Arial" w:eastAsia="Arial" w:hAnsi="Arial"/>
                <w:sz w:val="18"/>
                <w:szCs w:val="18"/>
                <w:b w:val="1"/>
                <w:bCs w:val="1"/>
                <w:color w:val="auto"/>
                <w:w w:val="91"/>
              </w:rPr>
              <w:t xml:space="preserve"> Floor</w:t>
            </w:r>
          </w:p>
        </w:tc>
        <w:tc>
          <w:tcPr>
            <w:tcW w:w="3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40" w:type="dxa"/>
            <w:vAlign w:val="bottom"/>
          </w:tcPr>
          <w:p>
            <w:pPr>
              <w:jc w:val="center"/>
              <w:ind w:right="838"/>
              <w:spacing w:after="0" w:line="176" w:lineRule="exact"/>
              <w:rPr>
                <w:sz w:val="20"/>
                <w:szCs w:val="20"/>
                <w:color w:val="auto"/>
              </w:rPr>
            </w:pPr>
            <w:r>
              <w:rPr>
                <w:rFonts w:ascii="Arial" w:cs="Arial" w:eastAsia="Arial" w:hAnsi="Arial"/>
                <w:sz w:val="18"/>
                <w:szCs w:val="18"/>
                <w:b w:val="1"/>
                <w:bCs w:val="1"/>
                <w:color w:val="auto"/>
                <w:w w:val="93"/>
              </w:rPr>
              <w:t>New York, New York</w:t>
            </w:r>
          </w:p>
        </w:tc>
        <w:tc>
          <w:tcPr>
            <w:tcW w:w="3680" w:type="dxa"/>
            <w:vAlign w:val="bottom"/>
          </w:tcPr>
          <w:p>
            <w:pPr>
              <w:jc w:val="center"/>
              <w:ind w:left="843"/>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182"/>
        </w:trPr>
        <w:tc>
          <w:tcPr>
            <w:tcW w:w="3540" w:type="dxa"/>
            <w:vAlign w:val="bottom"/>
          </w:tcPr>
          <w:p>
            <w:pPr>
              <w:jc w:val="center"/>
              <w:ind w:right="818"/>
              <w:spacing w:after="0"/>
              <w:rPr>
                <w:sz w:val="20"/>
                <w:szCs w:val="20"/>
                <w:color w:val="auto"/>
              </w:rPr>
            </w:pPr>
            <w:r>
              <w:rPr>
                <w:rFonts w:ascii="Arial" w:cs="Arial" w:eastAsia="Arial" w:hAnsi="Arial"/>
                <w:sz w:val="14"/>
                <w:szCs w:val="14"/>
                <w:color w:val="auto"/>
                <w:w w:val="95"/>
              </w:rPr>
              <w:t>(Address of principal executive offices)</w:t>
            </w: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7220" w:type="dxa"/>
            <w:vAlign w:val="bottom"/>
            <w:gridSpan w:val="2"/>
          </w:tcPr>
          <w:p>
            <w:pPr>
              <w:jc w:val="center"/>
              <w:ind w:right="3"/>
              <w:spacing w:after="0"/>
              <w:rPr>
                <w:sz w:val="20"/>
                <w:szCs w:val="20"/>
                <w:color w:val="auto"/>
              </w:rPr>
            </w:pPr>
            <w:r>
              <w:rPr>
                <w:rFonts w:ascii="Arial" w:cs="Arial" w:eastAsia="Arial" w:hAnsi="Arial"/>
                <w:sz w:val="18"/>
                <w:szCs w:val="18"/>
                <w:b w:val="1"/>
                <w:bCs w:val="1"/>
                <w:color w:val="auto"/>
                <w:w w:val="90"/>
              </w:rPr>
              <w:t>Registrant’s telephone number, including area code: (212) 332-3241</w:t>
            </w:r>
          </w:p>
        </w:tc>
        <w:tc>
          <w:tcPr>
            <w:tcW w:w="0" w:type="dxa"/>
            <w:vAlign w:val="bottom"/>
          </w:tcPr>
          <w:p>
            <w:pPr>
              <w:spacing w:after="0"/>
              <w:rPr>
                <w:sz w:val="1"/>
                <w:szCs w:val="1"/>
                <w:color w:val="auto"/>
              </w:rPr>
            </w:pPr>
          </w:p>
        </w:tc>
      </w:tr>
      <w:tr>
        <w:trPr>
          <w:trHeight w:val="292"/>
        </w:trPr>
        <w:tc>
          <w:tcPr>
            <w:tcW w:w="7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0" w:type="dxa"/>
            <w:vAlign w:val="bottom"/>
          </w:tcPr>
          <w:p>
            <w:pPr>
              <w:spacing w:after="0"/>
              <w:rPr>
                <w:sz w:val="1"/>
                <w:szCs w:val="1"/>
                <w:color w:val="auto"/>
              </w:rPr>
            </w:pPr>
          </w:p>
        </w:tc>
      </w:tr>
      <w:tr>
        <w:trPr>
          <w:trHeight w:val="140"/>
        </w:trPr>
        <w:tc>
          <w:tcPr>
            <w:tcW w:w="3540" w:type="dxa"/>
            <w:vAlign w:val="bottom"/>
          </w:tcPr>
          <w:p>
            <w:pPr>
              <w:jc w:val="center"/>
              <w:ind w:right="838"/>
              <w:spacing w:after="0" w:line="141" w:lineRule="exact"/>
              <w:rPr>
                <w:sz w:val="20"/>
                <w:szCs w:val="20"/>
                <w:color w:val="auto"/>
              </w:rPr>
            </w:pPr>
            <w:r>
              <w:rPr>
                <w:rFonts w:ascii="Arial" w:cs="Arial" w:eastAsia="Arial" w:hAnsi="Arial"/>
                <w:sz w:val="14"/>
                <w:szCs w:val="14"/>
                <w:color w:val="auto"/>
                <w:w w:val="91"/>
              </w:rPr>
              <w:t>Common Stock, Par Value $0.0001 Per Share</w:t>
            </w:r>
          </w:p>
        </w:tc>
        <w:tc>
          <w:tcPr>
            <w:tcW w:w="3680" w:type="dxa"/>
            <w:vAlign w:val="bottom"/>
          </w:tcPr>
          <w:p>
            <w:pPr>
              <w:jc w:val="center"/>
              <w:ind w:left="843"/>
              <w:spacing w:after="0" w:line="141" w:lineRule="exact"/>
              <w:rPr>
                <w:sz w:val="20"/>
                <w:szCs w:val="20"/>
                <w:color w:val="auto"/>
              </w:rPr>
            </w:pPr>
            <w:r>
              <w:rPr>
                <w:rFonts w:ascii="Arial" w:cs="Arial" w:eastAsia="Arial" w:hAnsi="Arial"/>
                <w:sz w:val="14"/>
                <w:szCs w:val="14"/>
                <w:color w:val="auto"/>
                <w:w w:val="94"/>
              </w:rPr>
              <w:t>Nasdaq Global Market</w:t>
            </w:r>
          </w:p>
        </w:tc>
        <w:tc>
          <w:tcPr>
            <w:tcW w:w="0" w:type="dxa"/>
            <w:vAlign w:val="bottom"/>
          </w:tcPr>
          <w:p>
            <w:pPr>
              <w:spacing w:after="0"/>
              <w:rPr>
                <w:sz w:val="1"/>
                <w:szCs w:val="1"/>
                <w:color w:val="auto"/>
              </w:rPr>
            </w:pPr>
          </w:p>
        </w:tc>
      </w:tr>
      <w:tr>
        <w:trPr>
          <w:trHeight w:val="182"/>
        </w:trPr>
        <w:tc>
          <w:tcPr>
            <w:tcW w:w="3540" w:type="dxa"/>
            <w:vAlign w:val="bottom"/>
          </w:tcPr>
          <w:p>
            <w:pPr>
              <w:jc w:val="center"/>
              <w:ind w:right="838"/>
              <w:spacing w:after="0"/>
              <w:rPr>
                <w:sz w:val="20"/>
                <w:szCs w:val="20"/>
                <w:color w:val="auto"/>
              </w:rPr>
            </w:pPr>
            <w:r>
              <w:rPr>
                <w:rFonts w:ascii="Arial" w:cs="Arial" w:eastAsia="Arial" w:hAnsi="Arial"/>
                <w:sz w:val="14"/>
                <w:szCs w:val="14"/>
                <w:color w:val="auto"/>
                <w:w w:val="95"/>
              </w:rPr>
              <w:t>(Title of Class)</w:t>
            </w:r>
          </w:p>
        </w:tc>
        <w:tc>
          <w:tcPr>
            <w:tcW w:w="3680" w:type="dxa"/>
            <w:vAlign w:val="bottom"/>
          </w:tcPr>
          <w:p>
            <w:pPr>
              <w:jc w:val="center"/>
              <w:ind w:left="843"/>
              <w:spacing w:after="0"/>
              <w:rPr>
                <w:sz w:val="20"/>
                <w:szCs w:val="20"/>
                <w:color w:val="auto"/>
              </w:rPr>
            </w:pPr>
            <w:r>
              <w:rPr>
                <w:rFonts w:ascii="Arial" w:cs="Arial" w:eastAsia="Arial" w:hAnsi="Arial"/>
                <w:sz w:val="14"/>
                <w:szCs w:val="14"/>
                <w:color w:val="auto"/>
                <w:w w:val="92"/>
              </w:rPr>
              <w:t>(Name of Each Exchange on Which Registered)</w:t>
            </w: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12(g) of the Act:</w:t>
      </w:r>
    </w:p>
    <w:p>
      <w:pPr>
        <w:jc w:val="center"/>
        <w:ind w:right="-39"/>
        <w:spacing w:after="0"/>
        <w:rPr>
          <w:sz w:val="20"/>
          <w:szCs w:val="20"/>
          <w:color w:val="auto"/>
        </w:rPr>
      </w:pPr>
      <w:r>
        <w:rPr>
          <w:rFonts w:ascii="Arial" w:cs="Arial" w:eastAsia="Arial" w:hAnsi="Arial"/>
          <w:sz w:val="14"/>
          <w:szCs w:val="14"/>
          <w:color w:val="auto"/>
        </w:rPr>
        <w:t>None</w:t>
      </w:r>
    </w:p>
    <w:p>
      <w:pPr>
        <w:spacing w:after="0" w:line="1" w:lineRule="exact"/>
        <w:rPr>
          <w:sz w:val="24"/>
          <w:szCs w:val="24"/>
          <w:color w:val="auto"/>
        </w:rPr>
      </w:pPr>
    </w:p>
    <w:p>
      <w:pPr>
        <w:ind w:right="240"/>
        <w:spacing w:after="0" w:line="18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highlight w:val="black"/>
        </w:rPr>
        <w:t>☒</w:t>
      </w:r>
      <w:r>
        <w:rPr>
          <w:rFonts w:ascii="Arial" w:cs="Arial" w:eastAsia="Arial" w:hAnsi="Arial"/>
          <w:sz w:val="14"/>
          <w:szCs w:val="14"/>
          <w:color w:val="auto"/>
        </w:rPr>
        <w:t xml:space="preserve"> No </w:t>
      </w:r>
      <w:r>
        <w:rPr>
          <w:rFonts w:ascii="MS PGothic" w:cs="MS PGothic" w:eastAsia="MS PGothic" w:hAnsi="MS PGothic"/>
          <w:sz w:val="18"/>
          <w:szCs w:val="18"/>
          <w:color w:val="auto"/>
        </w:rPr>
        <w:t>☐</w:t>
      </w:r>
    </w:p>
    <w:p>
      <w:pPr>
        <w:spacing w:after="0" w:line="97" w:lineRule="exact"/>
        <w:rPr>
          <w:sz w:val="24"/>
          <w:szCs w:val="24"/>
          <w:color w:val="auto"/>
        </w:rPr>
      </w:pPr>
    </w:p>
    <w:p>
      <w:pPr>
        <w:ind w:right="120"/>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highlight w:val="black"/>
        </w:rPr>
        <w:t>☒</w:t>
      </w:r>
      <w:r>
        <w:rPr>
          <w:rFonts w:ascii="Arial" w:cs="Arial" w:eastAsia="Arial" w:hAnsi="Arial"/>
          <w:sz w:val="14"/>
          <w:szCs w:val="14"/>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spacing w:after="0" w:line="214" w:lineRule="auto"/>
        <w:rPr>
          <w:sz w:val="20"/>
          <w:szCs w:val="20"/>
          <w:color w:val="auto"/>
        </w:rPr>
      </w:pPr>
      <w:r>
        <w:rPr>
          <w:rFonts w:ascii="Arial" w:cs="Arial" w:eastAsia="Arial" w:hAnsi="Arial"/>
          <w:sz w:val="14"/>
          <w:szCs w:val="14"/>
          <w:color w:val="auto"/>
        </w:rPr>
        <w:t>Indicate by check mark whether the registrant is a large accelerated filed, an accelerated filer, a non-accelerated filer, a smaller reporting company, or an emerging growth company. See definitions of “large accelerated filer,” “accelerated filer,” “smaller reporting company” and “emerging growth company” in Rule 12b-2 of the Exchange Act.:</w:t>
      </w:r>
    </w:p>
    <w:tbl>
      <w:tblPr>
        <w:tblLayout w:type="fixed"/>
        <w:tblInd w:w="340" w:type="dxa"/>
        <w:tblCellMar>
          <w:top w:w="0" w:type="dxa"/>
          <w:left w:w="0" w:type="dxa"/>
          <w:bottom w:w="0" w:type="dxa"/>
          <w:right w:w="0" w:type="dxa"/>
        </w:tblCellMar>
      </w:tblPr>
      <w:tr>
        <w:trPr>
          <w:trHeight w:val="169"/>
        </w:trPr>
        <w:tc>
          <w:tcPr>
            <w:tcW w:w="5060" w:type="dxa"/>
            <w:vAlign w:val="bottom"/>
          </w:tcPr>
          <w:p>
            <w:pPr>
              <w:spacing w:after="0" w:line="169"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8"/>
                <w:szCs w:val="18"/>
                <w:color w:val="auto"/>
              </w:rPr>
              <w:t>☐</w:t>
            </w:r>
          </w:p>
        </w:tc>
        <w:tc>
          <w:tcPr>
            <w:tcW w:w="3340" w:type="dxa"/>
            <w:vAlign w:val="bottom"/>
          </w:tcPr>
          <w:p>
            <w:pPr>
              <w:jc w:val="right"/>
              <w:spacing w:after="0" w:line="169"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8"/>
                <w:szCs w:val="18"/>
                <w:color w:val="auto"/>
                <w:highlight w:val="black"/>
              </w:rPr>
              <w:t>☒</w:t>
            </w:r>
          </w:p>
        </w:tc>
      </w:tr>
      <w:tr>
        <w:trPr>
          <w:trHeight w:val="189"/>
        </w:trPr>
        <w:tc>
          <w:tcPr>
            <w:tcW w:w="5060" w:type="dxa"/>
            <w:vAlign w:val="bottom"/>
          </w:tcPr>
          <w:p>
            <w:pPr>
              <w:spacing w:after="0" w:line="189"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8"/>
                <w:szCs w:val="18"/>
                <w:color w:val="auto"/>
              </w:rPr>
              <w:t>☐</w:t>
            </w:r>
            <w:r>
              <w:rPr>
                <w:rFonts w:ascii="Arial" w:cs="Arial" w:eastAsia="Arial" w:hAnsi="Arial"/>
                <w:sz w:val="14"/>
                <w:szCs w:val="14"/>
                <w:color w:val="auto"/>
              </w:rPr>
              <w:t xml:space="preserve"> (Do not check if a smaller reporting</w:t>
            </w:r>
          </w:p>
        </w:tc>
        <w:tc>
          <w:tcPr>
            <w:tcW w:w="3340" w:type="dxa"/>
            <w:vAlign w:val="bottom"/>
          </w:tcPr>
          <w:p>
            <w:pPr>
              <w:jc w:val="right"/>
              <w:spacing w:after="0" w:line="189"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8"/>
                <w:szCs w:val="18"/>
                <w:color w:val="auto"/>
              </w:rPr>
              <w:t>☐</w:t>
            </w:r>
          </w:p>
        </w:tc>
      </w:tr>
      <w:tr>
        <w:trPr>
          <w:trHeight w:val="283"/>
        </w:trPr>
        <w:tc>
          <w:tcPr>
            <w:tcW w:w="5060" w:type="dxa"/>
            <w:vAlign w:val="bottom"/>
          </w:tcPr>
          <w:p>
            <w:pPr>
              <w:spacing w:after="0"/>
              <w:rPr>
                <w:sz w:val="20"/>
                <w:szCs w:val="20"/>
                <w:color w:val="auto"/>
              </w:rPr>
            </w:pPr>
            <w:r>
              <w:rPr>
                <w:rFonts w:ascii="Arial" w:cs="Arial" w:eastAsia="Arial" w:hAnsi="Arial"/>
                <w:sz w:val="14"/>
                <w:szCs w:val="14"/>
                <w:color w:val="auto"/>
              </w:rPr>
              <w:t>company)</w:t>
            </w:r>
          </w:p>
        </w:tc>
        <w:tc>
          <w:tcPr>
            <w:tcW w:w="3340" w:type="dxa"/>
            <w:vAlign w:val="bottom"/>
          </w:tcPr>
          <w:p>
            <w:pPr>
              <w:jc w:val="right"/>
              <w:spacing w:after="0" w:line="207"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8"/>
                <w:szCs w:val="18"/>
                <w:color w:val="auto"/>
                <w:highlight w:val="black"/>
              </w:rPr>
              <w:t>☒</w:t>
            </w:r>
          </w:p>
        </w:tc>
      </w:tr>
    </w:tbl>
    <w:p>
      <w:pPr>
        <w:spacing w:after="0" w:line="76" w:lineRule="exact"/>
        <w:rPr>
          <w:sz w:val="24"/>
          <w:szCs w:val="24"/>
          <w:color w:val="auto"/>
        </w:rPr>
      </w:pPr>
    </w:p>
    <w:p>
      <w:pPr>
        <w:ind w:right="20"/>
        <w:spacing w:after="0" w:line="20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41" w:lineRule="exact"/>
        <w:rPr>
          <w:sz w:val="24"/>
          <w:szCs w:val="24"/>
          <w:color w:val="auto"/>
        </w:rPr>
      </w:pPr>
    </w:p>
    <w:p>
      <w:pPr>
        <w:ind w:right="1620"/>
        <w:spacing w:after="0" w:line="267"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3"/>
          <w:szCs w:val="13"/>
          <w:color w:val="auto"/>
        </w:rPr>
        <w:t xml:space="preserve"> No </w:t>
      </w:r>
      <w:r>
        <w:rPr>
          <w:rFonts w:ascii="MS PGothic" w:cs="MS PGothic" w:eastAsia="MS PGothic" w:hAnsi="MS PGothic"/>
          <w:sz w:val="16"/>
          <w:szCs w:val="16"/>
          <w:color w:val="auto"/>
          <w:highlight w:val="black"/>
        </w:rPr>
        <w:t>☒</w:t>
      </w:r>
      <w:r>
        <w:rPr>
          <w:rFonts w:ascii="Arial" w:cs="Arial" w:eastAsia="Arial" w:hAnsi="Arial"/>
          <w:sz w:val="13"/>
          <w:szCs w:val="13"/>
          <w:color w:val="auto"/>
        </w:rPr>
        <w:t xml:space="preserve"> There were 26,252,862 shares of the registrant’s common stock, $0.0001 par value, outstanding as of August 3,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575437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308610</wp:posOffset>
            </wp:positionV>
            <wp:extent cx="575437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220" w:right="14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560" w:type="dxa"/>
            <w:vAlign w:val="bottom"/>
            <w:gridSpan w:val="16"/>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500" w:type="dxa"/>
            <w:vAlign w:val="bottom"/>
          </w:tcPr>
          <w:p>
            <w:pPr>
              <w:spacing w:after="0"/>
              <w:rPr>
                <w:sz w:val="17"/>
                <w:szCs w:val="17"/>
                <w:color w:val="auto"/>
              </w:rPr>
            </w:pPr>
          </w:p>
        </w:tc>
      </w:tr>
      <w:tr>
        <w:trPr>
          <w:trHeight w:val="682"/>
        </w:trPr>
        <w:tc>
          <w:tcPr>
            <w:tcW w:w="58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420" w:type="dxa"/>
            <w:vAlign w:val="bottom"/>
            <w:tcBorders>
              <w:top w:val="single" w:sz="8" w:color="0563C1"/>
            </w:tcBorders>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20" w:type="dxa"/>
            <w:vAlign w:val="bottom"/>
            <w:gridSpan w:val="4"/>
          </w:tcPr>
          <w:p>
            <w:pPr>
              <w:jc w:val="center"/>
              <w:ind w:right="2620"/>
              <w:spacing w:after="0"/>
              <w:rPr>
                <w:sz w:val="20"/>
                <w:szCs w:val="20"/>
                <w:color w:val="auto"/>
              </w:rPr>
            </w:pPr>
            <w:r>
              <w:rPr>
                <w:rFonts w:ascii="Arial" w:cs="Arial" w:eastAsia="Arial" w:hAnsi="Arial"/>
                <w:sz w:val="18"/>
                <w:szCs w:val="18"/>
                <w:b w:val="1"/>
                <w:bCs w:val="1"/>
                <w:color w:val="auto"/>
              </w:rPr>
              <w:t>AXSOME THERAPEUTICS, INC.</w:t>
            </w:r>
          </w:p>
        </w:tc>
        <w:tc>
          <w:tcPr>
            <w:tcW w:w="500" w:type="dxa"/>
            <w:vAlign w:val="bottom"/>
          </w:tcPr>
          <w:p>
            <w:pPr>
              <w:spacing w:after="0"/>
              <w:rPr>
                <w:sz w:val="24"/>
                <w:szCs w:val="24"/>
                <w:color w:val="auto"/>
              </w:rPr>
            </w:pPr>
          </w:p>
        </w:tc>
      </w:tr>
      <w:tr>
        <w:trPr>
          <w:trHeight w:val="176"/>
        </w:trPr>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720" w:type="dxa"/>
            <w:vAlign w:val="bottom"/>
            <w:gridSpan w:val="5"/>
          </w:tcPr>
          <w:p>
            <w:pPr>
              <w:jc w:val="center"/>
              <w:ind w:right="2340"/>
              <w:spacing w:after="0" w:line="176" w:lineRule="exact"/>
              <w:rPr>
                <w:sz w:val="20"/>
                <w:szCs w:val="20"/>
                <w:color w:val="auto"/>
              </w:rPr>
            </w:pPr>
            <w:r>
              <w:rPr>
                <w:rFonts w:ascii="Arial" w:cs="Arial" w:eastAsia="Arial" w:hAnsi="Arial"/>
                <w:sz w:val="18"/>
                <w:szCs w:val="18"/>
                <w:b w:val="1"/>
                <w:bCs w:val="1"/>
                <w:color w:val="auto"/>
                <w:w w:val="99"/>
              </w:rPr>
              <w:t>QUARTERLY REPORT ON FORM 10-Q</w:t>
            </w:r>
          </w:p>
        </w:tc>
        <w:tc>
          <w:tcPr>
            <w:tcW w:w="500" w:type="dxa"/>
            <w:vAlign w:val="bottom"/>
          </w:tcPr>
          <w:p>
            <w:pPr>
              <w:spacing w:after="0"/>
              <w:rPr>
                <w:sz w:val="15"/>
                <w:szCs w:val="15"/>
                <w:color w:val="auto"/>
              </w:rPr>
            </w:pPr>
          </w:p>
        </w:tc>
      </w:tr>
      <w:tr>
        <w:trPr>
          <w:trHeight w:val="234"/>
        </w:trPr>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940" w:type="dxa"/>
            <w:vAlign w:val="bottom"/>
            <w:gridSpan w:val="6"/>
          </w:tcPr>
          <w:p>
            <w:pPr>
              <w:jc w:val="center"/>
              <w:ind w:right="2120"/>
              <w:spacing w:after="0"/>
              <w:rPr>
                <w:sz w:val="20"/>
                <w:szCs w:val="20"/>
                <w:color w:val="auto"/>
              </w:rPr>
            </w:pPr>
            <w:r>
              <w:rPr>
                <w:rFonts w:ascii="Arial" w:cs="Arial" w:eastAsia="Arial" w:hAnsi="Arial"/>
                <w:sz w:val="18"/>
                <w:szCs w:val="18"/>
                <w:b w:val="1"/>
                <w:bCs w:val="1"/>
                <w:color w:val="auto"/>
                <w:w w:val="99"/>
              </w:rPr>
              <w:t>FOR THE QUARTER ENDED JUNE 30, 2018</w:t>
            </w:r>
          </w:p>
        </w:tc>
        <w:tc>
          <w:tcPr>
            <w:tcW w:w="500" w:type="dxa"/>
            <w:vAlign w:val="bottom"/>
          </w:tcPr>
          <w:p>
            <w:pPr>
              <w:spacing w:after="0"/>
              <w:rPr>
                <w:sz w:val="20"/>
                <w:szCs w:val="20"/>
                <w:color w:val="auto"/>
              </w:rPr>
            </w:pPr>
          </w:p>
        </w:tc>
      </w:tr>
      <w:tr>
        <w:trPr>
          <w:trHeight w:val="346"/>
        </w:trPr>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20" w:type="dxa"/>
            <w:vAlign w:val="bottom"/>
            <w:gridSpan w:val="4"/>
          </w:tcPr>
          <w:p>
            <w:pPr>
              <w:jc w:val="center"/>
              <w:ind w:right="2620"/>
              <w:spacing w:after="0"/>
              <w:rPr>
                <w:sz w:val="20"/>
                <w:szCs w:val="20"/>
                <w:color w:val="auto"/>
              </w:rPr>
            </w:pPr>
            <w:r>
              <w:rPr>
                <w:rFonts w:ascii="Arial" w:cs="Arial" w:eastAsia="Arial" w:hAnsi="Arial"/>
                <w:sz w:val="18"/>
                <w:szCs w:val="18"/>
                <w:b w:val="1"/>
                <w:bCs w:val="1"/>
                <w:color w:val="auto"/>
                <w:w w:val="98"/>
              </w:rPr>
              <w:t>TABLE OF CONTENTS</w:t>
            </w:r>
          </w:p>
        </w:tc>
        <w:tc>
          <w:tcPr>
            <w:tcW w:w="500" w:type="dxa"/>
            <w:vAlign w:val="bottom"/>
          </w:tcPr>
          <w:p>
            <w:pPr>
              <w:spacing w:after="0"/>
              <w:rPr>
                <w:sz w:val="24"/>
                <w:szCs w:val="24"/>
                <w:color w:val="auto"/>
              </w:rPr>
            </w:pPr>
          </w:p>
        </w:tc>
      </w:tr>
      <w:tr>
        <w:trPr>
          <w:trHeight w:val="338"/>
        </w:trPr>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Page</w:t>
            </w:r>
          </w:p>
        </w:tc>
      </w:tr>
      <w:tr>
        <w:trPr>
          <w:trHeight w:val="331"/>
        </w:trPr>
        <w:tc>
          <w:tcPr>
            <w:tcW w:w="5780" w:type="dxa"/>
            <w:vAlign w:val="bottom"/>
            <w:tcBorders>
              <w:bottom w:val="single" w:sz="8" w:color="0000EE"/>
            </w:tcBorders>
            <w:gridSpan w:val="14"/>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CAUTIONARY NOTE REGARDING FORWARD LOOKING STATEMENTS</w:t>
              </w:r>
            </w:hyperlink>
          </w:p>
        </w:tc>
        <w:tc>
          <w:tcPr>
            <w:tcW w:w="2780" w:type="dxa"/>
            <w:vAlign w:val="bottom"/>
            <w:gridSpan w:val="2"/>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31"/>
        </w:trPr>
        <w:tc>
          <w:tcPr>
            <w:tcW w:w="700" w:type="dxa"/>
            <w:vAlign w:val="bottom"/>
            <w:tcBorders>
              <w:bottom w:val="single" w:sz="8" w:color="0000EE"/>
            </w:tcBorders>
            <w:gridSpan w:val="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2440" w:type="dxa"/>
            <w:vAlign w:val="bottom"/>
            <w:tcBorders>
              <w:bottom w:val="single" w:sz="8" w:color="0000EE"/>
            </w:tcBorders>
            <w:gridSpan w:val="10"/>
          </w:tcPr>
          <w:p>
            <w:pPr>
              <w:ind w:left="4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5420" w:type="dxa"/>
            <w:vAlign w:val="bottom"/>
            <w:gridSpan w:val="4"/>
          </w:tcPr>
          <w:p>
            <w:pPr>
              <w:spacing w:after="0"/>
              <w:rPr>
                <w:sz w:val="24"/>
                <w:szCs w:val="24"/>
                <w:color w:val="auto"/>
              </w:rPr>
            </w:pPr>
          </w:p>
        </w:tc>
        <w:tc>
          <w:tcPr>
            <w:tcW w:w="500" w:type="dxa"/>
            <w:vAlign w:val="bottom"/>
          </w:tcPr>
          <w:p>
            <w:pPr>
              <w:spacing w:after="0"/>
              <w:rPr>
                <w:sz w:val="24"/>
                <w:szCs w:val="24"/>
                <w:color w:val="auto"/>
              </w:rPr>
            </w:pPr>
          </w:p>
        </w:tc>
      </w:tr>
      <w:tr>
        <w:trPr>
          <w:trHeight w:val="331"/>
        </w:trPr>
        <w:tc>
          <w:tcPr>
            <w:tcW w:w="580" w:type="dxa"/>
            <w:vAlign w:val="bottom"/>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ITEM 1</w:t>
              </w:r>
            </w:hyperlink>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0" w:type="dxa"/>
            <w:vAlign w:val="bottom"/>
            <w:gridSpan w:val="13"/>
          </w:tcPr>
          <w:p>
            <w:pPr>
              <w:ind w:left="100"/>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31"/>
        </w:trPr>
        <w:tc>
          <w:tcPr>
            <w:tcW w:w="580" w:type="dxa"/>
            <w:vAlign w:val="bottom"/>
          </w:tcPr>
          <w:p>
            <w:pPr>
              <w:spacing w:after="0"/>
              <w:rPr>
                <w:rFonts w:ascii="Arial" w:cs="Arial" w:eastAsia="Arial" w:hAnsi="Arial"/>
                <w:sz w:val="18"/>
                <w:szCs w:val="18"/>
                <w:color w:val="0000EE"/>
                <w:w w:val="96"/>
              </w:rPr>
            </w:pPr>
            <w:hyperlink w:anchor="page19">
              <w:r>
                <w:rPr>
                  <w:rFonts w:ascii="Arial" w:cs="Arial" w:eastAsia="Arial" w:hAnsi="Arial"/>
                  <w:sz w:val="18"/>
                  <w:szCs w:val="18"/>
                  <w:color w:val="0000EE"/>
                  <w:w w:val="96"/>
                </w:rPr>
                <w:t>ITEM 2</w:t>
              </w:r>
            </w:hyperlink>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0" w:type="dxa"/>
            <w:vAlign w:val="bottom"/>
            <w:gridSpan w:val="13"/>
          </w:tcPr>
          <w:p>
            <w:pPr>
              <w:ind w:left="100"/>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31"/>
        </w:trPr>
        <w:tc>
          <w:tcPr>
            <w:tcW w:w="580" w:type="dxa"/>
            <w:vAlign w:val="bottom"/>
          </w:tcPr>
          <w:p>
            <w:pPr>
              <w:spacing w:after="0"/>
              <w:rPr>
                <w:rFonts w:ascii="Arial" w:cs="Arial" w:eastAsia="Arial" w:hAnsi="Arial"/>
                <w:sz w:val="18"/>
                <w:szCs w:val="18"/>
                <w:color w:val="0000EE"/>
                <w:w w:val="96"/>
              </w:rPr>
            </w:pPr>
            <w:hyperlink w:anchor="page30">
              <w:r>
                <w:rPr>
                  <w:rFonts w:ascii="Arial" w:cs="Arial" w:eastAsia="Arial" w:hAnsi="Arial"/>
                  <w:sz w:val="18"/>
                  <w:szCs w:val="18"/>
                  <w:color w:val="0000EE"/>
                  <w:w w:val="96"/>
                </w:rPr>
                <w:t>ITEM 3</w:t>
              </w:r>
            </w:hyperlink>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0" w:type="dxa"/>
            <w:vAlign w:val="bottom"/>
            <w:gridSpan w:val="13"/>
          </w:tcPr>
          <w:p>
            <w:pPr>
              <w:ind w:left="100"/>
              <w:spacing w:after="0"/>
              <w:rPr>
                <w:rFonts w:ascii="Arial" w:cs="Arial" w:eastAsia="Arial" w:hAnsi="Arial"/>
                <w:sz w:val="18"/>
                <w:szCs w:val="18"/>
                <w:color w:val="0000EE"/>
              </w:rPr>
            </w:pPr>
            <w:hyperlink w:anchor="page30">
              <w:r>
                <w:rPr>
                  <w:rFonts w:ascii="Arial" w:cs="Arial" w:eastAsia="Arial" w:hAnsi="Arial"/>
                  <w:sz w:val="18"/>
                  <w:szCs w:val="18"/>
                  <w:color w:val="0000EE"/>
                </w:rPr>
                <w:t>Quantitative and Qualitative Disclosure About Market Risk</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31"/>
        </w:trPr>
        <w:tc>
          <w:tcPr>
            <w:tcW w:w="580" w:type="dxa"/>
            <w:vAlign w:val="bottom"/>
          </w:tcPr>
          <w:p>
            <w:pPr>
              <w:spacing w:after="0"/>
              <w:rPr>
                <w:rFonts w:ascii="Arial" w:cs="Arial" w:eastAsia="Arial" w:hAnsi="Arial"/>
                <w:sz w:val="18"/>
                <w:szCs w:val="18"/>
                <w:color w:val="0000EE"/>
                <w:w w:val="96"/>
              </w:rPr>
            </w:pPr>
            <w:hyperlink w:anchor="page30">
              <w:r>
                <w:rPr>
                  <w:rFonts w:ascii="Arial" w:cs="Arial" w:eastAsia="Arial" w:hAnsi="Arial"/>
                  <w:sz w:val="18"/>
                  <w:szCs w:val="18"/>
                  <w:color w:val="0000EE"/>
                  <w:w w:val="96"/>
                </w:rPr>
                <w:t>ITEM 4</w:t>
              </w:r>
            </w:hyperlink>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0" w:type="dxa"/>
            <w:vAlign w:val="bottom"/>
            <w:gridSpan w:val="13"/>
          </w:tcPr>
          <w:p>
            <w:pPr>
              <w:ind w:left="100"/>
              <w:spacing w:after="0"/>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72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31"/>
        </w:trPr>
        <w:tc>
          <w:tcPr>
            <w:tcW w:w="700" w:type="dxa"/>
            <w:vAlign w:val="bottom"/>
            <w:tcBorders>
              <w:bottom w:val="single" w:sz="8" w:color="0000EE"/>
            </w:tcBorders>
            <w:gridSpan w:val="2"/>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PART II</w:t>
              </w:r>
            </w:hyperlink>
          </w:p>
        </w:tc>
        <w:tc>
          <w:tcPr>
            <w:tcW w:w="60" w:type="dxa"/>
            <w:vAlign w:val="bottom"/>
            <w:tcBorders>
              <w:bottom w:val="single" w:sz="8" w:color="0000EE"/>
            </w:tcBorders>
          </w:tcPr>
          <w:p>
            <w:pPr>
              <w:spacing w:after="0"/>
              <w:rPr>
                <w:sz w:val="24"/>
                <w:szCs w:val="24"/>
                <w:color w:val="auto"/>
              </w:rPr>
            </w:pPr>
          </w:p>
        </w:tc>
        <w:tc>
          <w:tcPr>
            <w:tcW w:w="2080" w:type="dxa"/>
            <w:vAlign w:val="bottom"/>
            <w:tcBorders>
              <w:bottom w:val="single" w:sz="8" w:color="0000EE"/>
            </w:tcBorders>
            <w:gridSpan w:val="8"/>
          </w:tcPr>
          <w:p>
            <w:pPr>
              <w:ind w:left="60"/>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OTHER INFORMATION</w:t>
              </w:r>
            </w:hyperlink>
          </w:p>
        </w:tc>
        <w:tc>
          <w:tcPr>
            <w:tcW w:w="5720" w:type="dxa"/>
            <w:vAlign w:val="bottom"/>
            <w:gridSpan w:val="5"/>
          </w:tcPr>
          <w:p>
            <w:pPr>
              <w:spacing w:after="0"/>
              <w:rPr>
                <w:sz w:val="24"/>
                <w:szCs w:val="24"/>
                <w:color w:val="auto"/>
              </w:rPr>
            </w:pPr>
          </w:p>
        </w:tc>
        <w:tc>
          <w:tcPr>
            <w:tcW w:w="500" w:type="dxa"/>
            <w:vAlign w:val="bottom"/>
          </w:tcPr>
          <w:p>
            <w:pPr>
              <w:spacing w:after="0"/>
              <w:rPr>
                <w:sz w:val="24"/>
                <w:szCs w:val="24"/>
                <w:color w:val="auto"/>
              </w:rPr>
            </w:pPr>
          </w:p>
        </w:tc>
      </w:tr>
      <w:tr>
        <w:trPr>
          <w:trHeight w:val="331"/>
        </w:trPr>
        <w:tc>
          <w:tcPr>
            <w:tcW w:w="580" w:type="dxa"/>
            <w:vAlign w:val="bottom"/>
          </w:tcPr>
          <w:p>
            <w:pPr>
              <w:spacing w:after="0"/>
              <w:rPr>
                <w:rFonts w:ascii="Arial" w:cs="Arial" w:eastAsia="Arial" w:hAnsi="Arial"/>
                <w:sz w:val="18"/>
                <w:szCs w:val="18"/>
                <w:color w:val="0000EE"/>
                <w:w w:val="96"/>
              </w:rPr>
            </w:pPr>
            <w:hyperlink w:anchor="page31">
              <w:r>
                <w:rPr>
                  <w:rFonts w:ascii="Arial" w:cs="Arial" w:eastAsia="Arial" w:hAnsi="Arial"/>
                  <w:sz w:val="18"/>
                  <w:szCs w:val="18"/>
                  <w:color w:val="0000EE"/>
                  <w:w w:val="96"/>
                </w:rPr>
                <w:t>ITEM 1</w:t>
              </w:r>
            </w:hyperlink>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0" w:type="dxa"/>
            <w:vAlign w:val="bottom"/>
            <w:gridSpan w:val="13"/>
          </w:tcPr>
          <w:p>
            <w:pPr>
              <w:ind w:left="100"/>
              <w:spacing w:after="0"/>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38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31"/>
        </w:trPr>
        <w:tc>
          <w:tcPr>
            <w:tcW w:w="700" w:type="dxa"/>
            <w:vAlign w:val="bottom"/>
            <w:gridSpan w:val="2"/>
          </w:tcPr>
          <w:p>
            <w:pPr>
              <w:spacing w:after="0"/>
              <w:rPr>
                <w:rFonts w:ascii="Arial" w:cs="Arial" w:eastAsia="Arial" w:hAnsi="Arial"/>
                <w:sz w:val="18"/>
                <w:szCs w:val="18"/>
                <w:color w:val="0000EE"/>
                <w:w w:val="97"/>
              </w:rPr>
            </w:pPr>
            <w:hyperlink w:anchor="page31">
              <w:r>
                <w:rPr>
                  <w:rFonts w:ascii="Arial" w:cs="Arial" w:eastAsia="Arial" w:hAnsi="Arial"/>
                  <w:sz w:val="18"/>
                  <w:szCs w:val="18"/>
                  <w:color w:val="0000EE"/>
                  <w:w w:val="97"/>
                </w:rPr>
                <w:t>ITEM 1A</w:t>
              </w:r>
            </w:hyperlink>
          </w:p>
        </w:tc>
        <w:tc>
          <w:tcPr>
            <w:tcW w:w="60" w:type="dxa"/>
            <w:vAlign w:val="bottom"/>
          </w:tcPr>
          <w:p>
            <w:pPr>
              <w:spacing w:after="0"/>
              <w:rPr>
                <w:sz w:val="24"/>
                <w:szCs w:val="24"/>
                <w:color w:val="auto"/>
              </w:rPr>
            </w:pPr>
          </w:p>
        </w:tc>
        <w:tc>
          <w:tcPr>
            <w:tcW w:w="7800" w:type="dxa"/>
            <w:vAlign w:val="bottom"/>
            <w:gridSpan w:val="13"/>
          </w:tcPr>
          <w:p>
            <w:pPr>
              <w:ind w:left="100"/>
              <w:spacing w:after="0"/>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800" w:type="dxa"/>
            <w:vAlign w:val="bottom"/>
            <w:gridSpan w:val="9"/>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31"/>
        </w:trPr>
        <w:tc>
          <w:tcPr>
            <w:tcW w:w="580" w:type="dxa"/>
            <w:vAlign w:val="bottom"/>
          </w:tcPr>
          <w:p>
            <w:pPr>
              <w:spacing w:after="0"/>
              <w:rPr>
                <w:rFonts w:ascii="Arial" w:cs="Arial" w:eastAsia="Arial" w:hAnsi="Arial"/>
                <w:sz w:val="18"/>
                <w:szCs w:val="18"/>
                <w:color w:val="0000EE"/>
                <w:w w:val="96"/>
              </w:rPr>
            </w:pPr>
            <w:hyperlink w:anchor="page88">
              <w:r>
                <w:rPr>
                  <w:rFonts w:ascii="Arial" w:cs="Arial" w:eastAsia="Arial" w:hAnsi="Arial"/>
                  <w:sz w:val="18"/>
                  <w:szCs w:val="18"/>
                  <w:color w:val="0000EE"/>
                  <w:w w:val="96"/>
                </w:rPr>
                <w:t>ITEM 6</w:t>
              </w:r>
            </w:hyperlink>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0" w:type="dxa"/>
            <w:vAlign w:val="bottom"/>
            <w:gridSpan w:val="13"/>
          </w:tcPr>
          <w:p>
            <w:pPr>
              <w:ind w:left="100"/>
              <w:spacing w:after="0"/>
              <w:rPr>
                <w:rFonts w:ascii="Arial" w:cs="Arial" w:eastAsia="Arial" w:hAnsi="Arial"/>
                <w:sz w:val="18"/>
                <w:szCs w:val="18"/>
                <w:color w:val="0000EE"/>
              </w:rPr>
            </w:pPr>
            <w:hyperlink w:anchor="page88">
              <w:r>
                <w:rPr>
                  <w:rFonts w:ascii="Arial" w:cs="Arial" w:eastAsia="Arial" w:hAnsi="Arial"/>
                  <w:sz w:val="18"/>
                  <w:szCs w:val="18"/>
                  <w:color w:val="0000EE"/>
                </w:rPr>
                <w:t>Exhibits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0"/>
        </w:trPr>
        <w:tc>
          <w:tcPr>
            <w:tcW w:w="5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100" w:type="dxa"/>
            <w:vAlign w:val="bottom"/>
            <w:gridSpan w:val="1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31"/>
        </w:trPr>
        <w:tc>
          <w:tcPr>
            <w:tcW w:w="8560" w:type="dxa"/>
            <w:vAlign w:val="bottom"/>
            <w:gridSpan w:val="16"/>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Signatures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993"/>
        </w:trPr>
        <w:tc>
          <w:tcPr>
            <w:tcW w:w="5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380" w:type="dxa"/>
            <w:vAlign w:val="bottom"/>
            <w:gridSpan w:val="10"/>
          </w:tcPr>
          <w:p>
            <w:pPr>
              <w:jc w:val="center"/>
              <w:ind w:left="3070"/>
              <w:spacing w:after="0"/>
              <w:rPr>
                <w:sz w:val="20"/>
                <w:szCs w:val="20"/>
                <w:color w:val="auto"/>
              </w:rPr>
            </w:pPr>
            <w:r>
              <w:rPr>
                <w:rFonts w:ascii="Arial" w:cs="Arial" w:eastAsia="Arial" w:hAnsi="Arial"/>
                <w:sz w:val="18"/>
                <w:szCs w:val="18"/>
                <w:color w:val="auto"/>
                <w:w w:val="99"/>
              </w:rPr>
              <w:t>2</w:t>
            </w:r>
          </w:p>
        </w:tc>
        <w:tc>
          <w:tcPr>
            <w:tcW w:w="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02"/>
        </w:trPr>
        <w:tc>
          <w:tcPr>
            <w:tcW w:w="5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95"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CAUTIONARY NOTE</w:t>
      </w:r>
    </w:p>
    <w:p>
      <w:pPr>
        <w:spacing w:after="0" w:line="185" w:lineRule="exact"/>
        <w:rPr>
          <w:sz w:val="20"/>
          <w:szCs w:val="20"/>
          <w:color w:val="auto"/>
        </w:rPr>
      </w:pPr>
    </w:p>
    <w:p>
      <w:pPr>
        <w:jc w:val="center"/>
        <w:ind w:right="-40"/>
        <w:spacing w:after="0" w:line="207" w:lineRule="exact"/>
        <w:rPr>
          <w:sz w:val="20"/>
          <w:szCs w:val="20"/>
          <w:color w:val="auto"/>
        </w:rPr>
      </w:pPr>
      <w:r>
        <w:rPr>
          <w:rFonts w:ascii="Arial" w:cs="Arial" w:eastAsia="Arial" w:hAnsi="Arial"/>
          <w:sz w:val="18"/>
          <w:szCs w:val="18"/>
          <w:b w:val="1"/>
          <w:bCs w:val="1"/>
          <w:color w:val="auto"/>
        </w:rPr>
        <w:t>REGARDING 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STATEMENTS</w:t>
      </w:r>
    </w:p>
    <w:p>
      <w:pPr>
        <w:spacing w:after="0" w:line="189" w:lineRule="exact"/>
        <w:rPr>
          <w:sz w:val="20"/>
          <w:szCs w:val="20"/>
          <w:color w:val="auto"/>
        </w:rPr>
      </w:pPr>
    </w:p>
    <w:p>
      <w:pPr>
        <w:ind w:right="19" w:firstLine="648"/>
        <w:spacing w:after="0" w:line="234" w:lineRule="auto"/>
        <w:rPr>
          <w:sz w:val="20"/>
          <w:szCs w:val="20"/>
          <w:color w:val="auto"/>
        </w:rPr>
      </w:pPr>
      <w:r>
        <w:rPr>
          <w:rFonts w:ascii="Arial" w:cs="Arial" w:eastAsia="Arial" w:hAnsi="Arial"/>
          <w:sz w:val="16"/>
          <w:szCs w:val="16"/>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 our:</w:t>
      </w:r>
    </w:p>
    <w:p>
      <w:pPr>
        <w:spacing w:after="0" w:line="11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expectations for increases or decreases in expenses;</w:t>
      </w:r>
    </w:p>
    <w:p>
      <w:pPr>
        <w:ind w:left="920" w:right="679" w:firstLine="29"/>
        <w:spacing w:after="0" w:line="203" w:lineRule="auto"/>
        <w:rPr>
          <w:sz w:val="20"/>
          <w:szCs w:val="20"/>
          <w:color w:val="auto"/>
        </w:rPr>
      </w:pPr>
      <w:r>
        <w:rPr>
          <w:rFonts w:ascii="Arial" w:cs="Arial" w:eastAsia="Arial" w:hAnsi="Arial"/>
          <w:sz w:val="18"/>
          <w:szCs w:val="18"/>
          <w:color w:val="auto"/>
        </w:rPr>
        <w:t>expectations for the clinical and preclinical development, manufacturing, regulatory approval, and commercialization of our pharmaceutical product candidates or any other products that we may acquire or in-license;</w:t>
      </w:r>
    </w:p>
    <w:p>
      <w:pPr>
        <w:spacing w:after="0" w:line="1" w:lineRule="exact"/>
        <w:rPr>
          <w:sz w:val="20"/>
          <w:szCs w:val="20"/>
          <w:color w:val="auto"/>
        </w:rPr>
      </w:pPr>
    </w:p>
    <w:p>
      <w:pPr>
        <w:ind w:left="920" w:right="999" w:firstLine="29"/>
        <w:spacing w:after="0" w:line="203" w:lineRule="auto"/>
        <w:rPr>
          <w:sz w:val="20"/>
          <w:szCs w:val="20"/>
          <w:color w:val="auto"/>
        </w:rPr>
      </w:pPr>
      <w:r>
        <w:rPr>
          <w:rFonts w:ascii="Arial" w:cs="Arial" w:eastAsia="Arial" w:hAnsi="Arial"/>
          <w:sz w:val="18"/>
          <w:szCs w:val="18"/>
          <w:color w:val="auto"/>
        </w:rPr>
        <w:t>estimates of the sufficiency of our existing capital resources combined with future anticipated cash flows to finance our operating requirements;</w:t>
      </w:r>
    </w:p>
    <w:p>
      <w:pPr>
        <w:spacing w:after="0" w:line="1" w:lineRule="exact"/>
        <w:rPr>
          <w:sz w:val="20"/>
          <w:szCs w:val="20"/>
          <w:color w:val="auto"/>
        </w:rPr>
      </w:pPr>
    </w:p>
    <w:p>
      <w:pPr>
        <w:ind w:left="920" w:right="1479" w:firstLine="29"/>
        <w:spacing w:after="0" w:line="203" w:lineRule="auto"/>
        <w:rPr>
          <w:sz w:val="20"/>
          <w:szCs w:val="20"/>
          <w:color w:val="auto"/>
        </w:rPr>
      </w:pPr>
      <w:r>
        <w:rPr>
          <w:rFonts w:ascii="Arial" w:cs="Arial" w:eastAsia="Arial" w:hAnsi="Arial"/>
          <w:sz w:val="18"/>
          <w:szCs w:val="18"/>
          <w:color w:val="auto"/>
        </w:rPr>
        <w:t>expectations for incurring capital expenditures to expand our research and development and manufacturing capabilities;</w:t>
      </w:r>
    </w:p>
    <w:p>
      <w:pPr>
        <w:spacing w:after="0" w:line="1" w:lineRule="exact"/>
        <w:rPr>
          <w:sz w:val="20"/>
          <w:szCs w:val="20"/>
          <w:color w:val="auto"/>
        </w:rPr>
      </w:pPr>
    </w:p>
    <w:p>
      <w:pPr>
        <w:ind w:left="940" w:right="1999"/>
        <w:spacing w:after="0" w:line="229" w:lineRule="auto"/>
        <w:rPr>
          <w:sz w:val="20"/>
          <w:szCs w:val="20"/>
          <w:color w:val="auto"/>
        </w:rPr>
      </w:pPr>
      <w:r>
        <w:rPr>
          <w:rFonts w:ascii="Arial" w:cs="Arial" w:eastAsia="Arial" w:hAnsi="Arial"/>
          <w:sz w:val="16"/>
          <w:szCs w:val="16"/>
          <w:color w:val="auto"/>
        </w:rPr>
        <w:t>expectations for generating revenue or becoming profitable on a sustained basis; expectations or ability to enter into marketing and other partnership agreements; expectations or ability to enter into product acquisition and in-licensing transactions;</w:t>
      </w:r>
    </w:p>
    <w:p>
      <w:pPr>
        <w:ind w:left="940"/>
        <w:spacing w:after="0" w:line="203" w:lineRule="auto"/>
        <w:rPr>
          <w:sz w:val="20"/>
          <w:szCs w:val="20"/>
          <w:color w:val="auto"/>
        </w:rPr>
      </w:pPr>
      <w:r>
        <w:rPr>
          <w:rFonts w:ascii="Arial" w:cs="Arial" w:eastAsia="Arial" w:hAnsi="Arial"/>
          <w:sz w:val="18"/>
          <w:szCs w:val="18"/>
          <w:color w:val="auto"/>
        </w:rPr>
        <w:t>expectations or ability to build our own commercial infrastructure to manufacture, market and sell our</w:t>
      </w:r>
    </w:p>
    <w:p>
      <w:pPr>
        <w:ind w:left="920"/>
        <w:spacing w:after="0" w:line="204" w:lineRule="auto"/>
        <w:rPr>
          <w:sz w:val="20"/>
          <w:szCs w:val="20"/>
          <w:color w:val="auto"/>
        </w:rPr>
      </w:pPr>
      <w:r>
        <w:rPr>
          <w:rFonts w:ascii="Arial" w:cs="Arial" w:eastAsia="Arial" w:hAnsi="Arial"/>
          <w:sz w:val="18"/>
          <w:szCs w:val="18"/>
          <w:color w:val="auto"/>
        </w:rPr>
        <w:t>product candidates;</w:t>
      </w:r>
    </w:p>
    <w:p>
      <w:pPr>
        <w:ind w:left="940"/>
        <w:spacing w:after="0" w:line="203" w:lineRule="auto"/>
        <w:rPr>
          <w:sz w:val="20"/>
          <w:szCs w:val="20"/>
          <w:color w:val="auto"/>
        </w:rPr>
      </w:pPr>
      <w:r>
        <w:rPr>
          <w:rFonts w:ascii="Arial" w:cs="Arial" w:eastAsia="Arial" w:hAnsi="Arial"/>
          <w:sz w:val="18"/>
          <w:szCs w:val="18"/>
          <w:color w:val="auto"/>
        </w:rPr>
        <w:t>expected losses;</w:t>
      </w:r>
    </w:p>
    <w:p>
      <w:pPr>
        <w:spacing w:after="0" w:line="1" w:lineRule="exact"/>
        <w:rPr>
          <w:sz w:val="20"/>
          <w:szCs w:val="20"/>
          <w:color w:val="auto"/>
        </w:rPr>
      </w:pPr>
    </w:p>
    <w:p>
      <w:pPr>
        <w:ind w:left="940" w:right="1719"/>
        <w:spacing w:after="0" w:line="203" w:lineRule="auto"/>
        <w:rPr>
          <w:sz w:val="20"/>
          <w:szCs w:val="20"/>
          <w:color w:val="auto"/>
        </w:rPr>
      </w:pPr>
      <w:r>
        <w:rPr>
          <w:rFonts w:ascii="Arial" w:cs="Arial" w:eastAsia="Arial" w:hAnsi="Arial"/>
          <w:sz w:val="18"/>
          <w:szCs w:val="18"/>
          <w:color w:val="auto"/>
        </w:rPr>
        <w:t>ability to obtain and maintain intellectual property protection for our product candidates; acceptance of our products by doctors, patients, or payors; stock price and its volatility;</w:t>
      </w:r>
    </w:p>
    <w:p>
      <w:pPr>
        <w:ind w:left="940"/>
        <w:spacing w:after="0" w:line="205" w:lineRule="auto"/>
        <w:rPr>
          <w:sz w:val="20"/>
          <w:szCs w:val="20"/>
          <w:color w:val="auto"/>
        </w:rPr>
      </w:pPr>
      <w:r>
        <w:rPr>
          <w:rFonts w:ascii="Arial" w:cs="Arial" w:eastAsia="Arial" w:hAnsi="Arial"/>
          <w:sz w:val="18"/>
          <w:szCs w:val="18"/>
          <w:color w:val="auto"/>
        </w:rPr>
        <w:t>ability to attract and retain key personnel;</w:t>
      </w:r>
    </w:p>
    <w:p>
      <w:pPr>
        <w:ind w:left="940"/>
        <w:spacing w:after="0" w:line="203" w:lineRule="auto"/>
        <w:rPr>
          <w:sz w:val="20"/>
          <w:szCs w:val="20"/>
          <w:color w:val="auto"/>
        </w:rPr>
      </w:pPr>
      <w:r>
        <w:rPr>
          <w:rFonts w:ascii="Arial" w:cs="Arial" w:eastAsia="Arial" w:hAnsi="Arial"/>
          <w:sz w:val="18"/>
          <w:szCs w:val="18"/>
          <w:color w:val="auto"/>
        </w:rPr>
        <w:t>the performance of third-party manufacturers;</w:t>
      </w:r>
    </w:p>
    <w:p>
      <w:pPr>
        <w:ind w:left="940"/>
        <w:spacing w:after="0" w:line="204" w:lineRule="auto"/>
        <w:rPr>
          <w:sz w:val="20"/>
          <w:szCs w:val="20"/>
          <w:color w:val="auto"/>
        </w:rPr>
      </w:pPr>
      <w:r>
        <w:rPr>
          <w:rFonts w:ascii="Arial" w:cs="Arial" w:eastAsia="Arial" w:hAnsi="Arial"/>
          <w:sz w:val="18"/>
          <w:szCs w:val="18"/>
          <w:color w:val="auto"/>
        </w:rPr>
        <w:t>expectations for future capital requirements; and</w:t>
      </w:r>
    </w:p>
    <w:p>
      <w:pPr>
        <w:ind w:left="940"/>
        <w:spacing w:after="0"/>
        <w:rPr>
          <w:sz w:val="20"/>
          <w:szCs w:val="20"/>
          <w:color w:val="auto"/>
        </w:rPr>
      </w:pPr>
      <w:r>
        <w:rPr>
          <w:rFonts w:ascii="Arial" w:cs="Arial" w:eastAsia="Arial" w:hAnsi="Arial"/>
          <w:sz w:val="18"/>
          <w:szCs w:val="18"/>
          <w:color w:val="auto"/>
        </w:rPr>
        <w:t>our ability to successfully implement our strategy.</w:t>
      </w:r>
    </w:p>
    <w:p>
      <w:pPr>
        <w:spacing w:after="0" w:line="128" w:lineRule="exact"/>
        <w:rPr>
          <w:sz w:val="20"/>
          <w:szCs w:val="20"/>
          <w:color w:val="auto"/>
        </w:rPr>
      </w:pPr>
    </w:p>
    <w:p>
      <w:pPr>
        <w:jc w:val="both"/>
        <w:ind w:right="199" w:firstLine="648"/>
        <w:spacing w:after="0" w:line="289" w:lineRule="auto"/>
        <w:rPr>
          <w:sz w:val="20"/>
          <w:szCs w:val="20"/>
          <w:color w:val="auto"/>
        </w:rPr>
      </w:pPr>
      <w:r>
        <w:rPr>
          <w:rFonts w:ascii="Arial" w:cs="Arial" w:eastAsia="Arial" w:hAnsi="Arial"/>
          <w:sz w:val="16"/>
          <w:szCs w:val="16"/>
          <w:color w:val="auto"/>
        </w:rPr>
        <w:t>The forward-looking statements contained in this report reflect our views and assumptions only as of the date that this report is signed. Except as required by law, we assume no responsibility for updating any forward-looking statements.</w:t>
      </w:r>
    </w:p>
    <w:p>
      <w:pPr>
        <w:spacing w:after="0" w:line="84" w:lineRule="exact"/>
        <w:rPr>
          <w:sz w:val="20"/>
          <w:szCs w:val="20"/>
          <w:color w:val="auto"/>
        </w:rPr>
      </w:pPr>
    </w:p>
    <w:p>
      <w:pPr>
        <w:jc w:val="both"/>
        <w:ind w:right="179" w:firstLine="648"/>
        <w:spacing w:after="0" w:line="224" w:lineRule="auto"/>
        <w:rPr>
          <w:sz w:val="20"/>
          <w:szCs w:val="20"/>
          <w:color w:val="auto"/>
        </w:rPr>
      </w:pPr>
      <w:r>
        <w:rPr>
          <w:rFonts w:ascii="Arial" w:cs="Arial" w:eastAsia="Arial" w:hAnsi="Arial"/>
          <w:sz w:val="18"/>
          <w:szCs w:val="18"/>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right"/>
              <w:ind w:right="112"/>
              <w:spacing w:after="0" w:line="129" w:lineRule="exact"/>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600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00" w:type="dxa"/>
            <w:vAlign w:val="bottom"/>
          </w:tcPr>
          <w:p>
            <w:pPr>
              <w:spacing w:after="0" w:line="176" w:lineRule="exact"/>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0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Cash</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20,351,443</w:t>
            </w:r>
          </w:p>
        </w:tc>
        <w:tc>
          <w:tcPr>
            <w:tcW w:w="2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34,021,123</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00" w:type="dxa"/>
            <w:vAlign w:val="bottom"/>
            <w:tcBorders>
              <w:bottom w:val="single" w:sz="8" w:color="CCEEFF"/>
            </w:tcBorders>
          </w:tcPr>
          <w:p>
            <w:pPr>
              <w:ind w:left="320"/>
              <w:spacing w:after="0" w:line="176" w:lineRule="exact"/>
              <w:rPr>
                <w:sz w:val="20"/>
                <w:szCs w:val="20"/>
                <w:color w:val="auto"/>
              </w:rPr>
            </w:pPr>
            <w:r>
              <w:rPr>
                <w:rFonts w:ascii="Arial" w:cs="Arial" w:eastAsia="Arial" w:hAnsi="Arial"/>
                <w:sz w:val="18"/>
                <w:szCs w:val="18"/>
                <w:color w:val="auto"/>
              </w:rPr>
              <w:t>Prepaid and other current assets</w:t>
            </w: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1,187,961</w:t>
            </w:r>
          </w:p>
        </w:tc>
        <w:tc>
          <w:tcPr>
            <w:tcW w:w="2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1,278,418</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0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21,539,404</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35,299,541</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000" w:type="dxa"/>
            <w:vAlign w:val="bottom"/>
          </w:tcPr>
          <w:p>
            <w:pPr>
              <w:spacing w:after="0" w:line="176" w:lineRule="exact"/>
              <w:rPr>
                <w:sz w:val="20"/>
                <w:szCs w:val="20"/>
                <w:color w:val="auto"/>
              </w:rPr>
            </w:pPr>
            <w:r>
              <w:rPr>
                <w:rFonts w:ascii="Arial" w:cs="Arial" w:eastAsia="Arial" w:hAnsi="Arial"/>
                <w:sz w:val="18"/>
                <w:szCs w:val="18"/>
                <w:color w:val="auto"/>
              </w:rPr>
              <w:t>Equipment, net</w:t>
            </w:r>
          </w:p>
        </w:tc>
        <w:tc>
          <w:tcPr>
            <w:tcW w:w="22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68,635</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8"/>
                <w:szCs w:val="18"/>
                <w:color w:val="auto"/>
              </w:rPr>
              <w:t>68,071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117,356</w:t>
            </w: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187,952</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0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65"/>
              <w:spacing w:after="0" w:line="169" w:lineRule="exact"/>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21,725,395</w:t>
            </w:r>
          </w:p>
        </w:tc>
        <w:tc>
          <w:tcPr>
            <w:tcW w:w="2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35,555,564</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0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00" w:type="dxa"/>
            <w:vAlign w:val="bottom"/>
          </w:tcPr>
          <w:p>
            <w:pPr>
              <w:spacing w:after="0" w:line="176" w:lineRule="exact"/>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0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3,175,178</w:t>
            </w:r>
          </w:p>
        </w:tc>
        <w:tc>
          <w:tcPr>
            <w:tcW w:w="2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3,435,456</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00" w:type="dxa"/>
            <w:vAlign w:val="bottom"/>
          </w:tcPr>
          <w:p>
            <w:pPr>
              <w:ind w:left="320"/>
              <w:spacing w:after="0" w:line="176" w:lineRule="exact"/>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2,953,631</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8"/>
                <w:szCs w:val="18"/>
                <w:color w:val="auto"/>
              </w:rPr>
              <w:t>2,679,534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0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Loan payable, current portion</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3,280,175</w:t>
            </w: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3,269,346</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00" w:type="dxa"/>
            <w:vAlign w:val="bottom"/>
            <w:tcBorders>
              <w:bottom w:val="single" w:sz="8" w:color="CCEEFF"/>
            </w:tcBorders>
          </w:tcPr>
          <w:p>
            <w:pPr>
              <w:ind w:left="320"/>
              <w:spacing w:after="0" w:line="176" w:lineRule="exact"/>
              <w:rPr>
                <w:sz w:val="20"/>
                <w:szCs w:val="20"/>
                <w:color w:val="auto"/>
              </w:rPr>
            </w:pPr>
            <w:r>
              <w:rPr>
                <w:rFonts w:ascii="Arial" w:cs="Arial" w:eastAsia="Arial" w:hAnsi="Arial"/>
                <w:sz w:val="18"/>
                <w:szCs w:val="18"/>
                <w:color w:val="auto"/>
              </w:rPr>
              <w:t>Warrant liability</w:t>
            </w: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117,000</w:t>
            </w:r>
          </w:p>
        </w:tc>
        <w:tc>
          <w:tcPr>
            <w:tcW w:w="2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2,791,000</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0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9,525,984</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12,175,336</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00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Loan payable, long-term</w:t>
            </w: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5,190,512</w:t>
            </w:r>
          </w:p>
        </w:tc>
        <w:tc>
          <w:tcPr>
            <w:tcW w:w="2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6,663,005</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0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14,716,496</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18,838,341</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000" w:type="dxa"/>
            <w:vAlign w:val="bottom"/>
          </w:tcPr>
          <w:p>
            <w:pPr>
              <w:spacing w:after="0" w:line="170" w:lineRule="exact"/>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0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Preferred stock, $0.0001 par value per share (10,000,000 shares authorized,</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0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none issued and outstanding at June 30, 2018 and December 31, 2017,</w:t>
            </w:r>
          </w:p>
        </w:tc>
        <w:tc>
          <w:tcPr>
            <w:tcW w:w="22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respectively)</w:t>
            </w:r>
          </w:p>
        </w:tc>
        <w:tc>
          <w:tcPr>
            <w:tcW w:w="220" w:type="dxa"/>
            <w:vAlign w:val="bottom"/>
            <w:shd w:val="clear" w:color="auto" w:fill="CCEEFF"/>
          </w:tcPr>
          <w:p>
            <w:pPr>
              <w:spacing w:after="0"/>
              <w:rPr>
                <w:sz w:val="17"/>
                <w:szCs w:val="17"/>
                <w:color w:val="auto"/>
              </w:rPr>
            </w:pPr>
          </w:p>
        </w:tc>
        <w:tc>
          <w:tcPr>
            <w:tcW w:w="134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6000" w:type="dxa"/>
            <w:vAlign w:val="bottom"/>
          </w:tcPr>
          <w:p>
            <w:pPr>
              <w:spacing w:after="0" w:line="149" w:lineRule="exact"/>
              <w:rPr>
                <w:sz w:val="20"/>
                <w:szCs w:val="20"/>
                <w:color w:val="auto"/>
              </w:rPr>
            </w:pPr>
            <w:r>
              <w:rPr>
                <w:rFonts w:ascii="Arial" w:cs="Arial" w:eastAsia="Arial" w:hAnsi="Arial"/>
                <w:sz w:val="17"/>
                <w:szCs w:val="17"/>
                <w:color w:val="auto"/>
              </w:rPr>
              <w:t>Common stock, $0.0001 par value per share (150,000,000 shares authorized,</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000" w:type="dxa"/>
            <w:vAlign w:val="bottom"/>
          </w:tcPr>
          <w:p>
            <w:pPr>
              <w:spacing w:after="0" w:line="176" w:lineRule="exact"/>
              <w:rPr>
                <w:sz w:val="20"/>
                <w:szCs w:val="20"/>
                <w:color w:val="auto"/>
              </w:rPr>
            </w:pPr>
            <w:r>
              <w:rPr>
                <w:rFonts w:ascii="Arial" w:cs="Arial" w:eastAsia="Arial" w:hAnsi="Arial"/>
                <w:sz w:val="18"/>
                <w:szCs w:val="18"/>
                <w:color w:val="auto"/>
                <w:w w:val="92"/>
              </w:rPr>
              <w:t>26,252,562 and 25,492,992 shares issued and outstanding at June 30, 2018 and</w:t>
            </w:r>
          </w:p>
        </w:tc>
        <w:tc>
          <w:tcPr>
            <w:tcW w:w="2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2,625</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2,549</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December 31, 2017, respectively)</w:t>
            </w:r>
          </w:p>
        </w:tc>
        <w:tc>
          <w:tcPr>
            <w:tcW w:w="2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0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96,677,592</w:t>
            </w: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93,299,517</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00" w:type="dxa"/>
            <w:vAlign w:val="bottom"/>
          </w:tcPr>
          <w:p>
            <w:pPr>
              <w:spacing w:after="0" w:line="176" w:lineRule="exact"/>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5"/>
                <w:szCs w:val="15"/>
                <w:color w:val="auto"/>
              </w:rPr>
            </w:pPr>
          </w:p>
        </w:tc>
        <w:tc>
          <w:tcPr>
            <w:tcW w:w="1340" w:type="dxa"/>
            <w:vAlign w:val="bottom"/>
            <w:gridSpan w:val="2"/>
          </w:tcPr>
          <w:p>
            <w:pPr>
              <w:jc w:val="right"/>
              <w:ind w:right="260"/>
              <w:spacing w:after="0" w:line="176" w:lineRule="exact"/>
              <w:rPr>
                <w:sz w:val="20"/>
                <w:szCs w:val="20"/>
                <w:color w:val="auto"/>
              </w:rPr>
            </w:pPr>
            <w:r>
              <w:rPr>
                <w:rFonts w:ascii="Arial" w:cs="Arial" w:eastAsia="Arial" w:hAnsi="Arial"/>
                <w:sz w:val="18"/>
                <w:szCs w:val="18"/>
                <w:color w:val="auto"/>
              </w:rPr>
              <w:t>(89,671,318)</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right"/>
              <w:ind w:right="180"/>
              <w:spacing w:after="0" w:line="176" w:lineRule="exact"/>
              <w:rPr>
                <w:sz w:val="20"/>
                <w:szCs w:val="20"/>
                <w:color w:val="auto"/>
              </w:rPr>
            </w:pPr>
            <w:r>
              <w:rPr>
                <w:rFonts w:ascii="Arial" w:cs="Arial" w:eastAsia="Arial" w:hAnsi="Arial"/>
                <w:sz w:val="18"/>
                <w:szCs w:val="18"/>
                <w:color w:val="auto"/>
              </w:rPr>
              <w:t>(76,584,843)</w:t>
            </w:r>
          </w:p>
        </w:tc>
        <w:tc>
          <w:tcPr>
            <w:tcW w:w="0" w:type="dxa"/>
            <w:vAlign w:val="bottom"/>
          </w:tcPr>
          <w:p>
            <w:pPr>
              <w:spacing w:after="0"/>
              <w:rPr>
                <w:sz w:val="1"/>
                <w:szCs w:val="1"/>
                <w:color w:val="auto"/>
              </w:rPr>
            </w:pPr>
          </w:p>
        </w:tc>
      </w:tr>
      <w:tr>
        <w:trPr>
          <w:trHeight w:val="169"/>
        </w:trPr>
        <w:tc>
          <w:tcPr>
            <w:tcW w:w="600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10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7,008,899</w:t>
            </w:r>
          </w:p>
        </w:tc>
        <w:tc>
          <w:tcPr>
            <w:tcW w:w="2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16,717,223</w:t>
            </w:r>
          </w:p>
        </w:tc>
        <w:tc>
          <w:tcPr>
            <w:tcW w:w="1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000" w:type="dxa"/>
            <w:vAlign w:val="bottom"/>
          </w:tcPr>
          <w:p>
            <w:pPr>
              <w:spacing w:after="0" w:line="170" w:lineRule="exact"/>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tcPr>
          <w:p>
            <w:pPr>
              <w:jc w:val="right"/>
              <w:ind w:right="65"/>
              <w:spacing w:after="0" w:line="169" w:lineRule="exact"/>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21,725,395</w:t>
            </w:r>
          </w:p>
        </w:tc>
        <w:tc>
          <w:tcPr>
            <w:tcW w:w="2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35,555,564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Operations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2"/>
        </w:trPr>
        <w:tc>
          <w:tcPr>
            <w:tcW w:w="4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14"/>
              <w:spacing w:after="0" w:line="129"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12"/>
              <w:spacing w:after="0" w:line="129"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354"/>
              <w:spacing w:after="0" w:line="129"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52"/>
              <w:spacing w:after="0" w:line="129"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40" w:type="dxa"/>
            <w:vAlign w:val="bottom"/>
          </w:tcPr>
          <w:p>
            <w:pPr>
              <w:ind w:left="220"/>
              <w:spacing w:after="0" w:line="176" w:lineRule="exact"/>
              <w:rPr>
                <w:sz w:val="20"/>
                <w:szCs w:val="20"/>
                <w:color w:val="auto"/>
              </w:rPr>
            </w:pPr>
            <w:r>
              <w:rPr>
                <w:rFonts w:ascii="Arial" w:cs="Arial" w:eastAsia="Arial" w:hAnsi="Arial"/>
                <w:sz w:val="18"/>
                <w:szCs w:val="18"/>
                <w:color w:val="auto"/>
              </w:rPr>
              <w:t>Research and development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5,550,532</w:t>
            </w:r>
          </w:p>
        </w:tc>
        <w:tc>
          <w:tcPr>
            <w:tcW w:w="60" w:type="dxa"/>
            <w:vAlign w:val="bottom"/>
          </w:tcPr>
          <w:p>
            <w:pPr>
              <w:spacing w:after="0"/>
              <w:rPr>
                <w:sz w:val="15"/>
                <w:szCs w:val="15"/>
                <w:color w:val="auto"/>
              </w:rPr>
            </w:pPr>
          </w:p>
        </w:tc>
        <w:tc>
          <w:tcPr>
            <w:tcW w:w="260" w:type="dxa"/>
            <w:vAlign w:val="bottom"/>
            <w:gridSpan w:val="2"/>
          </w:tcPr>
          <w:p>
            <w:pPr>
              <w:jc w:val="right"/>
              <w:ind w:right="45"/>
              <w:spacing w:after="0" w:line="17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5,007,361</w:t>
            </w:r>
          </w:p>
        </w:tc>
        <w:tc>
          <w:tcPr>
            <w:tcW w:w="60" w:type="dxa"/>
            <w:vAlign w:val="bottom"/>
          </w:tcPr>
          <w:p>
            <w:pPr>
              <w:spacing w:after="0"/>
              <w:rPr>
                <w:sz w:val="15"/>
                <w:szCs w:val="15"/>
                <w:color w:val="auto"/>
              </w:rPr>
            </w:pPr>
          </w:p>
        </w:tc>
        <w:tc>
          <w:tcPr>
            <w:tcW w:w="220" w:type="dxa"/>
            <w:vAlign w:val="bottom"/>
            <w:gridSpan w:val="2"/>
          </w:tcPr>
          <w:p>
            <w:pPr>
              <w:jc w:val="right"/>
              <w:ind w:right="5"/>
              <w:spacing w:after="0" w:line="17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10,303,043</w:t>
            </w:r>
          </w:p>
        </w:tc>
        <w:tc>
          <w:tcPr>
            <w:tcW w:w="100" w:type="dxa"/>
            <w:vAlign w:val="bottom"/>
          </w:tcPr>
          <w:p>
            <w:pPr>
              <w:spacing w:after="0"/>
              <w:rPr>
                <w:sz w:val="15"/>
                <w:szCs w:val="15"/>
                <w:color w:val="auto"/>
              </w:rPr>
            </w:pPr>
          </w:p>
        </w:tc>
        <w:tc>
          <w:tcPr>
            <w:tcW w:w="220" w:type="dxa"/>
            <w:vAlign w:val="bottom"/>
          </w:tcPr>
          <w:p>
            <w:pPr>
              <w:jc w:val="right"/>
              <w:ind w:right="30"/>
              <w:spacing w:after="0" w:line="176"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w w:val="97"/>
              </w:rPr>
              <w:t>10,992,580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2,439,061</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1,743,377</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4,849,760</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3,430,191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14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7,989,593</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6,750,738</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15,152,803</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7"/>
              </w:rPr>
              <w:t>14,422,771</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(7,989,593)</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3"/>
              </w:rPr>
              <w:t>(6,750,738)</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(15,152,803)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0"/>
              </w:rPr>
              <w:t>(14,422,771)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140" w:type="dxa"/>
            <w:vAlign w:val="bottom"/>
          </w:tcPr>
          <w:p>
            <w:pPr>
              <w:spacing w:after="0" w:line="176" w:lineRule="exact"/>
              <w:rPr>
                <w:sz w:val="20"/>
                <w:szCs w:val="20"/>
                <w:color w:val="auto"/>
              </w:rPr>
            </w:pPr>
            <w:r>
              <w:rPr>
                <w:rFonts w:ascii="Arial" w:cs="Arial" w:eastAsia="Arial" w:hAnsi="Arial"/>
                <w:sz w:val="18"/>
                <w:szCs w:val="18"/>
                <w:color w:val="auto"/>
                <w:w w:val="99"/>
              </w:rPr>
              <w:t>Interest and amortization of debt discount (expense)</w:t>
            </w:r>
          </w:p>
        </w:tc>
        <w:tc>
          <w:tcPr>
            <w:tcW w:w="160" w:type="dxa"/>
            <w:vAlign w:val="bottom"/>
          </w:tcPr>
          <w:p>
            <w:pPr>
              <w:spacing w:after="0"/>
              <w:rPr>
                <w:sz w:val="15"/>
                <w:szCs w:val="15"/>
                <w:color w:val="auto"/>
              </w:rPr>
            </w:pPr>
          </w:p>
        </w:tc>
        <w:tc>
          <w:tcPr>
            <w:tcW w:w="100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(292,323)</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(333,578)</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(607,672)</w:t>
            </w:r>
          </w:p>
        </w:tc>
        <w:tc>
          <w:tcPr>
            <w:tcW w:w="220" w:type="dxa"/>
            <w:vAlign w:val="bottom"/>
          </w:tcPr>
          <w:p>
            <w:pPr>
              <w:spacing w:after="0"/>
              <w:rPr>
                <w:sz w:val="15"/>
                <w:szCs w:val="15"/>
                <w:color w:val="auto"/>
              </w:rPr>
            </w:pPr>
          </w:p>
        </w:tc>
        <w:tc>
          <w:tcPr>
            <w:tcW w:w="102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auto"/>
              </w:rPr>
              <w:t>(656,584)</w:t>
            </w:r>
          </w:p>
        </w:tc>
        <w:tc>
          <w:tcPr>
            <w:tcW w:w="0" w:type="dxa"/>
            <w:vAlign w:val="bottom"/>
          </w:tcPr>
          <w:p>
            <w:pPr>
              <w:spacing w:after="0"/>
              <w:rPr>
                <w:sz w:val="1"/>
                <w:szCs w:val="1"/>
                <w:color w:val="auto"/>
              </w:rPr>
            </w:pPr>
          </w:p>
        </w:tc>
      </w:tr>
      <w:tr>
        <w:trPr>
          <w:trHeight w:val="176"/>
        </w:trPr>
        <w:tc>
          <w:tcPr>
            <w:tcW w:w="4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Change in fair value of warrant liability</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2,674,000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414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bottom w:val="single" w:sz="8" w:color="auto"/>
            </w:tcBorders>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9"/>
              </w:rPr>
              <w:t>(8,280,916)</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3"/>
              </w:rPr>
              <w:t>(7,084,316)</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5"/>
              </w:rPr>
              <w:t>(13,086,475)</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30"/>
              <w:spacing w:after="0" w:line="170"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0"/>
              </w:rPr>
              <w:t>(15,079,355)</w:t>
            </w: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Net loss per common share, basic and diluted</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(0.32)</w:t>
            </w: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(0.30)</w:t>
            </w: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(0.70)</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4140" w:type="dxa"/>
            <w:vAlign w:val="bottom"/>
          </w:tcPr>
          <w:p>
            <w:pPr>
              <w:spacing w:after="0" w:line="122" w:lineRule="exact"/>
              <w:rPr>
                <w:sz w:val="20"/>
                <w:szCs w:val="20"/>
                <w:color w:val="auto"/>
              </w:rPr>
            </w:pPr>
            <w:r>
              <w:rPr>
                <w:rFonts w:ascii="Arial" w:cs="Arial" w:eastAsia="Arial" w:hAnsi="Arial"/>
                <w:sz w:val="14"/>
                <w:szCs w:val="14"/>
                <w:color w:val="auto"/>
              </w:rPr>
              <w:t>Weighted average common shares outstanding, basic</w:t>
            </w:r>
          </w:p>
        </w:tc>
        <w:tc>
          <w:tcPr>
            <w:tcW w:w="16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w w:val="95"/>
              </w:rPr>
              <w:t>25,791,177</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w w:val="90"/>
              </w:rPr>
              <w:t>23,595,702</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25,646,985</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w w:val="97"/>
              </w:rPr>
              <w:t>21,578,011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4140" w:type="dxa"/>
            <w:vAlign w:val="bottom"/>
          </w:tcPr>
          <w:p>
            <w:pPr>
              <w:spacing w:after="0" w:line="189" w:lineRule="exact"/>
              <w:rPr>
                <w:sz w:val="20"/>
                <w:szCs w:val="20"/>
                <w:color w:val="auto"/>
              </w:rPr>
            </w:pPr>
            <w:r>
              <w:rPr>
                <w:rFonts w:ascii="Arial" w:cs="Arial" w:eastAsia="Arial" w:hAnsi="Arial"/>
                <w:sz w:val="18"/>
                <w:szCs w:val="18"/>
                <w:color w:val="auto"/>
              </w:rPr>
              <w:t>and diluted</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Cash Flows</w:t>
      </w:r>
    </w:p>
    <w:p>
      <w:pPr>
        <w:jc w:val="center"/>
        <w:spacing w:after="0" w:line="210" w:lineRule="auto"/>
        <w:rPr>
          <w:sz w:val="20"/>
          <w:szCs w:val="20"/>
          <w:color w:val="auto"/>
        </w:rPr>
      </w:pPr>
      <w:r>
        <w:rPr>
          <w:rFonts w:ascii="Arial" w:cs="Arial" w:eastAsia="Arial" w:hAnsi="Arial"/>
          <w:sz w:val="18"/>
          <w:szCs w:val="18"/>
          <w:b w:val="1"/>
          <w:bCs w:val="1"/>
          <w:color w:val="auto"/>
        </w:rPr>
        <w:t>(Unaudited)</w:t>
      </w:r>
    </w:p>
    <w:tbl>
      <w:tblPr>
        <w:tblLayout w:type="fixed"/>
        <w:tblInd w:w="0" w:type="dxa"/>
        <w:tblCellMar>
          <w:top w:w="0" w:type="dxa"/>
          <w:left w:w="0" w:type="dxa"/>
          <w:bottom w:w="0" w:type="dxa"/>
          <w:right w:w="0" w:type="dxa"/>
        </w:tblCellMar>
      </w:tblPr>
      <w:tr>
        <w:trPr>
          <w:trHeight w:val="155"/>
        </w:trPr>
        <w:tc>
          <w:tcPr>
            <w:tcW w:w="5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60" w:type="dxa"/>
            <w:vAlign w:val="bottom"/>
            <w:gridSpan w:val="5"/>
          </w:tcPr>
          <w:p>
            <w:pPr>
              <w:ind w:left="480"/>
              <w:spacing w:after="0" w:line="155" w:lineRule="exact"/>
              <w:rPr>
                <w:sz w:val="20"/>
                <w:szCs w:val="20"/>
                <w:color w:val="auto"/>
              </w:rPr>
            </w:pPr>
            <w:r>
              <w:rPr>
                <w:rFonts w:ascii="Arial" w:cs="Arial" w:eastAsia="Arial" w:hAnsi="Arial"/>
                <w:sz w:val="14"/>
                <w:szCs w:val="14"/>
                <w:b w:val="1"/>
                <w:bCs w:val="1"/>
                <w:color w:val="auto"/>
              </w:rPr>
              <w:t>Six months ended June 30,</w:t>
            </w:r>
          </w:p>
        </w:tc>
      </w:tr>
      <w:tr>
        <w:trPr>
          <w:trHeight w:val="129"/>
        </w:trPr>
        <w:tc>
          <w:tcPr>
            <w:tcW w:w="5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jc w:val="right"/>
              <w:ind w:right="540"/>
              <w:spacing w:after="0" w:line="129"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1220" w:type="dxa"/>
            <w:vAlign w:val="bottom"/>
            <w:tcBorders>
              <w:top w:val="single" w:sz="8" w:color="auto"/>
              <w:bottom w:val="single" w:sz="8" w:color="auto"/>
            </w:tcBorders>
          </w:tcPr>
          <w:p>
            <w:pPr>
              <w:jc w:val="right"/>
              <w:ind w:right="559"/>
              <w:spacing w:after="0" w:line="129"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1"/>
                <w:szCs w:val="11"/>
                <w:color w:val="auto"/>
              </w:rPr>
            </w:pPr>
          </w:p>
        </w:tc>
      </w:tr>
      <w:tr>
        <w:trPr>
          <w:trHeight w:val="156"/>
        </w:trPr>
        <w:tc>
          <w:tcPr>
            <w:tcW w:w="5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5180" w:type="dxa"/>
            <w:vAlign w:val="bottom"/>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Cash flows from operating activities</w:t>
            </w: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2"/>
        </w:trPr>
        <w:tc>
          <w:tcPr>
            <w:tcW w:w="5180" w:type="dxa"/>
            <w:vAlign w:val="bottom"/>
          </w:tcPr>
          <w:p>
            <w:pPr>
              <w:spacing w:after="0" w:line="162" w:lineRule="exact"/>
              <w:rPr>
                <w:sz w:val="20"/>
                <w:szCs w:val="20"/>
                <w:color w:val="auto"/>
              </w:rPr>
            </w:pPr>
            <w:r>
              <w:rPr>
                <w:rFonts w:ascii="Arial" w:cs="Arial" w:eastAsia="Arial" w:hAnsi="Arial"/>
                <w:sz w:val="16"/>
                <w:szCs w:val="16"/>
                <w:color w:val="auto"/>
              </w:rPr>
              <w:t>Net loss</w:t>
            </w:r>
          </w:p>
        </w:tc>
        <w:tc>
          <w:tcPr>
            <w:tcW w:w="820" w:type="dxa"/>
            <w:vAlign w:val="bottom"/>
            <w:gridSpan w:val="2"/>
          </w:tcPr>
          <w:p>
            <w:pPr>
              <w:jc w:val="right"/>
              <w:ind w:right="204"/>
              <w:spacing w:after="0" w:line="162" w:lineRule="exact"/>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60"/>
              <w:spacing w:after="0" w:line="162" w:lineRule="exact"/>
              <w:rPr>
                <w:sz w:val="20"/>
                <w:szCs w:val="20"/>
                <w:color w:val="auto"/>
              </w:rPr>
            </w:pPr>
            <w:r>
              <w:rPr>
                <w:rFonts w:ascii="Arial" w:cs="Arial" w:eastAsia="Arial" w:hAnsi="Arial"/>
                <w:sz w:val="16"/>
                <w:szCs w:val="16"/>
                <w:color w:val="auto"/>
              </w:rPr>
              <w:t>(13,086,475)</w:t>
            </w:r>
          </w:p>
        </w:tc>
        <w:tc>
          <w:tcPr>
            <w:tcW w:w="360" w:type="dxa"/>
            <w:vAlign w:val="bottom"/>
          </w:tcPr>
          <w:p>
            <w:pPr>
              <w:jc w:val="right"/>
              <w:ind w:right="204"/>
              <w:spacing w:after="0" w:line="162" w:lineRule="exact"/>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(15,079,355)</w:t>
            </w:r>
          </w:p>
        </w:tc>
      </w:tr>
      <w:tr>
        <w:trPr>
          <w:trHeight w:val="162"/>
        </w:trPr>
        <w:tc>
          <w:tcPr>
            <w:tcW w:w="51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Adjustments to reconcile net loss to net cash used in operating activities:</w:t>
            </w: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2"/>
        </w:trPr>
        <w:tc>
          <w:tcPr>
            <w:tcW w:w="5180" w:type="dxa"/>
            <w:vAlign w:val="bottom"/>
          </w:tcPr>
          <w:p>
            <w:pPr>
              <w:spacing w:after="0" w:line="162" w:lineRule="exact"/>
              <w:rPr>
                <w:sz w:val="20"/>
                <w:szCs w:val="20"/>
                <w:color w:val="auto"/>
              </w:rPr>
            </w:pPr>
            <w:r>
              <w:rPr>
                <w:rFonts w:ascii="Arial" w:cs="Arial" w:eastAsia="Arial" w:hAnsi="Arial"/>
                <w:sz w:val="16"/>
                <w:szCs w:val="16"/>
                <w:color w:val="auto"/>
              </w:rPr>
              <w:t>Stock-based compensation expense</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6"/>
                <w:szCs w:val="16"/>
                <w:color w:val="auto"/>
              </w:rPr>
              <w:t>1,009,229</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6"/>
                <w:szCs w:val="16"/>
                <w:color w:val="auto"/>
              </w:rPr>
              <w:t>1,147,246</w:t>
            </w:r>
          </w:p>
        </w:tc>
        <w:tc>
          <w:tcPr>
            <w:tcW w:w="40" w:type="dxa"/>
            <w:vAlign w:val="bottom"/>
          </w:tcPr>
          <w:p>
            <w:pPr>
              <w:spacing w:after="0"/>
              <w:rPr>
                <w:sz w:val="14"/>
                <w:szCs w:val="14"/>
                <w:color w:val="auto"/>
              </w:rPr>
            </w:pPr>
          </w:p>
        </w:tc>
      </w:tr>
      <w:tr>
        <w:trPr>
          <w:trHeight w:val="162"/>
        </w:trPr>
        <w:tc>
          <w:tcPr>
            <w:tcW w:w="51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Amortization of debt discount</w:t>
            </w: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205,004</w:t>
            </w: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233,251</w:t>
            </w:r>
          </w:p>
        </w:tc>
        <w:tc>
          <w:tcPr>
            <w:tcW w:w="40" w:type="dxa"/>
            <w:vAlign w:val="bottom"/>
            <w:shd w:val="clear" w:color="auto" w:fill="CCEEFF"/>
          </w:tcPr>
          <w:p>
            <w:pPr>
              <w:spacing w:after="0"/>
              <w:rPr>
                <w:sz w:val="14"/>
                <w:szCs w:val="14"/>
                <w:color w:val="auto"/>
              </w:rPr>
            </w:pPr>
          </w:p>
        </w:tc>
      </w:tr>
      <w:tr>
        <w:trPr>
          <w:trHeight w:val="162"/>
        </w:trPr>
        <w:tc>
          <w:tcPr>
            <w:tcW w:w="5180" w:type="dxa"/>
            <w:vAlign w:val="bottom"/>
          </w:tcPr>
          <w:p>
            <w:pPr>
              <w:spacing w:after="0" w:line="162" w:lineRule="exact"/>
              <w:rPr>
                <w:sz w:val="20"/>
                <w:szCs w:val="20"/>
                <w:color w:val="auto"/>
              </w:rPr>
            </w:pPr>
            <w:r>
              <w:rPr>
                <w:rFonts w:ascii="Arial" w:cs="Arial" w:eastAsia="Arial" w:hAnsi="Arial"/>
                <w:sz w:val="16"/>
                <w:szCs w:val="16"/>
                <w:color w:val="auto"/>
              </w:rPr>
              <w:t>Change in fair value of warrants</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gridSpan w:val="2"/>
          </w:tcPr>
          <w:p>
            <w:pPr>
              <w:jc w:val="right"/>
              <w:ind w:right="260"/>
              <w:spacing w:after="0" w:line="162" w:lineRule="exact"/>
              <w:rPr>
                <w:sz w:val="20"/>
                <w:szCs w:val="20"/>
                <w:color w:val="auto"/>
              </w:rPr>
            </w:pPr>
            <w:r>
              <w:rPr>
                <w:rFonts w:ascii="Arial" w:cs="Arial" w:eastAsia="Arial" w:hAnsi="Arial"/>
                <w:sz w:val="16"/>
                <w:szCs w:val="16"/>
                <w:color w:val="auto"/>
              </w:rPr>
              <w:t>(2,674,000)</w:t>
            </w:r>
          </w:p>
        </w:tc>
        <w:tc>
          <w:tcPr>
            <w:tcW w:w="360" w:type="dxa"/>
            <w:vAlign w:val="bottom"/>
          </w:tcPr>
          <w:p>
            <w:pPr>
              <w:spacing w:after="0"/>
              <w:rPr>
                <w:sz w:val="14"/>
                <w:szCs w:val="14"/>
                <w:color w:val="auto"/>
              </w:rPr>
            </w:pPr>
          </w:p>
        </w:tc>
        <w:tc>
          <w:tcPr>
            <w:tcW w:w="126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r>
      <w:tr>
        <w:trPr>
          <w:trHeight w:val="162"/>
        </w:trPr>
        <w:tc>
          <w:tcPr>
            <w:tcW w:w="51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Depreciation</w:t>
            </w: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23,651</w:t>
            </w: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20,500</w:t>
            </w:r>
          </w:p>
        </w:tc>
        <w:tc>
          <w:tcPr>
            <w:tcW w:w="40" w:type="dxa"/>
            <w:vAlign w:val="bottom"/>
            <w:shd w:val="clear" w:color="auto" w:fill="CCEEFF"/>
          </w:tcPr>
          <w:p>
            <w:pPr>
              <w:spacing w:after="0"/>
              <w:rPr>
                <w:sz w:val="14"/>
                <w:szCs w:val="14"/>
                <w:color w:val="auto"/>
              </w:rPr>
            </w:pPr>
          </w:p>
        </w:tc>
      </w:tr>
      <w:tr>
        <w:trPr>
          <w:trHeight w:val="162"/>
        </w:trPr>
        <w:tc>
          <w:tcPr>
            <w:tcW w:w="5180" w:type="dxa"/>
            <w:vAlign w:val="bottom"/>
          </w:tcPr>
          <w:p>
            <w:pPr>
              <w:spacing w:after="0" w:line="162" w:lineRule="exact"/>
              <w:rPr>
                <w:sz w:val="20"/>
                <w:szCs w:val="20"/>
                <w:color w:val="auto"/>
              </w:rPr>
            </w:pPr>
            <w:r>
              <w:rPr>
                <w:rFonts w:ascii="Arial" w:cs="Arial" w:eastAsia="Arial" w:hAnsi="Arial"/>
                <w:sz w:val="16"/>
                <w:szCs w:val="16"/>
                <w:color w:val="auto"/>
              </w:rPr>
              <w:t>Changes in operating assets and liabilities:</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18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Prepaid expenses and other current assets</w:t>
            </w: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90,457</w:t>
            </w: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537,963</w:t>
            </w:r>
          </w:p>
        </w:tc>
        <w:tc>
          <w:tcPr>
            <w:tcW w:w="40" w:type="dxa"/>
            <w:vAlign w:val="bottom"/>
            <w:shd w:val="clear" w:color="auto" w:fill="CCEEFF"/>
          </w:tcPr>
          <w:p>
            <w:pPr>
              <w:spacing w:after="0"/>
              <w:rPr>
                <w:sz w:val="14"/>
                <w:szCs w:val="14"/>
                <w:color w:val="auto"/>
              </w:rPr>
            </w:pPr>
          </w:p>
        </w:tc>
      </w:tr>
      <w:tr>
        <w:trPr>
          <w:trHeight w:val="162"/>
        </w:trPr>
        <w:tc>
          <w:tcPr>
            <w:tcW w:w="5180" w:type="dxa"/>
            <w:vAlign w:val="bottom"/>
          </w:tcPr>
          <w:p>
            <w:pPr>
              <w:ind w:left="220"/>
              <w:spacing w:after="0" w:line="162" w:lineRule="exact"/>
              <w:rPr>
                <w:sz w:val="20"/>
                <w:szCs w:val="20"/>
                <w:color w:val="auto"/>
              </w:rPr>
            </w:pPr>
            <w:r>
              <w:rPr>
                <w:rFonts w:ascii="Arial" w:cs="Arial" w:eastAsia="Arial" w:hAnsi="Arial"/>
                <w:sz w:val="16"/>
                <w:szCs w:val="16"/>
                <w:color w:val="auto"/>
              </w:rPr>
              <w:t>Other assets</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6"/>
                <w:szCs w:val="16"/>
                <w:color w:val="auto"/>
              </w:rPr>
              <w:t>70,596</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(6,470)</w:t>
            </w:r>
          </w:p>
        </w:tc>
      </w:tr>
      <w:tr>
        <w:trPr>
          <w:trHeight w:val="162"/>
        </w:trPr>
        <w:tc>
          <w:tcPr>
            <w:tcW w:w="518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Accounts payable</w:t>
            </w: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6"/>
                <w:szCs w:val="16"/>
                <w:color w:val="auto"/>
              </w:rPr>
              <w:t>(260,278)</w:t>
            </w:r>
          </w:p>
        </w:tc>
        <w:tc>
          <w:tcPr>
            <w:tcW w:w="3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(42,528)</w:t>
            </w:r>
          </w:p>
        </w:tc>
      </w:tr>
      <w:tr>
        <w:trPr>
          <w:trHeight w:val="162"/>
        </w:trPr>
        <w:tc>
          <w:tcPr>
            <w:tcW w:w="5180" w:type="dxa"/>
            <w:vAlign w:val="bottom"/>
          </w:tcPr>
          <w:p>
            <w:pPr>
              <w:ind w:left="220"/>
              <w:spacing w:after="0" w:line="162" w:lineRule="exact"/>
              <w:rPr>
                <w:sz w:val="20"/>
                <w:szCs w:val="20"/>
                <w:color w:val="auto"/>
              </w:rPr>
            </w:pPr>
            <w:r>
              <w:rPr>
                <w:rFonts w:ascii="Arial" w:cs="Arial" w:eastAsia="Arial" w:hAnsi="Arial"/>
                <w:sz w:val="16"/>
                <w:szCs w:val="16"/>
                <w:color w:val="auto"/>
              </w:rPr>
              <w:t>Accrued expenses and other current liabilities</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6"/>
                <w:szCs w:val="16"/>
                <w:color w:val="auto"/>
              </w:rPr>
              <w:t>274,097</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(543,627)</w:t>
            </w:r>
          </w:p>
        </w:tc>
      </w:tr>
      <w:tr>
        <w:trPr>
          <w:trHeight w:val="156"/>
        </w:trPr>
        <w:tc>
          <w:tcPr>
            <w:tcW w:w="518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Net cash used in operating activities</w:t>
            </w:r>
          </w:p>
        </w:tc>
        <w:tc>
          <w:tcPr>
            <w:tcW w:w="46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spacing w:after="0"/>
              <w:rPr>
                <w:sz w:val="13"/>
                <w:szCs w:val="13"/>
                <w:color w:val="auto"/>
              </w:rPr>
            </w:pPr>
          </w:p>
        </w:tc>
        <w:tc>
          <w:tcPr>
            <w:tcW w:w="11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(14,347,719)</w:t>
            </w:r>
          </w:p>
        </w:tc>
        <w:tc>
          <w:tcPr>
            <w:tcW w:w="26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spacing w:after="0"/>
              <w:rPr>
                <w:sz w:val="13"/>
                <w:szCs w:val="13"/>
                <w:color w:val="auto"/>
              </w:rPr>
            </w:pPr>
          </w:p>
        </w:tc>
        <w:tc>
          <w:tcPr>
            <w:tcW w:w="12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(13,733,020)</w:t>
            </w:r>
          </w:p>
        </w:tc>
        <w:tc>
          <w:tcPr>
            <w:tcW w:w="40" w:type="dxa"/>
            <w:vAlign w:val="bottom"/>
            <w:tcBorders>
              <w:top w:val="single" w:sz="8" w:color="CCEEFF"/>
            </w:tcBorders>
            <w:shd w:val="clear" w:color="auto" w:fill="CCEEFF"/>
          </w:tcPr>
          <w:p>
            <w:pPr>
              <w:spacing w:after="0"/>
              <w:rPr>
                <w:sz w:val="13"/>
                <w:szCs w:val="13"/>
                <w:color w:val="auto"/>
              </w:rPr>
            </w:pPr>
          </w:p>
        </w:tc>
      </w:tr>
      <w:tr>
        <w:trPr>
          <w:trHeight w:val="156"/>
        </w:trPr>
        <w:tc>
          <w:tcPr>
            <w:tcW w:w="5180" w:type="dxa"/>
            <w:vAlign w:val="bottom"/>
          </w:tcPr>
          <w:p>
            <w:pPr>
              <w:spacing w:after="0" w:line="155" w:lineRule="exact"/>
              <w:rPr>
                <w:sz w:val="20"/>
                <w:szCs w:val="20"/>
                <w:color w:val="auto"/>
              </w:rPr>
            </w:pPr>
            <w:r>
              <w:rPr>
                <w:rFonts w:ascii="Arial" w:cs="Arial" w:eastAsia="Arial" w:hAnsi="Arial"/>
                <w:sz w:val="16"/>
                <w:szCs w:val="16"/>
                <w:b w:val="1"/>
                <w:bCs w:val="1"/>
                <w:color w:val="auto"/>
              </w:rPr>
              <w:t>Cash flows from investing activities</w:t>
            </w: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51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Purchases of equipment</w:t>
            </w: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6"/>
                <w:szCs w:val="16"/>
                <w:color w:val="auto"/>
              </w:rPr>
              <w:t>(24,215)</w:t>
            </w:r>
          </w:p>
        </w:tc>
        <w:tc>
          <w:tcPr>
            <w:tcW w:w="3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(6,294)</w:t>
            </w:r>
          </w:p>
        </w:tc>
      </w:tr>
      <w:tr>
        <w:trPr>
          <w:trHeight w:val="156"/>
        </w:trPr>
        <w:tc>
          <w:tcPr>
            <w:tcW w:w="5180" w:type="dxa"/>
            <w:vAlign w:val="bottom"/>
            <w:tcBorders>
              <w:bottom w:val="single" w:sz="8" w:color="CCEEFF"/>
            </w:tcBorders>
          </w:tcPr>
          <w:p>
            <w:pPr>
              <w:spacing w:after="0" w:line="155" w:lineRule="exact"/>
              <w:rPr>
                <w:sz w:val="20"/>
                <w:szCs w:val="20"/>
                <w:color w:val="auto"/>
              </w:rPr>
            </w:pPr>
            <w:r>
              <w:rPr>
                <w:rFonts w:ascii="Arial" w:cs="Arial" w:eastAsia="Arial" w:hAnsi="Arial"/>
                <w:sz w:val="16"/>
                <w:szCs w:val="16"/>
                <w:color w:val="auto"/>
              </w:rPr>
              <w:t>Net cash used in investing activities</w:t>
            </w:r>
          </w:p>
        </w:tc>
        <w:tc>
          <w:tcPr>
            <w:tcW w:w="46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(24,215)</w:t>
            </w:r>
          </w:p>
        </w:tc>
        <w:tc>
          <w:tcPr>
            <w:tcW w:w="26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(6,294)</w:t>
            </w:r>
          </w:p>
        </w:tc>
        <w:tc>
          <w:tcPr>
            <w:tcW w:w="40" w:type="dxa"/>
            <w:vAlign w:val="bottom"/>
            <w:tcBorders>
              <w:bottom w:val="single" w:sz="8" w:color="CCEEFF"/>
            </w:tcBorders>
          </w:tcPr>
          <w:p>
            <w:pPr>
              <w:spacing w:after="0"/>
              <w:rPr>
                <w:sz w:val="13"/>
                <w:szCs w:val="13"/>
                <w:color w:val="auto"/>
              </w:rPr>
            </w:pPr>
          </w:p>
        </w:tc>
      </w:tr>
      <w:tr>
        <w:trPr>
          <w:trHeight w:val="156"/>
        </w:trPr>
        <w:tc>
          <w:tcPr>
            <w:tcW w:w="5180" w:type="dxa"/>
            <w:vAlign w:val="bottom"/>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Cash flows from financing activities</w:t>
            </w:r>
          </w:p>
        </w:tc>
        <w:tc>
          <w:tcPr>
            <w:tcW w:w="4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2"/>
        </w:trPr>
        <w:tc>
          <w:tcPr>
            <w:tcW w:w="5180" w:type="dxa"/>
            <w:vAlign w:val="bottom"/>
          </w:tcPr>
          <w:p>
            <w:pPr>
              <w:spacing w:after="0" w:line="162" w:lineRule="exact"/>
              <w:rPr>
                <w:sz w:val="20"/>
                <w:szCs w:val="20"/>
                <w:color w:val="auto"/>
              </w:rPr>
            </w:pPr>
            <w:r>
              <w:rPr>
                <w:rFonts w:ascii="Arial" w:cs="Arial" w:eastAsia="Arial" w:hAnsi="Arial"/>
                <w:sz w:val="16"/>
                <w:szCs w:val="16"/>
                <w:color w:val="auto"/>
              </w:rPr>
              <w:t>Repayment of principal on term loan</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gridSpan w:val="2"/>
          </w:tcPr>
          <w:p>
            <w:pPr>
              <w:jc w:val="right"/>
              <w:ind w:right="260"/>
              <w:spacing w:after="0" w:line="162" w:lineRule="exact"/>
              <w:rPr>
                <w:sz w:val="20"/>
                <w:szCs w:val="20"/>
                <w:color w:val="auto"/>
              </w:rPr>
            </w:pPr>
            <w:r>
              <w:rPr>
                <w:rFonts w:ascii="Arial" w:cs="Arial" w:eastAsia="Arial" w:hAnsi="Arial"/>
                <w:sz w:val="16"/>
                <w:szCs w:val="16"/>
                <w:color w:val="auto"/>
              </w:rPr>
              <w:t>(1,666,667)</w:t>
            </w:r>
          </w:p>
        </w:tc>
        <w:tc>
          <w:tcPr>
            <w:tcW w:w="360" w:type="dxa"/>
            <w:vAlign w:val="bottom"/>
          </w:tcPr>
          <w:p>
            <w:pPr>
              <w:spacing w:after="0"/>
              <w:rPr>
                <w:sz w:val="14"/>
                <w:szCs w:val="14"/>
                <w:color w:val="auto"/>
              </w:rPr>
            </w:pPr>
          </w:p>
        </w:tc>
        <w:tc>
          <w:tcPr>
            <w:tcW w:w="126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r>
      <w:tr>
        <w:trPr>
          <w:trHeight w:val="162"/>
        </w:trPr>
        <w:tc>
          <w:tcPr>
            <w:tcW w:w="51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Proceeds from issuance of common stock upon financing, net</w:t>
            </w: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2,368,921</w:t>
            </w: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14,781,092</w:t>
            </w:r>
          </w:p>
        </w:tc>
        <w:tc>
          <w:tcPr>
            <w:tcW w:w="40" w:type="dxa"/>
            <w:vAlign w:val="bottom"/>
            <w:shd w:val="clear" w:color="auto" w:fill="CCEEFF"/>
          </w:tcPr>
          <w:p>
            <w:pPr>
              <w:spacing w:after="0"/>
              <w:rPr>
                <w:sz w:val="14"/>
                <w:szCs w:val="14"/>
                <w:color w:val="auto"/>
              </w:rPr>
            </w:pPr>
          </w:p>
        </w:tc>
      </w:tr>
      <w:tr>
        <w:trPr>
          <w:trHeight w:val="162"/>
        </w:trPr>
        <w:tc>
          <w:tcPr>
            <w:tcW w:w="5180" w:type="dxa"/>
            <w:vAlign w:val="bottom"/>
          </w:tcPr>
          <w:p>
            <w:pPr>
              <w:spacing w:after="0" w:line="162" w:lineRule="exact"/>
              <w:rPr>
                <w:sz w:val="20"/>
                <w:szCs w:val="20"/>
                <w:color w:val="auto"/>
              </w:rPr>
            </w:pPr>
            <w:r>
              <w:rPr>
                <w:rFonts w:ascii="Arial" w:cs="Arial" w:eastAsia="Arial" w:hAnsi="Arial"/>
                <w:sz w:val="16"/>
                <w:szCs w:val="16"/>
                <w:color w:val="auto"/>
              </w:rPr>
              <w:t>Proceeds from issuance of common stock upon exercise of options</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gridSpan w:val="2"/>
          </w:tcPr>
          <w:p>
            <w:pPr>
              <w:jc w:val="right"/>
              <w:ind w:right="300"/>
              <w:spacing w:after="0" w:line="162" w:lineRule="exact"/>
              <w:rPr>
                <w:sz w:val="20"/>
                <w:szCs w:val="20"/>
                <w:color w:val="auto"/>
              </w:rPr>
            </w:pPr>
            <w:r>
              <w:rPr>
                <w:rFonts w:ascii="Arial" w:cs="Arial" w:eastAsia="Arial" w:hAnsi="Arial"/>
                <w:sz w:val="16"/>
                <w:szCs w:val="16"/>
                <w:color w:val="auto"/>
              </w:rPr>
              <w:t>—</w:t>
            </w:r>
          </w:p>
        </w:tc>
        <w:tc>
          <w:tcPr>
            <w:tcW w:w="36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6"/>
                <w:szCs w:val="16"/>
                <w:color w:val="auto"/>
              </w:rPr>
              <w:t>219,905</w:t>
            </w:r>
          </w:p>
        </w:tc>
        <w:tc>
          <w:tcPr>
            <w:tcW w:w="40" w:type="dxa"/>
            <w:vAlign w:val="bottom"/>
          </w:tcPr>
          <w:p>
            <w:pPr>
              <w:spacing w:after="0"/>
              <w:rPr>
                <w:sz w:val="14"/>
                <w:szCs w:val="14"/>
                <w:color w:val="auto"/>
              </w:rPr>
            </w:pPr>
          </w:p>
        </w:tc>
      </w:tr>
      <w:tr>
        <w:trPr>
          <w:trHeight w:val="162"/>
        </w:trPr>
        <w:tc>
          <w:tcPr>
            <w:tcW w:w="51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Proceeds from issuance of common stock upon exercise of warrants</w:t>
            </w: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114,269</w:t>
            </w:r>
          </w:p>
        </w:tc>
        <w:tc>
          <w:tcPr>
            <w:tcW w:w="40" w:type="dxa"/>
            <w:vAlign w:val="bottom"/>
            <w:shd w:val="clear" w:color="auto" w:fill="CCEEFF"/>
          </w:tcPr>
          <w:p>
            <w:pPr>
              <w:spacing w:after="0"/>
              <w:rPr>
                <w:sz w:val="14"/>
                <w:szCs w:val="14"/>
                <w:color w:val="auto"/>
              </w:rPr>
            </w:pPr>
          </w:p>
        </w:tc>
      </w:tr>
      <w:tr>
        <w:trPr>
          <w:trHeight w:val="156"/>
        </w:trPr>
        <w:tc>
          <w:tcPr>
            <w:tcW w:w="5180" w:type="dxa"/>
            <w:vAlign w:val="bottom"/>
            <w:tcBorders>
              <w:bottom w:val="single" w:sz="8" w:color="CCEEFF"/>
            </w:tcBorders>
          </w:tcPr>
          <w:p>
            <w:pPr>
              <w:spacing w:after="0" w:line="155" w:lineRule="exact"/>
              <w:rPr>
                <w:sz w:val="20"/>
                <w:szCs w:val="20"/>
                <w:color w:val="auto"/>
              </w:rPr>
            </w:pPr>
            <w:r>
              <w:rPr>
                <w:rFonts w:ascii="Arial" w:cs="Arial" w:eastAsia="Arial" w:hAnsi="Arial"/>
                <w:sz w:val="16"/>
                <w:szCs w:val="16"/>
                <w:color w:val="auto"/>
              </w:rPr>
              <w:t>Net cash provided by financing activities</w:t>
            </w:r>
          </w:p>
        </w:tc>
        <w:tc>
          <w:tcPr>
            <w:tcW w:w="46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702,254</w:t>
            </w:r>
          </w:p>
        </w:tc>
        <w:tc>
          <w:tcPr>
            <w:tcW w:w="26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15,115,266</w:t>
            </w:r>
          </w:p>
        </w:tc>
        <w:tc>
          <w:tcPr>
            <w:tcW w:w="40" w:type="dxa"/>
            <w:vAlign w:val="bottom"/>
            <w:tcBorders>
              <w:bottom w:val="single" w:sz="8" w:color="CCEEFF"/>
            </w:tcBorders>
          </w:tcPr>
          <w:p>
            <w:pPr>
              <w:spacing w:after="0"/>
              <w:rPr>
                <w:sz w:val="13"/>
                <w:szCs w:val="13"/>
                <w:color w:val="auto"/>
              </w:rPr>
            </w:pPr>
          </w:p>
        </w:tc>
      </w:tr>
      <w:tr>
        <w:trPr>
          <w:trHeight w:val="156"/>
        </w:trPr>
        <w:tc>
          <w:tcPr>
            <w:tcW w:w="518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Net (decrease) increase in cash</w:t>
            </w:r>
          </w:p>
        </w:tc>
        <w:tc>
          <w:tcPr>
            <w:tcW w:w="4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(13,669,680)</w:t>
            </w: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1,375,952</w:t>
            </w:r>
          </w:p>
        </w:tc>
        <w:tc>
          <w:tcPr>
            <w:tcW w:w="40" w:type="dxa"/>
            <w:vAlign w:val="bottom"/>
            <w:shd w:val="clear" w:color="auto" w:fill="CCEEFF"/>
          </w:tcPr>
          <w:p>
            <w:pPr>
              <w:spacing w:after="0"/>
              <w:rPr>
                <w:sz w:val="13"/>
                <w:szCs w:val="13"/>
                <w:color w:val="auto"/>
              </w:rPr>
            </w:pPr>
          </w:p>
        </w:tc>
      </w:tr>
      <w:tr>
        <w:trPr>
          <w:trHeight w:val="162"/>
        </w:trPr>
        <w:tc>
          <w:tcPr>
            <w:tcW w:w="5180" w:type="dxa"/>
            <w:vAlign w:val="bottom"/>
            <w:tcBorders>
              <w:bottom w:val="single" w:sz="8" w:color="CCEEFF"/>
            </w:tcBorders>
          </w:tcPr>
          <w:p>
            <w:pPr>
              <w:spacing w:after="0" w:line="162" w:lineRule="exact"/>
              <w:rPr>
                <w:sz w:val="20"/>
                <w:szCs w:val="20"/>
                <w:color w:val="auto"/>
              </w:rPr>
            </w:pPr>
            <w:r>
              <w:rPr>
                <w:rFonts w:ascii="Arial" w:cs="Arial" w:eastAsia="Arial" w:hAnsi="Arial"/>
                <w:sz w:val="16"/>
                <w:szCs w:val="16"/>
                <w:color w:val="auto"/>
              </w:rPr>
              <w:t>Cash at beginning of period</w:t>
            </w:r>
          </w:p>
        </w:tc>
        <w:tc>
          <w:tcPr>
            <w:tcW w:w="4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34,021,123</w:t>
            </w:r>
          </w:p>
        </w:tc>
        <w:tc>
          <w:tcPr>
            <w:tcW w:w="2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36,618,497</w:t>
            </w:r>
          </w:p>
        </w:tc>
        <w:tc>
          <w:tcPr>
            <w:tcW w:w="40" w:type="dxa"/>
            <w:vAlign w:val="bottom"/>
            <w:tcBorders>
              <w:bottom w:val="single" w:sz="8" w:color="CCEEFF"/>
            </w:tcBorders>
          </w:tcPr>
          <w:p>
            <w:pPr>
              <w:spacing w:after="0"/>
              <w:rPr>
                <w:sz w:val="14"/>
                <w:szCs w:val="14"/>
                <w:color w:val="auto"/>
              </w:rPr>
            </w:pPr>
          </w:p>
        </w:tc>
      </w:tr>
      <w:tr>
        <w:trPr>
          <w:trHeight w:val="163"/>
        </w:trPr>
        <w:tc>
          <w:tcPr>
            <w:tcW w:w="518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Cash at end of period</w:t>
            </w:r>
          </w:p>
        </w:tc>
        <w:tc>
          <w:tcPr>
            <w:tcW w:w="46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04"/>
              <w:spacing w:after="0" w:line="156" w:lineRule="exact"/>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20,351,443</w:t>
            </w:r>
          </w:p>
        </w:tc>
        <w:tc>
          <w:tcPr>
            <w:tcW w:w="26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04"/>
              <w:spacing w:after="0" w:line="156" w:lineRule="exact"/>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37,994,449</w:t>
            </w:r>
          </w:p>
        </w:tc>
        <w:tc>
          <w:tcPr>
            <w:tcW w:w="40" w:type="dxa"/>
            <w:vAlign w:val="bottom"/>
            <w:tcBorders>
              <w:bottom w:val="single" w:sz="8" w:color="CCEEFF"/>
            </w:tcBorders>
            <w:shd w:val="clear" w:color="auto" w:fill="CCEEFF"/>
          </w:tcPr>
          <w:p>
            <w:pPr>
              <w:spacing w:after="0"/>
              <w:rPr>
                <w:sz w:val="14"/>
                <w:szCs w:val="14"/>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 and Basis of Presentation</w:t>
      </w:r>
    </w:p>
    <w:p>
      <w:pPr>
        <w:spacing w:after="0" w:line="189" w:lineRule="exact"/>
        <w:rPr>
          <w:sz w:val="20"/>
          <w:szCs w:val="20"/>
          <w:color w:val="auto"/>
        </w:rPr>
      </w:pPr>
    </w:p>
    <w:p>
      <w:pPr>
        <w:ind w:firstLine="648"/>
        <w:spacing w:after="0" w:line="182" w:lineRule="exact"/>
        <w:rPr>
          <w:sz w:val="20"/>
          <w:szCs w:val="20"/>
          <w:color w:val="auto"/>
        </w:rPr>
      </w:pPr>
      <w:r>
        <w:rPr>
          <w:rFonts w:ascii="Arial" w:cs="Arial" w:eastAsia="Arial" w:hAnsi="Arial"/>
          <w:sz w:val="16"/>
          <w:szCs w:val="16"/>
          <w:color w:val="auto"/>
        </w:rPr>
        <w:t>Axsome Therapeutics, Inc. (“Axsome” or the “Company”) is a clinical stage biopharmaceutical company developing novel therapies for central nervous system (“CNS”) disorders for which there are limited treatment options. By focusing on this therapeutic area, the Company is addressing significant and growing markets where current treatment options are limited or inadequate. The Company’s product candidate portfolio includes five product candidates, AXS</w:t>
      </w:r>
      <w:r>
        <w:rPr>
          <w:rFonts w:ascii="MS PGothic" w:cs="MS PGothic" w:eastAsia="MS PGothic" w:hAnsi="MS PGothic"/>
          <w:sz w:val="16"/>
          <w:szCs w:val="16"/>
          <w:color w:val="auto"/>
        </w:rPr>
        <w:t>‑</w:t>
      </w:r>
      <w:r>
        <w:rPr>
          <w:rFonts w:ascii="Arial" w:cs="Arial" w:eastAsia="Arial" w:hAnsi="Arial"/>
          <w:sz w:val="16"/>
          <w:szCs w:val="16"/>
          <w:color w:val="auto"/>
        </w:rPr>
        <w:t xml:space="preserve">05, AXS-07, AXS-09, AXS-02, and AXS </w:t>
      </w:r>
      <w:r>
        <w:rPr>
          <w:rFonts w:ascii="MS PGothic" w:cs="MS PGothic" w:eastAsia="MS PGothic" w:hAnsi="MS PGothic"/>
          <w:sz w:val="16"/>
          <w:szCs w:val="16"/>
          <w:color w:val="auto"/>
        </w:rPr>
        <w:t>‑</w:t>
      </w:r>
      <w:r>
        <w:rPr>
          <w:rFonts w:ascii="Arial" w:cs="Arial" w:eastAsia="Arial" w:hAnsi="Arial"/>
          <w:sz w:val="16"/>
          <w:szCs w:val="16"/>
          <w:color w:val="auto"/>
        </w:rPr>
        <w:t>06, which are being developed for multiple indications. The Company aims to become a fully integrated biopharmaceutical company that develops and commercializes differentiated therapies that expand the treatment options available to caregivers and improve the lives of patients living with CNS disorders. The Company was incorporated on January 12, 2012 in the State of Delaware and now has operations in the United States and Australia.</w:t>
      </w:r>
    </w:p>
    <w:p>
      <w:pPr>
        <w:spacing w:after="0" w:line="167" w:lineRule="exact"/>
        <w:rPr>
          <w:sz w:val="20"/>
          <w:szCs w:val="20"/>
          <w:color w:val="auto"/>
        </w:rPr>
      </w:pPr>
    </w:p>
    <w:p>
      <w:pPr>
        <w:ind w:right="220" w:firstLine="648"/>
        <w:spacing w:after="0" w:line="239" w:lineRule="auto"/>
        <w:rPr>
          <w:sz w:val="20"/>
          <w:szCs w:val="20"/>
          <w:color w:val="auto"/>
        </w:rPr>
      </w:pPr>
      <w:r>
        <w:rPr>
          <w:rFonts w:ascii="Arial" w:cs="Arial" w:eastAsia="Arial" w:hAnsi="Arial"/>
          <w:sz w:val="16"/>
          <w:szCs w:val="16"/>
          <w:color w:val="auto"/>
        </w:rPr>
        <w:t>The accompanying unaudited interim consolidated financial statements have been prepared by the Company in accordance with accounting principles generally accepted in the United States (“U.S. GAAP”) for interim information and pursuant to the rules and regulations of the Securities and Exchange Commission (the “SEC”) for reporting on Form 10-Q. Accordingly, certain information and footnote disclosure normally included in financial statements prepared in accordance with U.S. GAAP have been condensed or omitted pursuant to such rules and regulations. These interim consolidated financial statements should be read in conjunction with the audited financial statements and related notes included in the Company’s Annual Report on Form 10-K for the year ended December 31, 2017 filed with the SEC on March 7, 2018.</w:t>
      </w:r>
    </w:p>
    <w:p>
      <w:pPr>
        <w:spacing w:after="0" w:line="163" w:lineRule="exact"/>
        <w:rPr>
          <w:sz w:val="20"/>
          <w:szCs w:val="20"/>
          <w:color w:val="auto"/>
        </w:rPr>
      </w:pPr>
    </w:p>
    <w:p>
      <w:pPr>
        <w:jc w:val="both"/>
        <w:ind w:right="20" w:firstLine="648"/>
        <w:spacing w:after="0" w:line="219" w:lineRule="auto"/>
        <w:rPr>
          <w:sz w:val="20"/>
          <w:szCs w:val="20"/>
          <w:color w:val="auto"/>
        </w:rPr>
      </w:pPr>
      <w:r>
        <w:rPr>
          <w:rFonts w:ascii="Arial" w:cs="Arial" w:eastAsia="Arial" w:hAnsi="Arial"/>
          <w:sz w:val="18"/>
          <w:szCs w:val="18"/>
          <w:color w:val="auto"/>
        </w:rPr>
        <w:t>In the opinion of management, the unaudited interim consolidated financial statements reflect all adjustments, which are normal recurring adjustments, necessary for the fair presentation of the financial information for the interim periods. The results of operations for the six months ended June 30, 2018 are not necessarily indicative of the operating results for the full fiscal year or any future period.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80" w:firstLine="648"/>
        <w:spacing w:after="0" w:line="224" w:lineRule="auto"/>
        <w:rPr>
          <w:sz w:val="20"/>
          <w:szCs w:val="20"/>
          <w:color w:val="auto"/>
        </w:rPr>
      </w:pPr>
      <w:r>
        <w:rPr>
          <w:rFonts w:ascii="Arial" w:cs="Arial" w:eastAsia="Arial" w:hAnsi="Arial"/>
          <w:sz w:val="18"/>
          <w:szCs w:val="18"/>
          <w:color w:val="auto"/>
        </w:rPr>
        <w:t>The Company has incurred operating losses since its inception, and expects to continue to incur operating losses for the foreseeable future and may never become profitable. As of June 30, 2018, the Company had an accumulated deficit of $89.7 million.</w:t>
      </w:r>
    </w:p>
    <w:p>
      <w:pPr>
        <w:spacing w:after="0" w:line="163" w:lineRule="exact"/>
        <w:rPr>
          <w:sz w:val="20"/>
          <w:szCs w:val="20"/>
          <w:color w:val="auto"/>
        </w:rPr>
      </w:pPr>
    </w:p>
    <w:p>
      <w:pPr>
        <w:ind w:right="80" w:firstLine="648"/>
        <w:spacing w:after="0" w:line="226" w:lineRule="auto"/>
        <w:rPr>
          <w:sz w:val="20"/>
          <w:szCs w:val="20"/>
          <w:color w:val="auto"/>
        </w:rPr>
      </w:pPr>
      <w:r>
        <w:rPr>
          <w:rFonts w:ascii="Arial" w:cs="Arial" w:eastAsia="Arial" w:hAnsi="Arial"/>
          <w:sz w:val="17"/>
          <w:szCs w:val="17"/>
          <w:color w:val="auto"/>
        </w:rPr>
        <w:t>The Company’s primary sources of cash have been proceeds from the issuance and sale of its common stock in public offerings. The Company has not yet commercialized any of its product candidates and cannot be sure if it will ever be able to do so. The Company’s ability to achieve profitability depends on a number of factors, including its ability to obtain regulatory approval for its product candidates, successfully complete any post-approval regulatory obligations and successfully commercialize its product candidates alone or in partnership. The Company may continue to incur substantial operating losses even if it begins to generate revenues from its product candidates.</w:t>
      </w:r>
    </w:p>
    <w:p>
      <w:pPr>
        <w:spacing w:after="0" w:line="165" w:lineRule="exact"/>
        <w:rPr>
          <w:sz w:val="20"/>
          <w:szCs w:val="20"/>
          <w:color w:val="auto"/>
        </w:rPr>
      </w:pPr>
    </w:p>
    <w:p>
      <w:pPr>
        <w:ind w:firstLine="648"/>
        <w:spacing w:after="0" w:line="244" w:lineRule="auto"/>
        <w:rPr>
          <w:sz w:val="20"/>
          <w:szCs w:val="20"/>
          <w:color w:val="auto"/>
        </w:rPr>
      </w:pPr>
      <w:r>
        <w:rPr>
          <w:rFonts w:ascii="Arial" w:cs="Arial" w:eastAsia="Arial" w:hAnsi="Arial"/>
          <w:sz w:val="16"/>
          <w:szCs w:val="16"/>
          <w:color w:val="auto"/>
        </w:rPr>
        <w:t>As of June 30, 2018, the Company had $20.4 million in cash. The Company currently anticipates its cash to be sufficient to fund its anticipated operating cash requirements into the third quarter of 2019. The actual amount of cash that the Company will need to operate is subject to many factors, including, but not limited to, the timing, design and conduct of clinical trials for its product candidates. The Company is dependent upon significant future financing to provide the cash necessary to execute its current operations, including the commercialization of any of its product candidates.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Company’s common stock is listed on the Nasdaq Global Market and trades under the symbol “AXSM”.</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Risks and Uncertainties</w:t>
      </w:r>
    </w:p>
    <w:p>
      <w:pPr>
        <w:spacing w:after="0" w:line="189" w:lineRule="exact"/>
        <w:rPr>
          <w:sz w:val="20"/>
          <w:szCs w:val="20"/>
          <w:color w:val="auto"/>
        </w:rPr>
      </w:pPr>
    </w:p>
    <w:p>
      <w:pPr>
        <w:ind w:firstLine="648"/>
        <w:spacing w:after="0" w:line="211" w:lineRule="auto"/>
        <w:rPr>
          <w:sz w:val="20"/>
          <w:szCs w:val="20"/>
          <w:color w:val="auto"/>
        </w:rPr>
      </w:pPr>
      <w:r>
        <w:rPr>
          <w:rFonts w:ascii="Arial" w:cs="Arial" w:eastAsia="Arial" w:hAnsi="Arial"/>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 candidates; the Company’s ability to obtain regulatory approval to market its products, if approved; competition from products manufactured and sold or being developed by other companies; the price of, and demand for, Company products, if approved; the Company’s ability to negotiate favorable licensing or other manufacturing and marketing agreements for its products, if approved; and the Company’s ability to raise additional financing. If the Company does not successfully commercialize any of its product candidates, it will be unable to generate recurring product revenue or achieve and maintain profitability.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ind w:right="60" w:firstLine="648"/>
        <w:spacing w:after="0" w:line="180" w:lineRule="exact"/>
        <w:rPr>
          <w:sz w:val="20"/>
          <w:szCs w:val="20"/>
          <w:color w:val="auto"/>
        </w:rPr>
      </w:pPr>
      <w:r>
        <w:rPr>
          <w:rFonts w:ascii="Arial" w:cs="Arial" w:eastAsia="Arial" w:hAnsi="Arial"/>
          <w:sz w:val="17"/>
          <w:szCs w:val="17"/>
          <w:color w:val="auto"/>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 In preparing these financial statements, management used significant estimates in the following areas, among others: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the determination of the fair value of the warrants; the accounting for research and development costs; and the recoverability of the Company’s net deferred tax assets and related valuation allowance.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89" w:lineRule="exact"/>
        <w:rPr>
          <w:sz w:val="20"/>
          <w:szCs w:val="20"/>
          <w:color w:val="auto"/>
        </w:rPr>
      </w:pPr>
    </w:p>
    <w:p>
      <w:pPr>
        <w:ind w:right="60" w:firstLine="648"/>
        <w:spacing w:after="0" w:line="219" w:lineRule="auto"/>
        <w:rPr>
          <w:sz w:val="20"/>
          <w:szCs w:val="20"/>
          <w:color w:val="auto"/>
        </w:rPr>
      </w:pPr>
      <w:r>
        <w:rPr>
          <w:rFonts w:ascii="Arial" w:cs="Arial" w:eastAsia="Arial" w:hAnsi="Arial"/>
          <w:sz w:val="18"/>
          <w:szCs w:val="18"/>
          <w:color w:val="auto"/>
        </w:rPr>
        <w:t>Expenses denominated in foreign currency are translated into U.S. dollars at the exchange rate on the date the expense is incurred. Assets and liabilities of foreign operations are translated at period-end exchange rates. The effect of exchange rate fluctuations on translating foreign currency into U.S. dollars is included in the Statements of Operations and is not material to the Company’s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 Information</w:t>
      </w:r>
    </w:p>
    <w:p>
      <w:pPr>
        <w:spacing w:after="0" w:line="189" w:lineRule="exact"/>
        <w:rPr>
          <w:sz w:val="20"/>
          <w:szCs w:val="20"/>
          <w:color w:val="auto"/>
        </w:rPr>
      </w:pPr>
    </w:p>
    <w:p>
      <w:pPr>
        <w:jc w:val="both"/>
        <w:ind w:right="120" w:firstLine="648"/>
        <w:spacing w:after="0" w:line="232" w:lineRule="auto"/>
        <w:rPr>
          <w:sz w:val="20"/>
          <w:szCs w:val="20"/>
          <w:color w:val="auto"/>
        </w:rPr>
      </w:pPr>
      <w:r>
        <w:rPr>
          <w:rFonts w:ascii="Arial" w:cs="Arial" w:eastAsia="Arial" w:hAnsi="Arial"/>
          <w:sz w:val="17"/>
          <w:szCs w:val="17"/>
          <w:color w:val="auto"/>
        </w:rPr>
        <w:t>Operating segments are defined as components of an enterprise for which separate discrete information is available for evaluation by the chief operating decision maker or decision making group, in deciding how to allocate resources and in assessing performance. The Company views its operations and manages its business as one operating segment, which is the business of developing novel therapies for the management of CNS disorders.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189" w:lineRule="exact"/>
        <w:rPr>
          <w:sz w:val="20"/>
          <w:szCs w:val="20"/>
          <w:color w:val="auto"/>
        </w:rPr>
      </w:pPr>
    </w:p>
    <w:p>
      <w:pPr>
        <w:jc w:val="both"/>
        <w:ind w:right="40" w:firstLine="648"/>
        <w:spacing w:after="0" w:line="224" w:lineRule="auto"/>
        <w:rPr>
          <w:sz w:val="20"/>
          <w:szCs w:val="20"/>
          <w:color w:val="auto"/>
        </w:rPr>
      </w:pPr>
      <w:r>
        <w:rPr>
          <w:rFonts w:ascii="Arial" w:cs="Arial" w:eastAsia="Arial" w:hAnsi="Arial"/>
          <w:sz w:val="18"/>
          <w:szCs w:val="18"/>
          <w:color w:val="auto"/>
        </w:rPr>
        <w:t>The Company considers all highly liquid investments that have maturities of three months or less when acquired to be cash equivalents. Cash equivalents are valued at cost, which approximates their fair value. There were no cash equivalents at June 30, 2018 or December 31, 2017.</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89" w:lineRule="exact"/>
        <w:rPr>
          <w:sz w:val="20"/>
          <w:szCs w:val="20"/>
          <w:color w:val="auto"/>
        </w:rPr>
      </w:pPr>
    </w:p>
    <w:p>
      <w:pPr>
        <w:ind w:right="260" w:firstLine="648"/>
        <w:spacing w:after="0" w:line="244" w:lineRule="auto"/>
        <w:rPr>
          <w:sz w:val="20"/>
          <w:szCs w:val="20"/>
          <w:color w:val="auto"/>
        </w:rPr>
      </w:pPr>
      <w:r>
        <w:rPr>
          <w:rFonts w:ascii="Arial" w:cs="Arial" w:eastAsia="Arial" w:hAnsi="Arial"/>
          <w:sz w:val="16"/>
          <w:szCs w:val="16"/>
          <w:color w:val="auto"/>
        </w:rPr>
        <w:t>Financial instruments that potentially subject the Company to a concentration of credit risk consist of cash. The Company maintains its cash at financial institutions, which at times, exceed federally insured limits. At June 30, 2018, the majority of the Company’s cash was held by one financial institution and the amount on deposit was in excess of Federal Deposit Insurance Corporation insurance limits. The Company has not recognized any losses from credit risks on such accounts since inception. The Company believes it is not exposed to significant credit risk on cash.</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89" w:lineRule="exact"/>
        <w:rPr>
          <w:sz w:val="20"/>
          <w:szCs w:val="20"/>
          <w:color w:val="auto"/>
        </w:rPr>
      </w:pPr>
    </w:p>
    <w:p>
      <w:pPr>
        <w:ind w:right="60" w:firstLine="648"/>
        <w:spacing w:after="0" w:line="187" w:lineRule="exact"/>
        <w:rPr>
          <w:sz w:val="20"/>
          <w:szCs w:val="20"/>
          <w:color w:val="auto"/>
        </w:rPr>
      </w:pPr>
      <w:r>
        <w:rPr>
          <w:rFonts w:ascii="Arial" w:cs="Arial" w:eastAsia="Arial" w:hAnsi="Arial"/>
          <w:sz w:val="16"/>
          <w:szCs w:val="16"/>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Assets and liabilities that are measured at fair value are reported using a three</w:t>
      </w:r>
      <w:r>
        <w:rPr>
          <w:rFonts w:ascii="MS PGothic" w:cs="MS PGothic" w:eastAsia="MS PGothic" w:hAnsi="MS PGothic"/>
          <w:sz w:val="16"/>
          <w:szCs w:val="16"/>
          <w:color w:val="auto"/>
        </w:rPr>
        <w:t>‑</w:t>
      </w:r>
      <w:r>
        <w:rPr>
          <w:rFonts w:ascii="Arial" w:cs="Arial" w:eastAsia="Arial" w:hAnsi="Arial"/>
          <w:sz w:val="16"/>
          <w:szCs w:val="16"/>
          <w:color w:val="auto"/>
        </w:rPr>
        <w:t>level fair value hierarchy that prioritizes the inputs used to measure fair value. This hierarchy maximizes the use of observable inputs and minimizes the use of unobservable inputs. The three levels of inputs used to measure fair value are as follows:</w:t>
      </w:r>
    </w:p>
    <w:p>
      <w:pPr>
        <w:spacing w:after="0" w:line="162" w:lineRule="exact"/>
        <w:rPr>
          <w:sz w:val="20"/>
          <w:szCs w:val="20"/>
          <w:color w:val="auto"/>
        </w:rPr>
      </w:pPr>
    </w:p>
    <w:p>
      <w:pPr>
        <w:ind w:right="60" w:firstLine="648"/>
        <w:spacing w:after="0" w:line="235"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 that the Company has the ability to access</w:t>
      </w:r>
      <w:r>
        <w:rPr>
          <w:rFonts w:ascii="Arial" w:cs="Arial" w:eastAsia="Arial" w:hAnsi="Arial"/>
          <w:sz w:val="18"/>
          <w:szCs w:val="18"/>
          <w:i w:val="1"/>
          <w:iCs w:val="1"/>
          <w:color w:val="auto"/>
        </w:rPr>
        <w:t xml:space="preserve"> </w:t>
      </w:r>
      <w:r>
        <w:rPr>
          <w:rFonts w:ascii="Arial" w:cs="Arial" w:eastAsia="Arial" w:hAnsi="Arial"/>
          <w:sz w:val="18"/>
          <w:szCs w:val="18"/>
          <w:color w:val="auto"/>
        </w:rPr>
        <w:t>at the measurement date.</w:t>
      </w:r>
    </w:p>
    <w:p>
      <w:pPr>
        <w:spacing w:after="0" w:line="162"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other than quoted prices in active markets that are observable for the asset or liability, either directly</w:t>
      </w:r>
      <w:r>
        <w:rPr>
          <w:rFonts w:ascii="Arial" w:cs="Arial" w:eastAsia="Arial" w:hAnsi="Arial"/>
          <w:sz w:val="18"/>
          <w:szCs w:val="18"/>
          <w:i w:val="1"/>
          <w:iCs w:val="1"/>
          <w:color w:val="auto"/>
        </w:rPr>
        <w:t xml:space="preserve"> </w:t>
      </w:r>
      <w:r>
        <w:rPr>
          <w:rFonts w:ascii="Arial" w:cs="Arial" w:eastAsia="Arial" w:hAnsi="Arial"/>
          <w:sz w:val="18"/>
          <w:szCs w:val="18"/>
          <w:color w:val="auto"/>
        </w:rPr>
        <w:t>or indirectly.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that are unobservable for the asset or liability.</w:t>
      </w:r>
    </w:p>
    <w:p>
      <w:pPr>
        <w:spacing w:after="0" w:line="185" w:lineRule="exact"/>
        <w:rPr>
          <w:sz w:val="20"/>
          <w:szCs w:val="20"/>
          <w:color w:val="auto"/>
        </w:rPr>
      </w:pPr>
    </w:p>
    <w:p>
      <w:pPr>
        <w:ind w:right="120" w:firstLine="648"/>
        <w:spacing w:after="0" w:line="232" w:lineRule="auto"/>
        <w:rPr>
          <w:sz w:val="20"/>
          <w:szCs w:val="20"/>
          <w:color w:val="auto"/>
        </w:rPr>
      </w:pPr>
      <w:r>
        <w:rPr>
          <w:rFonts w:ascii="Arial" w:cs="Arial" w:eastAsia="Arial" w:hAnsi="Arial"/>
          <w:sz w:val="17"/>
          <w:szCs w:val="17"/>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63" w:lineRule="exact"/>
        <w:rPr>
          <w:sz w:val="20"/>
          <w:szCs w:val="20"/>
          <w:color w:val="auto"/>
        </w:rPr>
      </w:pPr>
    </w:p>
    <w:p>
      <w:pPr>
        <w:jc w:val="both"/>
        <w:ind w:right="340" w:firstLine="648"/>
        <w:spacing w:after="0" w:line="194" w:lineRule="exact"/>
        <w:rPr>
          <w:sz w:val="20"/>
          <w:szCs w:val="20"/>
          <w:color w:val="auto"/>
        </w:rPr>
      </w:pPr>
      <w:r>
        <w:rPr>
          <w:rFonts w:ascii="Arial" w:cs="Arial" w:eastAsia="Arial" w:hAnsi="Arial"/>
          <w:sz w:val="18"/>
          <w:szCs w:val="18"/>
          <w:color w:val="auto"/>
        </w:rPr>
        <w:t>The carrying amounts reported in the accompanying consolidated financial statements for accounts payable and accrued expenses approximate their respective fair values due to their short</w:t>
      </w:r>
      <w:r>
        <w:rPr>
          <w:rFonts w:ascii="MS PGothic" w:cs="MS PGothic" w:eastAsia="MS PGothic" w:hAnsi="MS PGothic"/>
          <w:sz w:val="18"/>
          <w:szCs w:val="18"/>
          <w:color w:val="auto"/>
        </w:rPr>
        <w:t>‑</w:t>
      </w:r>
      <w:r>
        <w:rPr>
          <w:rFonts w:ascii="Arial" w:cs="Arial" w:eastAsia="Arial" w:hAnsi="Arial"/>
          <w:sz w:val="18"/>
          <w:szCs w:val="18"/>
          <w:color w:val="auto"/>
        </w:rPr>
        <w:t>term maturities. The fair value of the warrant liabilities are discussed in Note 3, “Fair Value Measurements.”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89" w:lineRule="exact"/>
        <w:rPr>
          <w:sz w:val="20"/>
          <w:szCs w:val="20"/>
          <w:color w:val="auto"/>
        </w:rPr>
      </w:pPr>
    </w:p>
    <w:p>
      <w:pPr>
        <w:ind w:right="20" w:firstLine="648"/>
        <w:spacing w:after="0" w:line="187" w:lineRule="exact"/>
        <w:rPr>
          <w:sz w:val="20"/>
          <w:szCs w:val="20"/>
          <w:color w:val="auto"/>
        </w:rPr>
      </w:pPr>
      <w:r>
        <w:rPr>
          <w:rFonts w:ascii="Arial" w:cs="Arial" w:eastAsia="Arial" w:hAnsi="Arial"/>
          <w:sz w:val="18"/>
          <w:szCs w:val="18"/>
          <w:color w:val="auto"/>
        </w:rPr>
        <w:t>Research and development expenses primarily consist of costs incurred in performing research and development activities, including preclinical studies, clinical trials, manufacturing costs, employee salaries and benefits,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contract services, including external research and development expenses incurred under arrangements with third parties, such as contract research organizations (“CROs”), facilities costs, overhead costs, depreciation, and other related costs.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233" w:lineRule="auto"/>
        <w:rPr>
          <w:sz w:val="20"/>
          <w:szCs w:val="20"/>
          <w:color w:val="auto"/>
        </w:rPr>
      </w:pPr>
      <w:r>
        <w:rPr>
          <w:rFonts w:ascii="Arial" w:cs="Arial" w:eastAsia="Arial" w:hAnsi="Arial"/>
          <w:sz w:val="16"/>
          <w:szCs w:val="16"/>
          <w:color w:val="auto"/>
        </w:rPr>
        <w:t>Generally,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 The Company makes estimates of costs incurred in relation to external CROs, and clinical site costs. The Company analyzes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The Company reviews and accrues CRO expenses and clinical trial study expenses based on work performed and relies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Income taxes are accounted for under the asset and liability method. Under this method, deferred tax assets and liabilities are recognized for the future tax consequences attributable to the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that includes the enactment date. Valuation allowances are provided if, based upon the weight of available evidence, it is more likely than not that some or all of the deferred tax assets will not be realized.</w:t>
      </w:r>
    </w:p>
    <w:p>
      <w:pPr>
        <w:spacing w:after="0" w:line="168"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The Company’s effective tax rates as of June 30, 2018 and June 30, 2017 were 0%, which differs from the statutory tax rate in effect due to the Company recording a full valuation allowance.</w:t>
      </w:r>
    </w:p>
    <w:p>
      <w:pPr>
        <w:spacing w:after="0" w:line="162"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The Company recognizes the tax benefit from an uncertain tax position only if it is more likely than not to be sustained upon examination based on the technical merits of the position as well as consideration of the available facts and circumstances. When uncertain tax positions exist, the Company recognizes the tax benefit of tax positions to the extent that the benefit will more likely than not be realized. As of June 30, 2018, the Company does not believe any material uncertain tax positions are present. In the event the Company determines that accrual of interest or penalties are necessary in the future, the amount will be presented as a component of income tax expense.</w:t>
      </w:r>
    </w:p>
    <w:p>
      <w:pPr>
        <w:spacing w:after="0" w:line="165" w:lineRule="exact"/>
        <w:rPr>
          <w:sz w:val="20"/>
          <w:szCs w:val="20"/>
          <w:color w:val="auto"/>
        </w:rPr>
      </w:pPr>
    </w:p>
    <w:p>
      <w:pPr>
        <w:ind w:right="140" w:firstLine="648"/>
        <w:spacing w:after="0" w:line="214" w:lineRule="auto"/>
        <w:rPr>
          <w:sz w:val="20"/>
          <w:szCs w:val="20"/>
          <w:color w:val="auto"/>
        </w:rPr>
      </w:pPr>
      <w:r>
        <w:rPr>
          <w:rFonts w:ascii="Arial" w:cs="Arial" w:eastAsia="Arial" w:hAnsi="Arial"/>
          <w:sz w:val="18"/>
          <w:szCs w:val="18"/>
          <w:color w:val="auto"/>
        </w:rPr>
        <w:t>The Tax Legislation significantly revised the United States tax code by, among other things, (i) reducing the corporate income tax rate from 35.0% to 21.0%, (ii) imposing a one-time transition tax on earnings of foreign subsidiaries deemed to be repatriated, (iii) implementing a modified territorial tax system, (iv) introducing a tax on foreign income in excess of a deemed return on tangible assets of foreign corporations (known as “GILTI”) and (v) introducing a base erosion anti-abuse tax measure (known as “BEAT”) that taxes certain payments between United States corporations and their subsidiaries.</w:t>
      </w:r>
    </w:p>
    <w:p>
      <w:pPr>
        <w:spacing w:after="0" w:line="162"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As of June 30, 2018, the Company has not completed its accounting for all the tax effects associated with the enactment of the Tax Act. However, the Company has made a reasonable estimate of the effects on its existing deferred tax balances and recorded a provisional amount during the fourth quarter of 2017. The Company anticipates that the Internal Revenue Service will issue additional guidance related to the impacts of the Tax Act later in 2018. The Company may further adjust the provisional amounts recorded upon completion of its accounting for the tax effects associated with the enactment of the Tax Act and input from anticipated guidance interpreting the Tax Act under the permitted measurement period allowed under SAB 118.</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Stock</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Compensation</w:t>
      </w:r>
    </w:p>
    <w:p>
      <w:pPr>
        <w:spacing w:after="0" w:line="189"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For stock options issued to employees and members of the Company’s board of directors for their services, the Company estimates the grant date fair value of each option using the Black</w:t>
      </w:r>
      <w:r>
        <w:rPr>
          <w:rFonts w:ascii="MS PGothic" w:cs="MS PGothic" w:eastAsia="MS PGothic" w:hAnsi="MS PGothic"/>
          <w:sz w:val="16"/>
          <w:szCs w:val="16"/>
          <w:color w:val="auto"/>
        </w:rPr>
        <w:t>‑</w:t>
      </w:r>
      <w:r>
        <w:rPr>
          <w:rFonts w:ascii="Arial" w:cs="Arial" w:eastAsia="Arial" w:hAnsi="Arial"/>
          <w:sz w:val="16"/>
          <w:szCs w:val="16"/>
          <w:color w:val="auto"/>
        </w:rPr>
        <w:t>Scholes option pricing model. The Black-Scholes model takes into account the expected volatility of the Company’s common stock, the risk-free interest rate, the estimated life of the option, the closing market price of the Company’s common stock and the exercise price. The estimates utilized in the Black-Scholes calculation involve inherent uncertainties and the application of management judgment. In addition, the Company recognizes expense for equity awards over the vesting period and accounts for forfeitures as they occur. For awards subject to service-based vesting conditions, the Company recognizes stock-based compensation expense on a straight-line basis over the requisite service period, which is generally the vesting term. For awards subject to performance-based vesting conditions, the Company recognizes stock-based compensation expense using the accelerated attribution method when it is probable that the performance condition will be achieved. The expense related to the stock-based compensation is recorded within the same financial statement line item as the grantee’s cash compensation.</w:t>
      </w:r>
    </w:p>
    <w:p>
      <w:pPr>
        <w:spacing w:after="0" w:line="166" w:lineRule="exact"/>
        <w:rPr>
          <w:sz w:val="20"/>
          <w:szCs w:val="20"/>
          <w:color w:val="auto"/>
        </w:rPr>
      </w:pPr>
    </w:p>
    <w:p>
      <w:pPr>
        <w:ind w:firstLine="648"/>
        <w:spacing w:after="0" w:line="184" w:lineRule="exact"/>
        <w:rPr>
          <w:sz w:val="20"/>
          <w:szCs w:val="20"/>
          <w:color w:val="auto"/>
        </w:rPr>
      </w:pPr>
      <w:r>
        <w:rPr>
          <w:rFonts w:ascii="Arial" w:cs="Arial" w:eastAsia="Arial" w:hAnsi="Arial"/>
          <w:sz w:val="17"/>
          <w:szCs w:val="17"/>
          <w:color w:val="auto"/>
        </w:rPr>
        <w:t>For stock</w:t>
      </w:r>
      <w:r>
        <w:rPr>
          <w:rFonts w:ascii="MS PGothic" w:cs="MS PGothic" w:eastAsia="MS PGothic" w:hAnsi="MS PGothic"/>
          <w:sz w:val="17"/>
          <w:szCs w:val="17"/>
          <w:color w:val="auto"/>
        </w:rPr>
        <w:t>‑</w:t>
      </w:r>
      <w:r>
        <w:rPr>
          <w:rFonts w:ascii="Arial" w:cs="Arial" w:eastAsia="Arial" w:hAnsi="Arial"/>
          <w:sz w:val="17"/>
          <w:szCs w:val="17"/>
          <w:color w:val="auto"/>
        </w:rPr>
        <w:t>based payments issued to non</w:t>
      </w:r>
      <w:r>
        <w:rPr>
          <w:rFonts w:ascii="MS PGothic" w:cs="MS PGothic" w:eastAsia="MS PGothic" w:hAnsi="MS PGothic"/>
          <w:sz w:val="17"/>
          <w:szCs w:val="17"/>
          <w:color w:val="auto"/>
        </w:rPr>
        <w:t>‑</w:t>
      </w:r>
      <w:r>
        <w:rPr>
          <w:rFonts w:ascii="Arial" w:cs="Arial" w:eastAsia="Arial" w:hAnsi="Arial"/>
          <w:sz w:val="17"/>
          <w:szCs w:val="17"/>
          <w:color w:val="auto"/>
        </w:rPr>
        <w:t>employees, compensation expense is determined at the “measurement date,” which is the earlier of (i) the date at which a commitment for performance by the counterparty to earn the equity instrument is reached or (ii) the date at which the counterparty’s performance is complete. The expense is recognized over the vesting period of the award. Until the measurement date is reached, the total amount of compensation expense remains uncertain. The Company records compensation expense based on the fair value of the award at the reporting date. The awards to non</w:t>
      </w:r>
      <w:r>
        <w:rPr>
          <w:rFonts w:ascii="MS PGothic" w:cs="MS PGothic" w:eastAsia="MS PGothic" w:hAnsi="MS PGothic"/>
          <w:sz w:val="17"/>
          <w:szCs w:val="17"/>
          <w:color w:val="auto"/>
        </w:rPr>
        <w:t>‑</w:t>
      </w:r>
      <w:r>
        <w:rPr>
          <w:rFonts w:ascii="Arial" w:cs="Arial" w:eastAsia="Arial" w:hAnsi="Arial"/>
          <w:sz w:val="17"/>
          <w:szCs w:val="17"/>
          <w:color w:val="auto"/>
        </w:rPr>
        <w:t>employees are then revalued, or the total compensation is recalculated based on the then</w:t>
      </w:r>
      <w:r>
        <w:rPr>
          <w:rFonts w:ascii="MS PGothic" w:cs="MS PGothic" w:eastAsia="MS PGothic" w:hAnsi="MS PGothic"/>
          <w:sz w:val="17"/>
          <w:szCs w:val="17"/>
          <w:color w:val="auto"/>
        </w:rPr>
        <w:t>‑</w:t>
      </w:r>
      <w:r>
        <w:rPr>
          <w:rFonts w:ascii="Arial" w:cs="Arial" w:eastAsia="Arial" w:hAnsi="Arial"/>
          <w:sz w:val="17"/>
          <w:szCs w:val="17"/>
          <w:color w:val="auto"/>
        </w:rPr>
        <w:t>current fair value, at each subsequent reporting date.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Loss per Common Share</w:t>
      </w:r>
    </w:p>
    <w:p>
      <w:pPr>
        <w:spacing w:after="0" w:line="189" w:lineRule="exact"/>
        <w:rPr>
          <w:sz w:val="20"/>
          <w:szCs w:val="20"/>
          <w:color w:val="auto"/>
        </w:rPr>
      </w:pPr>
    </w:p>
    <w:p>
      <w:pPr>
        <w:ind w:right="20" w:firstLine="648"/>
        <w:spacing w:after="0" w:line="185" w:lineRule="exact"/>
        <w:rPr>
          <w:sz w:val="20"/>
          <w:szCs w:val="20"/>
          <w:color w:val="auto"/>
        </w:rPr>
      </w:pPr>
      <w:r>
        <w:rPr>
          <w:rFonts w:ascii="Arial" w:cs="Arial" w:eastAsia="Arial" w:hAnsi="Arial"/>
          <w:sz w:val="18"/>
          <w:szCs w:val="18"/>
          <w:color w:val="auto"/>
        </w:rPr>
        <w:t>Basic net loss per share of common stock is computed by dividing net loss by the weighted average number of shares of common stock outstanding during the period. Diluted net loss per share of common stock includes the effect, if any, from the potential exercise or conversion of securities, such as warrants and stock options, which would result in the issuance of incremental shares of common stock. As the impact of these items is anti</w:t>
      </w:r>
      <w:r>
        <w:rPr>
          <w:rFonts w:ascii="MS PGothic" w:cs="MS PGothic" w:eastAsia="MS PGothic" w:hAnsi="MS PGothic"/>
          <w:sz w:val="18"/>
          <w:szCs w:val="18"/>
          <w:color w:val="auto"/>
        </w:rPr>
        <w:t>‑</w:t>
      </w:r>
      <w:r>
        <w:rPr>
          <w:rFonts w:ascii="Arial" w:cs="Arial" w:eastAsia="Arial" w:hAnsi="Arial"/>
          <w:sz w:val="18"/>
          <w:szCs w:val="18"/>
          <w:color w:val="auto"/>
        </w:rPr>
        <w:t>dilutive during periods of net loss, there was no difference between basic and diluted net loss per share of common stock for the three and six months ended June 30, 2018 and 2017.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right="20" w:firstLine="648"/>
        <w:spacing w:after="0" w:line="221" w:lineRule="auto"/>
        <w:rPr>
          <w:sz w:val="20"/>
          <w:szCs w:val="20"/>
          <w:color w:val="auto"/>
        </w:rPr>
      </w:pPr>
      <w:r>
        <w:rPr>
          <w:rFonts w:ascii="Arial" w:cs="Arial" w:eastAsia="Arial" w:hAnsi="Arial"/>
          <w:sz w:val="17"/>
          <w:szCs w:val="17"/>
          <w:color w:val="auto"/>
        </w:rPr>
        <w:t xml:space="preserve">In February 2016, the Financial Accounting Standards Board (“FASB”) issued Accounting Standards Update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which supersedes FASB Topic 840, Leases (Topic 840) and provides principles for the recognition, measurement, presentation and disclosure of leases for both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twelve months regardless of classification. Leases with a term of twelve months or less will be accounted for similarly to existing guidance for operating leases. The standard will be effective for annual and interim periods beginning after December 15, 2018, with early adoption permitted upon issuance. The Company is currently evaluating the potential impact of the new guidance.</w:t>
      </w:r>
    </w:p>
    <w:p>
      <w:pPr>
        <w:spacing w:after="0" w:line="167" w:lineRule="exact"/>
        <w:rPr>
          <w:sz w:val="20"/>
          <w:szCs w:val="20"/>
          <w:color w:val="auto"/>
        </w:rPr>
      </w:pPr>
    </w:p>
    <w:p>
      <w:pPr>
        <w:ind w:right="100" w:firstLine="648"/>
        <w:spacing w:after="0" w:line="212"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 Classification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Certain Cash Receipts and Cash Payments, </w:t>
      </w:r>
      <w:r>
        <w:rPr>
          <w:rFonts w:ascii="Arial" w:cs="Arial" w:eastAsia="Arial" w:hAnsi="Arial"/>
          <w:sz w:val="18"/>
          <w:szCs w:val="18"/>
          <w:color w:val="auto"/>
        </w:rPr>
        <w:t>which is guidance to address diversity in practice with respect to how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cash receipts and cash payments are presented and classified in the statement of cash flows. The updated guidance addresses eight specific cash flow issues with the objective of reducing the existing diversity that occurs in practice. The guidance is effective for annual and interim periods beginning after December 15, 2017. The Company has adopted this guidance effective January 1, 2018 and the adoption of the guidance did not have a material impact on the Company’s financial statements.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Compensation-Stock Compensation (Topic 718): Scope of</w:t>
      </w:r>
      <w:r>
        <w:rPr>
          <w:rFonts w:ascii="Arial" w:cs="Arial" w:eastAsia="Arial" w:hAnsi="Arial"/>
          <w:sz w:val="18"/>
          <w:szCs w:val="18"/>
          <w:color w:val="auto"/>
        </w:rPr>
        <w:t xml:space="preserve"> </w:t>
      </w:r>
      <w:r>
        <w:rPr>
          <w:rFonts w:ascii="Arial" w:cs="Arial" w:eastAsia="Arial" w:hAnsi="Arial"/>
          <w:sz w:val="18"/>
          <w:szCs w:val="18"/>
          <w:i w:val="1"/>
          <w:iCs w:val="1"/>
          <w:color w:val="auto"/>
        </w:rPr>
        <w:t>Modification Accounting</w:t>
      </w:r>
      <w:r>
        <w:rPr>
          <w:rFonts w:ascii="Arial" w:cs="Arial" w:eastAsia="Arial" w:hAnsi="Arial"/>
          <w:sz w:val="18"/>
          <w:szCs w:val="18"/>
          <w:color w:val="auto"/>
        </w:rPr>
        <w:t>. ASU 2017-09 provides clarity and reduces both (1) diversity in practice and (2) cost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complexity when applying the guidance in Topic 718, to a change to the terms or conditions of a share-based payment award. The amendments in ASU 2017-09 should be applied prospectively to an award modified on or after the adoption date. This ASU is effective for fiscal years beginning after December 15, 2017, including interim periods within those years. The Company has adopted this guidance effective January 1, 2018 and the adoption of the guidance did not have a material impact on the Company’s financial statements.</w:t>
      </w:r>
    </w:p>
    <w:p>
      <w:pPr>
        <w:spacing w:after="0" w:line="125" w:lineRule="exact"/>
        <w:rPr>
          <w:sz w:val="20"/>
          <w:szCs w:val="20"/>
          <w:color w:val="auto"/>
        </w:rPr>
      </w:pPr>
    </w:p>
    <w:p>
      <w:pPr>
        <w:ind w:right="80" w:firstLine="647"/>
        <w:spacing w:after="0" w:line="229" w:lineRule="auto"/>
        <w:rPr>
          <w:sz w:val="20"/>
          <w:szCs w:val="20"/>
          <w:color w:val="auto"/>
        </w:rPr>
      </w:pPr>
      <w:r>
        <w:rPr>
          <w:rFonts w:ascii="Arial" w:cs="Arial" w:eastAsia="Arial" w:hAnsi="Arial"/>
          <w:sz w:val="17"/>
          <w:szCs w:val="17"/>
          <w:color w:val="auto"/>
        </w:rPr>
        <w:t xml:space="preserve">In June 2018, the FASB issued No. ASU 2018-07, </w:t>
      </w:r>
      <w:r>
        <w:rPr>
          <w:rFonts w:ascii="Arial" w:cs="Arial" w:eastAsia="Arial" w:hAnsi="Arial"/>
          <w:sz w:val="17"/>
          <w:szCs w:val="17"/>
          <w:i w:val="1"/>
          <w:iCs w:val="1"/>
          <w:color w:val="auto"/>
        </w:rPr>
        <w:t>Compensation-Stock Compensation (Topic 718): Improvements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 Nonemployee Share-Based Payment Accounting </w:t>
      </w:r>
      <w:r>
        <w:rPr>
          <w:rFonts w:ascii="Arial" w:cs="Arial" w:eastAsia="Arial" w:hAnsi="Arial"/>
          <w:sz w:val="17"/>
          <w:szCs w:val="17"/>
          <w:color w:val="auto"/>
        </w:rPr>
        <w:t>to simplify the accounting for share-based payments to nonemployees by</w:t>
      </w:r>
      <w:r>
        <w:rPr>
          <w:rFonts w:ascii="Arial" w:cs="Arial" w:eastAsia="Arial" w:hAnsi="Arial"/>
          <w:sz w:val="17"/>
          <w:szCs w:val="17"/>
          <w:i w:val="1"/>
          <w:iCs w:val="1"/>
          <w:color w:val="auto"/>
        </w:rPr>
        <w:t xml:space="preserve"> </w:t>
      </w:r>
      <w:r>
        <w:rPr>
          <w:rFonts w:ascii="Arial" w:cs="Arial" w:eastAsia="Arial" w:hAnsi="Arial"/>
          <w:sz w:val="17"/>
          <w:szCs w:val="17"/>
          <w:color w:val="auto"/>
        </w:rPr>
        <w:t>aligning it with the accounting for share-based payments to employees, with certain exceptions. The standard will be effective for annual and interim periods beginning after December 15, 2018, with early adoption permitted upon issuance. The Company is currently evaluating the potential impact of the new guidance.</w:t>
      </w:r>
    </w:p>
    <w:p>
      <w:pPr>
        <w:spacing w:after="0" w:line="9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Fair Value Measurements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Warrants associated with Registered Direct Offering</w:t>
      </w:r>
    </w:p>
    <w:p>
      <w:pPr>
        <w:spacing w:after="0" w:line="189"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 xml:space="preserve">In accordance with Accounting Standards Codification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financial instruments were measured at fair value using a three-level hierarchy which maximizes use of observable inputs and minimizes use of unobservable inputs:</w:t>
      </w:r>
    </w:p>
    <w:p>
      <w:pPr>
        <w:spacing w:after="0" w:line="163" w:lineRule="exact"/>
        <w:rPr>
          <w:sz w:val="20"/>
          <w:szCs w:val="20"/>
          <w:color w:val="auto"/>
        </w:rPr>
      </w:pPr>
    </w:p>
    <w:p>
      <w:pPr>
        <w:ind w:left="660" w:right="60"/>
        <w:spacing w:after="0" w:line="235"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 that the Company has the ability to access</w:t>
      </w:r>
      <w:r>
        <w:rPr>
          <w:rFonts w:ascii="Arial" w:cs="Arial" w:eastAsia="Arial" w:hAnsi="Arial"/>
          <w:sz w:val="18"/>
          <w:szCs w:val="18"/>
          <w:i w:val="1"/>
          <w:iCs w:val="1"/>
          <w:color w:val="auto"/>
        </w:rPr>
        <w:t xml:space="preserve"> </w:t>
      </w:r>
      <w:r>
        <w:rPr>
          <w:rFonts w:ascii="Arial" w:cs="Arial" w:eastAsia="Arial" w:hAnsi="Arial"/>
          <w:sz w:val="18"/>
          <w:szCs w:val="18"/>
          <w:color w:val="auto"/>
        </w:rPr>
        <w:t>at the measurement date.</w:t>
      </w:r>
    </w:p>
    <w:p>
      <w:pPr>
        <w:spacing w:after="0" w:line="162" w:lineRule="exact"/>
        <w:rPr>
          <w:sz w:val="20"/>
          <w:szCs w:val="20"/>
          <w:color w:val="auto"/>
        </w:rPr>
      </w:pPr>
    </w:p>
    <w:p>
      <w:pPr>
        <w:ind w:left="660"/>
        <w:spacing w:after="0" w:line="235"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other than quoted prices in active markets that are observable for the asset or liability, either directly</w:t>
      </w:r>
      <w:r>
        <w:rPr>
          <w:rFonts w:ascii="Arial" w:cs="Arial" w:eastAsia="Arial" w:hAnsi="Arial"/>
          <w:sz w:val="18"/>
          <w:szCs w:val="18"/>
          <w:i w:val="1"/>
          <w:iCs w:val="1"/>
          <w:color w:val="auto"/>
        </w:rPr>
        <w:t xml:space="preserve"> </w:t>
      </w:r>
      <w:r>
        <w:rPr>
          <w:rFonts w:ascii="Arial" w:cs="Arial" w:eastAsia="Arial" w:hAnsi="Arial"/>
          <w:sz w:val="18"/>
          <w:szCs w:val="18"/>
          <w:color w:val="auto"/>
        </w:rPr>
        <w:t>or indirectly.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that are unobservable for the asset or liability.</w:t>
      </w:r>
    </w:p>
    <w:p>
      <w:pPr>
        <w:spacing w:after="0" w:line="185"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 xml:space="preserve">In connection with the Company’s December 4, 2017 registered direct offering (the “Registered Direct Offering”), the Company issued common stock warrants (“Common Warrants”) to certain investors to purchase an aggregate of 1,783,587 shares of its common stock. The Common Warrants are exercisable at $5.25 per share and expire on December 11, 2018. Additionally, as part of the Registered Direct Offering, the Company issued warrants (the “Placement Agent Warrants’) to certain investors affiliated with H.C. Wainwright &amp; Co., LLC, the placement agent in the Registered Direct Offering to purchase an aggregate of 107,015 shares of its common stock. The Placement Agent Warrants are exercisable at $6.6562 and expire on December 11, 2018. The Common Warrants and Placement Agent Warrants were analyzed and it was determined that they require liability treatment. Under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registered common stock warrants that require the issuance of registered shares upon exercise and do not expressly preclude an implied right to cash settlement are accounted for as derivative liabilities. The Company classifies these derivative warrant liabilities on the consolidated balance sheet as a current liability.</w:t>
      </w:r>
    </w:p>
    <w:p>
      <w:pPr>
        <w:spacing w:after="0" w:line="167" w:lineRule="exact"/>
        <w:rPr>
          <w:sz w:val="20"/>
          <w:szCs w:val="20"/>
          <w:color w:val="auto"/>
        </w:rPr>
      </w:pPr>
    </w:p>
    <w:p>
      <w:pPr>
        <w:ind w:right="40" w:firstLine="648"/>
        <w:spacing w:after="0" w:line="229" w:lineRule="auto"/>
        <w:rPr>
          <w:sz w:val="20"/>
          <w:szCs w:val="20"/>
          <w:color w:val="auto"/>
        </w:rPr>
      </w:pPr>
      <w:r>
        <w:rPr>
          <w:rFonts w:ascii="Arial" w:cs="Arial" w:eastAsia="Arial" w:hAnsi="Arial"/>
          <w:sz w:val="17"/>
          <w:szCs w:val="17"/>
          <w:color w:val="auto"/>
        </w:rPr>
        <w:t>The fair value of the Common Warrants at June 30, 2018 and December 31, 2017 was determined to be approximately $115,000 and $2,683,000, respectively, as calculated using Black-Scholes with the following assumptions: (1) stock price of $3.20 and $5.60, respectively; (2) a risk-free rate of 2.09% and 1.76%, respectively; and (3) an expected volatility of 55% and 62%, respectively. The change in the fair value between December 31, 2017 and June 30, 2018 is reported as a change in fair value of the warrant liability on the statement of operations.</w:t>
      </w:r>
    </w:p>
    <w:p>
      <w:pPr>
        <w:spacing w:after="0" w:line="161" w:lineRule="exact"/>
        <w:rPr>
          <w:sz w:val="20"/>
          <w:szCs w:val="20"/>
          <w:color w:val="auto"/>
        </w:rPr>
      </w:pPr>
    </w:p>
    <w:p>
      <w:pPr>
        <w:ind w:right="280" w:firstLine="648"/>
        <w:spacing w:after="0" w:line="229" w:lineRule="auto"/>
        <w:rPr>
          <w:sz w:val="20"/>
          <w:szCs w:val="20"/>
          <w:color w:val="auto"/>
        </w:rPr>
      </w:pPr>
      <w:r>
        <w:rPr>
          <w:rFonts w:ascii="Arial" w:cs="Arial" w:eastAsia="Arial" w:hAnsi="Arial"/>
          <w:sz w:val="17"/>
          <w:szCs w:val="17"/>
          <w:color w:val="auto"/>
        </w:rPr>
        <w:t>The fair value of the Placement Agent Warrants at June 30, 2018 and December 31, 2017 were determined to be approximately $2,000 and $108,000, respectively, as calculated using Black-Scholes with the following assumptions: (1) stock price of $3.20 and $5.60, respectively; (2) a risk-free rate of 2.09% and 1.76%, respectively; and (3) an expected volatility of 55% and 62%, respectively. The change in the fair value between December 31, 2017 and June 30, 2018 is reported as a change in fair value of the warrant liability on the statement of operations.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Level 3 Fair Value Sensitivity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liability</w:t>
      </w:r>
    </w:p>
    <w:p>
      <w:pPr>
        <w:spacing w:after="0" w:line="185"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As of June 30, 2018, the fair value of the warrant liability utilizes inputs including: share price, expected volatility and risk-free rate.</w:t>
      </w:r>
    </w:p>
    <w:p>
      <w:pPr>
        <w:spacing w:after="0" w:line="162" w:lineRule="exact"/>
        <w:rPr>
          <w:sz w:val="20"/>
          <w:szCs w:val="20"/>
          <w:color w:val="auto"/>
        </w:rPr>
      </w:pPr>
    </w:p>
    <w:p>
      <w:pPr>
        <w:ind w:left="660" w:right="40" w:hanging="333"/>
        <w:spacing w:after="0" w:line="23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10% plus/minus change in share price will result in an estimated increase/decrease of $0.1 million in the value of the warrant liability,</w:t>
      </w:r>
    </w:p>
    <w:p>
      <w:pPr>
        <w:spacing w:after="0" w:line="161" w:lineRule="exact"/>
        <w:rPr>
          <w:rFonts w:ascii="Arial" w:cs="Arial" w:eastAsia="Arial" w:hAnsi="Arial"/>
          <w:sz w:val="18"/>
          <w:szCs w:val="18"/>
          <w:color w:val="auto"/>
        </w:rPr>
      </w:pPr>
    </w:p>
    <w:p>
      <w:pPr>
        <w:ind w:left="660" w:right="120" w:hanging="333"/>
        <w:spacing w:after="0" w:line="23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10% plus/minus change in the expected volatility will result in an estimated increase/decrease of $0.1 million in the value of the warrant liability, and</w:t>
      </w:r>
    </w:p>
    <w:p>
      <w:pPr>
        <w:spacing w:after="0" w:line="161" w:lineRule="exact"/>
        <w:rPr>
          <w:rFonts w:ascii="Arial" w:cs="Arial" w:eastAsia="Arial" w:hAnsi="Arial"/>
          <w:sz w:val="18"/>
          <w:szCs w:val="18"/>
          <w:color w:val="auto"/>
        </w:rPr>
      </w:pPr>
    </w:p>
    <w:p>
      <w:pPr>
        <w:ind w:left="660" w:right="40" w:hanging="333"/>
        <w:spacing w:after="0" w:line="23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10% plus/minus change in the risk-free interest rate will result in an immaterial change in the value of the warrant liability.</w:t>
      </w:r>
    </w:p>
    <w:p>
      <w:pPr>
        <w:spacing w:after="0" w:line="162" w:lineRule="exact"/>
        <w:rPr>
          <w:sz w:val="20"/>
          <w:szCs w:val="20"/>
          <w:color w:val="auto"/>
        </w:rPr>
      </w:pPr>
    </w:p>
    <w:p>
      <w:pPr>
        <w:ind w:right="460" w:firstLine="648"/>
        <w:spacing w:after="0" w:line="235" w:lineRule="auto"/>
        <w:rPr>
          <w:sz w:val="20"/>
          <w:szCs w:val="20"/>
          <w:color w:val="auto"/>
        </w:rPr>
      </w:pPr>
      <w:r>
        <w:rPr>
          <w:rFonts w:ascii="Arial" w:cs="Arial" w:eastAsia="Arial" w:hAnsi="Arial"/>
          <w:sz w:val="18"/>
          <w:szCs w:val="18"/>
          <w:color w:val="auto"/>
        </w:rPr>
        <w:t>The following table sets forth a summary of changes in the fair value of Level 3 liabilities for the three and six months ended June 30, 2018:</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6"/>
              </w:rPr>
              <w:t>Three Months Ended June 30, 2018</w:t>
            </w:r>
          </w:p>
        </w:tc>
        <w:tc>
          <w:tcPr>
            <w:tcW w:w="1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2"/>
              </w:rPr>
              <w:t>Beginning of period</w:t>
            </w:r>
          </w:p>
        </w:tc>
        <w:tc>
          <w:tcPr>
            <w:tcW w:w="1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Issuances</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3"/>
              </w:rPr>
              <w:t>Change in fair value</w:t>
            </w:r>
          </w:p>
        </w:tc>
        <w:tc>
          <w:tcPr>
            <w:tcW w:w="1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0"/>
              </w:rPr>
              <w:t>Extinguishments</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End of period</w:t>
            </w:r>
          </w:p>
        </w:tc>
      </w:tr>
      <w:tr>
        <w:trPr>
          <w:trHeight w:val="169"/>
        </w:trPr>
        <w:tc>
          <w:tcPr>
            <w:tcW w:w="228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Warrant liability</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118,000</w:t>
            </w:r>
          </w:p>
        </w:tc>
        <w:tc>
          <w:tcPr>
            <w:tcW w:w="40" w:type="dxa"/>
            <w:vAlign w:val="bottom"/>
            <w:tcBorders>
              <w:bottom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2"/>
            <w:shd w:val="clear" w:color="auto" w:fill="CCEEFF"/>
          </w:tcPr>
          <w:p>
            <w:pPr>
              <w:ind w:left="680"/>
              <w:spacing w:after="0" w:line="170"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gridSpan w:val="2"/>
            <w:shd w:val="clear" w:color="auto" w:fill="CCEEFF"/>
          </w:tcPr>
          <w:p>
            <w:pPr>
              <w:ind w:left="380"/>
              <w:spacing w:after="0" w:line="170"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gridSpan w:val="2"/>
            <w:shd w:val="clear" w:color="auto" w:fill="CCEEFF"/>
          </w:tcPr>
          <w:p>
            <w:pPr>
              <w:jc w:val="right"/>
              <w:ind w:right="40"/>
              <w:spacing w:after="0" w:line="170" w:lineRule="exact"/>
              <w:rPr>
                <w:sz w:val="20"/>
                <w:szCs w:val="20"/>
                <w:color w:val="auto"/>
              </w:rPr>
            </w:pPr>
            <w:r>
              <w:rPr>
                <w:rFonts w:ascii="Arial" w:cs="Arial" w:eastAsia="Arial" w:hAnsi="Arial"/>
                <w:sz w:val="18"/>
                <w:szCs w:val="18"/>
                <w:color w:val="auto"/>
              </w:rPr>
              <w:t>117,000</w:t>
            </w:r>
          </w:p>
        </w:tc>
      </w:tr>
      <w:tr>
        <w:trPr>
          <w:trHeight w:val="176"/>
        </w:trPr>
        <w:tc>
          <w:tcPr>
            <w:tcW w:w="2280" w:type="dxa"/>
            <w:vAlign w:val="bottom"/>
            <w:gridSpan w:val="2"/>
          </w:tcPr>
          <w:p>
            <w:pPr>
              <w:ind w:left="220"/>
              <w:spacing w:after="0" w:line="170" w:lineRule="exact"/>
              <w:rPr>
                <w:sz w:val="20"/>
                <w:szCs w:val="20"/>
                <w:color w:val="auto"/>
              </w:rPr>
            </w:pPr>
            <w:r>
              <w:rPr>
                <w:rFonts w:ascii="Arial" w:cs="Arial" w:eastAsia="Arial" w:hAnsi="Arial"/>
                <w:sz w:val="18"/>
                <w:szCs w:val="18"/>
                <w:color w:val="auto"/>
              </w:rPr>
              <w:t>Total</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118,000</w:t>
            </w:r>
          </w:p>
        </w:tc>
        <w:tc>
          <w:tcPr>
            <w:tcW w:w="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2"/>
          </w:tcPr>
          <w:p>
            <w:pPr>
              <w:ind w:left="680"/>
              <w:spacing w:after="0" w:line="170"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2"/>
          </w:tcPr>
          <w:p>
            <w:pPr>
              <w:jc w:val="right"/>
              <w:spacing w:after="0" w:line="170" w:lineRule="exact"/>
              <w:rPr>
                <w:sz w:val="20"/>
                <w:szCs w:val="20"/>
                <w:color w:val="auto"/>
              </w:rPr>
            </w:pPr>
            <w:r>
              <w:rPr>
                <w:rFonts w:ascii="Arial" w:cs="Arial" w:eastAsia="Arial" w:hAnsi="Arial"/>
                <w:sz w:val="18"/>
                <w:szCs w:val="18"/>
                <w:color w:val="auto"/>
              </w:rPr>
              <w:t>(1,000)</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gridSpan w:val="2"/>
          </w:tcPr>
          <w:p>
            <w:pPr>
              <w:ind w:left="380"/>
              <w:spacing w:after="0" w:line="170"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gridSpan w:val="2"/>
          </w:tcPr>
          <w:p>
            <w:pPr>
              <w:jc w:val="right"/>
              <w:ind w:right="40"/>
              <w:spacing w:after="0" w:line="170" w:lineRule="exact"/>
              <w:rPr>
                <w:sz w:val="20"/>
                <w:szCs w:val="20"/>
                <w:color w:val="auto"/>
              </w:rPr>
            </w:pPr>
            <w:r>
              <w:rPr>
                <w:rFonts w:ascii="Arial" w:cs="Arial" w:eastAsia="Arial" w:hAnsi="Arial"/>
                <w:sz w:val="18"/>
                <w:szCs w:val="18"/>
                <w:color w:val="auto"/>
              </w:rPr>
              <w:t>117,000</w:t>
            </w:r>
          </w:p>
        </w:tc>
      </w:tr>
      <w:tr>
        <w:trPr>
          <w:trHeight w:val="540"/>
        </w:trPr>
        <w:tc>
          <w:tcPr>
            <w:tcW w:w="2280" w:type="dxa"/>
            <w:vAlign w:val="bottom"/>
            <w:gridSpan w:val="2"/>
          </w:tcPr>
          <w:p>
            <w:pPr>
              <w:spacing w:after="0"/>
              <w:rPr>
                <w:sz w:val="20"/>
                <w:szCs w:val="20"/>
                <w:color w:val="auto"/>
              </w:rPr>
            </w:pPr>
            <w:r>
              <w:rPr>
                <w:rFonts w:ascii="Arial" w:cs="Arial" w:eastAsia="Arial" w:hAnsi="Arial"/>
                <w:sz w:val="14"/>
                <w:szCs w:val="14"/>
                <w:b w:val="1"/>
                <w:bCs w:val="1"/>
                <w:color w:val="auto"/>
              </w:rPr>
              <w:t>Six Months Ended June 30, 2018</w:t>
            </w:r>
          </w:p>
        </w:tc>
        <w:tc>
          <w:tcPr>
            <w:tcW w:w="160" w:type="dxa"/>
            <w:vAlign w:val="bottom"/>
          </w:tcPr>
          <w:p>
            <w:pPr>
              <w:spacing w:after="0"/>
              <w:rPr>
                <w:sz w:val="24"/>
                <w:szCs w:val="24"/>
                <w:color w:val="auto"/>
              </w:rPr>
            </w:pPr>
          </w:p>
        </w:tc>
        <w:tc>
          <w:tcPr>
            <w:tcW w:w="1300" w:type="dxa"/>
            <w:vAlign w:val="bottom"/>
            <w:gridSpan w:val="4"/>
          </w:tcPr>
          <w:p>
            <w:pPr>
              <w:ind w:left="20"/>
              <w:spacing w:after="0"/>
              <w:rPr>
                <w:sz w:val="20"/>
                <w:szCs w:val="20"/>
                <w:color w:val="auto"/>
              </w:rPr>
            </w:pPr>
            <w:r>
              <w:rPr>
                <w:rFonts w:ascii="Arial" w:cs="Arial" w:eastAsia="Arial" w:hAnsi="Arial"/>
                <w:sz w:val="14"/>
                <w:szCs w:val="14"/>
                <w:b w:val="1"/>
                <w:bCs w:val="1"/>
                <w:color w:val="auto"/>
                <w:w w:val="95"/>
              </w:rPr>
              <w:t>Beginning of period</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Issuances</w:t>
            </w:r>
          </w:p>
        </w:tc>
        <w:tc>
          <w:tcPr>
            <w:tcW w:w="140" w:type="dxa"/>
            <w:vAlign w:val="bottom"/>
          </w:tcPr>
          <w:p>
            <w:pPr>
              <w:spacing w:after="0"/>
              <w:rPr>
                <w:sz w:val="24"/>
                <w:szCs w:val="24"/>
                <w:color w:val="auto"/>
              </w:rPr>
            </w:pPr>
          </w:p>
        </w:tc>
        <w:tc>
          <w:tcPr>
            <w:tcW w:w="1340" w:type="dxa"/>
            <w:vAlign w:val="bottom"/>
            <w:gridSpan w:val="4"/>
          </w:tcPr>
          <w:p>
            <w:pPr>
              <w:ind w:left="20"/>
              <w:spacing w:after="0"/>
              <w:rPr>
                <w:sz w:val="20"/>
                <w:szCs w:val="20"/>
                <w:color w:val="auto"/>
              </w:rPr>
            </w:pPr>
            <w:r>
              <w:rPr>
                <w:rFonts w:ascii="Arial" w:cs="Arial" w:eastAsia="Arial" w:hAnsi="Arial"/>
                <w:sz w:val="14"/>
                <w:szCs w:val="14"/>
                <w:b w:val="1"/>
                <w:bCs w:val="1"/>
                <w:color w:val="auto"/>
                <w:w w:val="97"/>
              </w:rPr>
              <w:t>Change in fair value</w:t>
            </w:r>
          </w:p>
        </w:tc>
        <w:tc>
          <w:tcPr>
            <w:tcW w:w="14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Arial" w:cs="Arial" w:eastAsia="Arial" w:hAnsi="Arial"/>
                <w:sz w:val="14"/>
                <w:szCs w:val="14"/>
                <w:b w:val="1"/>
                <w:bCs w:val="1"/>
                <w:color w:val="auto"/>
                <w:w w:val="95"/>
              </w:rPr>
              <w:t>Extinguishments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End of period</w:t>
            </w:r>
          </w:p>
        </w:tc>
      </w:tr>
      <w:tr>
        <w:trPr>
          <w:trHeight w:val="169"/>
        </w:trPr>
        <w:tc>
          <w:tcPr>
            <w:tcW w:w="224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Warrant liability</w:t>
            </w: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gridSpan w:val="2"/>
            <w:shd w:val="clear" w:color="auto" w:fill="CCEEFF"/>
          </w:tcPr>
          <w:p>
            <w:pPr>
              <w:jc w:val="right"/>
              <w:ind w:right="136"/>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2,791,000</w:t>
            </w: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gridSpan w:val="2"/>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ind w:left="620"/>
              <w:spacing w:after="0" w:line="170"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(2,674,000)</w:t>
            </w: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ind w:left="340"/>
              <w:spacing w:after="0" w:line="170"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gridSpan w:val="2"/>
            <w:shd w:val="clear" w:color="auto" w:fill="CCEEFF"/>
          </w:tcPr>
          <w:p>
            <w:pPr>
              <w:spacing w:after="0"/>
              <w:rPr>
                <w:sz w:val="14"/>
                <w:szCs w:val="14"/>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117,000</w:t>
            </w:r>
          </w:p>
        </w:tc>
        <w:tc>
          <w:tcPr>
            <w:tcW w:w="40" w:type="dxa"/>
            <w:vAlign w:val="bottom"/>
            <w:tcBorders>
              <w:top w:val="single" w:sz="8" w:color="CCEEFF"/>
            </w:tcBorders>
            <w:shd w:val="clear" w:color="auto" w:fill="CCEEFF"/>
          </w:tcPr>
          <w:p>
            <w:pPr>
              <w:spacing w:after="0"/>
              <w:rPr>
                <w:sz w:val="14"/>
                <w:szCs w:val="14"/>
                <w:color w:val="auto"/>
              </w:rPr>
            </w:pPr>
          </w:p>
        </w:tc>
      </w:tr>
      <w:tr>
        <w:trPr>
          <w:trHeight w:val="176"/>
        </w:trPr>
        <w:tc>
          <w:tcPr>
            <w:tcW w:w="2280" w:type="dxa"/>
            <w:vAlign w:val="bottom"/>
            <w:gridSpan w:val="2"/>
          </w:tcPr>
          <w:p>
            <w:pPr>
              <w:ind w:left="220"/>
              <w:spacing w:after="0" w:line="170" w:lineRule="exact"/>
              <w:rPr>
                <w:sz w:val="20"/>
                <w:szCs w:val="20"/>
                <w:color w:val="auto"/>
              </w:rPr>
            </w:pPr>
            <w:r>
              <w:rPr>
                <w:rFonts w:ascii="Arial" w:cs="Arial" w:eastAsia="Arial" w:hAnsi="Arial"/>
                <w:sz w:val="18"/>
                <w:szCs w:val="18"/>
                <w:color w:val="auto"/>
              </w:rPr>
              <w:t>Total</w:t>
            </w:r>
          </w:p>
        </w:tc>
        <w:tc>
          <w:tcPr>
            <w:tcW w:w="160" w:type="dxa"/>
            <w:vAlign w:val="bottom"/>
          </w:tcPr>
          <w:p>
            <w:pPr>
              <w:spacing w:after="0"/>
              <w:rPr>
                <w:sz w:val="15"/>
                <w:szCs w:val="15"/>
                <w:color w:val="auto"/>
              </w:rPr>
            </w:pPr>
          </w:p>
        </w:tc>
        <w:tc>
          <w:tcPr>
            <w:tcW w:w="300" w:type="dxa"/>
            <w:vAlign w:val="bottom"/>
            <w:tcBorders>
              <w:bottom w:val="single" w:sz="8" w:color="auto"/>
            </w:tcBorders>
            <w:gridSpan w:val="2"/>
          </w:tcPr>
          <w:p>
            <w:pPr>
              <w:jc w:val="right"/>
              <w:ind w:right="136"/>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2,791,000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gridSpan w:val="2"/>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ind w:left="620"/>
              <w:spacing w:after="0" w:line="170"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bottom w:val="single" w:sz="8" w:color="auto"/>
            </w:tcBorders>
            <w:gridSpan w:val="2"/>
          </w:tcPr>
          <w:p>
            <w:pPr>
              <w:spacing w:after="0" w:line="170"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(2,674,000)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Borders>
              <w:bottom w:val="single" w:sz="8" w:color="auto"/>
            </w:tcBorders>
            <w:gridSpan w:val="2"/>
          </w:tcPr>
          <w:p>
            <w:pPr>
              <w:spacing w:after="0" w:line="170"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ind w:left="340"/>
              <w:spacing w:after="0" w:line="170"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117,000</w:t>
            </w:r>
          </w:p>
        </w:tc>
        <w:tc>
          <w:tcPr>
            <w:tcW w:w="40" w:type="dxa"/>
            <w:vAlign w:val="bottom"/>
          </w:tcPr>
          <w:p>
            <w:pPr>
              <w:spacing w:after="0"/>
              <w:rPr>
                <w:sz w:val="15"/>
                <w:szCs w:val="15"/>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Accrued Expenses and Other Current Liabilities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June 30, 2018 and December 31, 2017 accrued expenses and other current liabilities consisted of the following: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216"/>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1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1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Research and development</w:t>
            </w:r>
          </w:p>
        </w:tc>
        <w:tc>
          <w:tcPr>
            <w:tcW w:w="3520" w:type="dxa"/>
            <w:vAlign w:val="bottom"/>
            <w:gridSpan w:val="2"/>
            <w:shd w:val="clear" w:color="auto" w:fill="CCEEFF"/>
          </w:tcPr>
          <w:p>
            <w:pPr>
              <w:jc w:val="right"/>
              <w:ind w:right="25"/>
              <w:spacing w:after="0" w:line="17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1,942,366</w:t>
            </w:r>
          </w:p>
        </w:tc>
        <w:tc>
          <w:tcPr>
            <w:tcW w:w="3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1,642,154</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80" w:type="dxa"/>
            <w:vAlign w:val="bottom"/>
          </w:tcPr>
          <w:p>
            <w:pPr>
              <w:spacing w:after="0" w:line="176" w:lineRule="exact"/>
              <w:rPr>
                <w:sz w:val="20"/>
                <w:szCs w:val="20"/>
                <w:color w:val="auto"/>
              </w:rPr>
            </w:pPr>
            <w:r>
              <w:rPr>
                <w:rFonts w:ascii="Arial" w:cs="Arial" w:eastAsia="Arial" w:hAnsi="Arial"/>
                <w:sz w:val="18"/>
                <w:szCs w:val="18"/>
                <w:color w:val="auto"/>
              </w:rPr>
              <w:t>Accrued compensation</w:t>
            </w:r>
          </w:p>
        </w:tc>
        <w:tc>
          <w:tcPr>
            <w:tcW w:w="3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420,575</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704,556</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w:t>
            </w:r>
          </w:p>
        </w:tc>
        <w:tc>
          <w:tcPr>
            <w:tcW w:w="33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590,690</w:t>
            </w:r>
          </w:p>
        </w:tc>
        <w:tc>
          <w:tcPr>
            <w:tcW w:w="2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332,824</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80" w:type="dxa"/>
            <w:vAlign w:val="bottom"/>
          </w:tcPr>
          <w:p>
            <w:pPr>
              <w:spacing w:after="0" w:line="170" w:lineRule="exact"/>
              <w:rPr>
                <w:sz w:val="20"/>
                <w:szCs w:val="20"/>
                <w:color w:val="auto"/>
              </w:rPr>
            </w:pPr>
            <w:r>
              <w:rPr>
                <w:rFonts w:ascii="Arial" w:cs="Arial" w:eastAsia="Arial" w:hAnsi="Arial"/>
                <w:sz w:val="18"/>
                <w:szCs w:val="18"/>
                <w:color w:val="auto"/>
              </w:rPr>
              <w:t>Total</w:t>
            </w:r>
          </w:p>
        </w:tc>
        <w:tc>
          <w:tcPr>
            <w:tcW w:w="3340" w:type="dxa"/>
            <w:vAlign w:val="bottom"/>
          </w:tcPr>
          <w:p>
            <w:pPr>
              <w:spacing w:after="0"/>
              <w:rPr>
                <w:sz w:val="15"/>
                <w:szCs w:val="15"/>
                <w:color w:val="auto"/>
              </w:rPr>
            </w:pPr>
          </w:p>
        </w:tc>
        <w:tc>
          <w:tcPr>
            <w:tcW w:w="180" w:type="dxa"/>
            <w:vAlign w:val="bottom"/>
            <w:tcBorders>
              <w:bottom w:val="single" w:sz="8" w:color="auto"/>
            </w:tcBorders>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2,953,631</w:t>
            </w:r>
          </w:p>
        </w:tc>
        <w:tc>
          <w:tcPr>
            <w:tcW w:w="220" w:type="dxa"/>
            <w:vAlign w:val="bottom"/>
          </w:tcPr>
          <w:p>
            <w:pPr>
              <w:spacing w:after="0"/>
              <w:rPr>
                <w:sz w:val="15"/>
                <w:szCs w:val="15"/>
                <w:color w:val="auto"/>
              </w:rPr>
            </w:pPr>
          </w:p>
        </w:tc>
        <w:tc>
          <w:tcPr>
            <w:tcW w:w="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2,679,534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37"/>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340" w:type="dxa"/>
            <w:vAlign w:val="bottom"/>
          </w:tcPr>
          <w:p>
            <w:pPr>
              <w:jc w:val="right"/>
              <w:ind w:right="183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80" w:type="dxa"/>
            <w:vAlign w:val="bottom"/>
            <w:tcBorders>
              <w:bottom w:val="single" w:sz="8" w:color="auto"/>
            </w:tcBorders>
          </w:tcPr>
          <w:p>
            <w:pPr>
              <w:spacing w:after="0"/>
              <w:rPr>
                <w:sz w:val="8"/>
                <w:szCs w:val="8"/>
                <w:color w:val="auto"/>
              </w:rPr>
            </w:pPr>
          </w:p>
        </w:tc>
        <w:tc>
          <w:tcPr>
            <w:tcW w:w="33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2"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Loan and Security Agreement</w:t>
      </w:r>
    </w:p>
    <w:p>
      <w:pPr>
        <w:spacing w:after="0" w:line="67" w:lineRule="exact"/>
        <w:rPr>
          <w:sz w:val="20"/>
          <w:szCs w:val="20"/>
          <w:color w:val="auto"/>
        </w:rPr>
      </w:pPr>
    </w:p>
    <w:p>
      <w:pPr>
        <w:ind w:right="140" w:firstLine="648"/>
        <w:spacing w:after="0" w:line="219" w:lineRule="auto"/>
        <w:rPr>
          <w:sz w:val="20"/>
          <w:szCs w:val="20"/>
          <w:color w:val="auto"/>
        </w:rPr>
      </w:pPr>
      <w:r>
        <w:rPr>
          <w:rFonts w:ascii="Arial" w:cs="Arial" w:eastAsia="Arial" w:hAnsi="Arial"/>
          <w:sz w:val="18"/>
          <w:szCs w:val="18"/>
          <w:color w:val="auto"/>
        </w:rPr>
        <w:t>In November 2016, the Company entered into a $20.0 million Term Loan Agreement (“Term Loan”) with Silicon Valley Bank (“SVB”). The three-tranche Term Loan consists of an initial $10.0 million tranche triggered upon closing, with the remaining $10.0 million available to be drawn in two $5.0 million tranches, at the Company’s option, subject to the achievement of certain clinical and financial milestones.</w:t>
      </w:r>
    </w:p>
    <w:p>
      <w:pPr>
        <w:spacing w:after="0" w:line="28" w:lineRule="exact"/>
        <w:rPr>
          <w:sz w:val="20"/>
          <w:szCs w:val="20"/>
          <w:color w:val="auto"/>
        </w:rPr>
      </w:pPr>
    </w:p>
    <w:p>
      <w:pPr>
        <w:ind w:right="100" w:firstLine="648"/>
        <w:spacing w:after="0" w:line="236" w:lineRule="auto"/>
        <w:rPr>
          <w:sz w:val="20"/>
          <w:szCs w:val="20"/>
          <w:color w:val="auto"/>
        </w:rPr>
      </w:pPr>
      <w:r>
        <w:rPr>
          <w:rFonts w:ascii="Arial" w:cs="Arial" w:eastAsia="Arial" w:hAnsi="Arial"/>
          <w:sz w:val="16"/>
          <w:szCs w:val="16"/>
          <w:color w:val="auto"/>
        </w:rPr>
        <w:t>The loan bears interest at an annual rate equal to 4.50% plus the prime rate, which is the greater of 3.50% or the Wall Street Journal prime rate, and is payable monthly. It matures in November 2020 and had an interest-only payment period until December 1, 2017, which was extendable to May 2018 upon the drawing of the second tranche. Following the interest-only payment period, the Company began making monthly payments of principal and interest and such payments will continue until the maturity date. Principal payments coming due within twelve months have been classified as current liabilities in the accompanying balance sheet. In addition, the Company is required to pay a final payment fee of 8.5% of the principal amount extended on the date of repayment of the Term Loan, which is being accreted and amortized into interest expense using the effective interest rate method over the term of the loan. Because the Company did not achieve the conditional criteria to access the second and third term advances before the specified dates, the $10.0 million in additional term loan advances expired and the Company began to repay principal in December 2017.</w:t>
      </w:r>
    </w:p>
    <w:p>
      <w:pPr>
        <w:spacing w:after="0" w:line="41" w:lineRule="exact"/>
        <w:rPr>
          <w:sz w:val="20"/>
          <w:szCs w:val="20"/>
          <w:color w:val="auto"/>
        </w:rPr>
      </w:pPr>
    </w:p>
    <w:p>
      <w:pPr>
        <w:ind w:right="60" w:firstLine="648"/>
        <w:spacing w:after="0" w:line="216" w:lineRule="auto"/>
        <w:rPr>
          <w:sz w:val="20"/>
          <w:szCs w:val="20"/>
          <w:color w:val="auto"/>
        </w:rPr>
      </w:pPr>
      <w:r>
        <w:rPr>
          <w:rFonts w:ascii="Arial" w:cs="Arial" w:eastAsia="Arial" w:hAnsi="Arial"/>
          <w:sz w:val="18"/>
          <w:szCs w:val="18"/>
          <w:color w:val="auto"/>
        </w:rPr>
        <w:t>The Company may prepay all, but not less than all, of the Term Loan, subject to a prepayment premium of 3.0% of the outstanding principal if prepaid within two years of the effective date of the loan, 2.0% of the outstanding principal if prepaid during the third year of the loan, and 1.0% of the outstanding principal if prepaid after the third year. The Term Loan is collateralized by a security interest in all of the Company’s assets except intellectual property. The Company’s intellectual property is subject to a negative pledge.</w:t>
      </w:r>
    </w:p>
    <w:p>
      <w:pPr>
        <w:spacing w:after="0" w:line="41" w:lineRule="exact"/>
        <w:rPr>
          <w:sz w:val="20"/>
          <w:szCs w:val="20"/>
          <w:color w:val="auto"/>
        </w:rPr>
      </w:pPr>
    </w:p>
    <w:p>
      <w:pPr>
        <w:ind w:right="420" w:firstLine="648"/>
        <w:spacing w:after="0" w:line="235" w:lineRule="auto"/>
        <w:rPr>
          <w:sz w:val="20"/>
          <w:szCs w:val="20"/>
          <w:color w:val="auto"/>
        </w:rPr>
      </w:pPr>
      <w:r>
        <w:rPr>
          <w:rFonts w:ascii="Arial" w:cs="Arial" w:eastAsia="Arial" w:hAnsi="Arial"/>
          <w:sz w:val="18"/>
          <w:szCs w:val="18"/>
          <w:color w:val="auto"/>
        </w:rPr>
        <w:t>Interest expense was $195,800 and $402,668 for the three and six months ended June 30, 2018, as compared to $215,972 and $423,333 for the three and six months ended June 30, 2017, respectively.</w:t>
      </w:r>
    </w:p>
    <w:p>
      <w:pPr>
        <w:spacing w:after="0" w:line="121" w:lineRule="exact"/>
        <w:rPr>
          <w:sz w:val="20"/>
          <w:szCs w:val="20"/>
          <w:color w:val="auto"/>
        </w:rPr>
      </w:pPr>
    </w:p>
    <w:p>
      <w:pPr>
        <w:ind w:right="40" w:firstLine="648"/>
        <w:spacing w:after="0" w:line="258" w:lineRule="auto"/>
        <w:rPr>
          <w:sz w:val="20"/>
          <w:szCs w:val="20"/>
          <w:color w:val="auto"/>
        </w:rPr>
      </w:pPr>
      <w:r>
        <w:rPr>
          <w:rFonts w:ascii="Arial" w:cs="Arial" w:eastAsia="Arial" w:hAnsi="Arial"/>
          <w:sz w:val="17"/>
          <w:szCs w:val="17"/>
          <w:color w:val="auto"/>
        </w:rPr>
        <w:t>Amortization of the final payment fee was $70,177 and $146,763 for the three and six months ended June 30, 2018, as compared to $87,117 and $173,276 for the three and six months ended June 30, 2017, respectively.</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The outstanding debt and unamortized debt discount balances are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Outstanding principal amount</w:t>
            </w:r>
          </w:p>
        </w:tc>
        <w:tc>
          <w:tcPr>
            <w:tcW w:w="170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8,055,555</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9,722,222</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80" w:type="dxa"/>
            <w:vAlign w:val="bottom"/>
            <w:tcBorders>
              <w:bottom w:val="single" w:sz="8" w:color="CCEEFF"/>
            </w:tcBorders>
          </w:tcPr>
          <w:p>
            <w:pPr>
              <w:ind w:left="120"/>
              <w:spacing w:after="0" w:line="176" w:lineRule="exact"/>
              <w:rPr>
                <w:sz w:val="20"/>
                <w:szCs w:val="20"/>
                <w:color w:val="auto"/>
              </w:rPr>
            </w:pPr>
            <w:r>
              <w:rPr>
                <w:rFonts w:ascii="Arial" w:cs="Arial" w:eastAsia="Arial" w:hAnsi="Arial"/>
                <w:sz w:val="18"/>
                <w:szCs w:val="18"/>
                <w:color w:val="auto"/>
              </w:rPr>
              <w:t>Debt discount, net of current portion</w:t>
            </w:r>
          </w:p>
        </w:tc>
        <w:tc>
          <w:tcPr>
            <w:tcW w:w="15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468,290</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274,116</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9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Long-term debt, net of debt discount</w:t>
            </w:r>
          </w:p>
        </w:tc>
        <w:tc>
          <w:tcPr>
            <w:tcW w:w="1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8,523,845</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9,996,338</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980" w:type="dxa"/>
            <w:vAlign w:val="bottom"/>
          </w:tcPr>
          <w:p>
            <w:pPr>
              <w:ind w:left="120"/>
              <w:spacing w:after="0" w:line="176" w:lineRule="exact"/>
              <w:rPr>
                <w:sz w:val="20"/>
                <w:szCs w:val="20"/>
                <w:color w:val="auto"/>
              </w:rPr>
            </w:pPr>
            <w:r>
              <w:rPr>
                <w:rFonts w:ascii="Arial" w:cs="Arial" w:eastAsia="Arial" w:hAnsi="Arial"/>
                <w:sz w:val="18"/>
                <w:szCs w:val="18"/>
                <w:color w:val="auto"/>
              </w:rPr>
              <w:t>Less current portion of principal</w:t>
            </w:r>
          </w:p>
        </w:tc>
        <w:tc>
          <w:tcPr>
            <w:tcW w:w="170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w w:val="97"/>
              </w:rPr>
              <w:t>(3,333,333)</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80"/>
              <w:spacing w:after="0" w:line="176" w:lineRule="exact"/>
              <w:rPr>
                <w:sz w:val="20"/>
                <w:szCs w:val="20"/>
                <w:color w:val="auto"/>
              </w:rPr>
            </w:pPr>
            <w:r>
              <w:rPr>
                <w:rFonts w:ascii="Arial" w:cs="Arial" w:eastAsia="Arial" w:hAnsi="Arial"/>
                <w:sz w:val="18"/>
                <w:szCs w:val="18"/>
                <w:color w:val="auto"/>
              </w:rPr>
              <w:t>(3,333,333)</w:t>
            </w:r>
          </w:p>
        </w:tc>
        <w:tc>
          <w:tcPr>
            <w:tcW w:w="0" w:type="dxa"/>
            <w:vAlign w:val="bottom"/>
          </w:tcPr>
          <w:p>
            <w:pPr>
              <w:spacing w:after="0"/>
              <w:rPr>
                <w:sz w:val="1"/>
                <w:szCs w:val="1"/>
                <w:color w:val="auto"/>
              </w:rPr>
            </w:pPr>
          </w:p>
        </w:tc>
      </w:tr>
      <w:tr>
        <w:trPr>
          <w:trHeight w:val="20"/>
        </w:trPr>
        <w:tc>
          <w:tcPr>
            <w:tcW w:w="4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Loan payable, long-term</w:t>
            </w:r>
          </w:p>
        </w:tc>
        <w:tc>
          <w:tcPr>
            <w:tcW w:w="15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80" w:type="dxa"/>
            <w:vAlign w:val="bottom"/>
            <w:vMerge w:val="continue"/>
            <w:shd w:val="clear" w:color="auto" w:fill="CCEEFF"/>
          </w:tcPr>
          <w:p>
            <w:pPr>
              <w:spacing w:after="0"/>
              <w:rPr>
                <w:sz w:val="19"/>
                <w:szCs w:val="19"/>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5,190,512</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6,663,005</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9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Current portion of outstanding principal amount</w:t>
            </w:r>
          </w:p>
        </w:tc>
        <w:tc>
          <w:tcPr>
            <w:tcW w:w="15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3,333,333</w:t>
            </w: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3,333,333</w:t>
            </w: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debt discount</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(53,158)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(63,987)</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Loan payable, current portion</w:t>
            </w:r>
          </w:p>
        </w:tc>
        <w:tc>
          <w:tcPr>
            <w:tcW w:w="1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vMerge w:val="continue"/>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3,280,175</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3,269,346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In connection with the Term Loan, SVB and Life Science Loans, LLC received warrants to purchase an aggregate 65,228 shares of the Company’s common stock at an exercise price of $7.41 per share, which are exercisable for seven years from the date of issuance. The warrants were classified as a component of stockholders’ equity.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The proceeds of $10.0 million were allocated based on the relative fair values of the debt instrument and the warrant instrument. The fair value of the warrants and the closing costs were recorded as debt discounts and are being amortized using the effective interest rate method over the term of the loan. Amortization of the debt discount was $26,346 and $58,241 for the three and six months ended June 30, 2018, respectively, as compared to $30,489 and $59,975 for the three and six months ended June 30, 2017, respectively.</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w w:val="90"/>
              </w:rPr>
              <w:t>Scheduled principal payments on outstanding debt, as of June</w:t>
            </w:r>
          </w:p>
        </w:tc>
        <w:tc>
          <w:tcPr>
            <w:tcW w:w="3380" w:type="dxa"/>
            <w:vAlign w:val="bottom"/>
            <w:gridSpan w:val="3"/>
          </w:tcPr>
          <w:p>
            <w:pPr>
              <w:jc w:val="right"/>
              <w:ind w:right="1505"/>
              <w:spacing w:after="0"/>
              <w:rPr>
                <w:sz w:val="20"/>
                <w:szCs w:val="20"/>
                <w:color w:val="auto"/>
              </w:rPr>
            </w:pPr>
            <w:r>
              <w:rPr>
                <w:rFonts w:ascii="Arial" w:cs="Arial" w:eastAsia="Arial" w:hAnsi="Arial"/>
                <w:sz w:val="18"/>
                <w:szCs w:val="18"/>
                <w:color w:val="auto"/>
                <w:w w:val="91"/>
              </w:rPr>
              <w:t>30, 2018, are as follows:</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4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2018</w:t>
            </w:r>
          </w:p>
        </w:tc>
        <w:tc>
          <w:tcPr>
            <w:tcW w:w="3380" w:type="dxa"/>
            <w:vAlign w:val="bottom"/>
            <w:gridSpan w:val="3"/>
            <w:shd w:val="clear" w:color="auto" w:fill="CCEEFF"/>
          </w:tcPr>
          <w:p>
            <w:pPr>
              <w:jc w:val="right"/>
              <w:ind w:right="105"/>
              <w:spacing w:after="0" w:line="17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1,666,666</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80" w:type="dxa"/>
            <w:vAlign w:val="bottom"/>
          </w:tcPr>
          <w:p>
            <w:pPr>
              <w:spacing w:after="0" w:line="176" w:lineRule="exact"/>
              <w:rPr>
                <w:sz w:val="20"/>
                <w:szCs w:val="20"/>
                <w:color w:val="auto"/>
              </w:rPr>
            </w:pPr>
            <w:r>
              <w:rPr>
                <w:rFonts w:ascii="Arial" w:cs="Arial" w:eastAsia="Arial" w:hAnsi="Arial"/>
                <w:sz w:val="18"/>
                <w:szCs w:val="18"/>
                <w:color w:val="auto"/>
              </w:rPr>
              <w:t>2019</w:t>
            </w:r>
          </w:p>
        </w:tc>
        <w:tc>
          <w:tcPr>
            <w:tcW w:w="3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3,333,333</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2020</w:t>
            </w:r>
          </w:p>
        </w:tc>
        <w:tc>
          <w:tcPr>
            <w:tcW w:w="3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3,055,556</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80" w:type="dxa"/>
            <w:vAlign w:val="bottom"/>
          </w:tcPr>
          <w:p>
            <w:pPr>
              <w:spacing w:after="0" w:line="170" w:lineRule="exact"/>
              <w:rPr>
                <w:sz w:val="20"/>
                <w:szCs w:val="20"/>
                <w:color w:val="auto"/>
              </w:rPr>
            </w:pPr>
            <w:r>
              <w:rPr>
                <w:rFonts w:ascii="Arial" w:cs="Arial" w:eastAsia="Arial" w:hAnsi="Arial"/>
                <w:sz w:val="18"/>
                <w:szCs w:val="18"/>
                <w:color w:val="auto"/>
              </w:rPr>
              <w:t>Total</w:t>
            </w:r>
          </w:p>
        </w:tc>
        <w:tc>
          <w:tcPr>
            <w:tcW w:w="3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ind w:right="105"/>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8,055,555</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Net Loss per Common Share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net loss per common share: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4"/>
                <w:szCs w:val="14"/>
                <w:color w:val="auto"/>
              </w:rPr>
            </w:pPr>
          </w:p>
        </w:tc>
        <w:tc>
          <w:tcPr>
            <w:tcW w:w="230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29"/>
        </w:trPr>
        <w:tc>
          <w:tcPr>
            <w:tcW w:w="420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317"/>
              <w:spacing w:after="0" w:line="129"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314"/>
              <w:spacing w:after="0" w:line="129"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357"/>
              <w:spacing w:after="0" w:line="129"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354"/>
              <w:spacing w:after="0" w:line="129"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69"/>
        </w:trPr>
        <w:tc>
          <w:tcPr>
            <w:tcW w:w="4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2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Basic and diluted net loss per common share:</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00" w:type="dxa"/>
            <w:vAlign w:val="bottom"/>
          </w:tcPr>
          <w:p>
            <w:pPr>
              <w:spacing w:after="0" w:line="176" w:lineRule="exact"/>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w w:val="99"/>
              </w:rPr>
              <w:t>(8,280,916)</w:t>
            </w:r>
          </w:p>
        </w:tc>
        <w:tc>
          <w:tcPr>
            <w:tcW w:w="3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w w:val="99"/>
              </w:rPr>
              <w:t>(7,084,316)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w w:val="95"/>
              </w:rPr>
              <w:t>(13,086,475)</w:t>
            </w:r>
          </w:p>
        </w:tc>
        <w:tc>
          <w:tcPr>
            <w:tcW w:w="16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w w:val="95"/>
              </w:rPr>
              <w:t>(15,079,355)</w:t>
            </w:r>
          </w:p>
        </w:tc>
        <w:tc>
          <w:tcPr>
            <w:tcW w:w="0" w:type="dxa"/>
            <w:vAlign w:val="bottom"/>
          </w:tcPr>
          <w:p>
            <w:pPr>
              <w:spacing w:after="0"/>
              <w:rPr>
                <w:sz w:val="1"/>
                <w:szCs w:val="1"/>
                <w:color w:val="auto"/>
              </w:rPr>
            </w:pPr>
          </w:p>
        </w:tc>
      </w:tr>
      <w:tr>
        <w:trPr>
          <w:trHeight w:val="149"/>
        </w:trPr>
        <w:tc>
          <w:tcPr>
            <w:tcW w:w="420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Weighted average common shares outstanding—basic</w:t>
            </w:r>
          </w:p>
        </w:tc>
        <w:tc>
          <w:tcPr>
            <w:tcW w:w="1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25,791,177</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23,595,702</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25,646,985</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21,578,011</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 diluted</w:t>
            </w: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200" w:type="dxa"/>
            <w:vAlign w:val="bottom"/>
          </w:tcPr>
          <w:p>
            <w:pPr>
              <w:spacing w:after="0" w:line="170" w:lineRule="exact"/>
              <w:rPr>
                <w:sz w:val="20"/>
                <w:szCs w:val="20"/>
                <w:color w:val="auto"/>
              </w:rPr>
            </w:pPr>
            <w:r>
              <w:rPr>
                <w:rFonts w:ascii="Arial" w:cs="Arial" w:eastAsia="Arial" w:hAnsi="Arial"/>
                <w:sz w:val="18"/>
                <w:szCs w:val="18"/>
                <w:color w:val="auto"/>
              </w:rPr>
              <w:t>Net loss per common share—basic and diluted</w:t>
            </w:r>
          </w:p>
        </w:tc>
        <w:tc>
          <w:tcPr>
            <w:tcW w:w="1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(0.32)</w:t>
            </w:r>
          </w:p>
        </w:tc>
        <w:tc>
          <w:tcPr>
            <w:tcW w:w="14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(0.30)</w:t>
            </w:r>
          </w:p>
        </w:tc>
        <w:tc>
          <w:tcPr>
            <w:tcW w:w="60" w:type="dxa"/>
            <w:vAlign w:val="bottom"/>
          </w:tcPr>
          <w:p>
            <w:pPr>
              <w:spacing w:after="0"/>
              <w:rPr>
                <w:sz w:val="15"/>
                <w:szCs w:val="15"/>
                <w:color w:val="auto"/>
              </w:rPr>
            </w:pPr>
          </w:p>
        </w:tc>
        <w:tc>
          <w:tcPr>
            <w:tcW w:w="160" w:type="dxa"/>
            <w:vAlign w:val="bottom"/>
            <w:tcBorders>
              <w:bottom w:val="single" w:sz="8" w:color="auto"/>
            </w:tcBorders>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(0.51)</w:t>
            </w:r>
          </w:p>
        </w:tc>
        <w:tc>
          <w:tcPr>
            <w:tcW w:w="14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firstLine="648"/>
        <w:spacing w:after="0" w:line="203" w:lineRule="exact"/>
        <w:rPr>
          <w:sz w:val="20"/>
          <w:szCs w:val="20"/>
          <w:color w:val="auto"/>
        </w:rPr>
      </w:pPr>
      <w:r>
        <w:rPr>
          <w:rFonts w:ascii="Arial" w:cs="Arial" w:eastAsia="Arial" w:hAnsi="Arial"/>
          <w:sz w:val="18"/>
          <w:szCs w:val="18"/>
          <w:color w:val="auto"/>
        </w:rPr>
        <w:t>The following potentially dilutive securities outstanding at June 30, 2018 and 2017 have been excluded from the computation of diluted weighted average shares outstanding, as they would be anti</w:t>
      </w:r>
      <w:r>
        <w:rPr>
          <w:rFonts w:ascii="MS PGothic" w:cs="MS PGothic" w:eastAsia="MS PGothic" w:hAnsi="MS PGothic"/>
          <w:sz w:val="18"/>
          <w:szCs w:val="18"/>
          <w:color w:val="auto"/>
        </w:rPr>
        <w:t>‑</w:t>
      </w:r>
      <w:r>
        <w:rPr>
          <w:rFonts w:ascii="Arial" w:cs="Arial" w:eastAsia="Arial" w:hAnsi="Arial"/>
          <w:sz w:val="18"/>
          <w:szCs w:val="18"/>
          <w:color w:val="auto"/>
        </w:rPr>
        <w:t>dilutive: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136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6820" w:type="dxa"/>
            <w:vAlign w:val="bottom"/>
          </w:tcPr>
          <w:p>
            <w:pPr>
              <w:spacing w:after="0"/>
              <w:rPr>
                <w:sz w:val="11"/>
                <w:szCs w:val="11"/>
                <w:color w:val="auto"/>
              </w:rPr>
            </w:pPr>
          </w:p>
        </w:tc>
        <w:tc>
          <w:tcPr>
            <w:tcW w:w="980" w:type="dxa"/>
            <w:vAlign w:val="bottom"/>
            <w:tcBorders>
              <w:bottom w:val="single" w:sz="8" w:color="auto"/>
            </w:tcBorders>
          </w:tcPr>
          <w:p>
            <w:pPr>
              <w:jc w:val="right"/>
              <w:ind w:right="257"/>
              <w:spacing w:after="0" w:line="129"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74"/>
              <w:spacing w:after="0" w:line="129"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1"/>
                <w:szCs w:val="11"/>
                <w:color w:val="auto"/>
              </w:rPr>
            </w:pPr>
          </w:p>
        </w:tc>
      </w:tr>
      <w:tr>
        <w:trPr>
          <w:trHeight w:val="169"/>
        </w:trPr>
        <w:tc>
          <w:tcPr>
            <w:tcW w:w="6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6"/>
        </w:trPr>
        <w:tc>
          <w:tcPr>
            <w:tcW w:w="6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Stock options</w:t>
            </w: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2,914,069</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2"/>
              </w:rPr>
              <w:t>2,169,540</w:t>
            </w:r>
          </w:p>
        </w:tc>
        <w:tc>
          <w:tcPr>
            <w:tcW w:w="60" w:type="dxa"/>
            <w:vAlign w:val="bottom"/>
            <w:shd w:val="clear" w:color="auto" w:fill="CCEEFF"/>
          </w:tcPr>
          <w:p>
            <w:pPr>
              <w:spacing w:after="0"/>
              <w:rPr>
                <w:sz w:val="15"/>
                <w:szCs w:val="15"/>
                <w:color w:val="auto"/>
              </w:rPr>
            </w:pPr>
          </w:p>
        </w:tc>
      </w:tr>
      <w:tr>
        <w:trPr>
          <w:trHeight w:val="176"/>
        </w:trPr>
        <w:tc>
          <w:tcPr>
            <w:tcW w:w="682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Warrants</w:t>
            </w:r>
          </w:p>
        </w:tc>
        <w:tc>
          <w:tcPr>
            <w:tcW w:w="9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2,099,149</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249,797</w:t>
            </w:r>
          </w:p>
        </w:tc>
        <w:tc>
          <w:tcPr>
            <w:tcW w:w="60" w:type="dxa"/>
            <w:vAlign w:val="bottom"/>
            <w:tcBorders>
              <w:bottom w:val="single" w:sz="8" w:color="CCEEFF"/>
            </w:tcBorders>
          </w:tcPr>
          <w:p>
            <w:pPr>
              <w:spacing w:after="0"/>
              <w:rPr>
                <w:sz w:val="15"/>
                <w:szCs w:val="15"/>
                <w:color w:val="auto"/>
              </w:rPr>
            </w:pPr>
          </w:p>
        </w:tc>
      </w:tr>
      <w:tr>
        <w:trPr>
          <w:trHeight w:val="176"/>
        </w:trPr>
        <w:tc>
          <w:tcPr>
            <w:tcW w:w="682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5,013,218</w:t>
            </w: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2"/>
              </w:rPr>
              <w:t>2,419,337</w:t>
            </w:r>
          </w:p>
        </w:tc>
        <w:tc>
          <w:tcPr>
            <w:tcW w:w="60" w:type="dxa"/>
            <w:vAlign w:val="bottom"/>
            <w:tcBorders>
              <w:bottom w:val="single" w:sz="8" w:color="CCEEFF"/>
            </w:tcBorders>
            <w:shd w:val="clear" w:color="auto" w:fill="CCEEFF"/>
          </w:tcPr>
          <w:p>
            <w:pPr>
              <w:spacing w:after="0"/>
              <w:rPr>
                <w:sz w:val="15"/>
                <w:szCs w:val="15"/>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w:t>
      </w:r>
    </w:p>
    <w:p>
      <w:pPr>
        <w:spacing w:after="0" w:line="189" w:lineRule="exact"/>
        <w:rPr>
          <w:sz w:val="20"/>
          <w:szCs w:val="20"/>
          <w:color w:val="auto"/>
        </w:rPr>
      </w:pPr>
    </w:p>
    <w:p>
      <w:pPr>
        <w:ind w:right="140" w:firstLine="648"/>
        <w:spacing w:after="0" w:line="219" w:lineRule="auto"/>
        <w:rPr>
          <w:sz w:val="20"/>
          <w:szCs w:val="20"/>
          <w:color w:val="auto"/>
        </w:rPr>
      </w:pPr>
      <w:r>
        <w:rPr>
          <w:rFonts w:ascii="Arial" w:cs="Arial" w:eastAsia="Arial" w:hAnsi="Arial"/>
          <w:sz w:val="18"/>
          <w:szCs w:val="18"/>
          <w:color w:val="auto"/>
        </w:rPr>
        <w:t>On December 1, 2016, the Company filed a shelf registration statement with the SEC for the issuance of common stock, preferred stock, warrants, rights, debt securities and units up to an aggregate amount of $150.0 million, which the Company refers to as the 2016 Shelf Registration Statement. On December 16, 2016, the 2016 Shelf Registration Statement was declared effective by the SEC.</w:t>
      </w:r>
    </w:p>
    <w:p>
      <w:pPr>
        <w:spacing w:after="0" w:line="41" w:lineRule="exact"/>
        <w:rPr>
          <w:sz w:val="20"/>
          <w:szCs w:val="20"/>
          <w:color w:val="auto"/>
        </w:rPr>
      </w:pPr>
    </w:p>
    <w:p>
      <w:pPr>
        <w:ind w:right="140" w:firstLine="648"/>
        <w:spacing w:after="0" w:line="219" w:lineRule="auto"/>
        <w:rPr>
          <w:sz w:val="20"/>
          <w:szCs w:val="20"/>
          <w:color w:val="auto"/>
        </w:rPr>
      </w:pPr>
      <w:r>
        <w:rPr>
          <w:rFonts w:ascii="Arial" w:cs="Arial" w:eastAsia="Arial" w:hAnsi="Arial"/>
          <w:sz w:val="18"/>
          <w:szCs w:val="18"/>
          <w:color w:val="auto"/>
        </w:rPr>
        <w:t>In March 2017, the Company utilized the 2016 Shelf Registration Statement and completed an underwritten public offering, whereby it sold 4,304,813 shares of common stock at a public offering price of $3.74 per share. The Company received gross proceeds of approximately $16.1 million, of which net proceeds were approximately $14.8 million due to underwriting discounts and offering expenses.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In October 2017, the Company entered into a sales agreement (the “Sales Agreement”) with Leerink Partners LLC ("Leerink"), pursuant to which the Company may sell up to $30 million in shares of its common stock from time to time through Leerink, acting as its sales agent, in one or more at-the-market offerings utilizing the 2016 Shelf Registration Statement. Leerink is entitled to receive a commission of 3.0% of the gross proceeds for any shares sold under the Sales Agreement. The Company received approximately $2.5 million in gross proceeds, of which net proceeds were approximately $2.4 million from the sales of its common stock to Leerink under the Sales Agreement during the six months ended June 30, 2018. The Company received approximately $2.6 million in gross proceeds, of which net proceeds were approximately $2.5 million from the sales of its common stock to Leerink under the Sales Agreement since inception.</w:t>
      </w:r>
    </w:p>
    <w:p>
      <w:pPr>
        <w:spacing w:after="0" w:line="127" w:lineRule="exact"/>
        <w:rPr>
          <w:sz w:val="20"/>
          <w:szCs w:val="20"/>
          <w:color w:val="auto"/>
        </w:rPr>
      </w:pPr>
    </w:p>
    <w:p>
      <w:pPr>
        <w:ind w:right="120" w:firstLine="648"/>
        <w:spacing w:after="0" w:line="241" w:lineRule="auto"/>
        <w:rPr>
          <w:sz w:val="20"/>
          <w:szCs w:val="20"/>
          <w:color w:val="auto"/>
        </w:rPr>
      </w:pPr>
      <w:r>
        <w:rPr>
          <w:rFonts w:ascii="Arial" w:cs="Arial" w:eastAsia="Arial" w:hAnsi="Arial"/>
          <w:sz w:val="16"/>
          <w:szCs w:val="16"/>
          <w:color w:val="auto"/>
        </w:rPr>
        <w:t>In December 2017, the Company utilized the 2016 Shelf Registration Statement and completed the Registered Direct Offering, whereby it sold an aggregate of $9.5 million worth of units (“Units”) at a purchase price of $5.325 per Unit with each Unit consisting of (i) one share of the Company’s common stock, and (ii) a warrant to purchase one share of common stock at an exercise price equal to $5.25 per share. The Company sold an aggregate of 1,783,587 Units for gross proceeds of approximately $9.5 million and net proceeds of approximately $8.8 million, net of underwriting discounts and offering expenses. Additionally, the Company issued 107,015 Placement Agent Warrants.</w:t>
      </w:r>
    </w:p>
    <w:p>
      <w:pPr>
        <w:spacing w:after="0" w:line="120" w:lineRule="exact"/>
        <w:rPr>
          <w:sz w:val="20"/>
          <w:szCs w:val="20"/>
          <w:color w:val="auto"/>
        </w:rPr>
      </w:pPr>
    </w:p>
    <w:p>
      <w:pPr>
        <w:ind w:right="40" w:firstLine="648"/>
        <w:spacing w:after="0" w:line="249" w:lineRule="auto"/>
        <w:rPr>
          <w:sz w:val="20"/>
          <w:szCs w:val="20"/>
          <w:color w:val="auto"/>
        </w:rPr>
      </w:pPr>
      <w:r>
        <w:rPr>
          <w:rFonts w:ascii="Arial" w:cs="Arial" w:eastAsia="Arial" w:hAnsi="Arial"/>
          <w:sz w:val="16"/>
          <w:szCs w:val="16"/>
          <w:color w:val="auto"/>
        </w:rPr>
        <w:t>The Company incurred issuance costs associated with the Units offering of $745,856, which included $81,000 related to issuance of 107,015 Placement Agent Warrants, of which, $583,768 was allocated to the common stock sold and was recorded as a reduction to equity. The remaining amount was allocated to the Common Warrants and was expensed. The Placement Agent Warrants have the same terms as the Common Warrants, except for the exercise price of $6.6562 per share.</w:t>
      </w:r>
    </w:p>
    <w:p>
      <w:pPr>
        <w:spacing w:after="0" w:line="114" w:lineRule="exact"/>
        <w:rPr>
          <w:sz w:val="20"/>
          <w:szCs w:val="20"/>
          <w:color w:val="auto"/>
        </w:rPr>
      </w:pPr>
    </w:p>
    <w:p>
      <w:pPr>
        <w:ind w:right="20" w:firstLine="648"/>
        <w:spacing w:after="0" w:line="226" w:lineRule="auto"/>
        <w:rPr>
          <w:sz w:val="20"/>
          <w:szCs w:val="20"/>
          <w:color w:val="auto"/>
        </w:rPr>
      </w:pPr>
      <w:r>
        <w:rPr>
          <w:rFonts w:ascii="Arial" w:cs="Arial" w:eastAsia="Arial" w:hAnsi="Arial"/>
          <w:sz w:val="17"/>
          <w:szCs w:val="17"/>
          <w:color w:val="auto"/>
        </w:rPr>
        <w:t>Each of the warrants issued in December 2017 in connection with the Registered Direct Offering are liabilities pursuant to ASC 815 because registered common stock warrants that require the issuance of registered shares upon exercise and do not expressly preclude an implied right to cash settlement are accounted for as derivative liabilities. The Company classifies these derivative warrant liabilities on the consolidated balance sheet as a current liability. The initial fair value of the Common Warrants and Placement Agent Warrants was estimated to be approximately $2,145,000 and was deducted from the gross proceeds of the Unit offering with the residual amount recorded to equity.</w:t>
      </w:r>
    </w:p>
    <w:p>
      <w:pPr>
        <w:spacing w:after="0" w:line="125" w:lineRule="exact"/>
        <w:rPr>
          <w:sz w:val="20"/>
          <w:szCs w:val="20"/>
          <w:color w:val="auto"/>
        </w:rPr>
      </w:pPr>
    </w:p>
    <w:p>
      <w:pPr>
        <w:ind w:right="60" w:firstLine="648"/>
        <w:spacing w:after="0" w:line="224" w:lineRule="auto"/>
        <w:rPr>
          <w:sz w:val="20"/>
          <w:szCs w:val="20"/>
          <w:color w:val="auto"/>
        </w:rPr>
      </w:pPr>
      <w:r>
        <w:rPr>
          <w:rFonts w:ascii="Arial" w:cs="Arial" w:eastAsia="Arial" w:hAnsi="Arial"/>
          <w:sz w:val="18"/>
          <w:szCs w:val="18"/>
          <w:color w:val="auto"/>
        </w:rPr>
        <w:t>The holders of shares of common stock are entitled to one vote for each share of common stock held at all meetings of stockholders and written actions in lieu of meetings. The holders of shares of common stock are entitled to receive dividends, if and when declared by the board of directors.</w:t>
      </w:r>
    </w:p>
    <w:p>
      <w:pPr>
        <w:spacing w:after="0" w:line="123" w:lineRule="exact"/>
        <w:rPr>
          <w:sz w:val="20"/>
          <w:szCs w:val="20"/>
          <w:color w:val="auto"/>
        </w:rPr>
      </w:pPr>
    </w:p>
    <w:p>
      <w:pPr>
        <w:ind w:right="100" w:firstLine="648"/>
        <w:spacing w:after="0" w:line="219" w:lineRule="auto"/>
        <w:rPr>
          <w:sz w:val="20"/>
          <w:szCs w:val="20"/>
          <w:color w:val="auto"/>
        </w:rPr>
      </w:pPr>
      <w:r>
        <w:rPr>
          <w:rFonts w:ascii="Arial" w:cs="Arial" w:eastAsia="Arial" w:hAnsi="Arial"/>
          <w:sz w:val="18"/>
          <w:szCs w:val="18"/>
          <w:color w:val="auto"/>
        </w:rPr>
        <w:t>In the future, the Company may also periodically offer one or more of these securities in amounts, prices and terms to be announced when and if the securities are offered. At the time any of the securities covered by the 2016 Shelf Registration Statement are offered for sale, a prospectus supplement will be prepared and filed with the SEC containing specific information about the terms of any such offering.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48"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There were 2,254,120 shares available for the issuance of stock options or stock-based awards under the Company’s 2015 Omnibus Incentive Compensation Plan at June 30, 2018.</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stock option activity for the six months ended June 30, 2018:</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35"/>
        </w:trPr>
        <w:tc>
          <w:tcPr>
            <w:tcW w:w="5080" w:type="dxa"/>
            <w:vAlign w:val="bottom"/>
          </w:tcPr>
          <w:p>
            <w:pPr>
              <w:spacing w:after="0"/>
              <w:rPr>
                <w:sz w:val="11"/>
                <w:szCs w:val="11"/>
                <w:color w:val="auto"/>
              </w:rPr>
            </w:pPr>
          </w:p>
        </w:tc>
        <w:tc>
          <w:tcPr>
            <w:tcW w:w="10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average</w:t>
            </w:r>
          </w:p>
        </w:tc>
        <w:tc>
          <w:tcPr>
            <w:tcW w:w="88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2"/>
              </w:rPr>
              <w:t>contractual</w:t>
            </w:r>
          </w:p>
        </w:tc>
        <w:tc>
          <w:tcPr>
            <w:tcW w:w="140" w:type="dxa"/>
            <w:vAlign w:val="bottom"/>
          </w:tcPr>
          <w:p>
            <w:pPr>
              <w:spacing w:after="0"/>
              <w:rPr>
                <w:sz w:val="11"/>
                <w:szCs w:val="11"/>
                <w:color w:val="auto"/>
              </w:rPr>
            </w:pPr>
          </w:p>
        </w:tc>
        <w:tc>
          <w:tcPr>
            <w:tcW w:w="9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of shares</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exercise price</w:t>
            </w: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term</w:t>
            </w:r>
          </w:p>
        </w:tc>
        <w:tc>
          <w:tcPr>
            <w:tcW w:w="14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169"/>
        </w:trPr>
        <w:tc>
          <w:tcPr>
            <w:tcW w:w="508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Outstanding at December 31, 2017</w:t>
            </w:r>
          </w:p>
        </w:tc>
        <w:tc>
          <w:tcPr>
            <w:tcW w:w="9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2,315,638</w:t>
            </w: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5.57</w:t>
            </w:r>
          </w:p>
        </w:tc>
        <w:tc>
          <w:tcPr>
            <w:tcW w:w="1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080" w:type="dxa"/>
            <w:vAlign w:val="bottom"/>
          </w:tcPr>
          <w:p>
            <w:pPr>
              <w:ind w:left="220"/>
              <w:spacing w:after="0" w:line="176" w:lineRule="exact"/>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757,905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3.13</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tcPr>
          <w:p>
            <w:pPr>
              <w:ind w:left="220"/>
              <w:spacing w:after="0" w:line="176" w:lineRule="exact"/>
              <w:rPr>
                <w:sz w:val="20"/>
                <w:szCs w:val="20"/>
                <w:color w:val="auto"/>
              </w:rPr>
            </w:pPr>
            <w:r>
              <w:rPr>
                <w:rFonts w:ascii="Arial" w:cs="Arial" w:eastAsia="Arial" w:hAnsi="Arial"/>
                <w:sz w:val="18"/>
                <w:szCs w:val="18"/>
                <w:color w:val="auto"/>
              </w:rPr>
              <w:t>Forfeited</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(158,714)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6.02</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Expired</w:t>
            </w:r>
          </w:p>
        </w:tc>
        <w:tc>
          <w:tcPr>
            <w:tcW w:w="106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(760)</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7.35</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Outstanding at June 30, 2018</w:t>
            </w:r>
          </w:p>
        </w:tc>
        <w:tc>
          <w:tcPr>
            <w:tcW w:w="9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2,914,069</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4.91</w:t>
            </w:r>
          </w:p>
        </w:tc>
        <w:tc>
          <w:tcPr>
            <w:tcW w:w="14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8.0</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919,837</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0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Vested and expected to vest at June 30, 2018</w:t>
            </w: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2,907,900</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4.91</w:t>
            </w: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8.0</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908,115</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080" w:type="dxa"/>
            <w:vAlign w:val="bottom"/>
          </w:tcPr>
          <w:p>
            <w:pPr>
              <w:spacing w:after="0" w:line="163" w:lineRule="exact"/>
              <w:rPr>
                <w:sz w:val="20"/>
                <w:szCs w:val="20"/>
                <w:color w:val="auto"/>
              </w:rPr>
            </w:pPr>
            <w:r>
              <w:rPr>
                <w:rFonts w:ascii="Arial" w:cs="Arial" w:eastAsia="Arial" w:hAnsi="Arial"/>
                <w:sz w:val="18"/>
                <w:szCs w:val="18"/>
                <w:color w:val="auto"/>
              </w:rPr>
              <w:t>Exercisable at June 30, 2018</w:t>
            </w:r>
          </w:p>
        </w:tc>
        <w:tc>
          <w:tcPr>
            <w:tcW w:w="9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1,534,190</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line="163"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4.89</w:t>
            </w:r>
          </w:p>
        </w:tc>
        <w:tc>
          <w:tcPr>
            <w:tcW w:w="14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7.3</w:t>
            </w:r>
          </w:p>
        </w:tc>
        <w:tc>
          <w:tcPr>
            <w:tcW w:w="140" w:type="dxa"/>
            <w:vAlign w:val="bottom"/>
          </w:tcPr>
          <w:p>
            <w:pPr>
              <w:spacing w:after="0"/>
              <w:rPr>
                <w:sz w:val="14"/>
                <w:szCs w:val="14"/>
                <w:color w:val="auto"/>
              </w:rPr>
            </w:pPr>
          </w:p>
        </w:tc>
        <w:tc>
          <w:tcPr>
            <w:tcW w:w="1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796,428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648"/>
        <w:spacing w:after="0" w:line="181" w:lineRule="exact"/>
        <w:rPr>
          <w:sz w:val="20"/>
          <w:szCs w:val="20"/>
          <w:color w:val="auto"/>
        </w:rPr>
      </w:pPr>
      <w:r>
        <w:rPr>
          <w:rFonts w:ascii="Arial" w:cs="Arial" w:eastAsia="Arial" w:hAnsi="Arial"/>
          <w:sz w:val="17"/>
          <w:szCs w:val="17"/>
          <w:color w:val="auto"/>
        </w:rPr>
        <w:t>The fair value of each stock option grant is estimated on the date of grant using the Black</w:t>
      </w:r>
      <w:r>
        <w:rPr>
          <w:rFonts w:ascii="MS PGothic" w:cs="MS PGothic" w:eastAsia="MS PGothic" w:hAnsi="MS PGothic"/>
          <w:sz w:val="17"/>
          <w:szCs w:val="17"/>
          <w:color w:val="auto"/>
        </w:rPr>
        <w:t>‑</w:t>
      </w:r>
      <w:r>
        <w:rPr>
          <w:rFonts w:ascii="Arial" w:cs="Arial" w:eastAsia="Arial" w:hAnsi="Arial"/>
          <w:sz w:val="17"/>
          <w:szCs w:val="17"/>
          <w:color w:val="auto"/>
        </w:rPr>
        <w:t>Scholes option pricing model. The Company periodically remeasures the fair value of stock</w:t>
      </w:r>
      <w:r>
        <w:rPr>
          <w:rFonts w:ascii="MS PGothic" w:cs="MS PGothic" w:eastAsia="MS PGothic" w:hAnsi="MS PGothic"/>
          <w:sz w:val="17"/>
          <w:szCs w:val="17"/>
          <w:color w:val="auto"/>
        </w:rPr>
        <w:t>‑</w:t>
      </w:r>
      <w:r>
        <w:rPr>
          <w:rFonts w:ascii="Arial" w:cs="Arial" w:eastAsia="Arial" w:hAnsi="Arial"/>
          <w:sz w:val="17"/>
          <w:szCs w:val="17"/>
          <w:color w:val="auto"/>
        </w:rPr>
        <w:t>based awards issued to non</w:t>
      </w:r>
      <w:r>
        <w:rPr>
          <w:rFonts w:ascii="MS PGothic" w:cs="MS PGothic" w:eastAsia="MS PGothic" w:hAnsi="MS PGothic"/>
          <w:sz w:val="17"/>
          <w:szCs w:val="17"/>
          <w:color w:val="auto"/>
        </w:rPr>
        <w:t>‑</w:t>
      </w:r>
      <w:r>
        <w:rPr>
          <w:rFonts w:ascii="Arial" w:cs="Arial" w:eastAsia="Arial" w:hAnsi="Arial"/>
          <w:sz w:val="17"/>
          <w:szCs w:val="17"/>
          <w:color w:val="auto"/>
        </w:rPr>
        <w:t>employees and records the expense over the requisite service period. The expected term of the Company’s stock options has been determined utilizing the “simplified” method as described in the SEC’s Staff Accounting Bulletin No. 107 relating to stock</w:t>
      </w:r>
      <w:r>
        <w:rPr>
          <w:rFonts w:ascii="MS PGothic" w:cs="MS PGothic" w:eastAsia="MS PGothic" w:hAnsi="MS PGothic"/>
          <w:sz w:val="17"/>
          <w:szCs w:val="17"/>
          <w:color w:val="auto"/>
        </w:rPr>
        <w:t>‑</w:t>
      </w:r>
      <w:r>
        <w:rPr>
          <w:rFonts w:ascii="Arial" w:cs="Arial" w:eastAsia="Arial" w:hAnsi="Arial"/>
          <w:sz w:val="17"/>
          <w:szCs w:val="17"/>
          <w:color w:val="auto"/>
        </w:rPr>
        <w:t>based compensation. The simplified method was chosen because the Company has limited historical option exercise experience due to its short operating history. The risk</w:t>
      </w:r>
      <w:r>
        <w:rPr>
          <w:rFonts w:ascii="MS PGothic" w:cs="MS PGothic" w:eastAsia="MS PGothic" w:hAnsi="MS PGothic"/>
          <w:sz w:val="17"/>
          <w:szCs w:val="17"/>
          <w:color w:val="auto"/>
        </w:rPr>
        <w:t>‑</w:t>
      </w:r>
      <w:r>
        <w:rPr>
          <w:rFonts w:ascii="Arial" w:cs="Arial" w:eastAsia="Arial" w:hAnsi="Arial"/>
          <w:sz w:val="17"/>
          <w:szCs w:val="17"/>
          <w:color w:val="auto"/>
        </w:rPr>
        <w:t>free interest rate is based on the U.S. Treasury yield in effect at the time of grant for a period approximately equal to the expected term of the award. Expected dividend yield is based on the fact that the Company has never paid cash dividends and does not expect to pay any cash dividends in the foreseeable future. Expected volatility is based on historical volatilities of similar entities within the Company’s industry which were commensurate with the Company’s expected term assumption.</w:t>
      </w:r>
    </w:p>
    <w:p>
      <w:pPr>
        <w:spacing w:after="0" w:line="164" w:lineRule="exact"/>
        <w:rPr>
          <w:sz w:val="20"/>
          <w:szCs w:val="20"/>
          <w:color w:val="auto"/>
        </w:rPr>
      </w:pPr>
    </w:p>
    <w:p>
      <w:pPr>
        <w:ind w:right="20" w:firstLine="648"/>
        <w:spacing w:after="0" w:line="185" w:lineRule="exact"/>
        <w:rPr>
          <w:sz w:val="20"/>
          <w:szCs w:val="20"/>
          <w:color w:val="auto"/>
        </w:rPr>
      </w:pPr>
      <w:r>
        <w:rPr>
          <w:rFonts w:ascii="Arial" w:cs="Arial" w:eastAsia="Arial" w:hAnsi="Arial"/>
          <w:sz w:val="18"/>
          <w:szCs w:val="18"/>
          <w:color w:val="auto"/>
        </w:rPr>
        <w:t>The weighted average grant date fair value of options granted was $1.98 and $2.99 per option for the six months ended June 30, 2018 and 2017, respectively. As of June 30, 2018, there was $3.8 million of total unrecognized compensation cost related to non</w:t>
      </w:r>
      <w:r>
        <w:rPr>
          <w:rFonts w:ascii="MS PGothic" w:cs="MS PGothic" w:eastAsia="MS PGothic" w:hAnsi="MS PGothic"/>
          <w:sz w:val="18"/>
          <w:szCs w:val="18"/>
          <w:color w:val="auto"/>
        </w:rPr>
        <w:t>‑</w:t>
      </w:r>
      <w:r>
        <w:rPr>
          <w:rFonts w:ascii="Arial" w:cs="Arial" w:eastAsia="Arial" w:hAnsi="Arial"/>
          <w:sz w:val="18"/>
          <w:szCs w:val="18"/>
          <w:color w:val="auto"/>
        </w:rPr>
        <w:t>vested stock options which is expected to be recognized over a weighted average period of 2.6 years. These amounts do not include 26,309 options outstanding as of June 30, 2018, which are performance</w:t>
      </w:r>
      <w:r>
        <w:rPr>
          <w:rFonts w:ascii="MS PGothic" w:cs="MS PGothic" w:eastAsia="MS PGothic" w:hAnsi="MS PGothic"/>
          <w:sz w:val="18"/>
          <w:szCs w:val="18"/>
          <w:color w:val="auto"/>
        </w:rPr>
        <w:t>‑</w:t>
      </w:r>
      <w:r>
        <w:rPr>
          <w:rFonts w:ascii="Arial" w:cs="Arial" w:eastAsia="Arial" w:hAnsi="Arial"/>
          <w:sz w:val="18"/>
          <w:szCs w:val="18"/>
          <w:color w:val="auto"/>
        </w:rPr>
        <w:t>based and vest upon the achievement of certain corporate milestones.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will be measured and recorded if and when it is probable that the milestone will occur.</w:t>
      </w:r>
    </w:p>
    <w:p>
      <w:pPr>
        <w:spacing w:after="0" w:line="162" w:lineRule="exact"/>
        <w:rPr>
          <w:sz w:val="20"/>
          <w:szCs w:val="20"/>
          <w:color w:val="auto"/>
        </w:rPr>
      </w:pPr>
    </w:p>
    <w:p>
      <w:pPr>
        <w:ind w:right="360" w:firstLine="648"/>
        <w:spacing w:after="0" w:line="203"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recognized for the three and six months ended June 30, 2018 and 2017 was allocated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96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w w:val="92"/>
              </w:rPr>
              <w:t>Three months ended June 30,</w:t>
            </w:r>
          </w:p>
        </w:tc>
        <w:tc>
          <w:tcPr>
            <w:tcW w:w="140" w:type="dxa"/>
            <w:vAlign w:val="bottom"/>
          </w:tcPr>
          <w:p>
            <w:pPr>
              <w:spacing w:after="0"/>
              <w:rPr>
                <w:sz w:val="14"/>
                <w:szCs w:val="14"/>
                <w:color w:val="auto"/>
              </w:rPr>
            </w:pPr>
          </w:p>
        </w:tc>
        <w:tc>
          <w:tcPr>
            <w:tcW w:w="206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 June 30,</w:t>
            </w:r>
          </w:p>
        </w:tc>
      </w:tr>
      <w:tr>
        <w:trPr>
          <w:trHeight w:val="129"/>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94"/>
              <w:spacing w:after="0" w:line="129"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14"/>
              <w:spacing w:after="0" w:line="129"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257"/>
              <w:spacing w:after="0" w:line="129"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274"/>
              <w:spacing w:after="0" w:line="129"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1"/>
                <w:szCs w:val="11"/>
                <w:color w:val="auto"/>
              </w:rPr>
            </w:pPr>
          </w:p>
        </w:tc>
      </w:tr>
      <w:tr>
        <w:trPr>
          <w:trHeight w:val="169"/>
        </w:trPr>
        <w:tc>
          <w:tcPr>
            <w:tcW w:w="3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6"/>
        </w:trPr>
        <w:tc>
          <w:tcPr>
            <w:tcW w:w="32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Research and development</w:t>
            </w:r>
          </w:p>
        </w:tc>
        <w:tc>
          <w:tcPr>
            <w:tcW w:w="18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8"/>
              </w:rPr>
              <w:t>130,065</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8"/>
              </w:rPr>
              <w:t>140,802</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220,862</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280,755</w:t>
            </w:r>
          </w:p>
        </w:tc>
        <w:tc>
          <w:tcPr>
            <w:tcW w:w="160" w:type="dxa"/>
            <w:vAlign w:val="bottom"/>
            <w:shd w:val="clear" w:color="auto" w:fill="CCEEFF"/>
          </w:tcPr>
          <w:p>
            <w:pPr>
              <w:spacing w:after="0"/>
              <w:rPr>
                <w:sz w:val="15"/>
                <w:szCs w:val="15"/>
                <w:color w:val="auto"/>
              </w:rPr>
            </w:pPr>
          </w:p>
        </w:tc>
      </w:tr>
      <w:tr>
        <w:trPr>
          <w:trHeight w:val="176"/>
        </w:trPr>
        <w:tc>
          <w:tcPr>
            <w:tcW w:w="320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General and administrative</w:t>
            </w:r>
          </w:p>
        </w:tc>
        <w:tc>
          <w:tcPr>
            <w:tcW w:w="17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8"/>
              </w:rPr>
              <w:t>344,594</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8"/>
              </w:rPr>
              <w:t>342,829</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788,367</w:t>
            </w: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866,491</w:t>
            </w:r>
          </w:p>
        </w:tc>
        <w:tc>
          <w:tcPr>
            <w:tcW w:w="160" w:type="dxa"/>
            <w:vAlign w:val="bottom"/>
            <w:tcBorders>
              <w:bottom w:val="single" w:sz="8" w:color="CCEEFF"/>
            </w:tcBorders>
          </w:tcPr>
          <w:p>
            <w:pPr>
              <w:spacing w:after="0"/>
              <w:rPr>
                <w:sz w:val="15"/>
                <w:szCs w:val="15"/>
                <w:color w:val="auto"/>
              </w:rPr>
            </w:pPr>
          </w:p>
        </w:tc>
      </w:tr>
      <w:tr>
        <w:trPr>
          <w:trHeight w:val="189"/>
        </w:trPr>
        <w:tc>
          <w:tcPr>
            <w:tcW w:w="320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w:t>
            </w:r>
          </w:p>
        </w:tc>
        <w:tc>
          <w:tcPr>
            <w:tcW w:w="17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474,659</w:t>
            </w:r>
          </w:p>
        </w:tc>
        <w:tc>
          <w:tcPr>
            <w:tcW w:w="1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483,631</w:t>
            </w: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7"/>
              </w:rPr>
              <w:t>1,009,229</w:t>
            </w: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4"/>
              </w:rPr>
              <w:t>1,147,246</w:t>
            </w:r>
          </w:p>
        </w:tc>
        <w:tc>
          <w:tcPr>
            <w:tcW w:w="160" w:type="dxa"/>
            <w:vAlign w:val="bottom"/>
            <w:tcBorders>
              <w:bottom w:val="single" w:sz="8" w:color="CCEEFF"/>
            </w:tcBorders>
            <w:shd w:val="clear" w:color="auto" w:fill="CCEEFF"/>
          </w:tcPr>
          <w:p>
            <w:pPr>
              <w:spacing w:after="0"/>
              <w:rPr>
                <w:sz w:val="16"/>
                <w:szCs w:val="16"/>
                <w:color w:val="auto"/>
              </w:rPr>
            </w:pPr>
          </w:p>
        </w:tc>
      </w:tr>
      <w:tr>
        <w:trPr>
          <w:trHeight w:val="622"/>
        </w:trPr>
        <w:tc>
          <w:tcPr>
            <w:tcW w:w="3200" w:type="dxa"/>
            <w:vAlign w:val="bottom"/>
          </w:tcPr>
          <w:p>
            <w:pPr>
              <w:spacing w:after="0"/>
              <w:rPr>
                <w:sz w:val="24"/>
                <w:szCs w:val="24"/>
                <w:color w:val="auto"/>
              </w:rPr>
            </w:pPr>
          </w:p>
        </w:tc>
        <w:tc>
          <w:tcPr>
            <w:tcW w:w="1700" w:type="dxa"/>
            <w:vAlign w:val="bottom"/>
          </w:tcPr>
          <w:p>
            <w:pPr>
              <w:jc w:val="right"/>
              <w:ind w:right="19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02"/>
        </w:trPr>
        <w:tc>
          <w:tcPr>
            <w:tcW w:w="320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2"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Performance</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Awards</w:t>
      </w:r>
    </w:p>
    <w:p>
      <w:pPr>
        <w:spacing w:after="0" w:line="189" w:lineRule="exact"/>
        <w:rPr>
          <w:sz w:val="20"/>
          <w:szCs w:val="20"/>
          <w:color w:val="auto"/>
        </w:rPr>
      </w:pPr>
    </w:p>
    <w:p>
      <w:pPr>
        <w:ind w:right="60" w:firstLine="648"/>
        <w:spacing w:after="0" w:line="185" w:lineRule="exact"/>
        <w:rPr>
          <w:sz w:val="20"/>
          <w:szCs w:val="20"/>
          <w:color w:val="auto"/>
        </w:rPr>
      </w:pPr>
      <w:r>
        <w:rPr>
          <w:rFonts w:ascii="Arial" w:cs="Arial" w:eastAsia="Arial" w:hAnsi="Arial"/>
          <w:sz w:val="17"/>
          <w:szCs w:val="17"/>
          <w:color w:val="auto"/>
        </w:rPr>
        <w:t>The Company did not issue any performance-based awards during the six months ended June 30, 2018 and 2017. For awards granted to employees with performance conditions, no expense will be recognized, and no measurement date can occur, until the occurrence of the event is probable. For awards granted to non</w:t>
      </w:r>
      <w:r>
        <w:rPr>
          <w:rFonts w:ascii="MS PGothic" w:cs="MS PGothic" w:eastAsia="MS PGothic" w:hAnsi="MS PGothic"/>
          <w:sz w:val="17"/>
          <w:szCs w:val="17"/>
          <w:color w:val="auto"/>
        </w:rPr>
        <w:t>‑</w:t>
      </w:r>
      <w:r>
        <w:rPr>
          <w:rFonts w:ascii="Arial" w:cs="Arial" w:eastAsia="Arial" w:hAnsi="Arial"/>
          <w:sz w:val="17"/>
          <w:szCs w:val="17"/>
          <w:color w:val="auto"/>
        </w:rPr>
        <w:t>employees, the Company will recognize the lowest aggregate amount within the range of potential values as expense until the measurement date is established. For the six months ended June 30, 2018, Company recognized income of $271 and expense of $45,286 for the six months ended June 30, 2017 related to performance</w:t>
      </w:r>
      <w:r>
        <w:rPr>
          <w:rFonts w:ascii="MS PGothic" w:cs="MS PGothic" w:eastAsia="MS PGothic" w:hAnsi="MS PGothic"/>
          <w:sz w:val="17"/>
          <w:szCs w:val="17"/>
          <w:color w:val="auto"/>
        </w:rPr>
        <w:t>‑</w:t>
      </w:r>
      <w:r>
        <w:rPr>
          <w:rFonts w:ascii="Arial" w:cs="Arial" w:eastAsia="Arial" w:hAnsi="Arial"/>
          <w:sz w:val="17"/>
          <w:szCs w:val="17"/>
          <w:color w:val="auto"/>
        </w:rPr>
        <w:t>based awards.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warrant activity for the six months ended June 30, 2018:</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7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6600" w:type="dxa"/>
            <w:vAlign w:val="bottom"/>
          </w:tcPr>
          <w:p>
            <w:pPr>
              <w:spacing w:after="0"/>
              <w:rPr>
                <w:sz w:val="11"/>
                <w:szCs w:val="11"/>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Warrants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jc w:val="center"/>
              <w:ind w:right="78"/>
              <w:spacing w:after="0" w:line="135"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62"/>
        </w:trPr>
        <w:tc>
          <w:tcPr>
            <w:tcW w:w="66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78"/>
              <w:spacing w:after="0"/>
              <w:rPr>
                <w:sz w:val="20"/>
                <w:szCs w:val="20"/>
                <w:color w:val="auto"/>
              </w:rPr>
            </w:pPr>
            <w:r>
              <w:rPr>
                <w:rFonts w:ascii="Arial" w:cs="Arial" w:eastAsia="Arial" w:hAnsi="Arial"/>
                <w:sz w:val="14"/>
                <w:szCs w:val="14"/>
                <w:b w:val="1"/>
                <w:bCs w:val="1"/>
                <w:color w:val="auto"/>
                <w:w w:val="87"/>
              </w:rPr>
              <w:t>exercise price</w:t>
            </w:r>
          </w:p>
        </w:tc>
        <w:tc>
          <w:tcPr>
            <w:tcW w:w="0" w:type="dxa"/>
            <w:vAlign w:val="bottom"/>
          </w:tcPr>
          <w:p>
            <w:pPr>
              <w:spacing w:after="0"/>
              <w:rPr>
                <w:sz w:val="1"/>
                <w:szCs w:val="1"/>
                <w:color w:val="auto"/>
              </w:rPr>
            </w:pPr>
          </w:p>
        </w:tc>
      </w:tr>
      <w:tr>
        <w:trPr>
          <w:trHeight w:val="169"/>
        </w:trPr>
        <w:tc>
          <w:tcPr>
            <w:tcW w:w="660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Outstanding at December 31, 2017</w:t>
            </w:r>
          </w:p>
        </w:tc>
        <w:tc>
          <w:tcPr>
            <w:tcW w:w="9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2,099,149</w:t>
            </w: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176"/>
        </w:trPr>
        <w:tc>
          <w:tcPr>
            <w:tcW w:w="6600" w:type="dxa"/>
            <w:vAlign w:val="bottom"/>
          </w:tcPr>
          <w:p>
            <w:pPr>
              <w:ind w:left="220"/>
              <w:spacing w:after="0" w:line="176" w:lineRule="exact"/>
              <w:rPr>
                <w:sz w:val="20"/>
                <w:szCs w:val="20"/>
                <w:color w:val="auto"/>
              </w:rPr>
            </w:pPr>
            <w:r>
              <w:rPr>
                <w:rFonts w:ascii="Arial" w:cs="Arial" w:eastAsia="Arial" w:hAnsi="Arial"/>
                <w:sz w:val="18"/>
                <w:szCs w:val="18"/>
                <w:color w:val="auto"/>
              </w:rPr>
              <w:t>Issued</w:t>
            </w:r>
          </w:p>
        </w:tc>
        <w:tc>
          <w:tcPr>
            <w:tcW w:w="1160" w:type="dxa"/>
            <w:vAlign w:val="bottom"/>
            <w:gridSpan w:val="2"/>
          </w:tcPr>
          <w:p>
            <w:pPr>
              <w:jc w:val="right"/>
              <w:ind w:right="260"/>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66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CEEFF"/>
          </w:tcPr>
          <w:p>
            <w:pPr>
              <w:jc w:val="right"/>
              <w:ind w:right="260"/>
              <w:spacing w:after="0" w:line="176"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6600" w:type="dxa"/>
            <w:vAlign w:val="bottom"/>
          </w:tcPr>
          <w:p>
            <w:pPr>
              <w:spacing w:after="0" w:line="170" w:lineRule="exact"/>
              <w:rPr>
                <w:sz w:val="20"/>
                <w:szCs w:val="20"/>
                <w:color w:val="auto"/>
              </w:rPr>
            </w:pPr>
            <w:r>
              <w:rPr>
                <w:rFonts w:ascii="Arial" w:cs="Arial" w:eastAsia="Arial" w:hAnsi="Arial"/>
                <w:sz w:val="18"/>
                <w:szCs w:val="18"/>
                <w:color w:val="auto"/>
              </w:rPr>
              <w:t>Outstanding at June 30, 2018</w:t>
            </w:r>
          </w:p>
        </w:tc>
        <w:tc>
          <w:tcPr>
            <w:tcW w:w="9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2,099,149</w:t>
            </w:r>
          </w:p>
        </w:tc>
        <w:tc>
          <w:tcPr>
            <w:tcW w:w="200" w:type="dxa"/>
            <w:vAlign w:val="bottom"/>
          </w:tcPr>
          <w:p>
            <w:pPr>
              <w:spacing w:after="0"/>
              <w:rPr>
                <w:sz w:val="15"/>
                <w:szCs w:val="15"/>
                <w:color w:val="auto"/>
              </w:rPr>
            </w:pPr>
          </w:p>
        </w:tc>
        <w:tc>
          <w:tcPr>
            <w:tcW w:w="160" w:type="dxa"/>
            <w:vAlign w:val="bottom"/>
            <w:tcBorders>
              <w:bottom w:val="single" w:sz="8" w:color="auto"/>
            </w:tcBorders>
            <w:gridSpan w:val="2"/>
          </w:tcPr>
          <w:p>
            <w:pPr>
              <w:jc w:val="right"/>
              <w:ind w:right="30"/>
              <w:spacing w:after="0" w:line="169" w:lineRule="exact"/>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2"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i w:val="1"/>
          <w:iCs w:val="1"/>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“Special Cautionary Notice Regarding Forward-Looking Statements” set forth at the beginning of this report.</w:t>
      </w:r>
    </w:p>
    <w:p>
      <w:pPr>
        <w:spacing w:after="0" w:line="122"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i w:val="1"/>
          <w:iCs w:val="1"/>
          <w:color w:val="auto"/>
        </w:rPr>
        <w:t>You should read the following discussion and analysis in conjunction with the unaudited condensed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2017 which was filed with the Securities and Exchange Commission, or SEC, on March 7, 2018</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firstLine="648"/>
        <w:spacing w:after="0" w:line="179" w:lineRule="exact"/>
        <w:rPr>
          <w:sz w:val="20"/>
          <w:szCs w:val="20"/>
          <w:color w:val="auto"/>
        </w:rPr>
      </w:pPr>
      <w:r>
        <w:rPr>
          <w:rFonts w:ascii="Arial" w:cs="Arial" w:eastAsia="Arial" w:hAnsi="Arial"/>
          <w:sz w:val="16"/>
          <w:szCs w:val="16"/>
          <w:color w:val="auto"/>
        </w:rPr>
        <w:t>We are a clinical-stage biopharmaceutical company developing novel therapies for the management of central nervous system, or CNS, disorders for which there are limited treatment options. By focusing on this therapeutic area, we are addressing significant and growing markets where current treatment options are limited or inadequate. Our product candidate portfolio includes five CNS product candidates, AXS</w:t>
      </w:r>
      <w:r>
        <w:rPr>
          <w:rFonts w:ascii="MS PGothic" w:cs="MS PGothic" w:eastAsia="MS PGothic" w:hAnsi="MS PGothic"/>
          <w:sz w:val="16"/>
          <w:szCs w:val="16"/>
          <w:color w:val="auto"/>
        </w:rPr>
        <w:t>‑</w:t>
      </w:r>
      <w:r>
        <w:rPr>
          <w:rFonts w:ascii="Arial" w:cs="Arial" w:eastAsia="Arial" w:hAnsi="Arial"/>
          <w:sz w:val="16"/>
          <w:szCs w:val="16"/>
          <w:color w:val="auto"/>
        </w:rPr>
        <w:t>05, AXS-07, AXS-09, AXS</w:t>
      </w:r>
      <w:r>
        <w:rPr>
          <w:rFonts w:ascii="MS PGothic" w:cs="MS PGothic" w:eastAsia="MS PGothic" w:hAnsi="MS PGothic"/>
          <w:sz w:val="16"/>
          <w:szCs w:val="16"/>
          <w:color w:val="auto"/>
        </w:rPr>
        <w:t>‑</w:t>
      </w:r>
      <w:r>
        <w:rPr>
          <w:rFonts w:ascii="Arial" w:cs="Arial" w:eastAsia="Arial" w:hAnsi="Arial"/>
          <w:sz w:val="16"/>
          <w:szCs w:val="16"/>
          <w:color w:val="auto"/>
        </w:rPr>
        <w:t>02, and AXS-06 which we are developing for multiple indications. We are conducting a Phase 3 trial with AXS-05 in treatment resistant depression, or TRD, which we refer to as the STRIDE-1 study, a Phase 2/3 trial in agitation associated with Alzheimer's disease, or AD, which we refer to as the ADVANCE-1 study, and a Phase 2 trial in Major Depressive Disorder, or MDD, which we refer to as the ASCEND study. Additionally, AXS-05 is currently in a Phase 2 trial in smoking cessation. AXS-07 is being developed for the acute treatment of migraine. AXS-09 is being developed for CNS disorders. We are also conducting a Phase 3 trial with AXS -02 in knee osteoarthritis, or OA, associated with bone marrow lesions, or BMLs, pursuant to a Special Protocol Assessment, or SPA, which we refer to as the COAST-1 study. We also plan to initiate a Phase 3 trial with AXS-02 in chronic low back pain, or CLBP, associated with Modic changes, or MCs. Lastly, AXS-06 is being developed for the treatment of osteoarthritis and rheumatoid arthritis and for the reduction of the risk of nonsteroidal anti-inflammatory drug, or NSAID, associated gastric ulcers. Additionally, we are currently evaluating other product candidates, which we intend to develop for CNS disorders. We aim to become a fully integrated biopharmaceutical company that develops and commercializes differentiated therapies that expand the treatment options available to caregivers and improve the lives of patients living with CNS disorders.</w:t>
      </w:r>
    </w:p>
    <w:p>
      <w:pPr>
        <w:spacing w:after="0" w:line="167"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AXS-05 is a novel, oral, investigational medicine under development for the treatment of CNS disorders. AXS-05 consists of bupropion and dextromethorphan and utilizes Axsome’s metabolic inhibition technology. We are developing AXS</w:t>
      </w:r>
      <w:r>
        <w:rPr>
          <w:rFonts w:ascii="MS PGothic" w:cs="MS PGothic" w:eastAsia="MS PGothic" w:hAnsi="MS PGothic"/>
          <w:sz w:val="16"/>
          <w:szCs w:val="16"/>
          <w:color w:val="auto"/>
        </w:rPr>
        <w:t>‑</w:t>
      </w:r>
      <w:r>
        <w:rPr>
          <w:rFonts w:ascii="Arial" w:cs="Arial" w:eastAsia="Arial" w:hAnsi="Arial"/>
          <w:sz w:val="16"/>
          <w:szCs w:val="16"/>
          <w:color w:val="auto"/>
        </w:rPr>
        <w:t>05 initially for the following four indications: TRD, agitation associated with AD, MDD, and as an aid to smoking cessation. DM is active at multiple CNS receptors but is rapidly and extensively metabolized in humans. As a result, it is difficult to attain potential therapeutic plasma levels of DM when it is dosed as a single agent. AXS</w:t>
      </w:r>
      <w:r>
        <w:rPr>
          <w:rFonts w:ascii="MS PGothic" w:cs="MS PGothic" w:eastAsia="MS PGothic" w:hAnsi="MS PGothic"/>
          <w:sz w:val="16"/>
          <w:szCs w:val="16"/>
          <w:color w:val="auto"/>
        </w:rPr>
        <w:t>‑</w:t>
      </w:r>
      <w:r>
        <w:rPr>
          <w:rFonts w:ascii="Arial" w:cs="Arial" w:eastAsia="Arial" w:hAnsi="Arial"/>
          <w:sz w:val="16"/>
          <w:szCs w:val="16"/>
          <w:color w:val="auto"/>
        </w:rPr>
        <w:t>05 uses bupropion as a novel drug delivery method to inhibit DM metabolism and increase its bioavailability. We have demonstrated in three Phase 1 trials that DM plasma levels are substantially increased into a potentially therapeutic range with the co</w:t>
      </w:r>
      <w:r>
        <w:rPr>
          <w:rFonts w:ascii="MS PGothic" w:cs="MS PGothic" w:eastAsia="MS PGothic" w:hAnsi="MS PGothic"/>
          <w:sz w:val="16"/>
          <w:szCs w:val="16"/>
          <w:color w:val="auto"/>
        </w:rPr>
        <w:t>‑</w:t>
      </w:r>
      <w:r>
        <w:rPr>
          <w:rFonts w:ascii="Arial" w:cs="Arial" w:eastAsia="Arial" w:hAnsi="Arial"/>
          <w:sz w:val="16"/>
          <w:szCs w:val="16"/>
          <w:color w:val="auto"/>
        </w:rPr>
        <w:t>administration of bupropion. Bupropion is itself active at distinct CNS receptors providing the potential for an additive or synergistic effect. We intend to seek FDA approval for AXS</w:t>
      </w:r>
      <w:r>
        <w:rPr>
          <w:rFonts w:ascii="MS PGothic" w:cs="MS PGothic" w:eastAsia="MS PGothic" w:hAnsi="MS PGothic"/>
          <w:sz w:val="16"/>
          <w:szCs w:val="16"/>
          <w:color w:val="auto"/>
        </w:rPr>
        <w:t>‑</w:t>
      </w:r>
      <w:r>
        <w:rPr>
          <w:rFonts w:ascii="Arial" w:cs="Arial" w:eastAsia="Arial" w:hAnsi="Arial"/>
          <w:sz w:val="16"/>
          <w:szCs w:val="16"/>
          <w:color w:val="auto"/>
        </w:rPr>
        <w:t>05 utilizing the 505(b)(2) regulatory development pathway.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firstLine="648"/>
        <w:spacing w:after="0" w:line="221" w:lineRule="auto"/>
        <w:rPr>
          <w:sz w:val="20"/>
          <w:szCs w:val="20"/>
          <w:color w:val="auto"/>
        </w:rPr>
      </w:pPr>
      <w:r>
        <w:rPr>
          <w:rFonts w:ascii="Arial" w:cs="Arial" w:eastAsia="Arial" w:hAnsi="Arial"/>
          <w:sz w:val="17"/>
          <w:szCs w:val="17"/>
          <w:color w:val="auto"/>
        </w:rPr>
        <w:t>AXS-07 is a novel, oral, investigational medicine consisting of MoSEIC™, or Molecular Solubility Enhanced Inclusion Complex, meloxicam and rizatriptan. We are developing AXS-07 initially for the acute treatment of migraine. Meloxicam is a long-acting nonsteroidal anti-inflammatory drug, or NSAID, with COX-2, an enzyme involved in inflammation and pain pathways, preferential inhibition and potent pain-relieving effects. However standard meloxicam has an extended time to maximum plasma concentration, or Tmax, which delays its onset of action. AXS-07 utilizes our proprietary MoSEIC™ technology to substantially increase the solubility and speed the absorption of meloxicam while potentially maintaining durability of action. Meloxicam is a new molecular entity for migraine enabled by our MoSEIC™ technology. Rizatriptan is a 5-HT1B/D agonist that inhibits calcitonin gene-related peptide (CGRP)-mediated vasodilation, has been shown to have central trigeminal antinociceptive activity, and may reduce the release of inflammatory mediators from trigeminal nerves. Rizatriptan is approved as a single agent for the acute treatment of migraine. We intend to seek FDA approval for AXS-07 utilizing the 505(b)(2) regulatory development pathway.</w:t>
      </w:r>
    </w:p>
    <w:p>
      <w:pPr>
        <w:spacing w:after="0" w:line="167" w:lineRule="exact"/>
        <w:rPr>
          <w:sz w:val="20"/>
          <w:szCs w:val="20"/>
          <w:color w:val="auto"/>
        </w:rPr>
      </w:pPr>
    </w:p>
    <w:p>
      <w:pPr>
        <w:ind w:right="100" w:firstLine="648"/>
        <w:spacing w:after="0" w:line="241" w:lineRule="auto"/>
        <w:rPr>
          <w:sz w:val="20"/>
          <w:szCs w:val="20"/>
          <w:color w:val="auto"/>
        </w:rPr>
      </w:pPr>
      <w:r>
        <w:rPr>
          <w:rFonts w:ascii="Arial" w:cs="Arial" w:eastAsia="Arial" w:hAnsi="Arial"/>
          <w:sz w:val="16"/>
          <w:szCs w:val="16"/>
          <w:color w:val="auto"/>
        </w:rPr>
        <w:t xml:space="preserve">AXS-09 is an oral, investigational medicine consisting of esbupropion and DM, which is being developed for the treatment of CNS disorders. AXS-09 contains esbupropion, the chirally pure S-enantiomer of bupropion, as compared to the company’s first generation product candidate AXS-05 which contains racemic bupropion, equal amounts of the </w:t>
      </w:r>
      <w:r>
        <w:rPr>
          <w:rFonts w:ascii="Arial" w:cs="Arial" w:eastAsia="Arial" w:hAnsi="Arial"/>
          <w:sz w:val="16"/>
          <w:szCs w:val="16"/>
          <w:i w:val="1"/>
          <w:iCs w:val="1"/>
          <w:color w:val="auto"/>
        </w:rPr>
        <w:t>S</w:t>
      </w:r>
      <w:r>
        <w:rPr>
          <w:rFonts w:ascii="Arial" w:cs="Arial" w:eastAsia="Arial" w:hAnsi="Arial"/>
          <w:sz w:val="16"/>
          <w:szCs w:val="16"/>
          <w:color w:val="auto"/>
        </w:rPr>
        <w:t xml:space="preserve">- and </w:t>
      </w:r>
      <w:r>
        <w:rPr>
          <w:rFonts w:ascii="Arial" w:cs="Arial" w:eastAsia="Arial" w:hAnsi="Arial"/>
          <w:sz w:val="16"/>
          <w:szCs w:val="16"/>
          <w:i w:val="1"/>
          <w:iCs w:val="1"/>
          <w:color w:val="auto"/>
        </w:rPr>
        <w:t>R</w:t>
      </w:r>
      <w:r>
        <w:rPr>
          <w:rFonts w:ascii="Arial" w:cs="Arial" w:eastAsia="Arial" w:hAnsi="Arial"/>
          <w:sz w:val="16"/>
          <w:szCs w:val="16"/>
          <w:color w:val="auto"/>
        </w:rPr>
        <w:t xml:space="preserve">-enantiomers. We have demonstrated in a Phase 1 trial that DM plasma levels are substantially increased into a potentially therapeutic range with repeated administration of AXS-09. Results of this Phase 1 trial coupled with preclinical data also indicate the potential for enhanced absorption and therapeutic effect of the </w:t>
      </w:r>
      <w:r>
        <w:rPr>
          <w:rFonts w:ascii="Arial" w:cs="Arial" w:eastAsia="Arial" w:hAnsi="Arial"/>
          <w:sz w:val="16"/>
          <w:szCs w:val="16"/>
          <w:i w:val="1"/>
          <w:iCs w:val="1"/>
          <w:color w:val="auto"/>
        </w:rPr>
        <w:t>S</w:t>
      </w:r>
      <w:r>
        <w:rPr>
          <w:rFonts w:ascii="Arial" w:cs="Arial" w:eastAsia="Arial" w:hAnsi="Arial"/>
          <w:sz w:val="16"/>
          <w:szCs w:val="16"/>
          <w:color w:val="auto"/>
        </w:rPr>
        <w:t xml:space="preserve">-enantiomer as compared to the </w:t>
      </w:r>
      <w:r>
        <w:rPr>
          <w:rFonts w:ascii="Arial" w:cs="Arial" w:eastAsia="Arial" w:hAnsi="Arial"/>
          <w:sz w:val="16"/>
          <w:szCs w:val="16"/>
          <w:i w:val="1"/>
          <w:iCs w:val="1"/>
          <w:color w:val="auto"/>
        </w:rPr>
        <w:t>R</w:t>
      </w:r>
      <w:r>
        <w:rPr>
          <w:rFonts w:ascii="Arial" w:cs="Arial" w:eastAsia="Arial" w:hAnsi="Arial"/>
          <w:sz w:val="16"/>
          <w:szCs w:val="16"/>
          <w:color w:val="auto"/>
        </w:rPr>
        <w:t>-enantiomer.</w:t>
      </w:r>
    </w:p>
    <w:p>
      <w:pPr>
        <w:spacing w:after="0" w:line="161"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AXS</w:t>
      </w:r>
      <w:r>
        <w:rPr>
          <w:rFonts w:ascii="MS PGothic" w:cs="MS PGothic" w:eastAsia="MS PGothic" w:hAnsi="MS PGothic"/>
          <w:sz w:val="16"/>
          <w:szCs w:val="16"/>
          <w:color w:val="auto"/>
        </w:rPr>
        <w:t>‑</w:t>
      </w:r>
      <w:r>
        <w:rPr>
          <w:rFonts w:ascii="Arial" w:cs="Arial" w:eastAsia="Arial" w:hAnsi="Arial"/>
          <w:sz w:val="16"/>
          <w:szCs w:val="16"/>
          <w:color w:val="auto"/>
        </w:rPr>
        <w:t>02, disodium zoledronate tetrahydrate, is a potentially first</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class, oral, targeted, non</w:t>
      </w:r>
      <w:r>
        <w:rPr>
          <w:rFonts w:ascii="MS PGothic" w:cs="MS PGothic" w:eastAsia="MS PGothic" w:hAnsi="MS PGothic"/>
          <w:sz w:val="16"/>
          <w:szCs w:val="16"/>
          <w:color w:val="auto"/>
        </w:rPr>
        <w:t>‑</w:t>
      </w:r>
      <w:r>
        <w:rPr>
          <w:rFonts w:ascii="Arial" w:cs="Arial" w:eastAsia="Arial" w:hAnsi="Arial"/>
          <w:sz w:val="16"/>
          <w:szCs w:val="16"/>
          <w:color w:val="auto"/>
        </w:rPr>
        <w:t>opioid therapeutic for chronic pain. AXS</w:t>
      </w:r>
      <w:r>
        <w:rPr>
          <w:rFonts w:ascii="MS PGothic" w:cs="MS PGothic" w:eastAsia="MS PGothic" w:hAnsi="MS PGothic"/>
          <w:sz w:val="16"/>
          <w:szCs w:val="16"/>
          <w:color w:val="auto"/>
        </w:rPr>
        <w:t>‑</w:t>
      </w:r>
      <w:r>
        <w:rPr>
          <w:rFonts w:ascii="Arial" w:cs="Arial" w:eastAsia="Arial" w:hAnsi="Arial"/>
          <w:sz w:val="16"/>
          <w:szCs w:val="16"/>
          <w:color w:val="auto"/>
        </w:rPr>
        <w:t>02 is a potent inhibitor of osteoclasts, which are bone remodeling cells that break down bone tissue. We are initially developing AXS</w:t>
      </w:r>
      <w:r>
        <w:rPr>
          <w:rFonts w:ascii="MS PGothic" w:cs="MS PGothic" w:eastAsia="MS PGothic" w:hAnsi="MS PGothic"/>
          <w:sz w:val="16"/>
          <w:szCs w:val="16"/>
          <w:color w:val="auto"/>
        </w:rPr>
        <w:t>‑</w:t>
      </w:r>
      <w:r>
        <w:rPr>
          <w:rFonts w:ascii="Arial" w:cs="Arial" w:eastAsia="Arial" w:hAnsi="Arial"/>
          <w:sz w:val="16"/>
          <w:szCs w:val="16"/>
          <w:color w:val="auto"/>
        </w:rPr>
        <w:t>02 for the treatment of pain in the following two conditions: knee OA associated with BMLs and CLBP associated with type 1 or mixed type 1 and type 2 MCs. These conditions exhibit target lesions or specific pathology that we believe may be addressed by the mechanisms of action of AXS</w:t>
      </w:r>
      <w:r>
        <w:rPr>
          <w:rFonts w:ascii="MS PGothic" w:cs="MS PGothic" w:eastAsia="MS PGothic" w:hAnsi="MS PGothic"/>
          <w:sz w:val="16"/>
          <w:szCs w:val="16"/>
          <w:color w:val="auto"/>
        </w:rPr>
        <w:t>‑</w:t>
      </w:r>
      <w:r>
        <w:rPr>
          <w:rFonts w:ascii="Arial" w:cs="Arial" w:eastAsia="Arial" w:hAnsi="Arial"/>
          <w:sz w:val="16"/>
          <w:szCs w:val="16"/>
          <w:color w:val="auto"/>
        </w:rPr>
        <w:t>02, such as inhibition of osteoclast activity. These mechanisms may result in a reduction of pain in these conditions. We have successfully completed a Phase 1 trial of AXS</w:t>
      </w:r>
      <w:r>
        <w:rPr>
          <w:rFonts w:ascii="MS PGothic" w:cs="MS PGothic" w:eastAsia="MS PGothic" w:hAnsi="MS PGothic"/>
          <w:sz w:val="16"/>
          <w:szCs w:val="16"/>
          <w:color w:val="auto"/>
        </w:rPr>
        <w:t>‑</w:t>
      </w:r>
      <w:r>
        <w:rPr>
          <w:rFonts w:ascii="Arial" w:cs="Arial" w:eastAsia="Arial" w:hAnsi="Arial"/>
          <w:sz w:val="16"/>
          <w:szCs w:val="16"/>
          <w:color w:val="auto"/>
        </w:rPr>
        <w:t>02 to characterize the pharmacokinetics of zoledronic acid and its effects on markers of bone resorption after oral administration of AXS</w:t>
      </w:r>
      <w:r>
        <w:rPr>
          <w:rFonts w:ascii="MS PGothic" w:cs="MS PGothic" w:eastAsia="MS PGothic" w:hAnsi="MS PGothic"/>
          <w:sz w:val="16"/>
          <w:szCs w:val="16"/>
          <w:color w:val="auto"/>
        </w:rPr>
        <w:t>‑</w:t>
      </w:r>
      <w:r>
        <w:rPr>
          <w:rFonts w:ascii="Arial" w:cs="Arial" w:eastAsia="Arial" w:hAnsi="Arial"/>
          <w:sz w:val="16"/>
          <w:szCs w:val="16"/>
          <w:color w:val="auto"/>
        </w:rPr>
        <w:t>02. The results of our Phase 1 trial demonstrated that oral administration of AXS</w:t>
      </w:r>
      <w:r>
        <w:rPr>
          <w:rFonts w:ascii="MS PGothic" w:cs="MS PGothic" w:eastAsia="MS PGothic" w:hAnsi="MS PGothic"/>
          <w:sz w:val="16"/>
          <w:szCs w:val="16"/>
          <w:color w:val="auto"/>
        </w:rPr>
        <w:t>‑</w:t>
      </w:r>
      <w:r>
        <w:rPr>
          <w:rFonts w:ascii="Arial" w:cs="Arial" w:eastAsia="Arial" w:hAnsi="Arial"/>
          <w:sz w:val="16"/>
          <w:szCs w:val="16"/>
          <w:color w:val="auto"/>
        </w:rPr>
        <w:t>02 tablets resulted in rapid absorption of zoledronic acid, which is the active molecule in AXS</w:t>
      </w:r>
      <w:r>
        <w:rPr>
          <w:rFonts w:ascii="MS PGothic" w:cs="MS PGothic" w:eastAsia="MS PGothic" w:hAnsi="MS PGothic"/>
          <w:sz w:val="16"/>
          <w:szCs w:val="16"/>
          <w:color w:val="auto"/>
        </w:rPr>
        <w:t>‑</w:t>
      </w:r>
      <w:r>
        <w:rPr>
          <w:rFonts w:ascii="Arial" w:cs="Arial" w:eastAsia="Arial" w:hAnsi="Arial"/>
          <w:sz w:val="16"/>
          <w:szCs w:val="16"/>
          <w:color w:val="auto"/>
        </w:rPr>
        <w:t>02 and the free acid form of disodium zoledronate tetrahydrate, and substantial suppression of bone resorption markers, which are proteins indicative of bone tissue breakdown. We intend to seek FDA approval for AXS</w:t>
      </w:r>
      <w:r>
        <w:rPr>
          <w:rFonts w:ascii="MS PGothic" w:cs="MS PGothic" w:eastAsia="MS PGothic" w:hAnsi="MS PGothic"/>
          <w:sz w:val="16"/>
          <w:szCs w:val="16"/>
          <w:color w:val="auto"/>
        </w:rPr>
        <w:t>‑</w:t>
      </w:r>
      <w:r>
        <w:rPr>
          <w:rFonts w:ascii="Arial" w:cs="Arial" w:eastAsia="Arial" w:hAnsi="Arial"/>
          <w:sz w:val="16"/>
          <w:szCs w:val="16"/>
          <w:color w:val="auto"/>
        </w:rPr>
        <w:t>02 utilizing the 505(b)(2) regulatory development pathway.</w:t>
      </w:r>
    </w:p>
    <w:p>
      <w:pPr>
        <w:spacing w:after="0" w:line="166" w:lineRule="exact"/>
        <w:rPr>
          <w:sz w:val="20"/>
          <w:szCs w:val="20"/>
          <w:color w:val="auto"/>
        </w:rPr>
      </w:pPr>
    </w:p>
    <w:p>
      <w:pPr>
        <w:ind w:firstLine="648"/>
        <w:spacing w:after="0" w:line="222" w:lineRule="auto"/>
        <w:rPr>
          <w:sz w:val="20"/>
          <w:szCs w:val="20"/>
          <w:color w:val="auto"/>
        </w:rPr>
      </w:pPr>
      <w:r>
        <w:rPr>
          <w:rFonts w:ascii="Arial" w:cs="Arial" w:eastAsia="Arial" w:hAnsi="Arial"/>
          <w:sz w:val="16"/>
          <w:szCs w:val="16"/>
          <w:color w:val="auto"/>
        </w:rPr>
        <w:t>AXS-06 is a novel, oral, non-opioid, investigational medicine consisting of MoSEIC™ meloxicam and esomeprazole. We are developing AXS-06 initially for the treatment of osteoarthritis and rheumatoid arthritis. Esomeprazole is a proton pump inhibitor which lowers stomach acidity and which has been shown to reduce the occurrence of NSAID-induced gastrointestinal ulcers. AXS-06 is designed to provide rapid, effective pain relief, and to reduce the risk of NSAID-induced ulcers, with convenient once-daily dosing. We have successfully completed a Phase 1 trial of AXS-06 to characterize the pharmacokinetics of meloxicam and esomeprazole after oral administration of AXS-06. The results of our Phase 1 trial demonstrated that the median T</w:t>
      </w:r>
      <w:r>
        <w:rPr>
          <w:rFonts w:ascii="Arial" w:cs="Arial" w:eastAsia="Arial" w:hAnsi="Arial"/>
          <w:sz w:val="26"/>
          <w:szCs w:val="26"/>
          <w:color w:val="auto"/>
          <w:vertAlign w:val="subscript"/>
        </w:rPr>
        <w:t>max</w:t>
      </w:r>
      <w:r>
        <w:rPr>
          <w:rFonts w:ascii="Arial" w:cs="Arial" w:eastAsia="Arial" w:hAnsi="Arial"/>
          <w:sz w:val="16"/>
          <w:szCs w:val="16"/>
          <w:color w:val="auto"/>
        </w:rPr>
        <w:t xml:space="preserve"> for meloxicam, the trial’s primary endpoint, was nine times faster for AXS-06 as</w:t>
      </w:r>
    </w:p>
    <w:p>
      <w:pPr>
        <w:spacing w:after="0" w:line="1" w:lineRule="exact"/>
        <w:rPr>
          <w:sz w:val="20"/>
          <w:szCs w:val="20"/>
          <w:color w:val="auto"/>
        </w:rPr>
      </w:pPr>
    </w:p>
    <w:p>
      <w:pPr>
        <w:ind w:right="880"/>
        <w:spacing w:after="0" w:line="226" w:lineRule="auto"/>
        <w:rPr>
          <w:sz w:val="20"/>
          <w:szCs w:val="20"/>
          <w:color w:val="auto"/>
        </w:rPr>
      </w:pPr>
      <w:r>
        <w:rPr>
          <w:rFonts w:ascii="Arial" w:cs="Arial" w:eastAsia="Arial" w:hAnsi="Arial"/>
          <w:sz w:val="18"/>
          <w:szCs w:val="18"/>
          <w:color w:val="auto"/>
        </w:rPr>
        <w:t>compared to standard meloxicam. We intend to seek FDA approval for AXS-06 utilizing the 505(b)(2) regulatory development pathway.</w:t>
      </w:r>
    </w:p>
    <w:p>
      <w:pPr>
        <w:spacing w:after="0" w:line="161" w:lineRule="exact"/>
        <w:rPr>
          <w:sz w:val="20"/>
          <w:szCs w:val="20"/>
          <w:color w:val="auto"/>
        </w:rPr>
      </w:pPr>
    </w:p>
    <w:p>
      <w:pPr>
        <w:ind w:right="80" w:firstLine="648"/>
        <w:spacing w:after="0" w:line="219" w:lineRule="auto"/>
        <w:rPr>
          <w:sz w:val="20"/>
          <w:szCs w:val="20"/>
          <w:color w:val="auto"/>
        </w:rPr>
      </w:pPr>
      <w:r>
        <w:rPr>
          <w:rFonts w:ascii="Arial" w:cs="Arial" w:eastAsia="Arial" w:hAnsi="Arial"/>
          <w:sz w:val="18"/>
          <w:szCs w:val="18"/>
          <w:color w:val="auto"/>
        </w:rPr>
        <w:t>Since our incorporation in January 2012, our operations to date have included organizing and staffing our company, business planning, raising capital, developing our compounds, and engaging in other discovery and preclinical activities. Prior to our initial public offering, or IPO, in November 2015, we financed our operations primarily through private placements of our convertible notes.</w:t>
      </w:r>
    </w:p>
    <w:p>
      <w:pPr>
        <w:spacing w:after="0" w:line="122"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Our ability to become profitable depends on our ability to generate revenue. We do not expect to generate significant revenue unless and until we or our collaborators obtain marketing approval for and successfully commercialize one of our product candidates.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incurred significant operating and net losses since inception. We incurred net losses of $13.1 million and</w:t>
      </w:r>
    </w:p>
    <w:p>
      <w:pPr>
        <w:spacing w:after="0"/>
        <w:rPr>
          <w:sz w:val="20"/>
          <w:szCs w:val="20"/>
          <w:color w:val="auto"/>
        </w:rPr>
      </w:pPr>
      <w:r>
        <w:rPr>
          <w:rFonts w:ascii="Arial" w:cs="Arial" w:eastAsia="Arial" w:hAnsi="Arial"/>
          <w:sz w:val="16"/>
          <w:szCs w:val="16"/>
          <w:color w:val="auto"/>
        </w:rPr>
        <w:t>$15.1 million for the six months ended June 30, 2018 and 2017, respectively. Our accumulated deficit as of June 30, 2018</w:t>
      </w:r>
    </w:p>
    <w:p>
      <w:pPr>
        <w:spacing w:after="0" w:line="229" w:lineRule="auto"/>
        <w:rPr>
          <w:sz w:val="20"/>
          <w:szCs w:val="20"/>
          <w:color w:val="auto"/>
        </w:rPr>
      </w:pPr>
      <w:r>
        <w:rPr>
          <w:rFonts w:ascii="Arial" w:cs="Arial" w:eastAsia="Arial" w:hAnsi="Arial"/>
          <w:sz w:val="16"/>
          <w:szCs w:val="16"/>
          <w:color w:val="auto"/>
        </w:rPr>
        <w:t>was $89.7 million, and we expect to incur significant expenses and increasing operating losses for the foreseeable future. We</w:t>
      </w:r>
    </w:p>
    <w:p>
      <w:pPr>
        <w:spacing w:after="0" w:line="229" w:lineRule="auto"/>
        <w:rPr>
          <w:sz w:val="20"/>
          <w:szCs w:val="20"/>
          <w:color w:val="auto"/>
        </w:rPr>
      </w:pPr>
      <w:r>
        <w:rPr>
          <w:rFonts w:ascii="Arial" w:cs="Arial" w:eastAsia="Arial" w:hAnsi="Arial"/>
          <w:sz w:val="16"/>
          <w:szCs w:val="16"/>
          <w:color w:val="auto"/>
        </w:rPr>
        <w:t>expect our expenses to increase in connection with our ongoing activities, as we continue the development and clinical trials</w:t>
      </w:r>
    </w:p>
    <w:p>
      <w:pPr>
        <w:spacing w:after="0" w:line="215" w:lineRule="auto"/>
        <w:rPr>
          <w:sz w:val="20"/>
          <w:szCs w:val="20"/>
          <w:color w:val="auto"/>
        </w:rPr>
      </w:pPr>
      <w:r>
        <w:rPr>
          <w:rFonts w:ascii="Arial" w:cs="Arial" w:eastAsia="Arial" w:hAnsi="Arial"/>
          <w:sz w:val="17"/>
          <w:szCs w:val="17"/>
          <w:color w:val="auto"/>
        </w:rPr>
        <w:t>of, and seek regulatory approval for our current product candidates and any other product candidates that we develop or</w:t>
      </w:r>
    </w:p>
    <w:p>
      <w:pPr>
        <w:spacing w:after="0" w:line="176" w:lineRule="exact"/>
        <w:rPr>
          <w:sz w:val="20"/>
          <w:szCs w:val="20"/>
          <w:color w:val="auto"/>
        </w:rPr>
      </w:pP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license and advance to clinical development. If we obtain regulatory approval for a product candidate, we expect to incur</w:t>
      </w:r>
    </w:p>
    <w:p>
      <w:pPr>
        <w:spacing w:after="0" w:line="229" w:lineRule="auto"/>
        <w:rPr>
          <w:sz w:val="20"/>
          <w:szCs w:val="20"/>
          <w:color w:val="auto"/>
        </w:rPr>
      </w:pPr>
      <w:r>
        <w:rPr>
          <w:rFonts w:ascii="Arial" w:cs="Arial" w:eastAsia="Arial" w:hAnsi="Arial"/>
          <w:sz w:val="16"/>
          <w:szCs w:val="16"/>
          <w:color w:val="auto"/>
        </w:rPr>
        <w:t>significant expenses in order to create an infrastructure to support the commercialization of the product candidate, including</w:t>
      </w:r>
    </w:p>
    <w:p>
      <w:pPr>
        <w:spacing w:after="0" w:line="229" w:lineRule="auto"/>
        <w:rPr>
          <w:sz w:val="20"/>
          <w:szCs w:val="20"/>
          <w:color w:val="auto"/>
        </w:rPr>
      </w:pPr>
      <w:r>
        <w:rPr>
          <w:rFonts w:ascii="Arial" w:cs="Arial" w:eastAsia="Arial" w:hAnsi="Arial"/>
          <w:sz w:val="16"/>
          <w:szCs w:val="16"/>
          <w:color w:val="auto"/>
        </w:rPr>
        <w:t>manufacturing, sales, marketing, and distribution functions. Further, we have incurred and will continue to incur additional</w:t>
      </w:r>
    </w:p>
    <w:p>
      <w:pPr>
        <w:spacing w:after="0" w:line="204" w:lineRule="auto"/>
        <w:rPr>
          <w:sz w:val="20"/>
          <w:szCs w:val="20"/>
          <w:color w:val="auto"/>
        </w:rPr>
      </w:pPr>
      <w:r>
        <w:rPr>
          <w:rFonts w:ascii="Arial" w:cs="Arial" w:eastAsia="Arial" w:hAnsi="Arial"/>
          <w:sz w:val="18"/>
          <w:szCs w:val="18"/>
          <w:color w:val="auto"/>
        </w:rPr>
        <w:t>costs associated with operating as a public company. Accordingly, we will need additional financing to support our</w:t>
      </w:r>
    </w:p>
    <w:p>
      <w:pPr>
        <w:spacing w:after="0" w:line="229" w:lineRule="auto"/>
        <w:rPr>
          <w:sz w:val="20"/>
          <w:szCs w:val="20"/>
          <w:color w:val="auto"/>
        </w:rPr>
      </w:pPr>
      <w:r>
        <w:rPr>
          <w:rFonts w:ascii="Arial" w:cs="Arial" w:eastAsia="Arial" w:hAnsi="Arial"/>
          <w:sz w:val="16"/>
          <w:szCs w:val="16"/>
          <w:color w:val="auto"/>
        </w:rPr>
        <w:t>continuing operations. We will seek to fund our operations through public or private equity, debt financings or other sources.</w:t>
      </w:r>
    </w:p>
    <w:p>
      <w:pPr>
        <w:spacing w:after="0" w:line="229" w:lineRule="auto"/>
        <w:rPr>
          <w:sz w:val="20"/>
          <w:szCs w:val="20"/>
          <w:color w:val="auto"/>
        </w:rPr>
      </w:pPr>
      <w:r>
        <w:rPr>
          <w:rFonts w:ascii="Arial" w:cs="Arial" w:eastAsia="Arial" w:hAnsi="Arial"/>
          <w:sz w:val="16"/>
          <w:szCs w:val="16"/>
          <w:color w:val="auto"/>
        </w:rPr>
        <w:t>Adequate additional financing may not be available to us on acceptable terms, or at all. Our failure to raise capital as and</w:t>
      </w:r>
    </w:p>
    <w:p>
      <w:pPr>
        <w:spacing w:after="0" w:line="229" w:lineRule="auto"/>
        <w:rPr>
          <w:sz w:val="20"/>
          <w:szCs w:val="20"/>
          <w:color w:val="auto"/>
        </w:rPr>
      </w:pPr>
      <w:r>
        <w:rPr>
          <w:rFonts w:ascii="Arial" w:cs="Arial" w:eastAsia="Arial" w:hAnsi="Arial"/>
          <w:sz w:val="16"/>
          <w:szCs w:val="16"/>
          <w:color w:val="auto"/>
        </w:rPr>
        <w:t>when needed would have a negative impact on our financial condition and our ability to pursue our business strategy. We will</w:t>
      </w:r>
    </w:p>
    <w:p>
      <w:pPr>
        <w:spacing w:after="0"/>
        <w:rPr>
          <w:sz w:val="20"/>
          <w:szCs w:val="20"/>
          <w:color w:val="auto"/>
        </w:rPr>
      </w:pPr>
      <w:r>
        <w:rPr>
          <w:rFonts w:ascii="Arial" w:cs="Arial" w:eastAsia="Arial" w:hAnsi="Arial"/>
          <w:sz w:val="18"/>
          <w:szCs w:val="18"/>
          <w:color w:val="auto"/>
        </w:rPr>
        <w:t>need to generate significant revenue to achieve profitability, and we may never do so.</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 and Recent Developments</w:t>
      </w:r>
    </w:p>
    <w:p>
      <w:pPr>
        <w:spacing w:after="0" w:line="189"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In January 2018, we announced that an independent data monitoring committee, or IDMC, had conducted an interim efficacy analysis for our then-ongoing Phase 3 clinical trial of AXS-02 for the treatment of complex regional pain syndrome, or CRPS, which we referred to as the CREATE-1 trial and for the COAST-1 trial. Based on the recommendation we received from the IDMC, we will continue our COAST-1 trial to full enrollment and have discontinued our CREATE-1 trial for futility.</w:t>
      </w:r>
    </w:p>
    <w:p>
      <w:pPr>
        <w:spacing w:after="0" w:line="162" w:lineRule="exact"/>
        <w:rPr>
          <w:sz w:val="20"/>
          <w:szCs w:val="20"/>
          <w:color w:val="auto"/>
        </w:rPr>
      </w:pPr>
    </w:p>
    <w:p>
      <w:pPr>
        <w:ind w:right="300" w:firstLine="648"/>
        <w:spacing w:after="0" w:line="235" w:lineRule="auto"/>
        <w:rPr>
          <w:sz w:val="20"/>
          <w:szCs w:val="20"/>
          <w:color w:val="auto"/>
        </w:rPr>
      </w:pPr>
      <w:r>
        <w:rPr>
          <w:rFonts w:ascii="Arial" w:cs="Arial" w:eastAsia="Arial" w:hAnsi="Arial"/>
          <w:sz w:val="18"/>
          <w:szCs w:val="18"/>
          <w:color w:val="auto"/>
        </w:rPr>
        <w:t xml:space="preserve">In February 2018, we announced that AXS-09 met the primary endpoint in a recently completed Phase 1 clinical trial, which contains the chirally pure </w:t>
      </w:r>
      <w:r>
        <w:rPr>
          <w:rFonts w:ascii="Arial" w:cs="Arial" w:eastAsia="Arial" w:hAnsi="Arial"/>
          <w:sz w:val="18"/>
          <w:szCs w:val="18"/>
          <w:i w:val="1"/>
          <w:iCs w:val="1"/>
          <w:color w:val="auto"/>
        </w:rPr>
        <w:t>S</w:t>
      </w:r>
      <w:r>
        <w:rPr>
          <w:rFonts w:ascii="Arial" w:cs="Arial" w:eastAsia="Arial" w:hAnsi="Arial"/>
          <w:sz w:val="18"/>
          <w:szCs w:val="18"/>
          <w:color w:val="auto"/>
        </w:rPr>
        <w:t>-enantiomer of bupropion and dextromethorphan.</w:t>
      </w:r>
    </w:p>
    <w:p>
      <w:pPr>
        <w:spacing w:after="0" w:line="162" w:lineRule="exact"/>
        <w:rPr>
          <w:sz w:val="20"/>
          <w:szCs w:val="20"/>
          <w:color w:val="auto"/>
        </w:rPr>
      </w:pPr>
    </w:p>
    <w:p>
      <w:pPr>
        <w:ind w:right="160" w:firstLine="648"/>
        <w:spacing w:after="0" w:line="289" w:lineRule="auto"/>
        <w:rPr>
          <w:sz w:val="20"/>
          <w:szCs w:val="20"/>
          <w:color w:val="auto"/>
        </w:rPr>
      </w:pPr>
      <w:r>
        <w:rPr>
          <w:rFonts w:ascii="Arial" w:cs="Arial" w:eastAsia="Arial" w:hAnsi="Arial"/>
          <w:sz w:val="16"/>
          <w:szCs w:val="16"/>
          <w:color w:val="auto"/>
        </w:rPr>
        <w:t>In April 2018, we announced the enrollment of the first patient into a Phase 2 clinical trial of AXS-05 for smoking cessation treatment, which is being conducted under a research collaboration agreement between us and Duke University.</w:t>
      </w:r>
    </w:p>
    <w:p>
      <w:pPr>
        <w:spacing w:after="0" w:line="12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6"/>
          <w:szCs w:val="16"/>
          <w:color w:val="auto"/>
        </w:rPr>
        <w:t>In April 2018, we announced that an IDMC had conducted an interim futility analysis for the STRIDE-1 study. Based on the results of the analysis, the IDMC recommended that the trial continue. The IDMC also reviewed the available safety information from the study and indicated that, based on the interim results, AXS-05 appears safe and well-tolerated.</w:t>
      </w:r>
    </w:p>
    <w:p>
      <w:pPr>
        <w:spacing w:after="0" w:line="147" w:lineRule="exact"/>
        <w:rPr>
          <w:sz w:val="20"/>
          <w:szCs w:val="20"/>
          <w:color w:val="auto"/>
        </w:rPr>
      </w:pPr>
    </w:p>
    <w:p>
      <w:pPr>
        <w:ind w:right="180" w:firstLine="648"/>
        <w:spacing w:after="0" w:line="224" w:lineRule="auto"/>
        <w:rPr>
          <w:sz w:val="20"/>
          <w:szCs w:val="20"/>
          <w:color w:val="auto"/>
        </w:rPr>
      </w:pPr>
      <w:r>
        <w:rPr>
          <w:rFonts w:ascii="Arial" w:cs="Arial" w:eastAsia="Arial" w:hAnsi="Arial"/>
          <w:sz w:val="18"/>
          <w:szCs w:val="18"/>
          <w:color w:val="auto"/>
        </w:rPr>
        <w:t>As previously disclosed, in April 2018, our board of directors appointed Nick Pizzie, CPA, MBA, as our Chief Financial Officer, effective May 16, 2018. Prior to Mr. Pizzie’s appointment, in April 2018, we received a resignation letter from our prior Chief Financial Officer, John Golubieski, effective May 9, 2018.</w:t>
      </w:r>
    </w:p>
    <w:p>
      <w:pPr>
        <w:spacing w:after="0" w:line="163" w:lineRule="exact"/>
        <w:rPr>
          <w:sz w:val="20"/>
          <w:szCs w:val="20"/>
          <w:color w:val="auto"/>
        </w:rPr>
      </w:pPr>
    </w:p>
    <w:p>
      <w:pPr>
        <w:ind w:right="140" w:firstLine="648"/>
        <w:spacing w:after="0" w:line="235" w:lineRule="auto"/>
        <w:rPr>
          <w:sz w:val="20"/>
          <w:szCs w:val="20"/>
          <w:color w:val="auto"/>
        </w:rPr>
      </w:pPr>
      <w:r>
        <w:rPr>
          <w:rFonts w:ascii="Arial" w:cs="Arial" w:eastAsia="Arial" w:hAnsi="Arial"/>
          <w:sz w:val="18"/>
          <w:szCs w:val="18"/>
          <w:color w:val="auto"/>
        </w:rPr>
        <w:t>In June 2018, we announced the enrollment of the first patient into the ASCEND trial, which is being conducted to evaluate the efficacy and safety of AXS-05 in patients with MDD.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We have not generated any revenue since we commenced operations and we do not expect to generate any revenue in the near future. To the extent we enter into licensing or collaboration arrangements, we may have sources of revenue in the future. We expect that any revenue we generate will fluctuate from quarter to quarter as a result of the amount and timing of payments that we may recognize upon the sale of our product candidates, to the extent that any product candidates are successfully commercialized, and the amount and timing of fees, reimbursements, and milestone and other payments received under any future licensing or collaboration arrangements. If we fail to complete the development of our product candidates in a timely manner or obtain regulatory approval for them, our ability to generate future revenue, and our results of operations and financial position, would be materially and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5" w:lineRule="exact"/>
        <w:rPr>
          <w:sz w:val="20"/>
          <w:szCs w:val="20"/>
          <w:color w:val="auto"/>
        </w:rPr>
      </w:pPr>
    </w:p>
    <w:p>
      <w:pPr>
        <w:ind w:right="380" w:firstLine="648"/>
        <w:spacing w:after="0" w:line="189" w:lineRule="exact"/>
        <w:rPr>
          <w:sz w:val="20"/>
          <w:szCs w:val="20"/>
          <w:color w:val="auto"/>
        </w:rPr>
      </w:pPr>
      <w:r>
        <w:rPr>
          <w:rFonts w:ascii="Arial" w:cs="Arial" w:eastAsia="Arial" w:hAnsi="Arial"/>
          <w:sz w:val="17"/>
          <w:szCs w:val="17"/>
          <w:color w:val="auto"/>
        </w:rPr>
        <w:t>Research and development expenses primarily include preclinical studies, clinical trials, manufacturing costs, employee salaries and benefits,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contract services, including external research and development expenses incurred under arrangements with third parties, such as contract research organizations, or CROs, facilities costs, overhead costs, depreciation, and other related costs.</w:t>
      </w:r>
    </w:p>
    <w:p>
      <w:pPr>
        <w:spacing w:after="0" w:line="163"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Research and development activities are central to our business model. We will incur substantial costs beyond our present and planned clinical trials in order to file a new drug application, or NDA, for any of our product candidates. It is difficult to determine with certainty the costs and duration of our current or future clinical trials and preclinical studies, or if, when, or to what extent we will generate revenue from the commercialization and sale of our product candidates if we obtain regulatory approval. We may never succeed in achieving regulatory approval. The duration, costs, and timing of clinical trials and development of our product candidates will depend on a variety of factors, including the uncertainties of future clinical trials and preclinical studies, uncertainties in clinical trial enrollment rate, and significant and changing government regulation. 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 Management considers many factors in developing the estimates and assumptions that are used in the preparation of these financial statements.</w:t>
      </w:r>
    </w:p>
    <w:p>
      <w:pPr>
        <w:spacing w:after="0" w:line="163" w:lineRule="exact"/>
        <w:rPr>
          <w:sz w:val="20"/>
          <w:szCs w:val="20"/>
          <w:color w:val="auto"/>
        </w:rPr>
      </w:pPr>
    </w:p>
    <w:p>
      <w:pPr>
        <w:ind w:right="40" w:firstLine="648"/>
        <w:spacing w:after="0" w:line="239" w:lineRule="auto"/>
        <w:rPr>
          <w:sz w:val="20"/>
          <w:szCs w:val="20"/>
          <w:color w:val="auto"/>
        </w:rPr>
      </w:pPr>
      <w:r>
        <w:rPr>
          <w:rFonts w:ascii="Arial" w:cs="Arial" w:eastAsia="Arial" w:hAnsi="Arial"/>
          <w:sz w:val="16"/>
          <w:szCs w:val="16"/>
          <w:color w:val="auto"/>
        </w:rPr>
        <w:t>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firstLine="648"/>
        <w:spacing w:after="0" w:line="235" w:lineRule="auto"/>
        <w:rPr>
          <w:sz w:val="20"/>
          <w:szCs w:val="20"/>
          <w:color w:val="auto"/>
        </w:rPr>
      </w:pPr>
      <w:r>
        <w:rPr>
          <w:rFonts w:ascii="Arial" w:cs="Arial" w:eastAsia="Arial" w:hAnsi="Arial"/>
          <w:sz w:val="18"/>
          <w:szCs w:val="18"/>
          <w:color w:val="auto"/>
        </w:rPr>
        <w:t>The following table summarizes our research and development expenses for our primary programs for the three and six months ended June 30, 2018 and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Six months ended</w:t>
            </w:r>
          </w:p>
        </w:tc>
      </w:tr>
      <w:tr>
        <w:trPr>
          <w:trHeight w:val="162"/>
        </w:trPr>
        <w:tc>
          <w:tcPr>
            <w:tcW w:w="3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3"/>
          </w:tcPr>
          <w:p>
            <w:pPr>
              <w:jc w:val="right"/>
              <w:ind w:right="63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9"/>
              </w:rPr>
              <w:t>June 30,</w:t>
            </w:r>
          </w:p>
        </w:tc>
      </w:tr>
      <w:tr>
        <w:trPr>
          <w:trHeight w:val="129"/>
        </w:trPr>
        <w:tc>
          <w:tcPr>
            <w:tcW w:w="3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215"/>
              <w:spacing w:after="0" w:line="129" w:lineRule="exact"/>
              <w:rPr>
                <w:sz w:val="20"/>
                <w:szCs w:val="20"/>
                <w:color w:val="auto"/>
              </w:rPr>
            </w:pPr>
            <w:r>
              <w:rPr>
                <w:rFonts w:ascii="Arial" w:cs="Arial" w:eastAsia="Arial" w:hAnsi="Arial"/>
                <w:sz w:val="14"/>
                <w:szCs w:val="14"/>
                <w:b w:val="1"/>
                <w:bCs w:val="1"/>
                <w:color w:val="auto"/>
              </w:rPr>
              <w:t>2018</w:t>
            </w:r>
          </w:p>
        </w:tc>
        <w:tc>
          <w:tcPr>
            <w:tcW w:w="1040" w:type="dxa"/>
            <w:vAlign w:val="bottom"/>
            <w:tcBorders>
              <w:top w:val="single" w:sz="8" w:color="auto"/>
            </w:tcBorders>
            <w:gridSpan w:val="2"/>
          </w:tcPr>
          <w:p>
            <w:pPr>
              <w:jc w:val="right"/>
              <w:ind w:right="230"/>
              <w:spacing w:after="0" w:line="129"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255"/>
              <w:spacing w:after="0" w:line="129"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72"/>
              <w:spacing w:after="0" w:line="129"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1"/>
                <w:szCs w:val="11"/>
                <w:color w:val="auto"/>
              </w:rPr>
            </w:pPr>
          </w:p>
        </w:tc>
      </w:tr>
      <w:tr>
        <w:trPr>
          <w:trHeight w:val="129"/>
        </w:trPr>
        <w:tc>
          <w:tcPr>
            <w:tcW w:w="3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r>
      <w:tr>
        <w:trPr>
          <w:trHeight w:val="176"/>
        </w:trPr>
        <w:tc>
          <w:tcPr>
            <w:tcW w:w="38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AXS-02</w:t>
            </w:r>
          </w:p>
        </w:tc>
        <w:tc>
          <w:tcPr>
            <w:tcW w:w="9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100,351</w:t>
            </w:r>
          </w:p>
        </w:tc>
        <w:tc>
          <w:tcPr>
            <w:tcW w:w="10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$ 1,899,221</w:t>
            </w:r>
          </w:p>
        </w:tc>
        <w:tc>
          <w:tcPr>
            <w:tcW w:w="2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472,535</w:t>
            </w:r>
          </w:p>
        </w:tc>
        <w:tc>
          <w:tcPr>
            <w:tcW w:w="2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4,624,131</w:t>
            </w:r>
          </w:p>
        </w:tc>
        <w:tc>
          <w:tcPr>
            <w:tcW w:w="200" w:type="dxa"/>
            <w:vAlign w:val="bottom"/>
            <w:shd w:val="clear" w:color="auto" w:fill="CCEEFF"/>
          </w:tcPr>
          <w:p>
            <w:pPr>
              <w:spacing w:after="0"/>
              <w:rPr>
                <w:sz w:val="15"/>
                <w:szCs w:val="15"/>
                <w:color w:val="auto"/>
              </w:rPr>
            </w:pPr>
          </w:p>
        </w:tc>
      </w:tr>
      <w:tr>
        <w:trPr>
          <w:trHeight w:val="176"/>
        </w:trPr>
        <w:tc>
          <w:tcPr>
            <w:tcW w:w="3820" w:type="dxa"/>
            <w:vAlign w:val="bottom"/>
          </w:tcPr>
          <w:p>
            <w:pPr>
              <w:ind w:left="220"/>
              <w:spacing w:after="0" w:line="176" w:lineRule="exact"/>
              <w:rPr>
                <w:sz w:val="20"/>
                <w:szCs w:val="20"/>
                <w:color w:val="auto"/>
              </w:rPr>
            </w:pPr>
            <w:r>
              <w:rPr>
                <w:rFonts w:ascii="Arial" w:cs="Arial" w:eastAsia="Arial" w:hAnsi="Arial"/>
                <w:sz w:val="18"/>
                <w:szCs w:val="18"/>
                <w:color w:val="auto"/>
              </w:rPr>
              <w:t>AXS-05</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w w:val="89"/>
              </w:rPr>
              <w:t>3,436,078</w:t>
            </w:r>
          </w:p>
        </w:tc>
        <w:tc>
          <w:tcPr>
            <w:tcW w:w="10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2,077,969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w w:val="99"/>
              </w:rPr>
              <w:t>6,394,419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4,683,732</w:t>
            </w:r>
          </w:p>
        </w:tc>
        <w:tc>
          <w:tcPr>
            <w:tcW w:w="200" w:type="dxa"/>
            <w:vAlign w:val="bottom"/>
          </w:tcPr>
          <w:p>
            <w:pPr>
              <w:spacing w:after="0"/>
              <w:rPr>
                <w:sz w:val="15"/>
                <w:szCs w:val="15"/>
                <w:color w:val="auto"/>
              </w:rPr>
            </w:pPr>
          </w:p>
        </w:tc>
      </w:tr>
      <w:tr>
        <w:trPr>
          <w:trHeight w:val="176"/>
        </w:trPr>
        <w:tc>
          <w:tcPr>
            <w:tcW w:w="38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AXS-06</w:t>
            </w: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9,051</w:t>
            </w:r>
          </w:p>
        </w:tc>
        <w:tc>
          <w:tcPr>
            <w:tcW w:w="10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296,454</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60,173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409,997</w:t>
            </w:r>
          </w:p>
        </w:tc>
        <w:tc>
          <w:tcPr>
            <w:tcW w:w="200" w:type="dxa"/>
            <w:vAlign w:val="bottom"/>
            <w:shd w:val="clear" w:color="auto" w:fill="CCEEFF"/>
          </w:tcPr>
          <w:p>
            <w:pPr>
              <w:spacing w:after="0"/>
              <w:rPr>
                <w:sz w:val="15"/>
                <w:szCs w:val="15"/>
                <w:color w:val="auto"/>
              </w:rPr>
            </w:pPr>
          </w:p>
        </w:tc>
      </w:tr>
      <w:tr>
        <w:trPr>
          <w:trHeight w:val="176"/>
        </w:trPr>
        <w:tc>
          <w:tcPr>
            <w:tcW w:w="3820" w:type="dxa"/>
            <w:vAlign w:val="bottom"/>
          </w:tcPr>
          <w:p>
            <w:pPr>
              <w:ind w:left="220"/>
              <w:spacing w:after="0" w:line="176" w:lineRule="exact"/>
              <w:rPr>
                <w:sz w:val="20"/>
                <w:szCs w:val="20"/>
                <w:color w:val="auto"/>
              </w:rPr>
            </w:pPr>
            <w:r>
              <w:rPr>
                <w:rFonts w:ascii="Arial" w:cs="Arial" w:eastAsia="Arial" w:hAnsi="Arial"/>
                <w:sz w:val="18"/>
                <w:szCs w:val="18"/>
                <w:color w:val="auto"/>
              </w:rPr>
              <w:t>AXS-07</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680,102</w:t>
            </w:r>
          </w:p>
        </w:tc>
        <w:tc>
          <w:tcPr>
            <w:tcW w:w="10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869,355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60"/>
              <w:spacing w:after="0" w:line="176" w:lineRule="exact"/>
              <w:rPr>
                <w:sz w:val="20"/>
                <w:szCs w:val="20"/>
                <w:color w:val="auto"/>
              </w:rPr>
            </w:pPr>
            <w:r>
              <w:rPr>
                <w:rFonts w:ascii="Arial" w:cs="Arial" w:eastAsia="Arial" w:hAnsi="Arial"/>
                <w:sz w:val="18"/>
                <w:szCs w:val="18"/>
                <w:color w:val="auto"/>
              </w:rPr>
              <w:t>—</w:t>
            </w:r>
          </w:p>
        </w:tc>
      </w:tr>
      <w:tr>
        <w:trPr>
          <w:trHeight w:val="176"/>
        </w:trPr>
        <w:tc>
          <w:tcPr>
            <w:tcW w:w="38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Other research and development</w:t>
            </w: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89"/>
              </w:rPr>
              <w:t>1,194,885</w:t>
            </w:r>
          </w:p>
        </w:tc>
        <w:tc>
          <w:tcPr>
            <w:tcW w:w="10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592,915</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9"/>
              </w:rPr>
              <w:t>2,285,699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993,965</w:t>
            </w:r>
          </w:p>
        </w:tc>
        <w:tc>
          <w:tcPr>
            <w:tcW w:w="200" w:type="dxa"/>
            <w:vAlign w:val="bottom"/>
            <w:shd w:val="clear" w:color="auto" w:fill="CCEEFF"/>
          </w:tcPr>
          <w:p>
            <w:pPr>
              <w:spacing w:after="0"/>
              <w:rPr>
                <w:sz w:val="15"/>
                <w:szCs w:val="15"/>
                <w:color w:val="auto"/>
              </w:rPr>
            </w:pPr>
          </w:p>
        </w:tc>
      </w:tr>
      <w:tr>
        <w:trPr>
          <w:trHeight w:val="176"/>
        </w:trPr>
        <w:tc>
          <w:tcPr>
            <w:tcW w:w="3820" w:type="dxa"/>
            <w:vAlign w:val="bottom"/>
          </w:tcPr>
          <w:p>
            <w:pPr>
              <w:ind w:left="220"/>
              <w:spacing w:after="0" w:line="176" w:lineRule="exact"/>
              <w:rPr>
                <w:sz w:val="20"/>
                <w:szCs w:val="20"/>
                <w:color w:val="auto"/>
              </w:rPr>
            </w:pPr>
            <w:r>
              <w:rPr>
                <w:rFonts w:ascii="Arial" w:cs="Arial" w:eastAsia="Arial" w:hAnsi="Arial"/>
                <w:sz w:val="18"/>
                <w:szCs w:val="18"/>
                <w:color w:val="auto"/>
              </w:rPr>
              <w:t>Stock-based compensation</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130,065</w:t>
            </w:r>
          </w:p>
        </w:tc>
        <w:tc>
          <w:tcPr>
            <w:tcW w:w="10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140,802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220,862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280,755</w:t>
            </w:r>
          </w:p>
        </w:tc>
        <w:tc>
          <w:tcPr>
            <w:tcW w:w="200" w:type="dxa"/>
            <w:vAlign w:val="bottom"/>
          </w:tcPr>
          <w:p>
            <w:pPr>
              <w:spacing w:after="0"/>
              <w:rPr>
                <w:sz w:val="15"/>
                <w:szCs w:val="15"/>
                <w:color w:val="auto"/>
              </w:rPr>
            </w:pPr>
          </w:p>
        </w:tc>
      </w:tr>
      <w:tr>
        <w:trPr>
          <w:trHeight w:val="176"/>
        </w:trPr>
        <w:tc>
          <w:tcPr>
            <w:tcW w:w="382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research and development expenses</w:t>
            </w:r>
          </w:p>
        </w:tc>
        <w:tc>
          <w:tcPr>
            <w:tcW w:w="8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9"/>
              </w:rPr>
              <w:t>5,550,532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2"/>
              </w:rPr>
              <w:t>$ 5,007,361</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u w:val="single" w:color="auto"/>
                <w:color w:val="auto"/>
                <w:w w:val="71"/>
              </w:rPr>
              <w:t>$</w:t>
            </w:r>
          </w:p>
        </w:tc>
        <w:tc>
          <w:tcPr>
            <w:tcW w:w="8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8"/>
              </w:rPr>
              <w:t>10,303,043</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0"/>
              </w:rPr>
              <w:t>10,992,580</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r>
    </w:tbl>
    <w:p>
      <w:pPr>
        <w:spacing w:after="0" w:line="188" w:lineRule="exact"/>
        <w:rPr>
          <w:sz w:val="20"/>
          <w:szCs w:val="20"/>
          <w:color w:val="auto"/>
        </w:rPr>
      </w:pPr>
    </w:p>
    <w:p>
      <w:pPr>
        <w:ind w:right="80" w:firstLine="648"/>
        <w:spacing w:after="0" w:line="219" w:lineRule="auto"/>
        <w:rPr>
          <w:sz w:val="20"/>
          <w:szCs w:val="20"/>
          <w:color w:val="auto"/>
        </w:rPr>
      </w:pPr>
      <w:r>
        <w:rPr>
          <w:rFonts w:ascii="Arial" w:cs="Arial" w:eastAsia="Arial" w:hAnsi="Arial"/>
          <w:sz w:val="18"/>
          <w:szCs w:val="18"/>
          <w:color w:val="auto"/>
        </w:rPr>
        <w:t>Other research and development expenses primarily consist of employee salaries and benefits, and facilities and overhead costs. For the three and six months ended June 30, 2018, all employee salaries and benefits were allocated to Other research and development expenses whereas for the three and six months ended June 30, 2017, a majority of employee salaries and benefits were allocated to a program.</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85" w:lineRule="exact"/>
        <w:rPr>
          <w:sz w:val="20"/>
          <w:szCs w:val="20"/>
          <w:color w:val="auto"/>
        </w:rPr>
      </w:pPr>
    </w:p>
    <w:p>
      <w:pPr>
        <w:ind w:right="440" w:firstLine="648"/>
        <w:spacing w:after="0" w:line="189" w:lineRule="exact"/>
        <w:rPr>
          <w:sz w:val="20"/>
          <w:szCs w:val="20"/>
          <w:color w:val="auto"/>
        </w:rPr>
      </w:pPr>
      <w:r>
        <w:rPr>
          <w:rFonts w:ascii="Arial" w:cs="Arial" w:eastAsia="Arial" w:hAnsi="Arial"/>
          <w:sz w:val="16"/>
          <w:szCs w:val="16"/>
          <w:color w:val="auto"/>
        </w:rPr>
        <w:t>General and administrative expenses primarily consist of salaries and related costs for personnel in executive, finance, and operational functions, including stock</w:t>
      </w:r>
      <w:r>
        <w:rPr>
          <w:rFonts w:ascii="MS PGothic" w:cs="MS PGothic" w:eastAsia="MS PGothic" w:hAnsi="MS PGothic"/>
          <w:sz w:val="16"/>
          <w:szCs w:val="16"/>
          <w:color w:val="auto"/>
        </w:rPr>
        <w:t>‑</w:t>
      </w:r>
      <w:r>
        <w:rPr>
          <w:rFonts w:ascii="Arial" w:cs="Arial" w:eastAsia="Arial" w:hAnsi="Arial"/>
          <w:sz w:val="16"/>
          <w:szCs w:val="16"/>
          <w:color w:val="auto"/>
        </w:rPr>
        <w:t>based compensation and travel expenses. Other general and administrative expenses include facility</w:t>
      </w:r>
      <w:r>
        <w:rPr>
          <w:rFonts w:ascii="MS PGothic" w:cs="MS PGothic" w:eastAsia="MS PGothic" w:hAnsi="MS PGothic"/>
          <w:sz w:val="16"/>
          <w:szCs w:val="16"/>
          <w:color w:val="auto"/>
        </w:rPr>
        <w:t>‑</w:t>
      </w:r>
      <w:r>
        <w:rPr>
          <w:rFonts w:ascii="Arial" w:cs="Arial" w:eastAsia="Arial" w:hAnsi="Arial"/>
          <w:sz w:val="16"/>
          <w:szCs w:val="16"/>
          <w:color w:val="auto"/>
        </w:rPr>
        <w:t>related costs, insurance expense, and professional fees for legal and accounting services and patent filing and prosecution costs. General and administrative expenses are expensed when incurred.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amortization of debt discount (expense)</w:t>
      </w:r>
    </w:p>
    <w:p>
      <w:pPr>
        <w:spacing w:after="0" w:line="185" w:lineRule="exact"/>
        <w:rPr>
          <w:sz w:val="20"/>
          <w:szCs w:val="20"/>
          <w:color w:val="auto"/>
        </w:rPr>
      </w:pPr>
    </w:p>
    <w:p>
      <w:pPr>
        <w:ind w:right="80" w:firstLine="648"/>
        <w:spacing w:after="0" w:line="189" w:lineRule="exact"/>
        <w:rPr>
          <w:sz w:val="20"/>
          <w:szCs w:val="20"/>
          <w:color w:val="auto"/>
        </w:rPr>
      </w:pPr>
      <w:r>
        <w:rPr>
          <w:rFonts w:ascii="Arial" w:cs="Arial" w:eastAsia="Arial" w:hAnsi="Arial"/>
          <w:sz w:val="17"/>
          <w:szCs w:val="17"/>
          <w:color w:val="auto"/>
        </w:rPr>
        <w:t>Interest and amortization of debt discount (expense) primarily consists of cash interest and non</w:t>
      </w:r>
      <w:r>
        <w:rPr>
          <w:rFonts w:ascii="MS PGothic" w:cs="MS PGothic" w:eastAsia="MS PGothic" w:hAnsi="MS PGothic"/>
          <w:sz w:val="17"/>
          <w:szCs w:val="17"/>
          <w:color w:val="auto"/>
        </w:rPr>
        <w:t>‑</w:t>
      </w:r>
      <w:r>
        <w:rPr>
          <w:rFonts w:ascii="Arial" w:cs="Arial" w:eastAsia="Arial" w:hAnsi="Arial"/>
          <w:sz w:val="17"/>
          <w:szCs w:val="17"/>
          <w:color w:val="auto"/>
        </w:rPr>
        <w:t>cash costs related to our term loan with Silicon Valley Bank, or SVB, which was entered into in November 2016. We record costs incurred in connection with the issuance of debt as a direct deduction from the debt liability. We amortize these costs over the term of our debt agreements as interest expense in our consolidated statement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185" w:lineRule="exact"/>
        <w:rPr>
          <w:sz w:val="20"/>
          <w:szCs w:val="20"/>
          <w:color w:val="auto"/>
        </w:rPr>
      </w:pPr>
    </w:p>
    <w:p>
      <w:pPr>
        <w:ind w:firstLine="648"/>
        <w:spacing w:after="0" w:line="189" w:lineRule="exact"/>
        <w:rPr>
          <w:sz w:val="20"/>
          <w:szCs w:val="20"/>
          <w:color w:val="auto"/>
        </w:rPr>
      </w:pPr>
      <w:r>
        <w:rPr>
          <w:rFonts w:ascii="Arial" w:cs="Arial" w:eastAsia="Arial" w:hAnsi="Arial"/>
          <w:sz w:val="18"/>
          <w:szCs w:val="18"/>
          <w:color w:val="auto"/>
        </w:rPr>
        <w:t>The warrants to purchase our common stock issued as part of the registered direct stock offering in December 2017 were classified as a warrant liability and recorded at fair value. The warrant liability is subject to re</w:t>
      </w:r>
      <w:r>
        <w:rPr>
          <w:rFonts w:ascii="MS PGothic" w:cs="MS PGothic" w:eastAsia="MS PGothic" w:hAnsi="MS PGothic"/>
          <w:sz w:val="18"/>
          <w:szCs w:val="18"/>
          <w:color w:val="auto"/>
        </w:rPr>
        <w:t>‑</w:t>
      </w:r>
      <w:r>
        <w:rPr>
          <w:rFonts w:ascii="Arial" w:cs="Arial" w:eastAsia="Arial" w:hAnsi="Arial"/>
          <w:sz w:val="18"/>
          <w:szCs w:val="18"/>
          <w:color w:val="auto"/>
        </w:rPr>
        <w:t>measurement at each balance sheet date and any change in fair value was recognized in our statements of operations as a change in fair value of the warrant liability.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89" w:lineRule="exact"/>
        <w:rPr>
          <w:sz w:val="20"/>
          <w:szCs w:val="20"/>
          <w:color w:val="auto"/>
        </w:rPr>
      </w:pPr>
    </w:p>
    <w:p>
      <w:pPr>
        <w:ind w:right="80" w:firstLine="648"/>
        <w:spacing w:after="0" w:line="239" w:lineRule="auto"/>
        <w:rPr>
          <w:sz w:val="20"/>
          <w:szCs w:val="20"/>
          <w:color w:val="auto"/>
        </w:rPr>
      </w:pPr>
      <w:r>
        <w:rPr>
          <w:rFonts w:ascii="Arial" w:cs="Arial" w:eastAsia="Arial" w:hAnsi="Arial"/>
          <w:sz w:val="16"/>
          <w:szCs w:val="16"/>
          <w:color w:val="auto"/>
        </w:rPr>
        <w:t>This discussion and analysis of our financial condition and results of operations is based on our consolidated financial statements, which have been prepared in accordance with generally accepted accounting principles in the United States of America, or U.S.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expenses during the reported period. In accordance with GAAP, we base our estimates on historical experience and on various other assumptions that we believe are reasonable under the circumstances. Actual results may differ from these estimates under different assumptions or conditions.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224" w:lineRule="auto"/>
        <w:rPr>
          <w:sz w:val="20"/>
          <w:szCs w:val="20"/>
          <w:color w:val="auto"/>
        </w:rPr>
      </w:pPr>
      <w:r>
        <w:rPr>
          <w:rFonts w:ascii="Arial" w:cs="Arial" w:eastAsia="Arial" w:hAnsi="Arial"/>
          <w:sz w:val="18"/>
          <w:szCs w:val="18"/>
          <w:color w:val="auto"/>
        </w:rPr>
        <w:t>There have been no material changes to our critical accounting policies and estimates from the information provided in “Management’s Discussion and Analysis of Financial Condition and Results of Operations” included in our annual report on Form 10-K filed with the SEC on March 7, 2018.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of operations for the periods indicated: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Three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Six months ended</w:t>
            </w:r>
          </w:p>
        </w:tc>
      </w:tr>
      <w:tr>
        <w:trPr>
          <w:trHeight w:val="162"/>
        </w:trPr>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4"/>
          </w:tcPr>
          <w:p>
            <w:pPr>
              <w:jc w:val="right"/>
              <w:ind w:right="792"/>
              <w:spacing w:after="0"/>
              <w:rPr>
                <w:sz w:val="20"/>
                <w:szCs w:val="20"/>
                <w:color w:val="auto"/>
              </w:rPr>
            </w:pPr>
            <w:r>
              <w:rPr>
                <w:rFonts w:ascii="Arial" w:cs="Arial" w:eastAsia="Arial" w:hAnsi="Arial"/>
                <w:sz w:val="14"/>
                <w:szCs w:val="14"/>
                <w:b w:val="1"/>
                <w:bCs w:val="1"/>
                <w:color w:val="auto"/>
              </w:rPr>
              <w:t>June 30,</w:t>
            </w:r>
          </w:p>
        </w:tc>
      </w:tr>
      <w:tr>
        <w:trPr>
          <w:trHeight w:val="129"/>
        </w:trPr>
        <w:tc>
          <w:tcPr>
            <w:tcW w:w="46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255"/>
              <w:spacing w:after="0" w:line="129"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252"/>
              <w:spacing w:after="0" w:line="129"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295"/>
              <w:spacing w:after="0" w:line="129"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292"/>
              <w:spacing w:after="0" w:line="129" w:lineRule="exact"/>
              <w:rPr>
                <w:sz w:val="20"/>
                <w:szCs w:val="20"/>
                <w:color w:val="auto"/>
              </w:rPr>
            </w:pPr>
            <w:r>
              <w:rPr>
                <w:rFonts w:ascii="Arial" w:cs="Arial" w:eastAsia="Arial" w:hAnsi="Arial"/>
                <w:sz w:val="14"/>
                <w:szCs w:val="14"/>
                <w:b w:val="1"/>
                <w:bCs w:val="1"/>
                <w:color w:val="auto"/>
              </w:rPr>
              <w:t>2017</w:t>
            </w:r>
          </w:p>
        </w:tc>
      </w:tr>
      <w:tr>
        <w:trPr>
          <w:trHeight w:val="129"/>
        </w:trPr>
        <w:tc>
          <w:tcPr>
            <w:tcW w:w="4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76"/>
        </w:trPr>
        <w:tc>
          <w:tcPr>
            <w:tcW w:w="4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76"/>
        </w:trPr>
        <w:tc>
          <w:tcPr>
            <w:tcW w:w="4600" w:type="dxa"/>
            <w:vAlign w:val="bottom"/>
          </w:tcPr>
          <w:p>
            <w:pPr>
              <w:ind w:left="220"/>
              <w:spacing w:after="0" w:line="176" w:lineRule="exact"/>
              <w:rPr>
                <w:sz w:val="20"/>
                <w:szCs w:val="20"/>
                <w:color w:val="auto"/>
              </w:rPr>
            </w:pPr>
            <w:r>
              <w:rPr>
                <w:rFonts w:ascii="Arial" w:cs="Arial" w:eastAsia="Arial" w:hAnsi="Arial"/>
                <w:sz w:val="18"/>
                <w:szCs w:val="18"/>
                <w:color w:val="auto"/>
              </w:rPr>
              <w:t>Research and development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w w:val="97"/>
              </w:rPr>
              <w:t>5,550,532</w:t>
            </w:r>
          </w:p>
        </w:tc>
        <w:tc>
          <w:tcPr>
            <w:tcW w:w="1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w w:val="97"/>
              </w:rPr>
              <w:t>5,007,361</w:t>
            </w:r>
          </w:p>
        </w:tc>
        <w:tc>
          <w:tcPr>
            <w:tcW w:w="80" w:type="dxa"/>
            <w:vAlign w:val="bottom"/>
          </w:tcPr>
          <w:p>
            <w:pPr>
              <w:spacing w:after="0"/>
              <w:rPr>
                <w:sz w:val="15"/>
                <w:szCs w:val="15"/>
                <w:color w:val="auto"/>
              </w:rPr>
            </w:pPr>
          </w:p>
        </w:tc>
        <w:tc>
          <w:tcPr>
            <w:tcW w:w="1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w w:val="95"/>
              </w:rPr>
              <w:t>10,303,043</w:t>
            </w:r>
          </w:p>
        </w:tc>
        <w:tc>
          <w:tcPr>
            <w:tcW w:w="140" w:type="dxa"/>
            <w:vAlign w:val="bottom"/>
          </w:tcPr>
          <w:p>
            <w:pPr>
              <w:spacing w:after="0"/>
              <w:rPr>
                <w:sz w:val="15"/>
                <w:szCs w:val="15"/>
                <w:color w:val="auto"/>
              </w:rPr>
            </w:pPr>
          </w:p>
        </w:tc>
        <w:tc>
          <w:tcPr>
            <w:tcW w:w="10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w w:val="97"/>
              </w:rPr>
              <w:t>10,992,580</w:t>
            </w:r>
          </w:p>
        </w:tc>
      </w:tr>
      <w:tr>
        <w:trPr>
          <w:trHeight w:val="176"/>
        </w:trPr>
        <w:tc>
          <w:tcPr>
            <w:tcW w:w="46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7"/>
              </w:rPr>
              <w:t>2,439,061</w:t>
            </w:r>
          </w:p>
        </w:tc>
        <w:tc>
          <w:tcPr>
            <w:tcW w:w="1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7"/>
              </w:rPr>
              <w:t>1,743,377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4,849,760</w:t>
            </w: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3,430,191</w:t>
            </w:r>
          </w:p>
        </w:tc>
      </w:tr>
      <w:tr>
        <w:trPr>
          <w:trHeight w:val="169"/>
        </w:trPr>
        <w:tc>
          <w:tcPr>
            <w:tcW w:w="460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7"/>
              </w:rPr>
              <w:t>7,989,593</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7"/>
              </w:rPr>
              <w:t>6,750,738</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5"/>
              </w:rPr>
              <w:t>15,152,803</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7"/>
              </w:rPr>
              <w:t>14,422,771</w:t>
            </w:r>
          </w:p>
        </w:tc>
      </w:tr>
      <w:tr>
        <w:trPr>
          <w:trHeight w:val="169"/>
        </w:trPr>
        <w:tc>
          <w:tcPr>
            <w:tcW w:w="46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1"/>
              </w:rPr>
              <w:t>(7,989,593)</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1"/>
              </w:rPr>
              <w:t>(6,750,738)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0"/>
              </w:rPr>
              <w:t>(15,152,803)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0"/>
              </w:rPr>
              <w:t>(14,422,771)</w:t>
            </w:r>
          </w:p>
        </w:tc>
      </w:tr>
      <w:tr>
        <w:trPr>
          <w:trHeight w:val="176"/>
        </w:trPr>
        <w:tc>
          <w:tcPr>
            <w:tcW w:w="4600" w:type="dxa"/>
            <w:vAlign w:val="bottom"/>
          </w:tcPr>
          <w:p>
            <w:pPr>
              <w:spacing w:after="0" w:line="176" w:lineRule="exact"/>
              <w:rPr>
                <w:sz w:val="20"/>
                <w:szCs w:val="20"/>
                <w:color w:val="auto"/>
              </w:rPr>
            </w:pPr>
            <w:r>
              <w:rPr>
                <w:rFonts w:ascii="Arial" w:cs="Arial" w:eastAsia="Arial" w:hAnsi="Arial"/>
                <w:sz w:val="18"/>
                <w:szCs w:val="18"/>
                <w:color w:val="auto"/>
              </w:rPr>
              <w:t>Interest and amortization of debt discount (expense)</w:t>
            </w:r>
          </w:p>
        </w:tc>
        <w:tc>
          <w:tcPr>
            <w:tcW w:w="100" w:type="dxa"/>
            <w:vAlign w:val="bottom"/>
          </w:tcPr>
          <w:p>
            <w:pPr>
              <w:spacing w:after="0"/>
              <w:rPr>
                <w:sz w:val="15"/>
                <w:szCs w:val="15"/>
                <w:color w:val="auto"/>
              </w:rPr>
            </w:pPr>
          </w:p>
        </w:tc>
        <w:tc>
          <w:tcPr>
            <w:tcW w:w="102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(292,323)</w:t>
            </w:r>
          </w:p>
        </w:tc>
        <w:tc>
          <w:tcPr>
            <w:tcW w:w="100" w:type="dxa"/>
            <w:vAlign w:val="bottom"/>
          </w:tcPr>
          <w:p>
            <w:pPr>
              <w:spacing w:after="0"/>
              <w:rPr>
                <w:sz w:val="15"/>
                <w:szCs w:val="15"/>
                <w:color w:val="auto"/>
              </w:rPr>
            </w:pPr>
          </w:p>
        </w:tc>
        <w:tc>
          <w:tcPr>
            <w:tcW w:w="94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auto"/>
              </w:rPr>
              <w:t>(333,578)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(607,672)</w:t>
            </w:r>
          </w:p>
        </w:tc>
        <w:tc>
          <w:tcPr>
            <w:tcW w:w="10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(656,584)</w:t>
            </w:r>
          </w:p>
        </w:tc>
      </w:tr>
      <w:tr>
        <w:trPr>
          <w:trHeight w:val="176"/>
        </w:trPr>
        <w:tc>
          <w:tcPr>
            <w:tcW w:w="4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Change in fair value of warrant liability</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2,674,000</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4600" w:type="dxa"/>
            <w:vAlign w:val="bottom"/>
          </w:tcPr>
          <w:p>
            <w:pPr>
              <w:spacing w:after="0" w:line="170" w:lineRule="exact"/>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1"/>
              </w:rPr>
              <w:t>(8,280,916)</w:t>
            </w:r>
          </w:p>
        </w:tc>
        <w:tc>
          <w:tcPr>
            <w:tcW w:w="1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1"/>
              </w:rPr>
              <w:t>(7,084,316)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u w:val="single" w:color="auto"/>
                <w:color w:val="auto"/>
                <w:w w:val="71"/>
              </w:rPr>
              <w:t>$</w:t>
            </w:r>
          </w:p>
        </w:tc>
        <w:tc>
          <w:tcPr>
            <w:tcW w:w="9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0"/>
              </w:rPr>
              <w:t>(13,086,475)</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u w:val="single" w:color="auto"/>
                <w:color w:val="auto"/>
                <w:w w:val="79"/>
              </w:rPr>
              <w:t>$</w:t>
            </w:r>
          </w:p>
        </w:tc>
        <w:tc>
          <w:tcPr>
            <w:tcW w:w="9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0"/>
              </w:rPr>
              <w:t>(15,079,355)</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2018 and 2017</w:t>
      </w:r>
    </w:p>
    <w:p>
      <w:pPr>
        <w:spacing w:after="0" w:line="185"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Our research and development expenses for the three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2018 were $5.6 million, compared to $5.0 million for the three months ended June 30, 2017, an increase of $0.6 million. The increase was primarily due to our STRIDE-1 and ADVANCE -1 studies, and nonclinical work on AXS-05 and AXS-07, which was partially offset by a reduction in the costs of our previously initiated clinical trials and nonclinical work on AXS-02 and AXS-06.</w:t>
      </w:r>
    </w:p>
    <w:p>
      <w:pPr>
        <w:spacing w:after="0" w:line="162"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Our general and administrative expenses for the three months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2018 were $2.4 million, compared to $1.7 million for the three months ended June 30, 2017, an increase of $0.7 million. The increase was primarily due to higher intellectual property and legal expenses, external fees associated with operating as a public company, as well as an increase in personnel costs.</w:t>
      </w:r>
    </w:p>
    <w:p>
      <w:pPr>
        <w:spacing w:after="0" w:line="163" w:lineRule="exact"/>
        <w:rPr>
          <w:sz w:val="20"/>
          <w:szCs w:val="20"/>
          <w:color w:val="auto"/>
        </w:rPr>
      </w:pPr>
    </w:p>
    <w:p>
      <w:pPr>
        <w:jc w:val="both"/>
        <w:ind w:right="80" w:firstLine="648"/>
        <w:spacing w:after="0" w:line="224" w:lineRule="auto"/>
        <w:rPr>
          <w:sz w:val="20"/>
          <w:szCs w:val="20"/>
          <w:color w:val="auto"/>
        </w:rPr>
      </w:pPr>
      <w:r>
        <w:rPr>
          <w:rFonts w:ascii="Arial" w:cs="Arial" w:eastAsia="Arial" w:hAnsi="Arial"/>
          <w:sz w:val="18"/>
          <w:szCs w:val="18"/>
          <w:i w:val="1"/>
          <w:iCs w:val="1"/>
          <w:color w:val="auto"/>
        </w:rPr>
        <w:t xml:space="preserve">Interest and Amortization of Debt Discount (Expense). </w:t>
      </w:r>
      <w:r>
        <w:rPr>
          <w:rFonts w:ascii="Arial" w:cs="Arial" w:eastAsia="Arial" w:hAnsi="Arial"/>
          <w:sz w:val="18"/>
          <w:szCs w:val="18"/>
          <w:color w:val="auto"/>
        </w:rPr>
        <w:t>Interest and amortization of debt discount expense was $0.3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each of the three month periods ended June 30, 2018 and 2017, which was associated with our loan and security agreement with SVB.</w:t>
      </w:r>
    </w:p>
    <w:p>
      <w:pPr>
        <w:spacing w:after="0" w:line="163" w:lineRule="exact"/>
        <w:rPr>
          <w:sz w:val="20"/>
          <w:szCs w:val="20"/>
          <w:color w:val="auto"/>
        </w:rPr>
      </w:pPr>
    </w:p>
    <w:p>
      <w:pPr>
        <w:ind w:right="240" w:firstLine="648"/>
        <w:spacing w:after="0" w:line="224" w:lineRule="auto"/>
        <w:rPr>
          <w:sz w:val="20"/>
          <w:szCs w:val="20"/>
          <w:color w:val="auto"/>
        </w:rPr>
      </w:pPr>
      <w:r>
        <w:rPr>
          <w:rFonts w:ascii="Arial" w:cs="Arial" w:eastAsia="Arial" w:hAnsi="Arial"/>
          <w:sz w:val="18"/>
          <w:szCs w:val="18"/>
          <w:i w:val="1"/>
          <w:iCs w:val="1"/>
          <w:color w:val="auto"/>
        </w:rPr>
        <w:t xml:space="preserve">Change in Fair Value of Warrant Liability. </w:t>
      </w:r>
      <w:r>
        <w:rPr>
          <w:rFonts w:ascii="Arial" w:cs="Arial" w:eastAsia="Arial" w:hAnsi="Arial"/>
          <w:sz w:val="18"/>
          <w:szCs w:val="18"/>
          <w:color w:val="auto"/>
        </w:rPr>
        <w:t>We recorded income related to the change in fair value of our warrant</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for the three months ended June 30, 2018, which was less than $0.1 million. There was no warrant liability outstanding during the three months ended June 30, 2017.</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2018 and 2017</w:t>
      </w:r>
    </w:p>
    <w:p>
      <w:pPr>
        <w:spacing w:after="0" w:line="185" w:lineRule="exact"/>
        <w:rPr>
          <w:sz w:val="20"/>
          <w:szCs w:val="20"/>
          <w:color w:val="auto"/>
        </w:rPr>
      </w:pPr>
    </w:p>
    <w:p>
      <w:pPr>
        <w:ind w:right="20" w:firstLine="648"/>
        <w:spacing w:after="0" w:line="249"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Our research and development expenses for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2018 were $10.3 million, compared to $11.0 million for the three months ended June 30, 2017, a decrease of $0.7 million. The decrease was primarily due to a reduction in the costs of our previously initiated clinical trials, which was partially offset by our STRIDE-1 and ADVANCE-1 studies, and the conduct of nonclinical work on AXS-05 and AXS-07.</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firstLine="648"/>
        <w:spacing w:after="0" w:line="219"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Our general and administrative expenses for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2018 were $4.8 million, compared to $3.4 million for the three months ended June 30, 2017, an increase of $1.4 million. The increase was primarily due to higher intellectual property and legal expenses, external fees associated with operating as a public company, as well as an increase in personnel costs.</w:t>
      </w:r>
    </w:p>
    <w:p>
      <w:pPr>
        <w:spacing w:after="0" w:line="163" w:lineRule="exact"/>
        <w:rPr>
          <w:sz w:val="20"/>
          <w:szCs w:val="20"/>
          <w:color w:val="auto"/>
        </w:rPr>
      </w:pPr>
    </w:p>
    <w:p>
      <w:pPr>
        <w:ind w:right="180" w:firstLine="648"/>
        <w:spacing w:after="0" w:line="219" w:lineRule="auto"/>
        <w:rPr>
          <w:sz w:val="20"/>
          <w:szCs w:val="20"/>
          <w:color w:val="auto"/>
        </w:rPr>
      </w:pPr>
      <w:r>
        <w:rPr>
          <w:rFonts w:ascii="Arial" w:cs="Arial" w:eastAsia="Arial" w:hAnsi="Arial"/>
          <w:sz w:val="18"/>
          <w:szCs w:val="18"/>
          <w:i w:val="1"/>
          <w:iCs w:val="1"/>
          <w:color w:val="auto"/>
        </w:rPr>
        <w:t xml:space="preserve">Interest and Amortization of Debt Discount (Expense). </w:t>
      </w:r>
      <w:r>
        <w:rPr>
          <w:rFonts w:ascii="Arial" w:cs="Arial" w:eastAsia="Arial" w:hAnsi="Arial"/>
          <w:sz w:val="18"/>
          <w:szCs w:val="18"/>
          <w:color w:val="auto"/>
        </w:rPr>
        <w:t>Interest and amortization of debt discount expenses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2018 were $0.6 million, compared to $0.7 million for the six months ended June 30, 2017. The decrease was primarily related to lower interest expense and amortization of the debt discount associated with our loan and security agreement with SVB due to a lower principal balance.</w:t>
      </w:r>
    </w:p>
    <w:p>
      <w:pPr>
        <w:spacing w:after="0" w:line="163" w:lineRule="exact"/>
        <w:rPr>
          <w:sz w:val="20"/>
          <w:szCs w:val="20"/>
          <w:color w:val="auto"/>
        </w:rPr>
      </w:pPr>
    </w:p>
    <w:p>
      <w:pPr>
        <w:jc w:val="both"/>
        <w:ind w:right="240" w:firstLine="648"/>
        <w:spacing w:after="0" w:line="224" w:lineRule="auto"/>
        <w:rPr>
          <w:sz w:val="20"/>
          <w:szCs w:val="20"/>
          <w:color w:val="auto"/>
        </w:rPr>
      </w:pPr>
      <w:r>
        <w:rPr>
          <w:rFonts w:ascii="Arial" w:cs="Arial" w:eastAsia="Arial" w:hAnsi="Arial"/>
          <w:sz w:val="18"/>
          <w:szCs w:val="18"/>
          <w:i w:val="1"/>
          <w:iCs w:val="1"/>
          <w:color w:val="auto"/>
        </w:rPr>
        <w:t xml:space="preserve">Change in Fair Value of Warrant Liability. </w:t>
      </w:r>
      <w:r>
        <w:rPr>
          <w:rFonts w:ascii="Arial" w:cs="Arial" w:eastAsia="Arial" w:hAnsi="Arial"/>
          <w:sz w:val="18"/>
          <w:szCs w:val="18"/>
          <w:color w:val="auto"/>
        </w:rPr>
        <w:t>We recorded income related to the change in fair value of our warrant</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for the six months ended June 30, 2018 of $2.7 million. There was no warrant liability outstanding during the six months ended June 30, 2017.</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120" w:firstLine="648"/>
        <w:spacing w:after="0" w:line="219" w:lineRule="auto"/>
        <w:rPr>
          <w:sz w:val="20"/>
          <w:szCs w:val="20"/>
          <w:color w:val="auto"/>
        </w:rPr>
      </w:pPr>
      <w:r>
        <w:rPr>
          <w:rFonts w:ascii="Arial" w:cs="Arial" w:eastAsia="Arial" w:hAnsi="Arial"/>
          <w:sz w:val="18"/>
          <w:szCs w:val="18"/>
          <w:color w:val="auto"/>
        </w:rPr>
        <w:t>In November 2016, we entered into a loan and security agreement with SVB for a term loan of up to $20.0 million. The initial tranche of $10.0 million was funded shortly after executing the loan agreement. Because we did not achieve the conditional criteria to access the second and third tranches before the specified dates, the $10.0 million in additional term loan advances expired.</w:t>
      </w:r>
    </w:p>
    <w:p>
      <w:pPr>
        <w:spacing w:after="0" w:line="41" w:lineRule="exact"/>
        <w:rPr>
          <w:sz w:val="20"/>
          <w:szCs w:val="20"/>
          <w:color w:val="auto"/>
        </w:rPr>
      </w:pPr>
    </w:p>
    <w:p>
      <w:pPr>
        <w:ind w:right="60" w:firstLine="648"/>
        <w:spacing w:after="0" w:line="236" w:lineRule="auto"/>
        <w:rPr>
          <w:sz w:val="20"/>
          <w:szCs w:val="20"/>
          <w:color w:val="auto"/>
        </w:rPr>
      </w:pPr>
      <w:r>
        <w:rPr>
          <w:rFonts w:ascii="Arial" w:cs="Arial" w:eastAsia="Arial" w:hAnsi="Arial"/>
          <w:sz w:val="16"/>
          <w:szCs w:val="16"/>
          <w:color w:val="auto"/>
        </w:rPr>
        <w:t>On December 1, 2016, we filed a shelf registration statement with the SEC for the issuance of common stock, preferred stock, warrants, rights, debt securities and units up to an aggregate amount of $150.0 million, which we refer to as the 2016 Shelf Registration Statement. On December 16, 2016, the 2016 Shelf Registration Statement was declared effective by the SEC. As discussed in greater detail below, we completed an offering of common stock in March 2017, entered into a sales agreement pursuant to which we may sell shares of our common stock from time to time in an at-the-market offering in October 2017, and completed a registered direct offering priced at the market in December 2017, each utilizing the 2016 Shelf Registration Statement. In the future, we may conduct additional offerings of one or more of these securities utilizing the 2016 Shelf Registration Statement in such amounts, prices and terms to be announced when and if the securities are offered. At the time any of our securities covered by the 2016 Shelf Registration Statement are offered for sale, a prospectus supplement will be prepared and filed with the SEC containing specific information about the terms of any such offering.</w:t>
      </w:r>
    </w:p>
    <w:p>
      <w:pPr>
        <w:spacing w:after="0" w:line="28" w:lineRule="exact"/>
        <w:rPr>
          <w:sz w:val="20"/>
          <w:szCs w:val="20"/>
          <w:color w:val="auto"/>
        </w:rPr>
      </w:pPr>
    </w:p>
    <w:p>
      <w:pPr>
        <w:ind w:right="220" w:firstLine="648"/>
        <w:spacing w:after="0" w:line="238" w:lineRule="auto"/>
        <w:rPr>
          <w:sz w:val="20"/>
          <w:szCs w:val="20"/>
          <w:color w:val="auto"/>
        </w:rPr>
      </w:pPr>
      <w:r>
        <w:rPr>
          <w:rFonts w:ascii="Arial" w:cs="Arial" w:eastAsia="Arial" w:hAnsi="Arial"/>
          <w:sz w:val="17"/>
          <w:szCs w:val="17"/>
          <w:color w:val="auto"/>
        </w:rPr>
        <w:t>In March 2017, we completed an underwritten public offering, whereby we sold 4,304,813 shares of our common stock at a public offering price of $3.74 per share. We received gross proceeds of approximately $16.1 million and net proceeds of approximately $14.8 million, net of underwriting discounts and offering expenses.</w:t>
      </w:r>
    </w:p>
    <w:p>
      <w:pPr>
        <w:spacing w:after="0" w:line="121" w:lineRule="exact"/>
        <w:rPr>
          <w:sz w:val="20"/>
          <w:szCs w:val="20"/>
          <w:color w:val="auto"/>
        </w:rPr>
      </w:pPr>
    </w:p>
    <w:p>
      <w:pPr>
        <w:ind w:firstLine="648"/>
        <w:spacing w:after="0" w:line="211" w:lineRule="auto"/>
        <w:rPr>
          <w:sz w:val="20"/>
          <w:szCs w:val="20"/>
          <w:color w:val="auto"/>
        </w:rPr>
      </w:pPr>
      <w:r>
        <w:rPr>
          <w:rFonts w:ascii="Arial" w:cs="Arial" w:eastAsia="Arial" w:hAnsi="Arial"/>
          <w:sz w:val="18"/>
          <w:szCs w:val="18"/>
          <w:color w:val="auto"/>
        </w:rPr>
        <w:t>In October 2017, we entered into a sales agreement, or the Sales Agreement, with Leerink Partners, LLC, or Leerink, pursuant to which we may sell up to $30 million in shares of our common stock from time to time through Leerink, acting as our sales agent, in one or more at-the-market offerings. Leerink is entitled to receive a commission of 3.0% of the gross proceeds for any shares sold under the Sales Agreement. We received approximately $2.5 million in gross proceeds, of which net proceeds were approximately $2.4 million from the sales of its common stock to Leerink under the Sales Agreement during the six months ended June 30, 2018. The Company received approximately $2.6 million in gross proceeds, of which net proceeds were approximately $2.5 million from the sales of its common stock to Leerink under the Sales Agreement since inception.</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In December 2017, we completed a registered direct offering priced at the market, whereby we sold an aggregate of $9.5 million worth of units, or Units, at a purchase price of $5.325 per Unit, with each Unit consisting of (i) one share of our common stock, and (ii) a warrant to purchase one share of our common stock, or Common Warrant, at an exercise price equal to $5.25 per share. We sold an aggregate of 1,783,587 Units in the offering for gross proceeds of approximately $9.5 million and net proceeds of approximately $8.8 million, net of underwriting discounts and offering expenses. Additionally, we issued warrants to purchase up to 107,015 shares of our common stock at an exercise price of $6.6562 per share to certain investors affiliated with H.C. Wainwright &amp; Co., LLC, placement agent for the offering, which we refer to as the Placement Agent Warrants. The Placement Agent Warrants have the same terms as the Common Warrants, except for the difference in exercise price noted above.</w:t>
      </w:r>
    </w:p>
    <w:p>
      <w:pPr>
        <w:spacing w:after="0" w:line="121" w:lineRule="exact"/>
        <w:rPr>
          <w:sz w:val="20"/>
          <w:szCs w:val="20"/>
          <w:color w:val="auto"/>
        </w:rPr>
      </w:pPr>
    </w:p>
    <w:p>
      <w:pPr>
        <w:ind w:right="80" w:firstLine="648"/>
        <w:spacing w:after="0" w:line="249" w:lineRule="auto"/>
        <w:rPr>
          <w:sz w:val="20"/>
          <w:szCs w:val="20"/>
          <w:color w:val="auto"/>
        </w:rPr>
      </w:pPr>
      <w:r>
        <w:rPr>
          <w:rFonts w:ascii="Arial" w:cs="Arial" w:eastAsia="Arial" w:hAnsi="Arial"/>
          <w:sz w:val="16"/>
          <w:szCs w:val="16"/>
          <w:color w:val="auto"/>
        </w:rPr>
        <w:t>At June 30, 2018, we had cash of $20.4 million. We currently anticipate our cash to be sufficient to fund our anticipated operating cash requirements into the third quarter of 2019. Because the process of evaluating product candidates in clinical trials is costly and the timing of progress in these trials is uncertain, it is possible that the assumptions upon which we have based this estimate may prove to be wrong, and we could use our capital resources sooner than we currently expect.</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primary sources and uses of cash for the periods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Six months ended June 30,</w:t>
            </w:r>
          </w:p>
        </w:tc>
      </w:tr>
      <w:tr>
        <w:trPr>
          <w:trHeight w:val="129"/>
        </w:trPr>
        <w:tc>
          <w:tcPr>
            <w:tcW w:w="43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356"/>
              <w:spacing w:after="0" w:line="129"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354"/>
              <w:spacing w:after="0" w:line="129"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1"/>
                <w:szCs w:val="11"/>
                <w:color w:val="auto"/>
              </w:rPr>
            </w:pPr>
          </w:p>
        </w:tc>
      </w:tr>
      <w:tr>
        <w:trPr>
          <w:trHeight w:val="129"/>
        </w:trPr>
        <w:tc>
          <w:tcPr>
            <w:tcW w:w="43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76"/>
        </w:trPr>
        <w:tc>
          <w:tcPr>
            <w:tcW w:w="43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cash (used in) provided by:</w:t>
            </w:r>
          </w:p>
        </w:tc>
        <w:tc>
          <w:tcPr>
            <w:tcW w:w="2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76"/>
        </w:trPr>
        <w:tc>
          <w:tcPr>
            <w:tcW w:w="4340" w:type="dxa"/>
            <w:vAlign w:val="bottom"/>
          </w:tcPr>
          <w:p>
            <w:pPr>
              <w:ind w:left="220"/>
              <w:spacing w:after="0" w:line="176" w:lineRule="exact"/>
              <w:rPr>
                <w:sz w:val="20"/>
                <w:szCs w:val="20"/>
                <w:color w:val="auto"/>
              </w:rPr>
            </w:pPr>
            <w:r>
              <w:rPr>
                <w:rFonts w:ascii="Arial" w:cs="Arial" w:eastAsia="Arial" w:hAnsi="Arial"/>
                <w:sz w:val="18"/>
                <w:szCs w:val="18"/>
                <w:color w:val="auto"/>
              </w:rPr>
              <w:t>Operating activities</w:t>
            </w:r>
          </w:p>
        </w:tc>
        <w:tc>
          <w:tcPr>
            <w:tcW w:w="2260" w:type="dxa"/>
            <w:vAlign w:val="bottom"/>
            <w:gridSpan w:val="2"/>
          </w:tcPr>
          <w:p>
            <w:pPr>
              <w:jc w:val="right"/>
              <w:ind w:right="5"/>
              <w:spacing w:after="0" w:line="176"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w w:val="95"/>
              </w:rPr>
              <w:t>(14,347,719)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w w:val="95"/>
              </w:rPr>
              <w:t>(13,733,020)</w:t>
            </w:r>
          </w:p>
        </w:tc>
      </w:tr>
      <w:tr>
        <w:trPr>
          <w:trHeight w:val="176"/>
        </w:trPr>
        <w:tc>
          <w:tcPr>
            <w:tcW w:w="43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Investing activities</w:t>
            </w:r>
          </w:p>
        </w:tc>
        <w:tc>
          <w:tcPr>
            <w:tcW w:w="2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(24,215)</w:t>
            </w:r>
          </w:p>
        </w:tc>
        <w:tc>
          <w:tcPr>
            <w:tcW w:w="1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(6,294)</w:t>
            </w:r>
          </w:p>
        </w:tc>
      </w:tr>
      <w:tr>
        <w:trPr>
          <w:trHeight w:val="176"/>
        </w:trPr>
        <w:tc>
          <w:tcPr>
            <w:tcW w:w="434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Financing activities</w:t>
            </w:r>
          </w:p>
        </w:tc>
        <w:tc>
          <w:tcPr>
            <w:tcW w:w="2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702,254</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15,115,266</w:t>
            </w:r>
          </w:p>
        </w:tc>
        <w:tc>
          <w:tcPr>
            <w:tcW w:w="140" w:type="dxa"/>
            <w:vAlign w:val="bottom"/>
            <w:tcBorders>
              <w:bottom w:val="single" w:sz="8" w:color="CCEEFF"/>
            </w:tcBorders>
          </w:tcPr>
          <w:p>
            <w:pPr>
              <w:spacing w:after="0"/>
              <w:rPr>
                <w:sz w:val="15"/>
                <w:szCs w:val="15"/>
                <w:color w:val="auto"/>
              </w:rPr>
            </w:pPr>
          </w:p>
        </w:tc>
      </w:tr>
      <w:tr>
        <w:trPr>
          <w:trHeight w:val="176"/>
        </w:trPr>
        <w:tc>
          <w:tcPr>
            <w:tcW w:w="434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Net increase (decrease) in cash</w:t>
            </w:r>
          </w:p>
        </w:tc>
        <w:tc>
          <w:tcPr>
            <w:tcW w:w="2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(13,669,680)</w:t>
            </w:r>
          </w:p>
        </w:tc>
        <w:tc>
          <w:tcPr>
            <w:tcW w:w="1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1,375,952</w:t>
            </w:r>
          </w:p>
        </w:tc>
        <w:tc>
          <w:tcPr>
            <w:tcW w:w="140" w:type="dxa"/>
            <w:vAlign w:val="bottom"/>
            <w:tcBorders>
              <w:bottom w:val="single" w:sz="8" w:color="CCEEFF"/>
            </w:tcBorders>
            <w:shd w:val="clear" w:color="auto" w:fill="CCEEFF"/>
          </w:tcPr>
          <w:p>
            <w:pPr>
              <w:spacing w:after="0"/>
              <w:rPr>
                <w:sz w:val="15"/>
                <w:szCs w:val="15"/>
                <w:color w:val="auto"/>
              </w:rPr>
            </w:pPr>
          </w:p>
        </w:tc>
      </w:tr>
    </w:tbl>
    <w:p>
      <w:pPr>
        <w:spacing w:after="0" w:line="188" w:lineRule="exact"/>
        <w:rPr>
          <w:sz w:val="20"/>
          <w:szCs w:val="20"/>
          <w:color w:val="auto"/>
        </w:rPr>
      </w:pPr>
    </w:p>
    <w:p>
      <w:pPr>
        <w:ind w:right="80" w:firstLine="648"/>
        <w:spacing w:after="0" w:line="232"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Cash used in operating activities for the six months ended June 30, 2018 was $14.3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as compared to $13.7 million for the six months ended June 30, 2017. The increase of $0.6 million in net cash used was primarily related to higher intellectual property and legal expenses along with continued development on AXS-05 and AXS-07, which was partially offset by a reduction in the costs of our previously initiated clinical trials.</w:t>
      </w:r>
    </w:p>
    <w:p>
      <w:pPr>
        <w:spacing w:after="0" w:line="163" w:lineRule="exact"/>
        <w:rPr>
          <w:sz w:val="20"/>
          <w:szCs w:val="20"/>
          <w:color w:val="auto"/>
        </w:rPr>
      </w:pPr>
    </w:p>
    <w:p>
      <w:pPr>
        <w:ind w:right="420" w:firstLine="648"/>
        <w:spacing w:after="0" w:line="235"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in investing activities for the purchase of property and equipment was less than</w:t>
      </w:r>
      <w:r>
        <w:rPr>
          <w:rFonts w:ascii="Arial" w:cs="Arial" w:eastAsia="Arial" w:hAnsi="Arial"/>
          <w:sz w:val="18"/>
          <w:szCs w:val="18"/>
          <w:i w:val="1"/>
          <w:iCs w:val="1"/>
          <w:color w:val="auto"/>
        </w:rPr>
        <w:t xml:space="preserve"> </w:t>
      </w:r>
      <w:r>
        <w:rPr>
          <w:rFonts w:ascii="Arial" w:cs="Arial" w:eastAsia="Arial" w:hAnsi="Arial"/>
          <w:sz w:val="18"/>
          <w:szCs w:val="18"/>
          <w:color w:val="auto"/>
        </w:rPr>
        <w:t>$0.1 million for the six months ended June 30, 2018 and 2017.</w:t>
      </w:r>
    </w:p>
    <w:p>
      <w:pPr>
        <w:spacing w:after="0" w:line="162" w:lineRule="exact"/>
        <w:rPr>
          <w:sz w:val="20"/>
          <w:szCs w:val="20"/>
          <w:color w:val="auto"/>
        </w:rPr>
      </w:pPr>
    </w:p>
    <w:p>
      <w:pPr>
        <w:jc w:val="both"/>
        <w:ind w:right="160" w:firstLine="648"/>
        <w:spacing w:after="0" w:line="244" w:lineRule="auto"/>
        <w:rPr>
          <w:sz w:val="20"/>
          <w:szCs w:val="20"/>
          <w:color w:val="auto"/>
        </w:rPr>
      </w:pPr>
      <w:r>
        <w:rPr>
          <w:rFonts w:ascii="Arial" w:cs="Arial" w:eastAsia="Arial" w:hAnsi="Arial"/>
          <w:sz w:val="16"/>
          <w:szCs w:val="16"/>
          <w:i w:val="1"/>
          <w:iCs w:val="1"/>
          <w:color w:val="auto"/>
        </w:rPr>
        <w:t xml:space="preserve">Financing Activities. </w:t>
      </w:r>
      <w:r>
        <w:rPr>
          <w:rFonts w:ascii="Arial" w:cs="Arial" w:eastAsia="Arial" w:hAnsi="Arial"/>
          <w:sz w:val="16"/>
          <w:szCs w:val="16"/>
          <w:color w:val="auto"/>
        </w:rPr>
        <w:t>Cash provided by financing activities was $0.7 million for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2018, which included the net proceeds from the sale of common stock through our Sales Agreement with Leerink of $2.4 million, offset by the principal payments on our term loan with SVB of $1.7 million. Cash provided by financing activities was $15.0 million for the six months ended June 30, 2017, which included the net proceeds from the sale of common stock in the March 2017 public offering of $14.8 million as well as $0.3 million from the exercise of options and warrants.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89" w:lineRule="exact"/>
        <w:rPr>
          <w:sz w:val="20"/>
          <w:szCs w:val="20"/>
          <w:color w:val="auto"/>
        </w:rPr>
      </w:pPr>
    </w:p>
    <w:p>
      <w:pPr>
        <w:ind w:right="60" w:firstLine="648"/>
        <w:spacing w:after="0" w:line="216" w:lineRule="auto"/>
        <w:rPr>
          <w:sz w:val="20"/>
          <w:szCs w:val="20"/>
          <w:color w:val="auto"/>
        </w:rPr>
      </w:pPr>
      <w:r>
        <w:rPr>
          <w:rFonts w:ascii="Arial" w:cs="Arial" w:eastAsia="Arial" w:hAnsi="Arial"/>
          <w:sz w:val="18"/>
          <w:szCs w:val="18"/>
          <w:color w:val="auto"/>
        </w:rPr>
        <w:t>We have not achieved profitability since our inception and we expect to continue to incur significant losses for the foreseeable future. We expect our losses to increase as we continue the development of and seek regulatory approvals for our product candidates and begin to commercialize any approved products. We are subject to all of the risks pertinent to the development of new product candidates, and we may encounter unforeseen expenses, difficulties, complications, delays, and other unknown factors that may harm our business.</w:t>
      </w:r>
    </w:p>
    <w:p>
      <w:pPr>
        <w:spacing w:after="0" w:line="162"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We anticipate that we will need to raise substantial additional financing in the future to fund our operations. In order to meet these additional cash requirements, we may incur debt, license certain intellectual property, and seek to sell additional equity or convertible securities that may result in dilution to our stockholders. If we raise additional funds through the issuance of equity or convertible securities, these securities could have rights or preferences senior to those of our common stock and could contain covenants that restrict our operations. There can be no assurance that we will be able to obtain additional equity or debt financing on terms acceptable to us, if at all. Our future capital requirements will depend on many factors, including:</w:t>
      </w:r>
    </w:p>
    <w:p>
      <w:pPr>
        <w:spacing w:after="0" w:line="16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scope, rate of progress, results, and cost of our clinical studies and other related activities;</w:t>
      </w:r>
    </w:p>
    <w:p>
      <w:pPr>
        <w:spacing w:after="0" w:line="117" w:lineRule="exact"/>
        <w:rPr>
          <w:sz w:val="20"/>
          <w:szCs w:val="20"/>
          <w:color w:val="auto"/>
        </w:rPr>
      </w:pPr>
    </w:p>
    <w:p>
      <w:pPr>
        <w:ind w:left="920" w:right="360" w:firstLine="29"/>
        <w:spacing w:after="0" w:line="235" w:lineRule="auto"/>
        <w:rPr>
          <w:sz w:val="20"/>
          <w:szCs w:val="20"/>
          <w:color w:val="auto"/>
        </w:rPr>
      </w:pPr>
      <w:r>
        <w:rPr>
          <w:rFonts w:ascii="Arial" w:cs="Arial" w:eastAsia="Arial" w:hAnsi="Arial"/>
          <w:sz w:val="18"/>
          <w:szCs w:val="18"/>
          <w:color w:val="auto"/>
        </w:rPr>
        <w:t>our ability to enter into collaborative agreements for the development and commercialization of our product candidates;</w:t>
      </w:r>
    </w:p>
    <w:p>
      <w:pPr>
        <w:spacing w:after="0" w:line="81" w:lineRule="exact"/>
        <w:rPr>
          <w:sz w:val="20"/>
          <w:szCs w:val="20"/>
          <w:color w:val="auto"/>
        </w:rPr>
      </w:pPr>
    </w:p>
    <w:p>
      <w:pPr>
        <w:ind w:left="940" w:right="1580"/>
        <w:spacing w:after="0" w:line="422" w:lineRule="auto"/>
        <w:rPr>
          <w:sz w:val="20"/>
          <w:szCs w:val="20"/>
          <w:color w:val="auto"/>
        </w:rPr>
      </w:pPr>
      <w:r>
        <w:rPr>
          <w:rFonts w:ascii="Arial" w:cs="Arial" w:eastAsia="Arial" w:hAnsi="Arial"/>
          <w:sz w:val="16"/>
          <w:szCs w:val="16"/>
          <w:color w:val="auto"/>
        </w:rPr>
        <w:t>the number and development requirements of any other product candidates that we pursue; the costs, timing, and outcome of regulatory reviews of our product candidates;</w:t>
      </w:r>
    </w:p>
    <w:p>
      <w:pPr>
        <w:spacing w:after="0" w:line="1" w:lineRule="exact"/>
        <w:rPr>
          <w:sz w:val="20"/>
          <w:szCs w:val="20"/>
          <w:color w:val="auto"/>
        </w:rPr>
      </w:pPr>
    </w:p>
    <w:p>
      <w:pPr>
        <w:ind w:left="920" w:right="160" w:firstLine="29"/>
        <w:spacing w:after="0" w:line="258" w:lineRule="auto"/>
        <w:rPr>
          <w:sz w:val="20"/>
          <w:szCs w:val="20"/>
          <w:color w:val="auto"/>
        </w:rPr>
      </w:pPr>
      <w:r>
        <w:rPr>
          <w:rFonts w:ascii="Arial" w:cs="Arial" w:eastAsia="Arial" w:hAnsi="Arial"/>
          <w:sz w:val="17"/>
          <w:szCs w:val="17"/>
          <w:color w:val="auto"/>
        </w:rPr>
        <w:t>the costs and timing of future commercialization activities, including product manufacturing, marketing, sales, and distribution, for any of our product candidates for which we receive marketing approval;</w:t>
      </w:r>
    </w:p>
    <w:p>
      <w:pPr>
        <w:spacing w:after="0" w:line="6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any product liability or other lawsuits related to our product candidates;</w:t>
      </w:r>
    </w:p>
    <w:p>
      <w:pPr>
        <w:spacing w:after="0" w:line="11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expenses needed to attract and retain skilled personnel;</w:t>
      </w:r>
    </w:p>
    <w:p>
      <w:pPr>
        <w:spacing w:after="0" w:line="11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general and administrative expenses related to being a public company;</w:t>
      </w:r>
    </w:p>
    <w:p>
      <w:pPr>
        <w:spacing w:after="0" w:line="104" w:lineRule="exact"/>
        <w:rPr>
          <w:sz w:val="20"/>
          <w:szCs w:val="20"/>
          <w:color w:val="auto"/>
        </w:rPr>
      </w:pPr>
    </w:p>
    <w:p>
      <w:pPr>
        <w:ind w:left="920" w:right="200" w:firstLine="29"/>
        <w:spacing w:after="0" w:line="235" w:lineRule="auto"/>
        <w:rPr>
          <w:sz w:val="20"/>
          <w:szCs w:val="20"/>
          <w:color w:val="auto"/>
        </w:rPr>
      </w:pPr>
      <w:r>
        <w:rPr>
          <w:rFonts w:ascii="Arial" w:cs="Arial" w:eastAsia="Arial" w:hAnsi="Arial"/>
          <w:sz w:val="18"/>
          <w:szCs w:val="18"/>
          <w:color w:val="auto"/>
        </w:rPr>
        <w:t>the revenue, if any, received from commercial sales of our product candidates for which we receive marketing approval; and</w:t>
      </w:r>
    </w:p>
    <w:p>
      <w:pPr>
        <w:spacing w:after="0" w:line="94" w:lineRule="exact"/>
        <w:rPr>
          <w:sz w:val="20"/>
          <w:szCs w:val="20"/>
          <w:color w:val="auto"/>
        </w:rPr>
      </w:pPr>
    </w:p>
    <w:p>
      <w:pPr>
        <w:ind w:left="920" w:right="520" w:firstLine="29"/>
        <w:spacing w:after="0" w:line="203" w:lineRule="exact"/>
        <w:rPr>
          <w:sz w:val="20"/>
          <w:szCs w:val="20"/>
          <w:color w:val="auto"/>
        </w:rPr>
      </w:pPr>
      <w:r>
        <w:rPr>
          <w:rFonts w:ascii="Arial" w:cs="Arial" w:eastAsia="Arial" w:hAnsi="Arial"/>
          <w:sz w:val="18"/>
          <w:szCs w:val="18"/>
          <w:color w:val="auto"/>
        </w:rPr>
        <w:t>the costs involved in preparing, filing, and prosecuting patent applications, maintaining and enforcing our intellectual property rights, and defending our intellectual property</w:t>
      </w:r>
      <w:r>
        <w:rPr>
          <w:rFonts w:ascii="MS PGothic" w:cs="MS PGothic" w:eastAsia="MS PGothic" w:hAnsi="MS PGothic"/>
          <w:sz w:val="18"/>
          <w:szCs w:val="18"/>
          <w:color w:val="auto"/>
        </w:rPr>
        <w:t>‑</w:t>
      </w:r>
      <w:r>
        <w:rPr>
          <w:rFonts w:ascii="Arial" w:cs="Arial" w:eastAsia="Arial" w:hAnsi="Arial"/>
          <w:sz w:val="18"/>
          <w:szCs w:val="18"/>
          <w:color w:val="auto"/>
        </w:rPr>
        <w:t>related claims.</w:t>
      </w:r>
    </w:p>
    <w:p>
      <w:pPr>
        <w:spacing w:after="0" w:line="94" w:lineRule="exact"/>
        <w:rPr>
          <w:sz w:val="20"/>
          <w:szCs w:val="20"/>
          <w:color w:val="auto"/>
        </w:rPr>
      </w:pPr>
    </w:p>
    <w:p>
      <w:pPr>
        <w:ind w:right="1360" w:firstLine="648"/>
        <w:spacing w:after="0" w:line="454" w:lineRule="auto"/>
        <w:rPr>
          <w:sz w:val="20"/>
          <w:szCs w:val="20"/>
          <w:color w:val="auto"/>
        </w:rPr>
      </w:pPr>
      <w:r>
        <w:rPr>
          <w:rFonts w:ascii="Arial" w:cs="Arial" w:eastAsia="Arial" w:hAnsi="Arial"/>
          <w:sz w:val="18"/>
          <w:szCs w:val="18"/>
          <w:color w:val="auto"/>
        </w:rPr>
        <w:t xml:space="preserve">Please see “Risk Factors” for additional risks associated with our substantial capital requirements. </w:t>
      </w:r>
      <w:r>
        <w:rPr>
          <w:rFonts w:ascii="Arial" w:cs="Arial" w:eastAsia="Arial" w:hAnsi="Arial"/>
          <w:sz w:val="18"/>
          <w:szCs w:val="18"/>
          <w:b w:val="1"/>
          <w:bCs w:val="1"/>
          <w:color w:val="auto"/>
        </w:rPr>
        <w:t>Contractual Obligations and Commitments</w:t>
      </w:r>
    </w:p>
    <w:p>
      <w:pPr>
        <w:ind w:right="160" w:firstLine="648"/>
        <w:spacing w:after="0" w:line="232" w:lineRule="auto"/>
        <w:rPr>
          <w:sz w:val="20"/>
          <w:szCs w:val="20"/>
          <w:color w:val="auto"/>
        </w:rPr>
      </w:pPr>
      <w:r>
        <w:rPr>
          <w:rFonts w:ascii="Arial" w:cs="Arial" w:eastAsia="Arial" w:hAnsi="Arial"/>
          <w:sz w:val="17"/>
          <w:szCs w:val="17"/>
          <w:color w:val="auto"/>
        </w:rPr>
        <w:t>Under three exclusive license agreements with Antecip Bioventures II LLC, or Antecip, an entity owned by our Chief Executive Officer and Chairman of the Board, Herriot Tabuteau, M.D., we are obligated to make specified royalty payments ranging from 1.5% to 4.5%, subject to up to a 50% reduction depending on required payments to third parties, on net sales of licensed products. The amount, timing, and likelihood of such payments are not known.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November 2016 Loan and Security Agreement—Silicon Valley Bank</w:t>
      </w:r>
    </w:p>
    <w:p>
      <w:pPr>
        <w:spacing w:after="0" w:line="189" w:lineRule="exact"/>
        <w:rPr>
          <w:sz w:val="20"/>
          <w:szCs w:val="20"/>
          <w:color w:val="auto"/>
        </w:rPr>
      </w:pPr>
    </w:p>
    <w:p>
      <w:pPr>
        <w:ind w:right="80" w:firstLine="648"/>
        <w:spacing w:after="0" w:line="241" w:lineRule="auto"/>
        <w:rPr>
          <w:sz w:val="20"/>
          <w:szCs w:val="20"/>
          <w:color w:val="auto"/>
        </w:rPr>
      </w:pPr>
      <w:r>
        <w:rPr>
          <w:rFonts w:ascii="Arial" w:cs="Arial" w:eastAsia="Arial" w:hAnsi="Arial"/>
          <w:sz w:val="16"/>
          <w:szCs w:val="16"/>
          <w:color w:val="auto"/>
        </w:rPr>
        <w:t>In November 2016, we entered into a loan and security agreement with SVB for a term loan of up to $20.0 million. The initial tranche of $10.0 million was funded shortly after executing the loan agreement. We made interest only payments on the loan until December 1, 2017. Under the terms of the loan, we had the opportunity, but not the obligation to, draw two additional tranches of $5.0 million each prior to November 9, 2017 and December 31, 2017, subject to the achievement of certain clinical and financial milestones. Because we did not achieve the conditional criteria to access the second and third tranches before the specified dates, the $10.0 million in additional term loan advances expired.</w:t>
      </w:r>
    </w:p>
    <w:p>
      <w:pPr>
        <w:spacing w:after="0" w:line="161" w:lineRule="exact"/>
        <w:rPr>
          <w:sz w:val="20"/>
          <w:szCs w:val="20"/>
          <w:color w:val="auto"/>
        </w:rPr>
      </w:pPr>
    </w:p>
    <w:p>
      <w:pPr>
        <w:ind w:right="60" w:firstLine="648"/>
        <w:spacing w:after="0" w:line="216" w:lineRule="auto"/>
        <w:rPr>
          <w:sz w:val="20"/>
          <w:szCs w:val="20"/>
          <w:color w:val="auto"/>
        </w:rPr>
      </w:pPr>
      <w:r>
        <w:rPr>
          <w:rFonts w:ascii="Arial" w:cs="Arial" w:eastAsia="Arial" w:hAnsi="Arial"/>
          <w:sz w:val="18"/>
          <w:szCs w:val="18"/>
          <w:color w:val="auto"/>
        </w:rPr>
        <w:t>The SVB loan accrues interest at an annual rate equal to 4.50% plus the prime rate, which is the greater of 3.50% or the Wall Street Journal prime rate, and is payable monthly. Following the interest only payment period, we began making monthly payments of principal and interest and these payments will continue until the maturity date of November 1, 2020. In addition, we are required to pay a final payment fee of 8.5% of the principal amount extended to us on the date of repayment of the outstanding loan.</w:t>
      </w:r>
    </w:p>
    <w:p>
      <w:pPr>
        <w:spacing w:after="0" w:line="41"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We may prepay all, but not less than all, of the SVB loan subject to a prepayment premium of 3.0% of the outstanding principal if prepaid within two years of the effective date of the loan, 2.0% of the outstanding principal if prepaid during the third year of the loan, and 1.0% of the outstanding principal if prepaid after the third year. The term loan is collateralized by a security interest in all of our assets except intellectual property. Our intellectual property is subject to a negative pledge.</w:t>
      </w:r>
    </w:p>
    <w:p>
      <w:pPr>
        <w:spacing w:after="0" w:line="27"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In connection with the loan, SVB and Life Science Loans, LLC, received warrants to purchase an aggregate 65,228 shares of our common stock at an exercise price of $7.41 per share, which are exercisable for seven years from the date of issuance.</w:t>
      </w:r>
    </w:p>
    <w:p>
      <w:pPr>
        <w:spacing w:after="0" w:line="42" w:lineRule="exact"/>
        <w:rPr>
          <w:sz w:val="20"/>
          <w:szCs w:val="20"/>
          <w:color w:val="auto"/>
        </w:rPr>
      </w:pPr>
    </w:p>
    <w:p>
      <w:pPr>
        <w:ind w:right="200" w:firstLine="648"/>
        <w:spacing w:after="0" w:line="249" w:lineRule="auto"/>
        <w:rPr>
          <w:sz w:val="20"/>
          <w:szCs w:val="20"/>
          <w:color w:val="auto"/>
        </w:rPr>
      </w:pPr>
      <w:r>
        <w:rPr>
          <w:rFonts w:ascii="Arial" w:cs="Arial" w:eastAsia="Arial" w:hAnsi="Arial"/>
          <w:sz w:val="16"/>
          <w:szCs w:val="16"/>
          <w:color w:val="auto"/>
        </w:rPr>
        <w:t>We allocated the proceeds of $10.0 million based on the relative fair values of the debt instrument and the warrant instrument. The relative fair value of the warrants of approximately $0.3 million at the time of issuance, which was determined using the Black-Scholes option-pricing model, was recorded as additional paid-in capital and reduced the carrying value of the debt. The discount on the debt is being amortized to interest expense over the term of the debt.</w:t>
      </w:r>
    </w:p>
    <w:p>
      <w:pPr>
        <w:spacing w:after="0" w:line="29"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189" w:lineRule="exact"/>
        <w:rPr>
          <w:sz w:val="20"/>
          <w:szCs w:val="20"/>
          <w:color w:val="auto"/>
        </w:rPr>
      </w:pPr>
    </w:p>
    <w:p>
      <w:pPr>
        <w:ind w:right="80" w:firstLine="648"/>
        <w:spacing w:after="0" w:line="203" w:lineRule="exact"/>
        <w:rPr>
          <w:sz w:val="20"/>
          <w:szCs w:val="20"/>
          <w:color w:val="auto"/>
        </w:rPr>
      </w:pPr>
      <w:r>
        <w:rPr>
          <w:rFonts w:ascii="Arial" w:cs="Arial" w:eastAsia="Arial" w:hAnsi="Arial"/>
          <w:sz w:val="18"/>
          <w:szCs w:val="18"/>
          <w:color w:val="auto"/>
        </w:rPr>
        <w:t>We did not have during the periods presented, and we do not currently have, any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as defined by applicable SEC regulations.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firstLine="647"/>
        <w:spacing w:after="0" w:line="236" w:lineRule="auto"/>
        <w:rPr>
          <w:sz w:val="20"/>
          <w:szCs w:val="20"/>
          <w:color w:val="auto"/>
        </w:rPr>
      </w:pPr>
      <w:r>
        <w:rPr>
          <w:rFonts w:ascii="Arial" w:cs="Arial" w:eastAsia="Arial" w:hAnsi="Arial"/>
          <w:sz w:val="16"/>
          <w:szCs w:val="16"/>
          <w:color w:val="auto"/>
        </w:rPr>
        <w:t>In February 2016, the Financial Accounting Standards Board, or FASB, issued Accounting Standards Update, or ASU, No. 2016-02, Leases (Topic 842), which supersedes FASB Topic 840, Leases (Topic 840) and provides principles for the recognition, measurement, presentation and disclosure of leases for both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twelve months regardless of classification. Leases with a term of twelve months or less will be accounted for similarly to existing guidance for operating leases. The standard will be effective for annual and interim periods beginning after December 15, 2018, with early adoption permitted upon issuance. We are currently evaluating the potential impact of the new guidance.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41"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(Topic 230) – Classification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Certain Cash Receipts and Cash Payments, </w:t>
      </w:r>
      <w:r>
        <w:rPr>
          <w:rFonts w:ascii="Arial" w:cs="Arial" w:eastAsia="Arial" w:hAnsi="Arial"/>
          <w:sz w:val="16"/>
          <w:szCs w:val="16"/>
          <w:color w:val="auto"/>
        </w:rPr>
        <w:t>which is guidance to address diversity in practice with respect to how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cash receipts and cash payments are presented and classified in the statement of cash flows. The updated guidance addresses eight specific cash flow issues with the objective of reducing the existing diversity that occurs in practice. The guidance is effective for annual and interim periods beginning after December 15, 2017. We have adopted this guidance effective January 1, 2018 and the adoption of the guidance did not have a material impact to our financial statements.</w:t>
      </w:r>
    </w:p>
    <w:p>
      <w:pPr>
        <w:spacing w:after="0" w:line="53" w:lineRule="exact"/>
        <w:rPr>
          <w:sz w:val="20"/>
          <w:szCs w:val="20"/>
          <w:color w:val="auto"/>
        </w:rPr>
      </w:pPr>
    </w:p>
    <w:p>
      <w:pPr>
        <w:ind w:left="680"/>
        <w:spacing w:after="0"/>
        <w:rPr>
          <w:sz w:val="20"/>
          <w:szCs w:val="20"/>
          <w:color w:val="auto"/>
        </w:rPr>
      </w:pPr>
      <w:r>
        <w:rPr>
          <w:rFonts w:ascii="Arial" w:cs="Arial" w:eastAsia="Arial" w:hAnsi="Arial"/>
          <w:sz w:val="17"/>
          <w:szCs w:val="17"/>
          <w:color w:val="auto"/>
        </w:rPr>
        <w:t xml:space="preserve">In May 2017, the FASB issued No. ASU 2017-09, </w:t>
      </w:r>
      <w:r>
        <w:rPr>
          <w:rFonts w:ascii="Arial" w:cs="Arial" w:eastAsia="Arial" w:hAnsi="Arial"/>
          <w:sz w:val="17"/>
          <w:szCs w:val="17"/>
          <w:i w:val="1"/>
          <w:iCs w:val="1"/>
          <w:color w:val="auto"/>
        </w:rPr>
        <w:t>Compensation-Stock Compensation (Topic 718): Scope of</w:t>
      </w:r>
    </w:p>
    <w:p>
      <w:pPr>
        <w:spacing w:after="0" w:line="23" w:lineRule="exact"/>
        <w:rPr>
          <w:sz w:val="20"/>
          <w:szCs w:val="20"/>
          <w:color w:val="auto"/>
        </w:rPr>
      </w:pPr>
    </w:p>
    <w:p>
      <w:pPr>
        <w:ind w:right="20"/>
        <w:spacing w:after="0" w:line="211" w:lineRule="auto"/>
        <w:rPr>
          <w:sz w:val="20"/>
          <w:szCs w:val="20"/>
          <w:color w:val="auto"/>
        </w:rPr>
      </w:pPr>
      <w:r>
        <w:rPr>
          <w:rFonts w:ascii="Arial" w:cs="Arial" w:eastAsia="Arial" w:hAnsi="Arial"/>
          <w:sz w:val="18"/>
          <w:szCs w:val="18"/>
          <w:i w:val="1"/>
          <w:iCs w:val="1"/>
          <w:color w:val="auto"/>
        </w:rPr>
        <w:t>Modification Accounting</w:t>
      </w:r>
      <w:r>
        <w:rPr>
          <w:rFonts w:ascii="Arial" w:cs="Arial" w:eastAsia="Arial" w:hAnsi="Arial"/>
          <w:sz w:val="18"/>
          <w:szCs w:val="18"/>
          <w:color w:val="auto"/>
        </w:rPr>
        <w:t>. ASU 2017-09 provides clarity and reduces both (1) diversity in practice and (2) cost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complexity when applying the guidance in Topic 718, to a change to the terms or conditions of a share-based payment award. The amendments in ASU 2017-09 should be applied prospectively to an award modified on or after the adoption date. This ASU is effective for fiscal years beginning after December 15, 2017, including interim periods within those years. We have adopted this guidance effective January 1, 2018 and the adoption of the guidance did not have a material impact to our financial statements.</w:t>
      </w:r>
    </w:p>
    <w:p>
      <w:pPr>
        <w:spacing w:after="0" w:line="54" w:lineRule="exact"/>
        <w:rPr>
          <w:sz w:val="20"/>
          <w:szCs w:val="20"/>
          <w:color w:val="auto"/>
        </w:rPr>
      </w:pPr>
    </w:p>
    <w:p>
      <w:pPr>
        <w:ind w:firstLine="647"/>
        <w:spacing w:after="0" w:line="229" w:lineRule="auto"/>
        <w:rPr>
          <w:sz w:val="20"/>
          <w:szCs w:val="20"/>
          <w:color w:val="auto"/>
        </w:rPr>
      </w:pPr>
      <w:r>
        <w:rPr>
          <w:rFonts w:ascii="Arial" w:cs="Arial" w:eastAsia="Arial" w:hAnsi="Arial"/>
          <w:sz w:val="17"/>
          <w:szCs w:val="17"/>
          <w:color w:val="auto"/>
        </w:rPr>
        <w:t xml:space="preserve">In June 2018, the FASB issued No. ASU 2018-07, </w:t>
      </w:r>
      <w:r>
        <w:rPr>
          <w:rFonts w:ascii="Arial" w:cs="Arial" w:eastAsia="Arial" w:hAnsi="Arial"/>
          <w:sz w:val="17"/>
          <w:szCs w:val="17"/>
          <w:i w:val="1"/>
          <w:iCs w:val="1"/>
          <w:color w:val="auto"/>
        </w:rPr>
        <w:t>Compensation-Stock Compensation (Topic 718): Improvements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 Nonemployee Share-Based Payment Accounting </w:t>
      </w:r>
      <w:r>
        <w:rPr>
          <w:rFonts w:ascii="Arial" w:cs="Arial" w:eastAsia="Arial" w:hAnsi="Arial"/>
          <w:sz w:val="17"/>
          <w:szCs w:val="17"/>
          <w:color w:val="auto"/>
        </w:rPr>
        <w:t>to simplify the accounting for share-based payments to nonemployees by</w:t>
      </w:r>
      <w:r>
        <w:rPr>
          <w:rFonts w:ascii="Arial" w:cs="Arial" w:eastAsia="Arial" w:hAnsi="Arial"/>
          <w:sz w:val="17"/>
          <w:szCs w:val="17"/>
          <w:i w:val="1"/>
          <w:iCs w:val="1"/>
          <w:color w:val="auto"/>
        </w:rPr>
        <w:t xml:space="preserve"> </w:t>
      </w:r>
      <w:r>
        <w:rPr>
          <w:rFonts w:ascii="Arial" w:cs="Arial" w:eastAsia="Arial" w:hAnsi="Arial"/>
          <w:sz w:val="17"/>
          <w:szCs w:val="17"/>
          <w:color w:val="auto"/>
        </w:rPr>
        <w:t>aligning it with the accounting for share-based payments to employees, with certain exceptions. The standard will be effective for annual and interim periods beginning after December 15, 2018, with early adoption permitted upon issuance. We are currently evaluating the potential impact of the new guidance.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2000"/>
        <w:spacing w:after="0" w:line="456" w:lineRule="auto"/>
        <w:rPr>
          <w:sz w:val="20"/>
          <w:szCs w:val="20"/>
          <w:color w:val="auto"/>
        </w:rPr>
      </w:pPr>
      <w:r>
        <w:rPr>
          <w:rFonts w:ascii="Arial" w:cs="Arial" w:eastAsia="Arial" w:hAnsi="Arial"/>
          <w:sz w:val="18"/>
          <w:szCs w:val="18"/>
          <w:b w:val="1"/>
          <w:bCs w:val="1"/>
          <w:color w:val="auto"/>
        </w:rPr>
        <w:t xml:space="preserve">ITEM 3. QUANTITATIVE AND QUALITATIVE DISCLOSURE ABOUT MARKET RISK </w:t>
      </w:r>
      <w:r>
        <w:rPr>
          <w:rFonts w:ascii="Arial" w:cs="Arial" w:eastAsia="Arial" w:hAnsi="Arial"/>
          <w:sz w:val="18"/>
          <w:szCs w:val="18"/>
          <w:i w:val="1"/>
          <w:iCs w:val="1"/>
          <w:color w:val="auto"/>
        </w:rPr>
        <w:t>Interest Rate Risk</w:t>
      </w:r>
    </w:p>
    <w:p>
      <w:pPr>
        <w:spacing w:after="0" w:line="1" w:lineRule="exact"/>
        <w:rPr>
          <w:sz w:val="20"/>
          <w:szCs w:val="20"/>
          <w:color w:val="auto"/>
        </w:rPr>
      </w:pPr>
    </w:p>
    <w:p>
      <w:pPr>
        <w:ind w:right="40" w:firstLine="648"/>
        <w:spacing w:after="0" w:line="184" w:lineRule="exact"/>
        <w:rPr>
          <w:sz w:val="20"/>
          <w:szCs w:val="20"/>
          <w:color w:val="auto"/>
        </w:rPr>
      </w:pPr>
      <w:r>
        <w:rPr>
          <w:rFonts w:ascii="Arial" w:cs="Arial" w:eastAsia="Arial" w:hAnsi="Arial"/>
          <w:sz w:val="17"/>
          <w:szCs w:val="17"/>
          <w:color w:val="auto"/>
        </w:rPr>
        <w:t>We are exposed to market risks in the ordinary course of our business. These market risks are principally limited to interest rate fluctuations. We had cash of $20.4 million and $34.0 million as of June 30, 2018 and December 31, 2017, respectively. The primary objective of our investment activities is to preserve principal and liquidity while maximizing income without significantly increasing risk. We do not enter into investments for trading or speculative purposes. Due to the short</w:t>
      </w:r>
      <w:r>
        <w:rPr>
          <w:rFonts w:ascii="MS PGothic" w:cs="MS PGothic" w:eastAsia="MS PGothic" w:hAnsi="MS PGothic"/>
          <w:sz w:val="17"/>
          <w:szCs w:val="17"/>
          <w:color w:val="auto"/>
        </w:rPr>
        <w:t>‑</w:t>
      </w:r>
      <w:r>
        <w:rPr>
          <w:rFonts w:ascii="Arial" w:cs="Arial" w:eastAsia="Arial" w:hAnsi="Arial"/>
          <w:sz w:val="17"/>
          <w:szCs w:val="17"/>
          <w:color w:val="auto"/>
        </w:rPr>
        <w:t>term nature of our investment portfolio, we do not believe an immediate 10% increase in interest rates would have a material effect on the fair market value of our portfolio, and, accordingly, we do not expect our operating results or cash flows to be materially affected by a sudden change in market interest rates.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185" w:lineRule="exact"/>
        <w:rPr>
          <w:sz w:val="20"/>
          <w:szCs w:val="20"/>
          <w:color w:val="auto"/>
        </w:rPr>
      </w:pPr>
    </w:p>
    <w:p>
      <w:pPr>
        <w:ind w:right="60" w:firstLine="648"/>
        <w:spacing w:after="0" w:line="187" w:lineRule="exact"/>
        <w:rPr>
          <w:sz w:val="20"/>
          <w:szCs w:val="20"/>
          <w:color w:val="auto"/>
        </w:rPr>
      </w:pPr>
      <w:r>
        <w:rPr>
          <w:rFonts w:ascii="Arial" w:cs="Arial" w:eastAsia="Arial" w:hAnsi="Arial"/>
          <w:sz w:val="18"/>
          <w:szCs w:val="18"/>
          <w:color w:val="auto"/>
        </w:rPr>
        <w:t>We contract with vendors and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in several foreign countries. Several of these contracts are denominated in Euros, British pounds, and Australian dollars. We are therefore subject to fluctuations in foreign currency rates in connection with these agreements, and recognize foreign exchange gains or losses in our statement of operations. We have not historically hedged our foreign currency exchange rate risk. To date, we have not incurred any material effects from foreign currency changes on these contracts.</w:t>
      </w:r>
    </w:p>
    <w:p>
      <w:pPr>
        <w:spacing w:after="0" w:line="162" w:lineRule="exact"/>
        <w:rPr>
          <w:sz w:val="20"/>
          <w:szCs w:val="20"/>
          <w:color w:val="auto"/>
        </w:rPr>
      </w:pPr>
    </w:p>
    <w:p>
      <w:pPr>
        <w:ind w:right="440" w:firstLine="648"/>
        <w:spacing w:after="0" w:line="235" w:lineRule="auto"/>
        <w:rPr>
          <w:sz w:val="20"/>
          <w:szCs w:val="20"/>
          <w:color w:val="auto"/>
        </w:rPr>
      </w:pPr>
      <w:r>
        <w:rPr>
          <w:rFonts w:ascii="Arial" w:cs="Arial" w:eastAsia="Arial" w:hAnsi="Arial"/>
          <w:sz w:val="18"/>
          <w:szCs w:val="18"/>
          <w:color w:val="auto"/>
        </w:rPr>
        <w:t>We do not believe a 10% change in these currencies on June 30, 2018 would have had a material effect on our results of operations or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Risk</w:t>
      </w:r>
    </w:p>
    <w:p>
      <w:pPr>
        <w:spacing w:after="0" w:line="185"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Inflation generally affects us by increasing our cost of labor and pricing of contracts. We do not believe that inflation has had a material effect on our business, financial condition, or results of operations during the six months ended June 30, 2018.</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8" w:lineRule="exact"/>
        <w:rPr>
          <w:sz w:val="20"/>
          <w:szCs w:val="20"/>
          <w:color w:val="auto"/>
        </w:rPr>
      </w:pPr>
    </w:p>
    <w:p>
      <w:pPr>
        <w:ind w:right="40" w:firstLine="648"/>
        <w:spacing w:after="0" w:line="236" w:lineRule="auto"/>
        <w:rPr>
          <w:sz w:val="20"/>
          <w:szCs w:val="20"/>
          <w:color w:val="auto"/>
        </w:rPr>
      </w:pPr>
      <w:r>
        <w:rPr>
          <w:rFonts w:ascii="Arial" w:cs="Arial" w:eastAsia="Arial" w:hAnsi="Arial"/>
          <w:sz w:val="16"/>
          <w:szCs w:val="16"/>
          <w:i w:val="1"/>
          <w:iCs w:val="1"/>
          <w:color w:val="auto"/>
        </w:rPr>
        <w:t xml:space="preserve">Disclosure Controls and Procedures. </w:t>
      </w:r>
      <w:r>
        <w:rPr>
          <w:rFonts w:ascii="Arial" w:cs="Arial" w:eastAsia="Arial" w:hAnsi="Arial"/>
          <w:sz w:val="16"/>
          <w:szCs w:val="16"/>
          <w:color w:val="auto"/>
        </w:rPr>
        <w:t>Our management, with the participation of our principal executive officer and</w:t>
      </w:r>
      <w:r>
        <w:rPr>
          <w:rFonts w:ascii="Arial" w:cs="Arial" w:eastAsia="Arial" w:hAnsi="Arial"/>
          <w:sz w:val="16"/>
          <w:szCs w:val="16"/>
          <w:i w:val="1"/>
          <w:iCs w:val="1"/>
          <w:color w:val="auto"/>
        </w:rPr>
        <w:t xml:space="preserve"> </w:t>
      </w:r>
      <w:r>
        <w:rPr>
          <w:rFonts w:ascii="Arial" w:cs="Arial" w:eastAsia="Arial" w:hAnsi="Arial"/>
          <w:sz w:val="16"/>
          <w:szCs w:val="16"/>
          <w:color w:val="auto"/>
        </w:rPr>
        <w:t>our principal financial officer, evaluated, as of the end of the period covered by this Quarterly Report on Form 10-Q, the effectiveness of our disclosure controls and procedures. Based on that evaluation, our principal executive officer and principal financial officer concluded that our disclosure controls and procedures as of such date are effective, at the reasonable assurance level, in ensuring that information required to be disclosed by us in the reports that we file or submit under the Securities Exchange Act of 1934, as amended, or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w:t>
      </w:r>
    </w:p>
    <w:p>
      <w:pPr>
        <w:spacing w:after="0" w:line="55" w:lineRule="exact"/>
        <w:rPr>
          <w:sz w:val="20"/>
          <w:szCs w:val="20"/>
          <w:color w:val="auto"/>
        </w:rPr>
      </w:pPr>
    </w:p>
    <w:p>
      <w:pPr>
        <w:ind w:right="100" w:firstLine="648"/>
        <w:spacing w:after="0" w:line="224"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has been no change in internal controls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that occurred during the period covered by this report that has materially affected, or is reasonably likely to materially affect, our internal control over financial reporting.</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48" w:lineRule="exact"/>
        <w:rPr>
          <w:sz w:val="20"/>
          <w:szCs w:val="20"/>
          <w:color w:val="auto"/>
        </w:rPr>
      </w:pPr>
    </w:p>
    <w:p>
      <w:pPr>
        <w:jc w:val="both"/>
        <w:ind w:right="580" w:firstLine="648"/>
        <w:spacing w:after="0" w:line="224" w:lineRule="auto"/>
        <w:rPr>
          <w:sz w:val="20"/>
          <w:szCs w:val="20"/>
          <w:color w:val="auto"/>
        </w:rPr>
      </w:pPr>
      <w:r>
        <w:rPr>
          <w:rFonts w:ascii="Arial" w:cs="Arial" w:eastAsia="Arial" w:hAnsi="Arial"/>
          <w:sz w:val="18"/>
          <w:szCs w:val="18"/>
          <w:color w:val="auto"/>
        </w:rPr>
        <w:t>We, and our subsidiaries, are not a party to, and our property is not the subject of, any material pending legal proceedings; however, we may become involved in various claims and legal actions arising in the ordinary course of business.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firstLine="648"/>
        <w:spacing w:after="0" w:line="241"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risk factors set forth below as well as the other information contained in this Quarterly Report on Form 10-Q and in our other public filings in evaluating our business. Any of the following risks could materially and adversely affect our business, financial condition or results of operations. The risks described below are not the only risks facing us. Additional risks and uncertainties not currently known to us or that we currently view to be immaterial may also materially adversely affect our business, financial condition or results of operations. In these circumstances, the market price of our common stock would likely decline.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189"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b w:val="1"/>
          <w:bCs w:val="1"/>
          <w:i w:val="1"/>
          <w:iCs w:val="1"/>
          <w:color w:val="auto"/>
        </w:rPr>
        <w:t>We have incurred significant losses since our inception, anticipate that we will incur substantial and increasing losses for the foreseeable future, and may never achieve or maintain profitability.</w:t>
      </w:r>
    </w:p>
    <w:p>
      <w:pPr>
        <w:spacing w:after="0" w:line="162"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We are a clinical stage biopharmaceutical company with a limited operating history. For the last several years, we have focused our efforts primarily on developing AXS-02, AXS-05, AXS-06, AXS-07 and AXS-09, which we refer to herein as our product candidates, with the goal of achieving regulatory approval. Since inception, we have incurred significant operating losses. Our net losses were $13.1 million and $28.9 million for six months ended June 30, 2018 and the year ended December 31, 2017, respectively. As of June 30, 2018, we had an accumulated deficit of $89.7 million. To date, we have not received regulatory approvals for any of our product candidates or generated any revenue from the sale of products, and we do not expect to generate any revenue in the foreseeable future. We expect to continue to incur substantial and increasing expenses and operating losses over the next several years, as we continue to develop our current and future product candidates. In addition, we expect to incur significant sales, marketing, and manufacturing expenses related to the commercialization of our current and future product candidates, if they are approved by the U.S. Food and Drug Administration, or FDA. As a result, we expect to continue to incur significant losses for the foreseeable future. We anticipate that our expenses will increase substantially as we:</w:t>
      </w:r>
    </w:p>
    <w:p>
      <w:pPr>
        <w:spacing w:after="0" w:line="163" w:lineRule="exact"/>
        <w:rPr>
          <w:sz w:val="20"/>
          <w:szCs w:val="20"/>
          <w:color w:val="auto"/>
        </w:rPr>
      </w:pPr>
    </w:p>
    <w:p>
      <w:pPr>
        <w:ind w:left="660" w:right="60" w:hanging="333"/>
        <w:spacing w:after="0" w:line="203" w:lineRule="exact"/>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conduct our Phase 3 clinical trials with AXS</w:t>
      </w:r>
      <w:r>
        <w:rPr>
          <w:rFonts w:ascii="MS PGothic" w:cs="MS PGothic" w:eastAsia="MS PGothic" w:hAnsi="MS PGothic"/>
          <w:sz w:val="18"/>
          <w:szCs w:val="18"/>
          <w:color w:val="auto"/>
        </w:rPr>
        <w:t>‑</w:t>
      </w:r>
      <w:r>
        <w:rPr>
          <w:rFonts w:ascii="Arial" w:cs="Arial" w:eastAsia="Arial" w:hAnsi="Arial"/>
          <w:sz w:val="18"/>
          <w:szCs w:val="18"/>
          <w:color w:val="auto"/>
        </w:rPr>
        <w:t>02 for the treatment of pain associated with knee osteoarthritis, or OA, associated with bone marrow lesions, or BMLs;</w:t>
      </w:r>
    </w:p>
    <w:p>
      <w:pPr>
        <w:spacing w:after="0" w:line="161" w:lineRule="exact"/>
        <w:rPr>
          <w:rFonts w:ascii="Arial" w:cs="Arial" w:eastAsia="Arial" w:hAnsi="Arial"/>
          <w:sz w:val="18"/>
          <w:szCs w:val="18"/>
          <w:color w:val="auto"/>
        </w:rPr>
      </w:pPr>
    </w:p>
    <w:p>
      <w:pPr>
        <w:ind w:left="660" w:hanging="333"/>
        <w:spacing w:after="0" w:line="196" w:lineRule="exact"/>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conduct our Phase 3 clinical trials with AXS</w:t>
      </w:r>
      <w:r>
        <w:rPr>
          <w:rFonts w:ascii="MS PGothic" w:cs="MS PGothic" w:eastAsia="MS PGothic" w:hAnsi="MS PGothic"/>
          <w:sz w:val="17"/>
          <w:szCs w:val="17"/>
          <w:color w:val="auto"/>
        </w:rPr>
        <w:t>‑</w:t>
      </w:r>
      <w:r>
        <w:rPr>
          <w:rFonts w:ascii="Arial" w:cs="Arial" w:eastAsia="Arial" w:hAnsi="Arial"/>
          <w:sz w:val="17"/>
          <w:szCs w:val="17"/>
          <w:color w:val="auto"/>
        </w:rPr>
        <w:t>05 for the treatment of treatment resistant depression, or TRD;</w:t>
      </w:r>
    </w:p>
    <w:p>
      <w:pPr>
        <w:spacing w:after="0" w:line="196" w:lineRule="exact"/>
        <w:rPr>
          <w:rFonts w:ascii="Arial" w:cs="Arial" w:eastAsia="Arial" w:hAnsi="Arial"/>
          <w:sz w:val="17"/>
          <w:szCs w:val="17"/>
          <w:color w:val="auto"/>
        </w:rPr>
      </w:pPr>
    </w:p>
    <w:p>
      <w:pPr>
        <w:ind w:left="660" w:right="20" w:hanging="333"/>
        <w:spacing w:after="0" w:line="203" w:lineRule="exact"/>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conduct our Phase 2/3 clinical trials with AXS</w:t>
      </w:r>
      <w:r>
        <w:rPr>
          <w:rFonts w:ascii="MS PGothic" w:cs="MS PGothic" w:eastAsia="MS PGothic" w:hAnsi="MS PGothic"/>
          <w:sz w:val="18"/>
          <w:szCs w:val="18"/>
          <w:color w:val="auto"/>
        </w:rPr>
        <w:t>‑</w:t>
      </w:r>
      <w:r>
        <w:rPr>
          <w:rFonts w:ascii="Arial" w:cs="Arial" w:eastAsia="Arial" w:hAnsi="Arial"/>
          <w:sz w:val="18"/>
          <w:szCs w:val="18"/>
          <w:color w:val="auto"/>
        </w:rPr>
        <w:t>05 for the treatment of agitation associated with Alzheimer’s disease, or AD agitation;</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conduct our Phase 2 clinical trial with AXS-05 for the treatment of major depressive disorder, or MDD;</w:t>
      </w:r>
    </w:p>
    <w:p>
      <w:pPr>
        <w:spacing w:after="0" w:line="184" w:lineRule="exact"/>
        <w:rPr>
          <w:rFonts w:ascii="Arial" w:cs="Arial" w:eastAsia="Arial" w:hAnsi="Arial"/>
          <w:sz w:val="18"/>
          <w:szCs w:val="18"/>
          <w:color w:val="auto"/>
        </w:rPr>
      </w:pPr>
    </w:p>
    <w:p>
      <w:pPr>
        <w:ind w:left="660" w:right="20" w:hanging="333"/>
        <w:spacing w:after="0" w:line="22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 to evaluate, plan for, and conduct, clinical trials for AXS-05 for smoking cessation treatment, AXS-06 for the treatment of osteoarthritis and rheumatoid arthritis, AXS-07 for the acute treatment of migraine, and AXS-09 for the treatment of CNS disorders;</w:t>
      </w:r>
    </w:p>
    <w:p>
      <w:pPr>
        <w:spacing w:after="0" w:line="163" w:lineRule="exact"/>
        <w:rPr>
          <w:rFonts w:ascii="Arial" w:cs="Arial" w:eastAsia="Arial" w:hAnsi="Arial"/>
          <w:sz w:val="18"/>
          <w:szCs w:val="18"/>
          <w:color w:val="auto"/>
        </w:rPr>
      </w:pPr>
    </w:p>
    <w:p>
      <w:pPr>
        <w:ind w:left="660" w:hanging="333"/>
        <w:spacing w:after="0" w:line="207" w:lineRule="exact"/>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license or acquire additional product candidates;</w:t>
      </w:r>
    </w:p>
    <w:p>
      <w:pPr>
        <w:spacing w:after="0" w:line="184" w:lineRule="exact"/>
        <w:rPr>
          <w:rFonts w:ascii="Arial" w:cs="Arial" w:eastAsia="Arial" w:hAnsi="Arial"/>
          <w:sz w:val="18"/>
          <w:szCs w:val="18"/>
          <w:color w:val="auto"/>
        </w:rPr>
      </w:pPr>
    </w:p>
    <w:p>
      <w:pPr>
        <w:ind w:left="660" w:hanging="333"/>
        <w:spacing w:after="0" w:line="196" w:lineRule="exact"/>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conduct late</w:t>
      </w:r>
      <w:r>
        <w:rPr>
          <w:rFonts w:ascii="MS PGothic" w:cs="MS PGothic" w:eastAsia="MS PGothic" w:hAnsi="MS PGothic"/>
          <w:sz w:val="17"/>
          <w:szCs w:val="17"/>
          <w:color w:val="auto"/>
        </w:rPr>
        <w:t>‑</w:t>
      </w:r>
      <w:r>
        <w:rPr>
          <w:rFonts w:ascii="Arial" w:cs="Arial" w:eastAsia="Arial" w:hAnsi="Arial"/>
          <w:sz w:val="17"/>
          <w:szCs w:val="17"/>
          <w:color w:val="auto"/>
        </w:rPr>
        <w:t>stage clinical trials for any product candidates that successfully complete early</w:t>
      </w:r>
      <w:r>
        <w:rPr>
          <w:rFonts w:ascii="MS PGothic" w:cs="MS PGothic" w:eastAsia="MS PGothic" w:hAnsi="MS PGothic"/>
          <w:sz w:val="17"/>
          <w:szCs w:val="17"/>
          <w:color w:val="auto"/>
        </w:rPr>
        <w:t>‑</w:t>
      </w:r>
      <w:r>
        <w:rPr>
          <w:rFonts w:ascii="Arial" w:cs="Arial" w:eastAsia="Arial" w:hAnsi="Arial"/>
          <w:sz w:val="17"/>
          <w:szCs w:val="17"/>
          <w:color w:val="auto"/>
        </w:rPr>
        <w:t>stage clinical trials;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line="207" w:lineRule="exact"/>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seek regulatory approval for any product candidates that successfully complete late</w:t>
      </w:r>
      <w:r>
        <w:rPr>
          <w:rFonts w:ascii="MS PGothic" w:cs="MS PGothic" w:eastAsia="MS PGothic" w:hAnsi="MS PGothic"/>
          <w:sz w:val="18"/>
          <w:szCs w:val="18"/>
          <w:color w:val="auto"/>
        </w:rPr>
        <w:t>‑</w:t>
      </w:r>
      <w:r>
        <w:rPr>
          <w:rFonts w:ascii="Arial" w:cs="Arial" w:eastAsia="Arial" w:hAnsi="Arial"/>
          <w:sz w:val="18"/>
          <w:szCs w:val="18"/>
          <w:color w:val="auto"/>
        </w:rPr>
        <w:t>stage clinical trials;</w:t>
      </w:r>
    </w:p>
    <w:p>
      <w:pPr>
        <w:spacing w:after="0" w:line="184" w:lineRule="exact"/>
        <w:rPr>
          <w:rFonts w:ascii="Arial" w:cs="Arial" w:eastAsia="Arial" w:hAnsi="Arial"/>
          <w:sz w:val="18"/>
          <w:szCs w:val="18"/>
          <w:color w:val="auto"/>
        </w:rPr>
      </w:pPr>
    </w:p>
    <w:p>
      <w:pPr>
        <w:ind w:left="660" w:hanging="333"/>
        <w:spacing w:after="0" w:line="207" w:lineRule="exact"/>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conduct additional non</w:t>
      </w:r>
      <w:r>
        <w:rPr>
          <w:rFonts w:ascii="MS PGothic" w:cs="MS PGothic" w:eastAsia="MS PGothic" w:hAnsi="MS PGothic"/>
          <w:sz w:val="18"/>
          <w:szCs w:val="18"/>
          <w:color w:val="auto"/>
        </w:rPr>
        <w:t>‑</w:t>
      </w:r>
      <w:r>
        <w:rPr>
          <w:rFonts w:ascii="Arial" w:cs="Arial" w:eastAsia="Arial" w:hAnsi="Arial"/>
          <w:sz w:val="18"/>
          <w:szCs w:val="18"/>
          <w:color w:val="auto"/>
        </w:rPr>
        <w:t>clinical studies with any product candidates;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conduct clinical studies with any additional product candidates;</w:t>
      </w:r>
    </w:p>
    <w:p>
      <w:pPr>
        <w:spacing w:after="0" w:line="184" w:lineRule="exact"/>
        <w:rPr>
          <w:rFonts w:ascii="Arial" w:cs="Arial" w:eastAsia="Arial" w:hAnsi="Arial"/>
          <w:sz w:val="18"/>
          <w:szCs w:val="18"/>
          <w:color w:val="auto"/>
        </w:rPr>
      </w:pPr>
    </w:p>
    <w:p>
      <w:pPr>
        <w:ind w:left="660" w:right="759" w:hanging="333"/>
        <w:spacing w:after="0" w:line="23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 manufacturing batch sizes of our product candidates to satisfy FDA requirements for a marketing application submission;</w:t>
      </w:r>
    </w:p>
    <w:p>
      <w:pPr>
        <w:spacing w:after="0" w:line="161" w:lineRule="exact"/>
        <w:rPr>
          <w:rFonts w:ascii="Arial" w:cs="Arial" w:eastAsia="Arial" w:hAnsi="Arial"/>
          <w:sz w:val="18"/>
          <w:szCs w:val="18"/>
          <w:color w:val="auto"/>
        </w:rPr>
      </w:pPr>
    </w:p>
    <w:p>
      <w:pPr>
        <w:ind w:left="660" w:right="319" w:hanging="333"/>
        <w:spacing w:after="0" w:line="22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and scale up external manufacturing capabilities to commercialize any products for which we may obtain regulatory approval and that we choose not to license to a third party;</w:t>
      </w:r>
    </w:p>
    <w:p>
      <w:pPr>
        <w:spacing w:after="0" w:line="163" w:lineRule="exact"/>
        <w:rPr>
          <w:rFonts w:ascii="Arial" w:cs="Arial" w:eastAsia="Arial" w:hAnsi="Arial"/>
          <w:sz w:val="18"/>
          <w:szCs w:val="18"/>
          <w:color w:val="auto"/>
        </w:rPr>
      </w:pPr>
    </w:p>
    <w:p>
      <w:pPr>
        <w:ind w:left="660" w:hanging="333"/>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require larger quantities of product;</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 and</w:t>
      </w:r>
    </w:p>
    <w:p>
      <w:pPr>
        <w:spacing w:after="0" w:line="184" w:lineRule="exact"/>
        <w:rPr>
          <w:rFonts w:ascii="Arial" w:cs="Arial" w:eastAsia="Arial" w:hAnsi="Arial"/>
          <w:sz w:val="18"/>
          <w:szCs w:val="18"/>
          <w:color w:val="auto"/>
        </w:rPr>
      </w:pPr>
    </w:p>
    <w:p>
      <w:pPr>
        <w:ind w:left="660" w:right="119" w:hanging="333"/>
        <w:spacing w:after="0" w:line="23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candidate development and planned future commercialization efforts.</w:t>
      </w:r>
    </w:p>
    <w:p>
      <w:pPr>
        <w:spacing w:after="0" w:line="162" w:lineRule="exact"/>
        <w:rPr>
          <w:sz w:val="20"/>
          <w:szCs w:val="20"/>
          <w:color w:val="auto"/>
        </w:rPr>
      </w:pPr>
    </w:p>
    <w:p>
      <w:pPr>
        <w:ind w:right="119" w:firstLine="648"/>
        <w:spacing w:after="0" w:line="181" w:lineRule="exact"/>
        <w:rPr>
          <w:sz w:val="20"/>
          <w:szCs w:val="20"/>
          <w:color w:val="auto"/>
        </w:rPr>
      </w:pPr>
      <w:r>
        <w:rPr>
          <w:rFonts w:ascii="Arial" w:cs="Arial" w:eastAsia="Arial" w:hAnsi="Arial"/>
          <w:sz w:val="17"/>
          <w:szCs w:val="17"/>
          <w:color w:val="auto"/>
        </w:rPr>
        <w:t>To become and remain profitable, we must succeed in developing and eventually commercializing products that generate significant revenue. We do not expect to generate significant revenue unless and until we are able to obtain marketing approval for and successfully commercialize one or more of our product candidates. This will require us to be successful in a range of challenging activities, including completing preclinical testing and clinical trials of our product candidates, discovering additional product candidates, potentially entering into collaboration and license agreements, obtaining regulatory approval for product candidates and manufacturing, marketing, and selling any products for which we may obtain regulatory approval, achieving market acceptance of our products, satisfying any post</w:t>
      </w:r>
      <w:r>
        <w:rPr>
          <w:rFonts w:ascii="MS PGothic" w:cs="MS PGothic" w:eastAsia="MS PGothic" w:hAnsi="MS PGothic"/>
          <w:sz w:val="17"/>
          <w:szCs w:val="17"/>
          <w:color w:val="auto"/>
        </w:rPr>
        <w:t>‑</w:t>
      </w:r>
      <w:r>
        <w:rPr>
          <w:rFonts w:ascii="Arial" w:cs="Arial" w:eastAsia="Arial" w:hAnsi="Arial"/>
          <w:sz w:val="17"/>
          <w:szCs w:val="17"/>
          <w:color w:val="auto"/>
        </w:rPr>
        <w:t>marketing requirements, maintaining appropriate distribution, setting prices, and obtaining reimbursement for our products from private insurance or government payors. We are only in the preliminary stages of some of these activities. We may never succeed in these activities and, even if we do, may never achieve profitability.</w:t>
      </w:r>
    </w:p>
    <w:p>
      <w:pPr>
        <w:spacing w:after="0" w:line="164" w:lineRule="exact"/>
        <w:rPr>
          <w:sz w:val="20"/>
          <w:szCs w:val="20"/>
          <w:color w:val="auto"/>
        </w:rPr>
      </w:pPr>
    </w:p>
    <w:p>
      <w:pPr>
        <w:ind w:right="159" w:firstLine="648"/>
        <w:spacing w:after="0" w:line="216"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accurately predict the timing or amount of increased expenses we may incur or when, or if, we will be able to achieve profitability. If we are required by the FDA or comparable foreign regulatory authorities to perform studies in addition to those currently expected, or if there are any delays in completing our clinical trials or the development of any of our product candidates, our expenses could increase.</w:t>
      </w:r>
    </w:p>
    <w:p>
      <w:pPr>
        <w:spacing w:after="0" w:line="162" w:lineRule="exact"/>
        <w:rPr>
          <w:sz w:val="20"/>
          <w:szCs w:val="20"/>
          <w:color w:val="auto"/>
        </w:rPr>
      </w:pPr>
    </w:p>
    <w:p>
      <w:pPr>
        <w:jc w:val="both"/>
        <w:ind w:right="179" w:firstLine="648"/>
        <w:spacing w:after="0" w:line="249" w:lineRule="auto"/>
        <w:rPr>
          <w:sz w:val="20"/>
          <w:szCs w:val="20"/>
          <w:color w:val="auto"/>
        </w:rPr>
      </w:pPr>
      <w:r>
        <w:rPr>
          <w:rFonts w:ascii="Arial" w:cs="Arial" w:eastAsia="Arial" w:hAnsi="Arial"/>
          <w:sz w:val="16"/>
          <w:szCs w:val="16"/>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24" w:lineRule="auto"/>
        <w:rPr>
          <w:sz w:val="20"/>
          <w:szCs w:val="20"/>
          <w:color w:val="auto"/>
        </w:rPr>
      </w:pPr>
      <w:r>
        <w:rPr>
          <w:rFonts w:ascii="Arial" w:cs="Arial" w:eastAsia="Arial" w:hAnsi="Arial"/>
          <w:sz w:val="18"/>
          <w:szCs w:val="18"/>
          <w:b w:val="1"/>
          <w:bCs w:val="1"/>
          <w:i w:val="1"/>
          <w:iCs w:val="1"/>
          <w:color w:val="auto"/>
        </w:rPr>
        <w:t>We will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63" w:lineRule="exact"/>
        <w:rPr>
          <w:sz w:val="20"/>
          <w:szCs w:val="20"/>
          <w:color w:val="auto"/>
        </w:rPr>
      </w:pPr>
    </w:p>
    <w:p>
      <w:pPr>
        <w:jc w:val="both"/>
        <w:ind w:right="140" w:firstLine="648"/>
        <w:spacing w:after="0" w:line="194" w:lineRule="exact"/>
        <w:rPr>
          <w:sz w:val="20"/>
          <w:szCs w:val="20"/>
          <w:color w:val="auto"/>
        </w:rPr>
      </w:pPr>
      <w:r>
        <w:rPr>
          <w:rFonts w:ascii="Arial" w:cs="Arial" w:eastAsia="Arial" w:hAnsi="Arial"/>
          <w:sz w:val="17"/>
          <w:szCs w:val="17"/>
          <w:color w:val="auto"/>
        </w:rPr>
        <w:t>Conducting clinical trials, pursuing regulatory approvals, establishing outsourced manufacturing relationships, and successfully manufacturing and commercializing our product candidates is, and will be, a very time</w:t>
      </w:r>
      <w:r>
        <w:rPr>
          <w:rFonts w:ascii="MS PGothic" w:cs="MS PGothic" w:eastAsia="MS PGothic" w:hAnsi="MS PGothic"/>
          <w:sz w:val="17"/>
          <w:szCs w:val="17"/>
          <w:color w:val="auto"/>
        </w:rPr>
        <w:t>‑</w:t>
      </w:r>
      <w:r>
        <w:rPr>
          <w:rFonts w:ascii="Arial" w:cs="Arial" w:eastAsia="Arial" w:hAnsi="Arial"/>
          <w:sz w:val="17"/>
          <w:szCs w:val="17"/>
          <w:color w:val="auto"/>
        </w:rPr>
        <w:t>consuming, expensive, and uncertain process that takes years to complete. We will need to raise additional capital to:</w:t>
      </w:r>
    </w:p>
    <w:p>
      <w:pPr>
        <w:spacing w:after="0" w:line="161" w:lineRule="exact"/>
        <w:rPr>
          <w:sz w:val="20"/>
          <w:szCs w:val="20"/>
          <w:color w:val="auto"/>
        </w:rPr>
      </w:pPr>
    </w:p>
    <w:p>
      <w:pPr>
        <w:ind w:left="660" w:right="40" w:hanging="333"/>
        <w:spacing w:after="0" w:line="23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fund our future clinical trials for our current product candidates, especially if we encounter any unforeseen delays or difficulties in our planned development activities;</w:t>
      </w:r>
    </w:p>
    <w:p>
      <w:pPr>
        <w:spacing w:after="0" w:line="161" w:lineRule="exact"/>
        <w:rPr>
          <w:rFonts w:ascii="Arial" w:cs="Arial" w:eastAsia="Arial" w:hAnsi="Arial"/>
          <w:sz w:val="18"/>
          <w:szCs w:val="18"/>
          <w:color w:val="auto"/>
        </w:rPr>
      </w:pPr>
    </w:p>
    <w:p>
      <w:pPr>
        <w:jc w:val="both"/>
        <w:ind w:left="660" w:right="280" w:hanging="333"/>
        <w:spacing w:after="0" w:line="22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fund our operations and continue our efforts to hire additional personnel and build a commercial infrastructure to prepare for the commercialization of our current and future product candidates, if approved by the FDA or other comparable foreign regulatory authorities;</w:t>
      </w:r>
    </w:p>
    <w:p>
      <w:pPr>
        <w:spacing w:after="0" w:line="163" w:lineRule="exact"/>
        <w:rPr>
          <w:rFonts w:ascii="Arial" w:cs="Arial" w:eastAsia="Arial" w:hAnsi="Arial"/>
          <w:sz w:val="18"/>
          <w:szCs w:val="18"/>
          <w:color w:val="auto"/>
        </w:rPr>
      </w:pPr>
    </w:p>
    <w:p>
      <w:pPr>
        <w:ind w:left="660" w:right="520" w:hanging="333"/>
        <w:spacing w:after="0" w:line="203" w:lineRule="exact"/>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qualify and outsource the commercial</w:t>
      </w:r>
      <w:r>
        <w:rPr>
          <w:rFonts w:ascii="MS PGothic" w:cs="MS PGothic" w:eastAsia="MS PGothic" w:hAnsi="MS PGothic"/>
          <w:sz w:val="18"/>
          <w:szCs w:val="18"/>
          <w:color w:val="auto"/>
        </w:rPr>
        <w:t>‑</w:t>
      </w:r>
      <w:r>
        <w:rPr>
          <w:rFonts w:ascii="Arial" w:cs="Arial" w:eastAsia="Arial" w:hAnsi="Arial"/>
          <w:sz w:val="18"/>
          <w:szCs w:val="18"/>
          <w:color w:val="auto"/>
        </w:rPr>
        <w:t>scale manufacturing of our products under current good manufacturing practices, or cGMP;</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 additional product candidates; and</w:t>
      </w:r>
    </w:p>
    <w:p>
      <w:pPr>
        <w:spacing w:after="0" w:line="184" w:lineRule="exact"/>
        <w:rPr>
          <w:rFonts w:ascii="Arial" w:cs="Arial" w:eastAsia="Arial" w:hAnsi="Arial"/>
          <w:sz w:val="18"/>
          <w:szCs w:val="18"/>
          <w:color w:val="auto"/>
        </w:rPr>
      </w:pPr>
    </w:p>
    <w:p>
      <w:pPr>
        <w:ind w:left="660" w:hanging="333"/>
        <w:spacing w:after="0" w:line="207" w:lineRule="exact"/>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license other product candidates.</w:t>
      </w:r>
    </w:p>
    <w:p>
      <w:pPr>
        <w:spacing w:after="0" w:line="185" w:lineRule="exact"/>
        <w:rPr>
          <w:sz w:val="20"/>
          <w:szCs w:val="20"/>
          <w:color w:val="auto"/>
        </w:rPr>
      </w:pPr>
    </w:p>
    <w:p>
      <w:pPr>
        <w:ind w:right="100" w:firstLine="648"/>
        <w:spacing w:after="0" w:line="241" w:lineRule="auto"/>
        <w:rPr>
          <w:sz w:val="20"/>
          <w:szCs w:val="20"/>
          <w:color w:val="auto"/>
        </w:rPr>
      </w:pPr>
      <w:r>
        <w:rPr>
          <w:rFonts w:ascii="Arial" w:cs="Arial" w:eastAsia="Arial" w:hAnsi="Arial"/>
          <w:sz w:val="16"/>
          <w:szCs w:val="16"/>
          <w:color w:val="auto"/>
        </w:rPr>
        <w:t>We believe that with our available cash as of June 30, 2018, we will have sufficient funds to meet our anticipated operating cash requirements into the third quarter of 2019. We have based this estimate on assumptions that may prove to be wrong and we could spend our available financial resources faster than we currently expect. Further, we may not have sufficient financial resources to meet all of our objectives if any product candidate is approved, which could require us to postpone, scale back, or eliminate some, or all, of these objectives, including our potential launch activities relating to our product candidates. Our future funding requirements will depend on many factors, including, but not limited to:</w:t>
      </w:r>
    </w:p>
    <w:p>
      <w:pPr>
        <w:spacing w:after="0" w:line="161" w:lineRule="exact"/>
        <w:rPr>
          <w:sz w:val="20"/>
          <w:szCs w:val="20"/>
          <w:color w:val="auto"/>
        </w:rPr>
      </w:pPr>
    </w:p>
    <w:p>
      <w:pPr>
        <w:ind w:left="660" w:hanging="333"/>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rate of progress and costs related to the development of our product candidates;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associated with conducting additional non-clinical studies with any of our product candidates;</w:t>
      </w:r>
    </w:p>
    <w:p>
      <w:pPr>
        <w:spacing w:after="0" w:line="184" w:lineRule="exact"/>
        <w:rPr>
          <w:rFonts w:ascii="Arial" w:cs="Arial" w:eastAsia="Arial" w:hAnsi="Arial"/>
          <w:sz w:val="18"/>
          <w:szCs w:val="18"/>
          <w:color w:val="auto"/>
        </w:rPr>
      </w:pPr>
    </w:p>
    <w:p>
      <w:pPr>
        <w:ind w:left="660" w:right="760" w:hanging="333"/>
        <w:spacing w:after="0" w:line="23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for delays in our efforts to seek regulatory approval for our product candidates, and any costs associated with such delays;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establishing a commercial organization to sell, market, and distribute our product candidates;</w:t>
      </w:r>
    </w:p>
    <w:p>
      <w:pPr>
        <w:spacing w:after="0" w:line="184" w:lineRule="exact"/>
        <w:rPr>
          <w:rFonts w:ascii="Arial" w:cs="Arial" w:eastAsia="Arial" w:hAnsi="Arial"/>
          <w:sz w:val="18"/>
          <w:szCs w:val="18"/>
          <w:color w:val="auto"/>
        </w:rPr>
      </w:pPr>
    </w:p>
    <w:p>
      <w:pPr>
        <w:ind w:left="660" w:right="20" w:hanging="333"/>
        <w:spacing w:after="0" w:line="194" w:lineRule="exact"/>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rate of progress and costs of our efforts to prepare for the submission of a new drug application, or NDA, for any product candidates that we may in</w:t>
      </w:r>
      <w:r>
        <w:rPr>
          <w:rFonts w:ascii="MS PGothic" w:cs="MS PGothic" w:eastAsia="MS PGothic" w:hAnsi="MS PGothic"/>
          <w:sz w:val="18"/>
          <w:szCs w:val="18"/>
          <w:color w:val="auto"/>
        </w:rPr>
        <w:t>‑</w:t>
      </w:r>
      <w:r>
        <w:rPr>
          <w:rFonts w:ascii="Arial" w:cs="Arial" w:eastAsia="Arial" w:hAnsi="Arial"/>
          <w:sz w:val="18"/>
          <w:szCs w:val="18"/>
          <w:color w:val="auto"/>
        </w:rPr>
        <w:t>license or acquire in the future, and the potential that we may need to conduct additional clinical or preclinical trials to support applications for regulatory approval;</w:t>
      </w:r>
    </w:p>
    <w:p>
      <w:pPr>
        <w:spacing w:after="0" w:line="163" w:lineRule="exact"/>
        <w:rPr>
          <w:rFonts w:ascii="Arial" w:cs="Arial" w:eastAsia="Arial" w:hAnsi="Arial"/>
          <w:sz w:val="18"/>
          <w:szCs w:val="18"/>
          <w:color w:val="auto"/>
        </w:rPr>
      </w:pPr>
    </w:p>
    <w:p>
      <w:pPr>
        <w:ind w:left="660" w:right="360" w:hanging="333"/>
        <w:spacing w:after="0" w:line="23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 associated with our product candidates;</w:t>
      </w:r>
    </w:p>
    <w:p>
      <w:pPr>
        <w:spacing w:after="0" w:line="161" w:lineRule="exact"/>
        <w:rPr>
          <w:rFonts w:ascii="Arial" w:cs="Arial" w:eastAsia="Arial" w:hAnsi="Arial"/>
          <w:sz w:val="18"/>
          <w:szCs w:val="18"/>
          <w:color w:val="auto"/>
        </w:rPr>
      </w:pPr>
    </w:p>
    <w:p>
      <w:pPr>
        <w:ind w:left="660" w:right="1200" w:hanging="333"/>
        <w:spacing w:after="0" w:line="23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and timing of manufacturing sufficient supplies of our product candidates in preparation for commercialization;</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84" w:lineRule="exact"/>
        <w:rPr>
          <w:rFonts w:ascii="Arial" w:cs="Arial" w:eastAsia="Arial" w:hAnsi="Arial"/>
          <w:sz w:val="18"/>
          <w:szCs w:val="18"/>
          <w:color w:val="auto"/>
        </w:rPr>
      </w:pPr>
    </w:p>
    <w:p>
      <w:pPr>
        <w:ind w:left="660" w:right="520" w:hanging="333"/>
        <w:spacing w:after="0" w:line="23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if any, received from commercial sales of our product candidates, subject to the receipt of regulatory approval;</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line="184" w:lineRule="exact"/>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terms and timing of any collaborative, licensing, co</w:t>
      </w:r>
      <w:r>
        <w:rPr>
          <w:rFonts w:ascii="MS PGothic" w:cs="MS PGothic" w:eastAsia="MS PGothic" w:hAnsi="MS PGothic"/>
          <w:sz w:val="16"/>
          <w:szCs w:val="16"/>
          <w:color w:val="auto"/>
        </w:rPr>
        <w:t>‑</w:t>
      </w:r>
      <w:r>
        <w:rPr>
          <w:rFonts w:ascii="Arial" w:cs="Arial" w:eastAsia="Arial" w:hAnsi="Arial"/>
          <w:sz w:val="16"/>
          <w:szCs w:val="16"/>
          <w:color w:val="auto"/>
        </w:rPr>
        <w:t>promotion, or other arrangements that we may establish; and</w:t>
      </w:r>
    </w:p>
    <w:p>
      <w:pPr>
        <w:spacing w:after="0" w:line="207" w:lineRule="exact"/>
        <w:rPr>
          <w:rFonts w:ascii="Arial" w:cs="Arial" w:eastAsia="Arial" w:hAnsi="Arial"/>
          <w:sz w:val="16"/>
          <w:szCs w:val="16"/>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success of the commercialization of any of our current or future product candidates.</w:t>
      </w:r>
    </w:p>
    <w:p>
      <w:pPr>
        <w:spacing w:after="0" w:line="185" w:lineRule="exact"/>
        <w:rPr>
          <w:sz w:val="20"/>
          <w:szCs w:val="20"/>
          <w:color w:val="auto"/>
        </w:rPr>
      </w:pPr>
    </w:p>
    <w:p>
      <w:pPr>
        <w:ind w:right="40" w:firstLine="648"/>
        <w:spacing w:after="0" w:line="241" w:lineRule="auto"/>
        <w:rPr>
          <w:sz w:val="20"/>
          <w:szCs w:val="20"/>
          <w:color w:val="auto"/>
        </w:rPr>
      </w:pPr>
      <w:r>
        <w:rPr>
          <w:rFonts w:ascii="Arial" w:cs="Arial" w:eastAsia="Arial" w:hAnsi="Arial"/>
          <w:sz w:val="16"/>
          <w:szCs w:val="16"/>
          <w:color w:val="auto"/>
        </w:rPr>
        <w:t>Future capital requirements will also depend on the extent to which we acquire or invest in additional businesses, products, and technologies. Until we can generate a sufficient amount of product revenue, if ever, we expect to finance future cash needs through public or private equity offerings, debt financings, royalties, and corporate collaboration and licensing arrangements, as well as through interest income earned on cash and investment balances. We cannot be certain that additional funding will be available on acceptable terms, or at all. If adequate funds are not available, we may be required to delay, reduce the scope of, or eliminate one or more of our development programs or our commercialization efforts.</w:t>
      </w:r>
    </w:p>
    <w:p>
      <w:pPr>
        <w:spacing w:after="0" w:line="161"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b w:val="1"/>
          <w:bCs w:val="1"/>
          <w:i w:val="1"/>
          <w:iCs w:val="1"/>
          <w:color w:val="auto"/>
        </w:rPr>
        <w:t>Our operating activities may be restricted as a result of covenants related to the outstanding indebtedness under our loan agreement and we may be required to repay the outstanding indebtedness in an event of default, which could have a materially adverse effect on our business.</w:t>
      </w:r>
    </w:p>
    <w:p>
      <w:pPr>
        <w:spacing w:after="0" w:line="163"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In November 2016, we entered into a loan and security agreement, referred to herein as the SVB Loan, with Silicon Valley Bank, or SVB, for a term loan facility in the aggregate principal amount of up to $20.0 million, of which $10.0 million was funded shortly after closing. Availability of $5.0 million under the second term advance was conditioned upon the achievement of both a clinical and financial milestone on or prior to November 9, 2017. The clinical milestone required our receipt of positive interim results of our then-ongoing CREATE-1 study of AXS-02 in CRPS, while the financial milestone required that we receive unrestricted and unencumbered net cash proceeds of at least $30.0 million from the issuance and sale of our equity securities to investors. Availability of $5.0 million under the third term advance was tied to achievement of the clinical and financial milestones described above, as well as our receipt of positive data with respect to our then-ongoing CREATE-1 study by December 31, 2017 sufficient to file a new drug application with the FDA. Because we did not achieve the conditional criteria to access the second and third term advances before the specified dates, the $10.0 million in additional term loan advances expired.</w:t>
      </w:r>
    </w:p>
    <w:p>
      <w:pPr>
        <w:spacing w:after="0" w:line="167" w:lineRule="exact"/>
        <w:rPr>
          <w:sz w:val="20"/>
          <w:szCs w:val="20"/>
          <w:color w:val="auto"/>
        </w:rPr>
      </w:pPr>
    </w:p>
    <w:p>
      <w:pPr>
        <w:ind w:firstLine="648"/>
        <w:spacing w:after="0" w:line="189" w:lineRule="exact"/>
        <w:rPr>
          <w:sz w:val="20"/>
          <w:szCs w:val="20"/>
          <w:color w:val="auto"/>
        </w:rPr>
      </w:pPr>
      <w:r>
        <w:rPr>
          <w:rFonts w:ascii="Arial" w:cs="Arial" w:eastAsia="Arial" w:hAnsi="Arial"/>
          <w:sz w:val="18"/>
          <w:szCs w:val="18"/>
          <w:color w:val="auto"/>
        </w:rPr>
        <w:t>The loan advances mature on November 1, 2020 and had an interest</w:t>
      </w:r>
      <w:r>
        <w:rPr>
          <w:rFonts w:ascii="MS PGothic" w:cs="MS PGothic" w:eastAsia="MS PGothic" w:hAnsi="MS PGothic"/>
          <w:sz w:val="18"/>
          <w:szCs w:val="18"/>
          <w:color w:val="auto"/>
        </w:rPr>
        <w:t>‑</w:t>
      </w:r>
      <w:r>
        <w:rPr>
          <w:rFonts w:ascii="Arial" w:cs="Arial" w:eastAsia="Arial" w:hAnsi="Arial"/>
          <w:sz w:val="18"/>
          <w:szCs w:val="18"/>
          <w:color w:val="auto"/>
        </w:rPr>
        <w:t>only monthly payment period until December 1, 2017. Following the interest-only payment period, we began making monthly payments of principal and interest and will continue to do so until the maturity date. Interest will accrue on the unpaid principal balance of the outstanding loan advances at a floating per annum rate of 4.50% above the prime rate.</w:t>
      </w:r>
    </w:p>
    <w:p>
      <w:pPr>
        <w:spacing w:after="0" w:line="163" w:lineRule="exact"/>
        <w:rPr>
          <w:sz w:val="20"/>
          <w:szCs w:val="20"/>
          <w:color w:val="auto"/>
        </w:rPr>
      </w:pPr>
    </w:p>
    <w:p>
      <w:pPr>
        <w:ind w:right="220" w:firstLine="648"/>
        <w:spacing w:after="0" w:line="225" w:lineRule="auto"/>
        <w:rPr>
          <w:sz w:val="20"/>
          <w:szCs w:val="20"/>
          <w:color w:val="auto"/>
        </w:rPr>
      </w:pPr>
      <w:r>
        <w:rPr>
          <w:rFonts w:ascii="Arial" w:cs="Arial" w:eastAsia="Arial" w:hAnsi="Arial"/>
          <w:sz w:val="17"/>
          <w:szCs w:val="17"/>
          <w:color w:val="auto"/>
        </w:rPr>
        <w:t>The SVB Loan subjects us to various customary covenants, including requirements as to financial reporting and insurance, and restrictions on our ability to dispose of our business or property, change our line of business, liquidate or dissolve, enter into any change in control transaction, merge or consolidate with any other entity or acquire all or substantially all the capital stock or property of another entity, incur additional indebtedness, incur certain types of liens on our property, including our intellectual property, pay any dividends or other distributions on our capital stock other than dividends payable solely in capital stock or redeem our capital stock. Our business may be adversely affected by these restrictions on our ability to operate our business.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Additionally, we may be required to repay the outstanding indebtedness under the SVB Loan if an event of default occurs under the SVB Loan. Under the SVB Loan, an event of default will occur if, among other things, we fail to make payments under the SVB Loan; we breach any of our covenants under the SVB Loan, subject to specified cure periods with respect to certain breaches; we or our assets become subject to certain legal proceedings, such as bankruptcy proceedings; we are unable to pay our debts as they become due; or we default on contracts with third parties which would permit SVB to accelerate the maturity of such indebtedness or that could have a material adverse effect on us. We may not have enough available cash or be able to raise additional funds through equity or debt financings to repay such indebtedness at the time any such event of default occurs. In that case, we may be required to delay, limit, reduce or terminate our product candidate development or commercialization efforts or grant to others rights to develop and market product candidates that we would otherwise prefer to develop and market ourselves. SVB could also exercise its rights as collateral agent to take possession and dispose of the collateral securing the loan for its benefit, which collateral includes all of our property other than our intellectual property. Our business, financial condition and results of operations could be materially adversely affected as a result of any of these events. Our management has broad discretion in the application of the proceeds from the SVB Loan, subject to the covenants and limitations described in the SVB Loan.</w:t>
      </w:r>
    </w:p>
    <w:p>
      <w:pPr>
        <w:spacing w:after="0" w:line="163"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b w:val="1"/>
          <w:bCs w:val="1"/>
          <w:i w:val="1"/>
          <w:iCs w:val="1"/>
          <w:color w:val="auto"/>
        </w:rPr>
        <w:t>We have a limited operating history and no history of commercializing products, which may make it difficult to evaluate our business and prospects.</w:t>
      </w:r>
    </w:p>
    <w:p>
      <w:pPr>
        <w:spacing w:after="0" w:line="162"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We commenced operations in 2012, and our operations to date have been limited to organizing and staffing our company, business planning, raising capital, and developing our product candidates, including undertaking preclinical studies and conducting clinical trials of our product candidates. We have not yet demonstrated an ability to obtain regulatory approval for, or successfully commercialize, a product candidate. In addition, as a relatively nascent business, we may encounter unforeseen expenses, difficulties, complications, delays, and other known and unknown difficulties. If our product candidates are approved by the FDA, we will need to expand our capabilities to support commercial activities. We may not be successful in adding such capabilities. Consequently, any predictions about our future performance may not be as accurate as they could be if we had a history of successfully developing and commercializing pharmaceutical products.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THE DEVELOPMENT OF OUR PRODUCT CANDIDATES</w:t>
      </w:r>
    </w:p>
    <w:p>
      <w:pPr>
        <w:spacing w:after="0" w:line="189" w:lineRule="exact"/>
        <w:rPr>
          <w:sz w:val="20"/>
          <w:szCs w:val="20"/>
          <w:color w:val="auto"/>
        </w:rPr>
      </w:pPr>
    </w:p>
    <w:p>
      <w:pPr>
        <w:jc w:val="both"/>
        <w:ind w:right="240"/>
        <w:spacing w:after="0" w:line="224" w:lineRule="auto"/>
        <w:rPr>
          <w:sz w:val="20"/>
          <w:szCs w:val="20"/>
          <w:color w:val="auto"/>
        </w:rPr>
      </w:pPr>
      <w:r>
        <w:rPr>
          <w:rFonts w:ascii="Arial" w:cs="Arial" w:eastAsia="Arial" w:hAnsi="Arial"/>
          <w:sz w:val="18"/>
          <w:szCs w:val="18"/>
          <w:b w:val="1"/>
          <w:bCs w:val="1"/>
          <w:i w:val="1"/>
          <w:iCs w:val="1"/>
          <w:color w:val="auto"/>
        </w:rPr>
        <w:t>We are substantially dependent on the success of our product candidates and cannot guarantee that any of our product candidates will successfully complete any planned or ongoing Phase 3 clinical trials, receive regulatory approval, or be successfully commercialized.</w:t>
      </w:r>
    </w:p>
    <w:p>
      <w:pPr>
        <w:spacing w:after="0" w:line="163" w:lineRule="exact"/>
        <w:rPr>
          <w:sz w:val="20"/>
          <w:szCs w:val="20"/>
          <w:color w:val="auto"/>
        </w:rPr>
      </w:pPr>
    </w:p>
    <w:p>
      <w:pPr>
        <w:ind w:right="20" w:firstLine="648"/>
        <w:spacing w:after="0" w:line="221" w:lineRule="auto"/>
        <w:rPr>
          <w:sz w:val="20"/>
          <w:szCs w:val="20"/>
          <w:color w:val="auto"/>
        </w:rPr>
      </w:pPr>
      <w:r>
        <w:rPr>
          <w:rFonts w:ascii="Arial" w:cs="Arial" w:eastAsia="Arial" w:hAnsi="Arial"/>
          <w:sz w:val="17"/>
          <w:szCs w:val="17"/>
          <w:color w:val="auto"/>
        </w:rPr>
        <w:t>We currently have no products approved for commercial distribution. We have invested a significant portion of our efforts and financial resources in the development of our product candidates. Our business depends entirely on the successful development and commercialization of our product candidates, which may never occur. Our ability to generate revenues in the near term is substantially dependent on our ability to develop, obtain regulatory approval for, and then successfully commercialize our product candidates. We currently generate no revenues from sales of any products, and we may never be able to develop or commercialize a marketable product. Furthermore, given the nature of our business, the biopharmaceutical industry in general and the uncertainty and costs associated with developing our product candidates within a complicated and costly regulatory regime, our goals, plans and assumptions with respect to our product candidates may evolve or change. For example, we may not continue to emphasize, focus our research and development efforts on or direct resources to certain of our product candidates, and we may shift our focus and resources to our other current or future product candidates. Any such change in our business strategy could harm our business, cause uncertainty or confusion in the marketplace or harm the clinical prospects of our product candidates.</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Our product candidates will require additional clinical and non-clinical development, regulatory approval, commercial manufacturing arrangements, establishment of a commercial organization, significant marketing efforts, and further investment before we generate any revenues from product sales. We initiated our Phase 3 clinical trial with AXS-02 for the treatment of the pain of knee OA associated with BMLs in March 2016. Further, we initiated our Phase 3 clinical trial with AXS-05 for the treatment of TRD in March 2016, our Phase 2/3 trial with AXS-05 for the treatment of agitation associated with AD in July 2017, and our Phase 2 trial for the treatment of MDD in June 2018. As a result of one or more risks discussed in this section, we cannot assure you that we will meet projected timelines related to these trials.</w:t>
      </w:r>
    </w:p>
    <w:p>
      <w:pPr>
        <w:spacing w:after="0" w:line="16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are not permitted to market or promote any of our product candidates before we receive regulatory approval from the FDA or comparable foreign regulatory authorities, and we may never receive such regulatory approval for any of our product candidates. Even if our product candidates are approved, they may be subject to limitations on the indicated uses for which they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post-market testing and surveillance, or other requirements, including the submission of a risk evaluation and mitigation strategy, or REMS, to monitor the safety or efficacy of the products. If we do not receive regulatory approval for, and successfully commercialize, our product candidates, we will not be able to generate revenue from these product candidates in the foreseeable future, or at all. Any significant delays in obtaining approval for and commercializing our product candidates will have a material adverse impact on our business and financial condition.</w:t>
      </w:r>
    </w:p>
    <w:p>
      <w:pPr>
        <w:spacing w:after="0" w:line="183"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We have not previously submitted an NDA to the FDA, or similar drug approval filings to comparable foreign authorities, for any product candidate, and we cannot be certain that our current or future product candidates will be successful in clinical trials or receive regulatory approval. Moreover, we have only completed limited early stage studies with our product candidates to date. For AXS-05, we completed three Phase 1 pharmacokinetic studies, two of which were conducted with two tablets, one tablet consisting of dextromethorphan, or DM, and one tablet consisting of bupropion. Our third Phase 1 trial with AXS-05 was conducted with one tablet containing both DM and bupropion. We are also conducting our Phase 3 clinical trial with AXS-05 using one tablet containing both DM and bupropion. This change in formulation may result in a pharmacokinetic profile that is different from those observed in our completed Phase 1 trials. As a result, the FDA may request additional clinical trials, analyses, reports, data, or preclinical trials and attendant costs and delays. For AXS-02, we have only completed one Phase 1 clinical trial. Furthermore, we have only conducted one Phase 1 pharmacokinetic study for our product candidate AXS-06 and additional manufacturing work is required before we may submit an investigational new drug application, or IND, and begin late-stage clinical trials. For AXS-07, we have not conducted a Phase 1 pharmacokinetic study of one tablet consisting of MoSEIC meloxicam and rizatriptan and additional manufacturing work is required before we may submit an IND and begin late-stage clinical trials. Finally, for AXS-09, we have only completed one Phase 1 clinical trial.</w:t>
      </w:r>
    </w:p>
    <w:p>
      <w:pPr>
        <w:spacing w:after="0" w:line="183"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product candidates are susceptible to the risks of failure inherent at any stage of product development, including the appearance of unexpected adverse events or failure to achieve its primary endpoints in subsequent clinical trials, including our initiated and planned Phase 3 clinical trials. For example, in January 2018, we conducted an interim analysis for our then-ongoing Phase 3 trial of AXS-02 for the treatment of CRPS, which we referred to as the CREATE-1 trial, and for our currently ongoing Phase 3 trial of AXS-02 for the treatment of the pain of knee OA associated with BMLs, which we refer to as the COAST-1 trial. Based on the recommendation we received from the independent data monitoring committee, we will continue our COAST-1 trial and have discontinued our CREATE-1 trial for futility. We paused screening in the COAST-1 trial prior to the conduct of the interim analysis for that trial and do not plan to resume screening and enrollment in the COAST-1 trial until after the final data readout from our STRIDE-1 trial. We plan to conduct two interim analyses for both the ongoing Phase 3 trial of AXS-05 in TRD and the ongoing Phase 2/3 trial of AXS-05 for the treatment of AD agitation, and may elect to conduct interim analyses for our other clinical trials. Interim results of a clinical trial do not necessarily predict final results, and interim results may result in early stoppage of our clinical trials for futility or modifications to our clinical trials, including the addition of additional subjects. Further, our product candidates may not receive regulatory approval even if they are successful in clinical trials.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99" w:firstLine="648"/>
        <w:spacing w:after="0" w:line="235" w:lineRule="auto"/>
        <w:rPr>
          <w:sz w:val="20"/>
          <w:szCs w:val="20"/>
          <w:color w:val="auto"/>
        </w:rPr>
      </w:pPr>
      <w:r>
        <w:rPr>
          <w:rFonts w:ascii="Arial" w:cs="Arial" w:eastAsia="Arial" w:hAnsi="Arial"/>
          <w:sz w:val="18"/>
          <w:szCs w:val="18"/>
          <w:color w:val="auto"/>
        </w:rPr>
        <w:t>If approved for marketing by applicable regulatory authorities, our ability to generate revenues from our product candidates depend on our ability to:</w:t>
      </w:r>
    </w:p>
    <w:p>
      <w:pPr>
        <w:spacing w:after="0" w:line="162" w:lineRule="exact"/>
        <w:rPr>
          <w:sz w:val="20"/>
          <w:szCs w:val="20"/>
          <w:color w:val="auto"/>
        </w:rPr>
      </w:pPr>
    </w:p>
    <w:p>
      <w:pPr>
        <w:ind w:left="660" w:right="379" w:hanging="333"/>
        <w:spacing w:after="0" w:line="23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create market demand for our product candidates through our own marketing and sales activities, and any other arrangements to promote these product candidates that we may otherwise establish;</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receive regulatory approval for claims that are necessary or desirable for successful marketing;</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hire, train, and deploy a sales force to commercialize our product candidates in the United States;</w:t>
      </w:r>
    </w:p>
    <w:p>
      <w:pPr>
        <w:spacing w:after="0" w:line="184" w:lineRule="exact"/>
        <w:rPr>
          <w:rFonts w:ascii="Arial" w:cs="Arial" w:eastAsia="Arial" w:hAnsi="Arial"/>
          <w:sz w:val="18"/>
          <w:szCs w:val="18"/>
          <w:color w:val="auto"/>
        </w:rPr>
      </w:pPr>
    </w:p>
    <w:p>
      <w:pPr>
        <w:ind w:left="660" w:right="19" w:hanging="333"/>
        <w:spacing w:after="0" w:line="23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manufacture our product candidates in sufficient quantities and at acceptable quality and manufacturing cost to meet commercial demand at launch and thereafter;</w:t>
      </w:r>
    </w:p>
    <w:p>
      <w:pPr>
        <w:spacing w:after="0" w:line="161" w:lineRule="exact"/>
        <w:rPr>
          <w:rFonts w:ascii="Arial" w:cs="Arial" w:eastAsia="Arial" w:hAnsi="Arial"/>
          <w:sz w:val="18"/>
          <w:szCs w:val="18"/>
          <w:color w:val="auto"/>
        </w:rPr>
      </w:pPr>
    </w:p>
    <w:p>
      <w:pPr>
        <w:ind w:left="660" w:right="859" w:hanging="333"/>
        <w:spacing w:after="0" w:line="23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 and maintain agreements with wholesalers, distributors, and group purchasing organizations on commercially reasonable terms;</w:t>
      </w:r>
    </w:p>
    <w:p>
      <w:pPr>
        <w:spacing w:after="0" w:line="161" w:lineRule="exact"/>
        <w:rPr>
          <w:rFonts w:ascii="Arial" w:cs="Arial" w:eastAsia="Arial" w:hAnsi="Arial"/>
          <w:sz w:val="18"/>
          <w:szCs w:val="18"/>
          <w:color w:val="auto"/>
        </w:rPr>
      </w:pPr>
    </w:p>
    <w:p>
      <w:pPr>
        <w:ind w:left="660" w:right="419" w:hanging="333"/>
        <w:spacing w:after="0" w:line="23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create partnerships with, or offer licenses to, third parties to promote and sell our product candidates in foreign markets where we receive marketing approval:</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 patent and trade secret protection and regulatory exclusivity for our product candidates;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launch commercial sales of our product candidates, whether alone or in collaboration with others;</w:t>
      </w:r>
    </w:p>
    <w:p>
      <w:pPr>
        <w:spacing w:after="0" w:line="184" w:lineRule="exact"/>
        <w:rPr>
          <w:rFonts w:ascii="Arial" w:cs="Arial" w:eastAsia="Arial" w:hAnsi="Arial"/>
          <w:sz w:val="18"/>
          <w:szCs w:val="18"/>
          <w:color w:val="auto"/>
        </w:rPr>
      </w:pPr>
    </w:p>
    <w:p>
      <w:pPr>
        <w:ind w:left="660" w:right="419" w:hanging="333"/>
        <w:spacing w:after="0" w:line="203" w:lineRule="exact"/>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by patients, the medical community, and government and private third</w:t>
      </w:r>
      <w:r>
        <w:rPr>
          <w:rFonts w:ascii="MS PGothic" w:cs="MS PGothic" w:eastAsia="MS PGothic" w:hAnsi="MS PGothic"/>
          <w:sz w:val="18"/>
          <w:szCs w:val="18"/>
          <w:color w:val="auto"/>
        </w:rPr>
        <w:t>‑</w:t>
      </w:r>
      <w:r>
        <w:rPr>
          <w:rFonts w:ascii="Arial" w:cs="Arial" w:eastAsia="Arial" w:hAnsi="Arial"/>
          <w:sz w:val="18"/>
          <w:szCs w:val="18"/>
          <w:color w:val="auto"/>
        </w:rPr>
        <w:t>party payors;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achieve appropriate reimbursement for our product candidates;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effectively compete with other therapies; and</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 a continued acceptable safety profile of our product candidates following launch.</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60"/>
        <w:spacing w:after="0" w:line="224" w:lineRule="auto"/>
        <w:rPr>
          <w:sz w:val="20"/>
          <w:szCs w:val="20"/>
          <w:color w:val="auto"/>
        </w:rPr>
      </w:pPr>
      <w:r>
        <w:rPr>
          <w:rFonts w:ascii="Arial" w:cs="Arial" w:eastAsia="Arial" w:hAnsi="Arial"/>
          <w:sz w:val="18"/>
          <w:szCs w:val="18"/>
          <w:b w:val="1"/>
          <w:bCs w:val="1"/>
          <w:i w:val="1"/>
          <w:iCs w:val="1"/>
          <w:color w:val="auto"/>
        </w:rPr>
        <w:t>Potential conflicts of interest exist with respect to the intellectual property rights that we license from an entity owned by our Chief Executive Officer and Chairman of the Board, and it is possible that our interests and their interests may diverge.</w:t>
      </w:r>
    </w:p>
    <w:p>
      <w:pPr>
        <w:spacing w:after="0" w:line="163" w:lineRule="exact"/>
        <w:rPr>
          <w:sz w:val="20"/>
          <w:szCs w:val="20"/>
          <w:color w:val="auto"/>
        </w:rPr>
      </w:pPr>
    </w:p>
    <w:p>
      <w:pPr>
        <w:ind w:right="40" w:firstLine="648"/>
        <w:spacing w:after="0" w:line="233" w:lineRule="auto"/>
        <w:rPr>
          <w:sz w:val="20"/>
          <w:szCs w:val="20"/>
          <w:color w:val="auto"/>
        </w:rPr>
      </w:pPr>
      <w:r>
        <w:rPr>
          <w:rFonts w:ascii="Arial" w:cs="Arial" w:eastAsia="Arial" w:hAnsi="Arial"/>
          <w:sz w:val="16"/>
          <w:szCs w:val="16"/>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our current product candidates. Although Dr. Tabuteau dedicates all of his working time to us because Antecip is an inactive intellectual property holding company, he may face potential conflicts of interest regarding these licensing transactions as a result of his ownership of Antecip. The license agreements provide that, subject to the reasonable consent of Antecip, we have the right to control the prosecution or defense, as the case may require, of a patent infringement claim involving the licensed intellectual property. Our interests with respect to pleadings and settlements in such cases may be at odds with those of Antecip. If there is a dispute between us and Antecip, Dr. Tabuteau will have a conflict of interest because he may, at the time of a prospective dispute, simultaneously have a financial interest in and owe a fiduciary duty to Antecip and simultaneously have a financial interest in and owe a fiduciary duty to us. For example, if a contractual dispute arises between us and Antecip under any of the license agreements we have with Antecip, Dr. Tabuteau may be in a position where he would benefit if Antecip prevails, to the detriment of our business or our investors, even though he is an officer and director of our company, because he is the sole owner of Antecip. Similarly, if we have a claim of any kind against Antecip, Dr. Tabuteau may be, even as our Chief Executive Officer and Chairman of the Board, reluctant to assert a claim by us against Antecip because of his financial interest in Antecip. We cannot assure you that any conflicts will be resolved in our favor, and as a result, our business could be impeded or materially harmed.</w:t>
      </w:r>
    </w:p>
    <w:p>
      <w:pPr>
        <w:spacing w:after="0" w:line="164" w:lineRule="exact"/>
        <w:rPr>
          <w:sz w:val="20"/>
          <w:szCs w:val="20"/>
          <w:color w:val="auto"/>
        </w:rPr>
      </w:pPr>
    </w:p>
    <w:p>
      <w:pPr>
        <w:ind w:right="460"/>
        <w:spacing w:after="0" w:line="324" w:lineRule="auto"/>
        <w:rPr>
          <w:sz w:val="20"/>
          <w:szCs w:val="20"/>
          <w:color w:val="auto"/>
        </w:rPr>
      </w:pPr>
      <w:r>
        <w:rPr>
          <w:rFonts w:ascii="Arial" w:cs="Arial" w:eastAsia="Arial" w:hAnsi="Arial"/>
          <w:sz w:val="15"/>
          <w:szCs w:val="15"/>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02" w:lineRule="exact"/>
        <w:rPr>
          <w:sz w:val="20"/>
          <w:szCs w:val="20"/>
          <w:color w:val="auto"/>
        </w:rPr>
      </w:pPr>
    </w:p>
    <w:p>
      <w:pPr>
        <w:ind w:firstLine="648"/>
        <w:spacing w:after="0" w:line="179" w:lineRule="exact"/>
        <w:rPr>
          <w:sz w:val="20"/>
          <w:szCs w:val="20"/>
          <w:color w:val="auto"/>
        </w:rPr>
      </w:pPr>
      <w:r>
        <w:rPr>
          <w:rFonts w:ascii="Arial" w:cs="Arial" w:eastAsia="Arial" w:hAnsi="Arial"/>
          <w:sz w:val="16"/>
          <w:szCs w:val="16"/>
          <w:color w:val="auto"/>
        </w:rPr>
        <w:t>Because we have limited financial and managerial resources, we focus on developing product candidates for specific indications that we identify as most likely to succeed, in terms of both its regulatory approval and commercialization. As such, we are currently primarily focused on the development of, AXS</w:t>
      </w:r>
      <w:r>
        <w:rPr>
          <w:rFonts w:ascii="MS PGothic" w:cs="MS PGothic" w:eastAsia="MS PGothic" w:hAnsi="MS PGothic"/>
          <w:sz w:val="16"/>
          <w:szCs w:val="16"/>
          <w:color w:val="auto"/>
        </w:rPr>
        <w:t>‑</w:t>
      </w:r>
      <w:r>
        <w:rPr>
          <w:rFonts w:ascii="Arial" w:cs="Arial" w:eastAsia="Arial" w:hAnsi="Arial"/>
          <w:sz w:val="16"/>
          <w:szCs w:val="16"/>
          <w:color w:val="auto"/>
        </w:rPr>
        <w:t>05 for the treatment of TRD, agitation associated with AD, MDD, and smoking cessation, AXS-07 for the acute treatment of migraine, and AXS</w:t>
      </w:r>
      <w:r>
        <w:rPr>
          <w:rFonts w:ascii="MS PGothic" w:cs="MS PGothic" w:eastAsia="MS PGothic" w:hAnsi="MS PGothic"/>
          <w:sz w:val="16"/>
          <w:szCs w:val="16"/>
          <w:color w:val="auto"/>
        </w:rPr>
        <w:t>‑</w:t>
      </w:r>
      <w:r>
        <w:rPr>
          <w:rFonts w:ascii="Arial" w:cs="Arial" w:eastAsia="Arial" w:hAnsi="Arial"/>
          <w:sz w:val="16"/>
          <w:szCs w:val="16"/>
          <w:color w:val="auto"/>
        </w:rPr>
        <w:t>02 for the treatment of the pain of knee OA associated with BMLs. As a result, we may forego or delay pursuit of opportunities with other product candidates or for other indications that may prove to have greater commercial potential. Additionally, as more fully described in “Business—Material License Agreements,” we are required to pay to an entity owned by our Chief Executive Officer and Chairman of the Board certain royalty payments related to the development of AXS</w:t>
      </w:r>
      <w:r>
        <w:rPr>
          <w:rFonts w:ascii="MS PGothic" w:cs="MS PGothic" w:eastAsia="MS PGothic" w:hAnsi="MS PGothic"/>
          <w:sz w:val="16"/>
          <w:szCs w:val="16"/>
          <w:color w:val="auto"/>
        </w:rPr>
        <w:t>‑</w:t>
      </w:r>
      <w:r>
        <w:rPr>
          <w:rFonts w:ascii="Arial" w:cs="Arial" w:eastAsia="Arial" w:hAnsi="Arial"/>
          <w:sz w:val="16"/>
          <w:szCs w:val="16"/>
          <w:color w:val="auto"/>
        </w:rPr>
        <w:t>02 and AXS</w:t>
      </w:r>
      <w:r>
        <w:rPr>
          <w:rFonts w:ascii="MS PGothic" w:cs="MS PGothic" w:eastAsia="MS PGothic" w:hAnsi="MS PGothic"/>
          <w:sz w:val="16"/>
          <w:szCs w:val="16"/>
          <w:color w:val="auto"/>
        </w:rPr>
        <w:t>‑</w:t>
      </w:r>
      <w:r>
        <w:rPr>
          <w:rFonts w:ascii="Arial" w:cs="Arial" w:eastAsia="Arial" w:hAnsi="Arial"/>
          <w:sz w:val="16"/>
          <w:szCs w:val="16"/>
          <w:color w:val="auto"/>
        </w:rPr>
        <w:t>05, as well as AXS</w:t>
      </w:r>
      <w:r>
        <w:rPr>
          <w:rFonts w:ascii="MS PGothic" w:cs="MS PGothic" w:eastAsia="MS PGothic" w:hAnsi="MS PGothic"/>
          <w:sz w:val="16"/>
          <w:szCs w:val="16"/>
          <w:color w:val="auto"/>
        </w:rPr>
        <w:t>‑</w:t>
      </w:r>
      <w:r>
        <w:rPr>
          <w:rFonts w:ascii="Arial" w:cs="Arial" w:eastAsia="Arial" w:hAnsi="Arial"/>
          <w:sz w:val="16"/>
          <w:szCs w:val="16"/>
          <w:color w:val="auto"/>
        </w:rPr>
        <w:t>04, a product candidate that is currently in early</w:t>
      </w:r>
      <w:r>
        <w:rPr>
          <w:rFonts w:ascii="MS PGothic" w:cs="MS PGothic" w:eastAsia="MS PGothic" w:hAnsi="MS PGothic"/>
          <w:sz w:val="16"/>
          <w:szCs w:val="16"/>
          <w:color w:val="auto"/>
        </w:rPr>
        <w:t>‑</w:t>
      </w:r>
      <w:r>
        <w:rPr>
          <w:rFonts w:ascii="Arial" w:cs="Arial" w:eastAsia="Arial" w:hAnsi="Arial"/>
          <w:sz w:val="16"/>
          <w:szCs w:val="16"/>
          <w:color w:val="auto"/>
        </w:rPr>
        <w:t>stage development, but not with respect to the development of other product candidates, which may influence management’s decision concerning which product candidates or indications to pursue.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67" w:lineRule="exact"/>
        <w:rPr>
          <w:sz w:val="20"/>
          <w:szCs w:val="20"/>
          <w:color w:val="auto"/>
        </w:rPr>
      </w:pPr>
    </w:p>
    <w:p>
      <w:pPr>
        <w:ind w:right="100"/>
        <w:spacing w:after="0" w:line="324" w:lineRule="auto"/>
        <w:rPr>
          <w:sz w:val="20"/>
          <w:szCs w:val="20"/>
          <w:color w:val="auto"/>
        </w:rPr>
      </w:pPr>
      <w:r>
        <w:rPr>
          <w:rFonts w:ascii="Arial" w:cs="Arial" w:eastAsia="Arial" w:hAnsi="Arial"/>
          <w:sz w:val="15"/>
          <w:szCs w:val="15"/>
          <w:b w:val="1"/>
          <w:bCs w:val="1"/>
          <w:i w:val="1"/>
          <w:iCs w:val="1"/>
          <w:color w:val="auto"/>
        </w:rPr>
        <w:t>Our future growth may depend on our ability to identify and develop product candidates and if we do not successfully identify and develop product candidates or integrate them into our operations, we may have limited growth opportunities.</w:t>
      </w:r>
    </w:p>
    <w:p>
      <w:pPr>
        <w:spacing w:after="0" w:line="102" w:lineRule="exact"/>
        <w:rPr>
          <w:sz w:val="20"/>
          <w:szCs w:val="20"/>
          <w:color w:val="auto"/>
        </w:rPr>
      </w:pPr>
    </w:p>
    <w:p>
      <w:pPr>
        <w:ind w:right="260" w:firstLine="648"/>
        <w:spacing w:after="0" w:line="238" w:lineRule="auto"/>
        <w:rPr>
          <w:sz w:val="20"/>
          <w:szCs w:val="20"/>
          <w:color w:val="auto"/>
        </w:rPr>
      </w:pPr>
      <w:r>
        <w:rPr>
          <w:rFonts w:ascii="Arial" w:cs="Arial" w:eastAsia="Arial" w:hAnsi="Arial"/>
          <w:sz w:val="17"/>
          <w:szCs w:val="17"/>
          <w:color w:val="auto"/>
        </w:rPr>
        <w:t>A component of our business strategy is to continue to develop a pipeline of product candidates by developing products that we believe are a strategic fit with our focus on central nervous system, or CNS, therapeutics. However, these business activities may entail numerous operational and financial risks, including:</w:t>
      </w:r>
    </w:p>
    <w:p>
      <w:pPr>
        <w:spacing w:after="0" w:line="161" w:lineRule="exact"/>
        <w:rPr>
          <w:sz w:val="20"/>
          <w:szCs w:val="20"/>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difficulty or inability to secure financing to fund business activities for such development;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4440"/>
        <w:spacing w:after="0"/>
        <w:rPr>
          <w:rFonts w:ascii="Arial" w:cs="Arial" w:eastAsia="Arial" w:hAnsi="Arial"/>
          <w:sz w:val="18"/>
          <w:szCs w:val="18"/>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higher than expected development costs;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difficulty in managing multiple product development programs; and</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successfully develop new products or clinical failure.</w:t>
      </w:r>
    </w:p>
    <w:p>
      <w:pPr>
        <w:spacing w:after="0" w:line="185" w:lineRule="exact"/>
        <w:rPr>
          <w:sz w:val="20"/>
          <w:szCs w:val="20"/>
          <w:color w:val="auto"/>
        </w:rPr>
      </w:pPr>
    </w:p>
    <w:p>
      <w:pPr>
        <w:ind w:right="79" w:firstLine="648"/>
        <w:spacing w:after="0" w:line="216" w:lineRule="auto"/>
        <w:rPr>
          <w:sz w:val="20"/>
          <w:szCs w:val="20"/>
          <w:color w:val="auto"/>
        </w:rPr>
      </w:pPr>
      <w:r>
        <w:rPr>
          <w:rFonts w:ascii="Arial" w:cs="Arial" w:eastAsia="Arial" w:hAnsi="Arial"/>
          <w:sz w:val="18"/>
          <w:szCs w:val="18"/>
          <w:color w:val="auto"/>
        </w:rPr>
        <w:t>For instance, our prior efforts have resulted in our decision not to further develop certain product candidates that, at one time, appeared to be promising. We have limited resources to identify and execute the developments of products. Moreover, we may devote resources to potential development that are never completed, or we may fail to realize the anticipated benefits of such efforts. If we do not successfully develop and commercialize product candidates, we may not be able to obtain product revenues in future periods.</w:t>
      </w:r>
    </w:p>
    <w:p>
      <w:pPr>
        <w:spacing w:after="0" w:line="162" w:lineRule="exact"/>
        <w:rPr>
          <w:sz w:val="20"/>
          <w:szCs w:val="20"/>
          <w:color w:val="auto"/>
        </w:rPr>
      </w:pPr>
    </w:p>
    <w:p>
      <w:pPr>
        <w:ind w:right="179"/>
        <w:spacing w:after="0" w:line="249" w:lineRule="auto"/>
        <w:rPr>
          <w:sz w:val="20"/>
          <w:szCs w:val="20"/>
          <w:color w:val="auto"/>
        </w:rPr>
      </w:pPr>
      <w:r>
        <w:rPr>
          <w:rFonts w:ascii="Arial" w:cs="Arial" w:eastAsia="Arial" w:hAnsi="Arial"/>
          <w:sz w:val="16"/>
          <w:szCs w:val="16"/>
          <w:b w:val="1"/>
          <w:bCs w:val="1"/>
          <w:i w:val="1"/>
          <w:iCs w:val="1"/>
          <w:color w:val="auto"/>
        </w:rPr>
        <w:t>If safety and efficacy data for our product candidates, a reference listed drug, or published literature does not satisfactorily demonstrate safety and efficacy to the FDA, or if the FDA and other regulators do not permit us to rely on the data of a reference listed drug or published literature, we may incur additional costs or experience delays in completing, or ultimately be unable to complete, the development and commercialization of our product candidates.</w:t>
      </w:r>
    </w:p>
    <w:p>
      <w:pPr>
        <w:spacing w:after="0" w:line="155" w:lineRule="exact"/>
        <w:rPr>
          <w:sz w:val="20"/>
          <w:szCs w:val="20"/>
          <w:color w:val="auto"/>
        </w:rPr>
      </w:pPr>
    </w:p>
    <w:p>
      <w:pPr>
        <w:ind w:right="79" w:firstLine="648"/>
        <w:spacing w:after="0" w:line="224" w:lineRule="auto"/>
        <w:rPr>
          <w:sz w:val="20"/>
          <w:szCs w:val="20"/>
          <w:color w:val="auto"/>
        </w:rPr>
      </w:pPr>
      <w:r>
        <w:rPr>
          <w:rFonts w:ascii="Arial" w:cs="Arial" w:eastAsia="Arial" w:hAnsi="Arial"/>
          <w:sz w:val="18"/>
          <w:szCs w:val="18"/>
          <w:color w:val="auto"/>
        </w:rPr>
        <w:t>We are not permitted to commercialize, market, promote, or sell any product candidate in the United States without obtaining marketing approval from the FDA. Comparable foreign regulatory authorities, such as the European Medicines Agency, or EMA, impose similar restrictions.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United States, we currently plan to at least initially seek approval of our product candidates using the 505(b)</w:t>
      </w:r>
    </w:p>
    <w:p>
      <w:pPr>
        <w:spacing w:after="0" w:line="8" w:lineRule="exact"/>
        <w:rPr>
          <w:sz w:val="20"/>
          <w:szCs w:val="20"/>
          <w:color w:val="auto"/>
        </w:rPr>
      </w:pPr>
    </w:p>
    <w:p>
      <w:pPr>
        <w:ind w:right="59" w:firstLine="3"/>
        <w:spacing w:after="0" w:line="212"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pathway. The FDA interprets Section 505(b)(2) of the Federal Food, Drug, and Cosmetic Act, or FDCA, for purposes of approving an NDA, to permit the applicant to rely, in part, upon published literature or the FDA’s previous findings of safety and efficacy for an approved product. The FDA, though, requires companies to perform additional clinical trials or preclinical studies to support any deviation from the previously approved product and to support reliance on the FDA’s prior findings of safety and efficacy or published literature.</w:t>
      </w:r>
    </w:p>
    <w:p>
      <w:pPr>
        <w:spacing w:after="0" w:line="164" w:lineRule="exact"/>
        <w:rPr>
          <w:sz w:val="20"/>
          <w:szCs w:val="20"/>
          <w:color w:val="auto"/>
        </w:rPr>
      </w:pPr>
    </w:p>
    <w:p>
      <w:pPr>
        <w:jc w:val="both"/>
        <w:ind w:right="79" w:firstLine="648"/>
        <w:spacing w:after="0" w:line="239" w:lineRule="auto"/>
        <w:rPr>
          <w:sz w:val="20"/>
          <w:szCs w:val="20"/>
          <w:color w:val="auto"/>
        </w:rPr>
      </w:pPr>
      <w:r>
        <w:rPr>
          <w:rFonts w:ascii="Arial" w:cs="Arial" w:eastAsia="Arial" w:hAnsi="Arial"/>
          <w:sz w:val="16"/>
          <w:szCs w:val="16"/>
          <w:color w:val="auto"/>
        </w:rPr>
        <w:t>Under the 505(b)(2) pathway, the FDA may approve our product candidates for all or some of the label indications for which the referenced product has been approved, as well as for any new indication sought pursuant to the Section 505(b)</w:t>
      </w:r>
    </w:p>
    <w:p>
      <w:pPr>
        <w:spacing w:after="0" w:line="1" w:lineRule="exact"/>
        <w:rPr>
          <w:sz w:val="20"/>
          <w:szCs w:val="20"/>
          <w:color w:val="auto"/>
        </w:rPr>
      </w:pPr>
    </w:p>
    <w:p>
      <w:pPr>
        <w:ind w:right="99" w:firstLine="3"/>
        <w:spacing w:after="0" w:line="183" w:lineRule="exact"/>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process. The label, however, may require all or some of the limitations, contraindications, warnings, or precautions included in the reference product’s label, including a box warning (commonly referred to as a “black box warning”), or may require additional limitations, contraindications, warnings, or precautions, including class</w:t>
      </w:r>
      <w:r>
        <w:rPr>
          <w:rFonts w:ascii="MS PGothic" w:cs="MS PGothic" w:eastAsia="MS PGothic" w:hAnsi="MS PGothic"/>
          <w:sz w:val="18"/>
          <w:szCs w:val="18"/>
          <w:color w:val="auto"/>
        </w:rPr>
        <w:t>‑</w:t>
      </w:r>
      <w:r>
        <w:rPr>
          <w:rFonts w:ascii="Arial" w:cs="Arial" w:eastAsia="Arial" w:hAnsi="Arial"/>
          <w:sz w:val="18"/>
          <w:szCs w:val="18"/>
          <w:color w:val="auto"/>
        </w:rPr>
        <w:t>wide warnings. For instance, antidepressants, including bupropion, include a class</w:t>
      </w:r>
      <w:r>
        <w:rPr>
          <w:rFonts w:ascii="MS PGothic" w:cs="MS PGothic" w:eastAsia="MS PGothic" w:hAnsi="MS PGothic"/>
          <w:sz w:val="18"/>
          <w:szCs w:val="18"/>
          <w:color w:val="auto"/>
        </w:rPr>
        <w:t>‑</w:t>
      </w:r>
      <w:r>
        <w:rPr>
          <w:rFonts w:ascii="Arial" w:cs="Arial" w:eastAsia="Arial" w:hAnsi="Arial"/>
          <w:sz w:val="18"/>
          <w:szCs w:val="18"/>
          <w:color w:val="auto"/>
        </w:rPr>
        <w:t>wide black box warning regarding the increased risk of suicidal thoughts and behavior.</w:t>
      </w:r>
    </w:p>
    <w:p>
      <w:pPr>
        <w:spacing w:after="0" w:line="164" w:lineRule="exact"/>
        <w:rPr>
          <w:sz w:val="20"/>
          <w:szCs w:val="20"/>
          <w:color w:val="auto"/>
        </w:rPr>
      </w:pPr>
    </w:p>
    <w:p>
      <w:pPr>
        <w:ind w:right="79" w:firstLine="648"/>
        <w:spacing w:after="0" w:line="187" w:lineRule="exact"/>
        <w:rPr>
          <w:sz w:val="20"/>
          <w:szCs w:val="20"/>
          <w:color w:val="auto"/>
        </w:rPr>
      </w:pPr>
      <w:r>
        <w:rPr>
          <w:rFonts w:ascii="Arial" w:cs="Arial" w:eastAsia="Arial" w:hAnsi="Arial"/>
          <w:sz w:val="17"/>
          <w:szCs w:val="17"/>
          <w:color w:val="auto"/>
        </w:rPr>
        <w:t>Based on the side effects disclosed in FDA product labels for marketed drugs that contain the same active molecule as our product candidate, AXS</w:t>
      </w:r>
      <w:r>
        <w:rPr>
          <w:rFonts w:ascii="MS PGothic" w:cs="MS PGothic" w:eastAsia="MS PGothic" w:hAnsi="MS PGothic"/>
          <w:sz w:val="17"/>
          <w:szCs w:val="17"/>
          <w:color w:val="auto"/>
        </w:rPr>
        <w:t>‑</w:t>
      </w:r>
      <w:r>
        <w:rPr>
          <w:rFonts w:ascii="Arial" w:cs="Arial" w:eastAsia="Arial" w:hAnsi="Arial"/>
          <w:sz w:val="17"/>
          <w:szCs w:val="17"/>
          <w:color w:val="auto"/>
        </w:rPr>
        <w:t>02 may result in nausea, fatigue, anemia, bone pain, constipation, fever, vomiting, dyspnea, hypersensitivity reactions, osteonecrosis of the jaw, renal toxicity, musculoskeletal pain, atypical fractures, hypocalcemia, bronchoconstriction, or other adverse events or potential adverse events reported or discussed in the product labels for zoledronic acid</w:t>
      </w:r>
      <w:r>
        <w:rPr>
          <w:rFonts w:ascii="MS PGothic" w:cs="MS PGothic" w:eastAsia="MS PGothic" w:hAnsi="MS PGothic"/>
          <w:sz w:val="17"/>
          <w:szCs w:val="17"/>
          <w:color w:val="auto"/>
        </w:rPr>
        <w:t>‑</w:t>
      </w:r>
      <w:r>
        <w:rPr>
          <w:rFonts w:ascii="Arial" w:cs="Arial" w:eastAsia="Arial" w:hAnsi="Arial"/>
          <w:sz w:val="17"/>
          <w:szCs w:val="17"/>
          <w:color w:val="auto"/>
        </w:rPr>
        <w:t>containing products including Zometa, Reclast, and Aclasta.</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Based on the side effects disclosed in FDA product labels for marketed drugs that contain the same active molecules as our product candidate, AXS</w:t>
      </w:r>
      <w:r>
        <w:rPr>
          <w:rFonts w:ascii="MS PGothic" w:cs="MS PGothic" w:eastAsia="MS PGothic" w:hAnsi="MS PGothic"/>
          <w:sz w:val="16"/>
          <w:szCs w:val="16"/>
          <w:color w:val="auto"/>
        </w:rPr>
        <w:t>‑</w:t>
      </w:r>
      <w:r>
        <w:rPr>
          <w:rFonts w:ascii="Arial" w:cs="Arial" w:eastAsia="Arial" w:hAnsi="Arial"/>
          <w:sz w:val="16"/>
          <w:szCs w:val="16"/>
          <w:color w:val="auto"/>
        </w:rPr>
        <w:t>05 may result in dry mouth, nausea, insomnia, dizziness, pharyngitis, abdominal pain, agitation, anxiety, tremor, seizure, increase in blood pressure and heart rate, hepatoxicity, hypoglycemia, thrombocytopenia or other hypersensitivity reactions, QRS prolongation, left ventricular hypertrophy or left ventricular dysfunction, palpitation, sweating, tinnitus, myalgia, anorexia, urinary frequency, rash, seizure, hypertension, activation of mania or hypomania, psychosis and other neuropsychiatric reactions, suicidal ideation, suicide attempt, completed suicide, angle closure glaucoma, allergic or anaphylactoid or anaphylactic reactions, diarrhea, cough, vomiting, asthenia, peripheral edema, urinary tract infection, influenza, increased gamma</w:t>
      </w:r>
      <w:r>
        <w:rPr>
          <w:rFonts w:ascii="MS PGothic" w:cs="MS PGothic" w:eastAsia="MS PGothic" w:hAnsi="MS PGothic"/>
          <w:sz w:val="16"/>
          <w:szCs w:val="16"/>
          <w:color w:val="auto"/>
        </w:rPr>
        <w:t>‑</w:t>
      </w:r>
      <w:r>
        <w:rPr>
          <w:rFonts w:ascii="Arial" w:cs="Arial" w:eastAsia="Arial" w:hAnsi="Arial"/>
          <w:sz w:val="16"/>
          <w:szCs w:val="16"/>
          <w:color w:val="auto"/>
        </w:rPr>
        <w:t>glutamyltransferase, flatulence, or other adverse events or potential adverse events reported or discussed in the product labels for bupropion</w:t>
      </w:r>
      <w:r>
        <w:rPr>
          <w:rFonts w:ascii="MS PGothic" w:cs="MS PGothic" w:eastAsia="MS PGothic" w:hAnsi="MS PGothic"/>
          <w:sz w:val="16"/>
          <w:szCs w:val="16"/>
          <w:color w:val="auto"/>
        </w:rPr>
        <w:t>‑</w:t>
      </w:r>
      <w:r>
        <w:rPr>
          <w:rFonts w:ascii="Arial" w:cs="Arial" w:eastAsia="Arial" w:hAnsi="Arial"/>
          <w:sz w:val="16"/>
          <w:szCs w:val="16"/>
          <w:color w:val="auto"/>
        </w:rPr>
        <w:t>containing products or dextromethorphan</w:t>
      </w:r>
      <w:r>
        <w:rPr>
          <w:rFonts w:ascii="MS PGothic" w:cs="MS PGothic" w:eastAsia="MS PGothic" w:hAnsi="MS PGothic"/>
          <w:sz w:val="16"/>
          <w:szCs w:val="16"/>
          <w:color w:val="auto"/>
        </w:rPr>
        <w:t>‑</w:t>
      </w:r>
      <w:r>
        <w:rPr>
          <w:rFonts w:ascii="Arial" w:cs="Arial" w:eastAsia="Arial" w:hAnsi="Arial"/>
          <w:sz w:val="16"/>
          <w:szCs w:val="16"/>
          <w:color w:val="auto"/>
        </w:rPr>
        <w:t>containing products including Wellbutrin, Wellbutrin SR, Wellbutrin XL, Zyban, Contrave, and Nuedexta.</w:t>
      </w:r>
    </w:p>
    <w:p>
      <w:pPr>
        <w:spacing w:after="0" w:line="163" w:lineRule="exact"/>
        <w:rPr>
          <w:sz w:val="20"/>
          <w:szCs w:val="20"/>
          <w:color w:val="auto"/>
        </w:rPr>
      </w:pPr>
    </w:p>
    <w:p>
      <w:pPr>
        <w:ind w:right="100" w:firstLine="648"/>
        <w:spacing w:after="0" w:line="180" w:lineRule="exact"/>
        <w:rPr>
          <w:sz w:val="20"/>
          <w:szCs w:val="20"/>
          <w:color w:val="auto"/>
        </w:rPr>
      </w:pPr>
      <w:r>
        <w:rPr>
          <w:rFonts w:ascii="Arial" w:cs="Arial" w:eastAsia="Arial" w:hAnsi="Arial"/>
          <w:sz w:val="17"/>
          <w:szCs w:val="17"/>
          <w:color w:val="auto"/>
        </w:rPr>
        <w:t>In addition, because we plan to file our product candidates under an NDA submitted pursuant to 505(b)(2), we will rely, at least in part, upon a reference listed drug and published literature. For example, we intend to rely on data collected in certain investigator</w:t>
      </w:r>
      <w:r>
        <w:rPr>
          <w:rFonts w:ascii="MS PGothic" w:cs="MS PGothic" w:eastAsia="MS PGothic" w:hAnsi="MS PGothic"/>
          <w:sz w:val="17"/>
          <w:szCs w:val="17"/>
          <w:color w:val="auto"/>
        </w:rPr>
        <w:t>‑</w:t>
      </w:r>
      <w:r>
        <w:rPr>
          <w:rFonts w:ascii="Arial" w:cs="Arial" w:eastAsia="Arial" w:hAnsi="Arial"/>
          <w:sz w:val="17"/>
          <w:szCs w:val="17"/>
          <w:color w:val="auto"/>
        </w:rPr>
        <w:t>initiated Phase 2 clinical trials and other third</w:t>
      </w:r>
      <w:r>
        <w:rPr>
          <w:rFonts w:ascii="MS PGothic" w:cs="MS PGothic" w:eastAsia="MS PGothic" w:hAnsi="MS PGothic"/>
          <w:sz w:val="17"/>
          <w:szCs w:val="17"/>
          <w:color w:val="auto"/>
        </w:rPr>
        <w:t>‑</w:t>
      </w:r>
      <w:r>
        <w:rPr>
          <w:rFonts w:ascii="Arial" w:cs="Arial" w:eastAsia="Arial" w:hAnsi="Arial"/>
          <w:sz w:val="17"/>
          <w:szCs w:val="17"/>
          <w:color w:val="auto"/>
        </w:rPr>
        <w:t>party studies in the published literature as well as FDA findings of safety and efficacy for approved drug products containing the same active molecules in AXS</w:t>
      </w:r>
      <w:r>
        <w:rPr>
          <w:rFonts w:ascii="MS PGothic" w:cs="MS PGothic" w:eastAsia="MS PGothic" w:hAnsi="MS PGothic"/>
          <w:sz w:val="17"/>
          <w:szCs w:val="17"/>
          <w:color w:val="auto"/>
        </w:rPr>
        <w:t>‑</w:t>
      </w:r>
      <w:r>
        <w:rPr>
          <w:rFonts w:ascii="Arial" w:cs="Arial" w:eastAsia="Arial" w:hAnsi="Arial"/>
          <w:sz w:val="17"/>
          <w:szCs w:val="17"/>
          <w:color w:val="auto"/>
        </w:rPr>
        <w:t>02 and AXS</w:t>
      </w:r>
      <w:r>
        <w:rPr>
          <w:rFonts w:ascii="MS PGothic" w:cs="MS PGothic" w:eastAsia="MS PGothic" w:hAnsi="MS PGothic"/>
          <w:sz w:val="17"/>
          <w:szCs w:val="17"/>
          <w:color w:val="auto"/>
        </w:rPr>
        <w:t>‑</w:t>
      </w:r>
      <w:r>
        <w:rPr>
          <w:rFonts w:ascii="Arial" w:cs="Arial" w:eastAsia="Arial" w:hAnsi="Arial"/>
          <w:sz w:val="17"/>
          <w:szCs w:val="17"/>
          <w:color w:val="auto"/>
        </w:rPr>
        <w:t>05. If the FDA disagrees with our conclusions regarding the appropriateness of our reliance on a reference listed drug or published literature, we could be required to conduct additional clinical trials or other studies to support our NDA, which could lead to unanticipated costs and delays or to the termination of our development program. If we are unable to obtain approval for our pharmaceutical formulations through the 505(b)(2) NDA process, we may be required to pursue the more expensive and time</w:t>
      </w:r>
      <w:r>
        <w:rPr>
          <w:rFonts w:ascii="MS PGothic" w:cs="MS PGothic" w:eastAsia="MS PGothic" w:hAnsi="MS PGothic"/>
          <w:sz w:val="17"/>
          <w:szCs w:val="17"/>
          <w:color w:val="auto"/>
        </w:rPr>
        <w:t>‑</w:t>
      </w:r>
      <w:r>
        <w:rPr>
          <w:rFonts w:ascii="Arial" w:cs="Arial" w:eastAsia="Arial" w:hAnsi="Arial"/>
          <w:sz w:val="17"/>
          <w:szCs w:val="17"/>
          <w:color w:val="auto"/>
        </w:rPr>
        <w:t>consuming 505(b)(1) approval process, which consists of full reports of investigations of safety and effectiveness conducted by or for the applicant. In addition, because we plan to submit NDAs for AXS</w:t>
      </w:r>
      <w:r>
        <w:rPr>
          <w:rFonts w:ascii="MS PGothic" w:cs="MS PGothic" w:eastAsia="MS PGothic" w:hAnsi="MS PGothic"/>
          <w:sz w:val="17"/>
          <w:szCs w:val="17"/>
          <w:color w:val="auto"/>
        </w:rPr>
        <w:t>‑</w:t>
      </w:r>
      <w:r>
        <w:rPr>
          <w:rFonts w:ascii="Arial" w:cs="Arial" w:eastAsia="Arial" w:hAnsi="Arial"/>
          <w:sz w:val="17"/>
          <w:szCs w:val="17"/>
          <w:color w:val="auto"/>
        </w:rPr>
        <w:t>02 and AXS</w:t>
      </w:r>
      <w:r>
        <w:rPr>
          <w:rFonts w:ascii="MS PGothic" w:cs="MS PGothic" w:eastAsia="MS PGothic" w:hAnsi="MS PGothic"/>
          <w:sz w:val="17"/>
          <w:szCs w:val="17"/>
          <w:color w:val="auto"/>
        </w:rPr>
        <w:t>‑</w:t>
      </w:r>
      <w:r>
        <w:rPr>
          <w:rFonts w:ascii="Arial" w:cs="Arial" w:eastAsia="Arial" w:hAnsi="Arial"/>
          <w:sz w:val="17"/>
          <w:szCs w:val="17"/>
          <w:color w:val="auto"/>
        </w:rPr>
        <w:t>05 pursuant to the 505(b)(2) process, we have not conducted Phase 2 clinical trials for these product candidates and, as such, we will have less experience with actual testing of the product candidate.</w:t>
      </w:r>
    </w:p>
    <w:p>
      <w:pPr>
        <w:spacing w:after="0" w:line="163" w:lineRule="exact"/>
        <w:rPr>
          <w:sz w:val="20"/>
          <w:szCs w:val="20"/>
          <w:color w:val="auto"/>
        </w:rPr>
      </w:pPr>
    </w:p>
    <w:p>
      <w:pPr>
        <w:ind w:right="80" w:firstLine="648"/>
        <w:spacing w:after="0" w:line="214" w:lineRule="auto"/>
        <w:rPr>
          <w:sz w:val="20"/>
          <w:szCs w:val="20"/>
          <w:color w:val="auto"/>
        </w:rPr>
      </w:pPr>
      <w:r>
        <w:rPr>
          <w:rFonts w:ascii="Arial" w:cs="Arial" w:eastAsia="Arial" w:hAnsi="Arial"/>
          <w:sz w:val="18"/>
          <w:szCs w:val="18"/>
          <w:color w:val="auto"/>
        </w:rPr>
        <w:t>There may also be circumstances under which the FDA would not allow us to pursue a 505(b)(2) application. For instance, should the FDA approve a pharmaceutically equivalent product to our product candidates, we would no longer be able to use the 505(b)(2) pathway. In that case, it is the FDA’s policy that the appropriate submission would be an Abbreviated New Drug Application, or ANDA, for a generic version of the approved product. We may, however, not be able to immediately submit an ANDA or have an ANDA approval made effective, as we could be blocked by others’ periods of patent and regulatory exclusivity protection.</w:t>
      </w:r>
    </w:p>
    <w:p>
      <w:pPr>
        <w:spacing w:after="0" w:line="162"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Notwithstanding the approval of a number of products by the FDA under 505(b)(2) over the last few years, pharmaceutical companies and others have objected to the FDA’s interpretation of Section 505(b)(2). If the FDA’s interpretation of Section 505(b)(2) is successfully challenged, the FDA may change its policies and practices with respect to Section 505(b)(2) regulatory approvals, which could delay or even prevent the FDA from approving any NDA that we submit pursuant to the 505(b)(2) process. Moreover, our inability to pursue a 505(b)(2) application could result in new competitive products reaching the market more quickly than our product candidates, which could hurt our competitive position and our business prospects.</w:t>
      </w:r>
    </w:p>
    <w:p>
      <w:pPr>
        <w:spacing w:after="0" w:line="165"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We may never receive approval for any of our product candidates, and even if our product candidates are approved under 505(b)(2), the approval may be subject to limitations on the indicated uses for which the products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w:t>
      </w:r>
      <w:r>
        <w:rPr>
          <w:rFonts w:ascii="MS PGothic" w:cs="MS PGothic" w:eastAsia="MS PGothic" w:hAnsi="MS PGothic"/>
          <w:sz w:val="17"/>
          <w:szCs w:val="17"/>
          <w:color w:val="auto"/>
        </w:rPr>
        <w:t>‑</w:t>
      </w:r>
      <w:r>
        <w:rPr>
          <w:rFonts w:ascii="Arial" w:cs="Arial" w:eastAsia="Arial" w:hAnsi="Arial"/>
          <w:sz w:val="17"/>
          <w:szCs w:val="17"/>
          <w:color w:val="auto"/>
        </w:rPr>
        <w:t>market testing and surveillance or other requirements, including REMS, to monitor the safety or efficacy of the products. Moreover, any future actions or inquiries by the FDA with respect to the reference listed drug may require that we make changes to our labeling, discontinue development, or, possibly, withdraw the product from the market.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b w:val="1"/>
          <w:bCs w:val="1"/>
          <w:i w:val="1"/>
          <w:iCs w:val="1"/>
          <w:color w:val="auto"/>
        </w:rPr>
        <w:t>An NDA submitted under Section 505(b)(2) subjects us to the risk that we may be subject to a patent infringement lawsuit or regulatory actions that would delay or prevent the review or approval of our product candidate.</w:t>
      </w:r>
    </w:p>
    <w:p>
      <w:pPr>
        <w:spacing w:after="0" w:line="124"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 xml:space="preserve">Applicants submitting NDAs under Section 505(b)(2) of the FDCA must provide a patent certification with the application for all reference listed drugs and for all brand name products identified in published literature upon which the 505(b)(2) application relies. One such certification is known as a paragraph IV certification, which certifies that any patents listed in the FDA’s publication, the </w:t>
      </w:r>
      <w:r>
        <w:rPr>
          <w:rFonts w:ascii="Arial" w:cs="Arial" w:eastAsia="Arial" w:hAnsi="Arial"/>
          <w:sz w:val="18"/>
          <w:szCs w:val="18"/>
          <w:i w:val="1"/>
          <w:iCs w:val="1"/>
          <w:color w:val="auto"/>
        </w:rPr>
        <w:t>Approved Drug Products with Therapeutic Equivalence Evaluations</w:t>
      </w:r>
      <w:r>
        <w:rPr>
          <w:rFonts w:ascii="Arial" w:cs="Arial" w:eastAsia="Arial" w:hAnsi="Arial"/>
          <w:sz w:val="18"/>
          <w:szCs w:val="18"/>
          <w:color w:val="auto"/>
        </w:rPr>
        <w:t>, commonly known as the Orange Book, are invalid, unenforceable, or will not be infringed by the manufacture, use, or sale of the product that is the subject of the 505(b)(2) NDA.</w:t>
      </w:r>
    </w:p>
    <w:p>
      <w:pPr>
        <w:spacing w:after="0" w:line="162" w:lineRule="exact"/>
        <w:rPr>
          <w:sz w:val="20"/>
          <w:szCs w:val="20"/>
          <w:color w:val="auto"/>
        </w:rPr>
      </w:pPr>
    </w:p>
    <w:p>
      <w:pPr>
        <w:ind w:right="80" w:firstLine="648"/>
        <w:spacing w:after="0" w:line="180" w:lineRule="exact"/>
        <w:rPr>
          <w:sz w:val="20"/>
          <w:szCs w:val="20"/>
          <w:color w:val="auto"/>
        </w:rPr>
      </w:pPr>
      <w:r>
        <w:rPr>
          <w:rFonts w:ascii="Arial" w:cs="Arial" w:eastAsia="Arial" w:hAnsi="Arial"/>
          <w:sz w:val="16"/>
          <w:szCs w:val="16"/>
          <w:color w:val="auto"/>
        </w:rPr>
        <w:t>Under the Hatch</w:t>
      </w:r>
      <w:r>
        <w:rPr>
          <w:rFonts w:ascii="MS PGothic" w:cs="MS PGothic" w:eastAsia="MS PGothic" w:hAnsi="MS PGothic"/>
          <w:sz w:val="16"/>
          <w:szCs w:val="16"/>
          <w:color w:val="auto"/>
        </w:rPr>
        <w:t>‑</w:t>
      </w:r>
      <w:r>
        <w:rPr>
          <w:rFonts w:ascii="Arial" w:cs="Arial" w:eastAsia="Arial" w:hAnsi="Arial"/>
          <w:sz w:val="16"/>
          <w:szCs w:val="16"/>
          <w:color w:val="auto"/>
        </w:rPr>
        <w:t>Waxman Act, the holder of patents or NDAs that the 505(b)(2) application references may file a patent infringement lawsuit after receiving notice of the paragraph IV certification. Filing of a patent infringement lawsuit against the filer of the 505(b)(2) applicant within 45 days of the patent or NDA owner’s receipt of notice triggers a one</w:t>
      </w:r>
      <w:r>
        <w:rPr>
          <w:rFonts w:ascii="MS PGothic" w:cs="MS PGothic" w:eastAsia="MS PGothic" w:hAnsi="MS PGothic"/>
          <w:sz w:val="16"/>
          <w:szCs w:val="16"/>
          <w:color w:val="auto"/>
        </w:rPr>
        <w:t>‑</w:t>
      </w:r>
      <w:r>
        <w:rPr>
          <w:rFonts w:ascii="Arial" w:cs="Arial" w:eastAsia="Arial" w:hAnsi="Arial"/>
          <w:sz w:val="16"/>
          <w:szCs w:val="16"/>
          <w:color w:val="auto"/>
        </w:rPr>
        <w:t>time, automatic, 30</w:t>
      </w:r>
      <w:r>
        <w:rPr>
          <w:rFonts w:ascii="MS PGothic" w:cs="MS PGothic" w:eastAsia="MS PGothic" w:hAnsi="MS PGothic"/>
          <w:sz w:val="16"/>
          <w:szCs w:val="16"/>
          <w:color w:val="auto"/>
        </w:rPr>
        <w:t>‑</w:t>
      </w:r>
      <w:r>
        <w:rPr>
          <w:rFonts w:ascii="Arial" w:cs="Arial" w:eastAsia="Arial" w:hAnsi="Arial"/>
          <w:sz w:val="16"/>
          <w:szCs w:val="16"/>
          <w:color w:val="auto"/>
        </w:rPr>
        <w:t>month stay of the FDA’s ability to make the 505(b)(2) NDA approval effective. In such a case, the FDA may not make the 505(b)(2) NDA approval effective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Accordingly, we may invest a significant amount of time and expense in the development of one or more product candidates only to be subject to significant delay and patent litigation before such product candidates may be commercialized, if at all. In addition, a 505(b)(2) application approval will not be made effective until any existing non</w:t>
      </w:r>
      <w:r>
        <w:rPr>
          <w:rFonts w:ascii="MS PGothic" w:cs="MS PGothic" w:eastAsia="MS PGothic" w:hAnsi="MS PGothic"/>
          <w:sz w:val="16"/>
          <w:szCs w:val="16"/>
          <w:color w:val="auto"/>
        </w:rPr>
        <w:t>‑</w:t>
      </w:r>
      <w:r>
        <w:rPr>
          <w:rFonts w:ascii="Arial" w:cs="Arial" w:eastAsia="Arial" w:hAnsi="Arial"/>
          <w:sz w:val="16"/>
          <w:szCs w:val="16"/>
          <w:color w:val="auto"/>
        </w:rPr>
        <w:t>patent exclusivity, such as exclusivity for obtaining approval of a new chemical entity, or NCE, or exclusivities for changes to NCEs listed in the Orange Book for the referenced product have expired or, if possible, are carved out from the label.</w:t>
      </w:r>
    </w:p>
    <w:p>
      <w:pPr>
        <w:spacing w:after="0" w:line="170" w:lineRule="exact"/>
        <w:rPr>
          <w:sz w:val="20"/>
          <w:szCs w:val="20"/>
          <w:color w:val="auto"/>
        </w:rPr>
      </w:pPr>
    </w:p>
    <w:p>
      <w:pPr>
        <w:ind w:firstLine="648"/>
        <w:spacing w:after="0" w:line="179" w:lineRule="exact"/>
        <w:rPr>
          <w:sz w:val="20"/>
          <w:szCs w:val="20"/>
          <w:color w:val="auto"/>
        </w:rPr>
      </w:pPr>
      <w:r>
        <w:rPr>
          <w:rFonts w:ascii="Arial" w:cs="Arial" w:eastAsia="Arial" w:hAnsi="Arial"/>
          <w:sz w:val="16"/>
          <w:szCs w:val="16"/>
          <w:color w:val="auto"/>
        </w:rPr>
        <w:t>Companies that produce branded reference listed drugs routinely bring litigation against applicants that seek regulatory approval to manufacture and market generic and reformulated forms of their branded products. These companies often allege patent infringement or other violations of intellectual property rights as the basis for filing suit. Likewise, patent holders may bring patent infringement suits against companies that are currently marketing and selling their approved generic or reformulated products. Litigation to enforce or defend intellectual property rights is often complex and often involves significant expense and can delay or prevent introduction or sale of our product candidates. If patents are held to be valid and infringed by our product candidates in a particular jurisdiction, we may be required to cease selling, relinquish or destroy existing stock, or pay monetary damages in that jurisdiction unless we can obtain a license from the patent holder. There may also be situations where we use our business judgment and decide to market and sell our approved products, notwithstanding the fact that allegations of patent infringement(s) have not been finally resolved by the courts, which is known as an “at</w:t>
      </w:r>
      <w:r>
        <w:rPr>
          <w:rFonts w:ascii="MS PGothic" w:cs="MS PGothic" w:eastAsia="MS PGothic" w:hAnsi="MS PGothic"/>
          <w:sz w:val="16"/>
          <w:szCs w:val="16"/>
          <w:color w:val="auto"/>
        </w:rPr>
        <w:t>‑</w:t>
      </w:r>
      <w:r>
        <w:rPr>
          <w:rFonts w:ascii="Arial" w:cs="Arial" w:eastAsia="Arial" w:hAnsi="Arial"/>
          <w:sz w:val="16"/>
          <w:szCs w:val="16"/>
          <w:color w:val="auto"/>
        </w:rPr>
        <w:t>risk launch.” The risk involved in doing so can be substantial because the remedies available to the owner of a patent for infringement may include, among other things, damages measured by the profits lost by the patent owner which may be greater than the profits earned by the infringer. In the case of willful infringement, such damages may be increased up to three times. An adverse decision in patent litigation could have a material adverse effect on our business, financial position, and results of operations and could cause the market value of our common stock to decline. Should we need to file a paragraph IV certification in the future for our product candidates, we may risk patent litigation and substantial delays.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0"/>
        <w:spacing w:after="0" w:line="219"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authorities are lengthy, time consuming, and inherently unpredictable. If we are not able to obtain, or if there are delays in obtaining, required regulatory approvals, we will not be able to commercialize our product candidates as expected, and our ability to generate revenue will be materially impaired.</w:t>
      </w:r>
    </w:p>
    <w:p>
      <w:pPr>
        <w:spacing w:after="0" w:line="163" w:lineRule="exact"/>
        <w:rPr>
          <w:sz w:val="20"/>
          <w:szCs w:val="20"/>
          <w:color w:val="auto"/>
        </w:rPr>
      </w:pPr>
    </w:p>
    <w:p>
      <w:pPr>
        <w:ind w:right="20" w:firstLine="648"/>
        <w:spacing w:after="0" w:line="221" w:lineRule="auto"/>
        <w:rPr>
          <w:sz w:val="20"/>
          <w:szCs w:val="20"/>
          <w:color w:val="auto"/>
        </w:rPr>
      </w:pPr>
      <w:r>
        <w:rPr>
          <w:rFonts w:ascii="Arial" w:cs="Arial" w:eastAsia="Arial" w:hAnsi="Arial"/>
          <w:sz w:val="17"/>
          <w:szCs w:val="17"/>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and may require us to amend our clinical trial protocols or conduct additional studies that require regulatory or institutional review board, or IRB, approval, or otherwise cause delays in the approval or rejection of an application. We have not obtained regulatory approval for any product candidate and it is possible that none of our existing product candidates, or any product candidates we may seek to develop in the future, will ever obtain regulatory approval. Any delay in obtaining or failure to obtain required approvals could materially adversely affect our ability or that of any of our collaborators to generate revenue from the particular product candidate, which likely would result in significant harm to our financial position and adversely impact our stock price.</w:t>
      </w:r>
    </w:p>
    <w:p>
      <w:pPr>
        <w:spacing w:after="0" w:line="167"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Our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EMA and similar regulatory authorities outside the United States and Europe. Failure to obtain marketing approval for a product candidate will prevent us from commercializing the product candidate. We have no experience in filing and supporting the applications necessary to gain marketing approvals and expect to rely on third</w:t>
      </w:r>
      <w:r>
        <w:rPr>
          <w:rFonts w:ascii="MS PGothic" w:cs="MS PGothic" w:eastAsia="MS PGothic" w:hAnsi="MS PGothic"/>
          <w:sz w:val="17"/>
          <w:szCs w:val="17"/>
          <w:color w:val="auto"/>
        </w:rPr>
        <w:t>‑</w:t>
      </w:r>
      <w:r>
        <w:rPr>
          <w:rFonts w:ascii="Arial" w:cs="Arial" w:eastAsia="Arial" w:hAnsi="Arial"/>
          <w:sz w:val="17"/>
          <w:szCs w:val="17"/>
          <w:color w:val="auto"/>
        </w:rPr>
        <w:t>party contract research organizations, or CROs, and consultants to assist us in this process. Securing marketing approval requires the submission of extensive preclinical and clinical data and supporting information to regulatory authorities for each therapeutic indication to establish the product candidate’s safety and efficacy for that indication. Securing marketing approval also requires the submission of information about the product manufacturing process to, and inspection of manufacturing facilities and clinical trial sites by, the regulatory authorities.</w:t>
      </w:r>
    </w:p>
    <w:p>
      <w:pPr>
        <w:spacing w:after="0" w:line="167" w:lineRule="exact"/>
        <w:rPr>
          <w:sz w:val="20"/>
          <w:szCs w:val="20"/>
          <w:color w:val="auto"/>
        </w:rPr>
      </w:pPr>
    </w:p>
    <w:p>
      <w:pPr>
        <w:jc w:val="both"/>
        <w:ind w:right="40" w:firstLine="648"/>
        <w:spacing w:after="0" w:line="180" w:lineRule="exact"/>
        <w:rPr>
          <w:sz w:val="20"/>
          <w:szCs w:val="20"/>
          <w:color w:val="auto"/>
        </w:rPr>
      </w:pPr>
      <w:r>
        <w:rPr>
          <w:rFonts w:ascii="Arial" w:cs="Arial" w:eastAsia="Arial" w:hAnsi="Arial"/>
          <w:sz w:val="16"/>
          <w:szCs w:val="16"/>
          <w:color w:val="auto"/>
        </w:rPr>
        <w:t>Clinical testing is expensive and can take many years to complete, and its outcome is inherently uncertain. Failure can occur at any time during the clinical trial process. The results of preclinical studies; our product candidates’ mechanism of action; studies conducted by third parties in different patient populations, using different products, or using different study designs; and early clinical trials of our product candidates may not be predictive of the results of later</w:t>
      </w:r>
      <w:r>
        <w:rPr>
          <w:rFonts w:ascii="MS PGothic" w:cs="MS PGothic" w:eastAsia="MS PGothic" w:hAnsi="MS PGothic"/>
          <w:sz w:val="16"/>
          <w:szCs w:val="16"/>
          <w:color w:val="auto"/>
        </w:rPr>
        <w:t>‑</w:t>
      </w:r>
      <w:r>
        <w:rPr>
          <w:rFonts w:ascii="Arial" w:cs="Arial" w:eastAsia="Arial" w:hAnsi="Arial"/>
          <w:sz w:val="16"/>
          <w:szCs w:val="16"/>
          <w:color w:val="auto"/>
        </w:rPr>
        <w:t>stage clinical trials.</w:t>
      </w:r>
    </w:p>
    <w:p>
      <w:pPr>
        <w:spacing w:after="0" w:line="1" w:lineRule="exact"/>
        <w:rPr>
          <w:sz w:val="20"/>
          <w:szCs w:val="20"/>
          <w:color w:val="auto"/>
        </w:rPr>
      </w:pPr>
    </w:p>
    <w:p>
      <w:pPr>
        <w:ind w:right="200"/>
        <w:spacing w:after="0" w:line="223" w:lineRule="auto"/>
        <w:rPr>
          <w:sz w:val="20"/>
          <w:szCs w:val="20"/>
          <w:color w:val="auto"/>
        </w:rPr>
      </w:pPr>
      <w:r>
        <w:rPr>
          <w:rFonts w:ascii="Arial" w:cs="Arial" w:eastAsia="Arial" w:hAnsi="Arial"/>
          <w:sz w:val="17"/>
          <w:szCs w:val="17"/>
          <w:color w:val="auto"/>
        </w:rPr>
        <w:t>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 A number of companies in the pharmaceutical industry have suffered significant setbacks in advanced clinical trials due to lack of efficacy or adverse safety profiles, notwithstanding promising results in earlier trials. Our future clinical trial results may not be successful. Moreover, should there be a flaw in a clinical trial, it may not become apparent until the clinical trial is well advanced.</w:t>
      </w:r>
    </w:p>
    <w:p>
      <w:pPr>
        <w:spacing w:after="0" w:line="164" w:lineRule="exact"/>
        <w:rPr>
          <w:sz w:val="20"/>
          <w:szCs w:val="20"/>
          <w:color w:val="auto"/>
        </w:rPr>
      </w:pPr>
    </w:p>
    <w:p>
      <w:pPr>
        <w:ind w:right="420" w:firstLine="648"/>
        <w:spacing w:after="0" w:line="258" w:lineRule="auto"/>
        <w:rPr>
          <w:sz w:val="20"/>
          <w:szCs w:val="20"/>
          <w:color w:val="auto"/>
        </w:rPr>
      </w:pPr>
      <w:r>
        <w:rPr>
          <w:rFonts w:ascii="Arial" w:cs="Arial" w:eastAsia="Arial" w:hAnsi="Arial"/>
          <w:sz w:val="17"/>
          <w:szCs w:val="17"/>
          <w:color w:val="auto"/>
        </w:rPr>
        <w:t>We may also experience numerous unforeseen events during, or as a result of, clinical trials that could delay or prevent our ability to receive marketing approval or commercialize our product candidates, including:</w:t>
      </w:r>
    </w:p>
    <w:p>
      <w:pPr>
        <w:spacing w:after="0" w:line="147" w:lineRule="exact"/>
        <w:rPr>
          <w:sz w:val="20"/>
          <w:szCs w:val="20"/>
          <w:color w:val="auto"/>
        </w:rPr>
      </w:pPr>
    </w:p>
    <w:p>
      <w:pPr>
        <w:ind w:left="660" w:hanging="333"/>
        <w:spacing w:after="0" w:line="23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regulators or IRBs may not authorize us or our investigators to commence a clinical trial or conduct a clinical trial at a prospective trial site or amend trial protocols;</w:t>
      </w:r>
    </w:p>
    <w:p>
      <w:pPr>
        <w:spacing w:after="0" w:line="161" w:lineRule="exact"/>
        <w:rPr>
          <w:rFonts w:ascii="Arial" w:cs="Arial" w:eastAsia="Arial" w:hAnsi="Arial"/>
          <w:sz w:val="18"/>
          <w:szCs w:val="18"/>
          <w:color w:val="auto"/>
        </w:rPr>
      </w:pPr>
    </w:p>
    <w:p>
      <w:pPr>
        <w:ind w:left="660" w:right="260" w:hanging="333"/>
        <w:spacing w:after="0" w:line="23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 and our CROs;</w:t>
      </w:r>
    </w:p>
    <w:p>
      <w:pPr>
        <w:spacing w:after="0" w:line="161" w:lineRule="exact"/>
        <w:rPr>
          <w:rFonts w:ascii="Arial" w:cs="Arial" w:eastAsia="Arial" w:hAnsi="Arial"/>
          <w:sz w:val="18"/>
          <w:szCs w:val="18"/>
          <w:color w:val="auto"/>
        </w:rPr>
      </w:pPr>
    </w:p>
    <w:p>
      <w:pPr>
        <w:ind w:left="660" w:right="160" w:hanging="333"/>
        <w:spacing w:after="0" w:line="23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clinical trials of our product candidates may produce negative or inconclusive results, or our studies may fail to reach the necessary level of statistical or clinical significance, and we may decide, or regulators may require us, to conduct additional clinical trials or abandon product development programs;</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left="660" w:right="279" w:hanging="333"/>
        <w:spacing w:after="0" w:line="22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interim analyses may result in our clinical trials being discontinued for safety or futility reasons or may result in modifications to our clinical trials that prolong the trials or make them difficult and more expensive to complete, such as increases in the number of subjects;</w:t>
      </w:r>
    </w:p>
    <w:p>
      <w:pPr>
        <w:spacing w:after="0" w:line="163" w:lineRule="exact"/>
        <w:rPr>
          <w:rFonts w:ascii="Arial" w:cs="Arial" w:eastAsia="Arial" w:hAnsi="Arial"/>
          <w:sz w:val="18"/>
          <w:szCs w:val="18"/>
          <w:color w:val="auto"/>
        </w:rPr>
      </w:pPr>
    </w:p>
    <w:p>
      <w:pPr>
        <w:ind w:left="660" w:right="259" w:hanging="333"/>
        <w:spacing w:after="0" w:line="22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63" w:lineRule="exact"/>
        <w:rPr>
          <w:rFonts w:ascii="Arial" w:cs="Arial" w:eastAsia="Arial" w:hAnsi="Arial"/>
          <w:sz w:val="18"/>
          <w:szCs w:val="18"/>
          <w:color w:val="auto"/>
        </w:rPr>
      </w:pPr>
    </w:p>
    <w:p>
      <w:pPr>
        <w:ind w:left="660" w:right="299" w:hanging="333"/>
        <w:spacing w:after="0" w:line="194" w:lineRule="exact"/>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third</w:t>
      </w:r>
      <w:r>
        <w:rPr>
          <w:rFonts w:ascii="MS PGothic" w:cs="MS PGothic" w:eastAsia="MS PGothic" w:hAnsi="MS PGothic"/>
          <w:sz w:val="18"/>
          <w:szCs w:val="18"/>
          <w:color w:val="auto"/>
        </w:rPr>
        <w:t>‑</w:t>
      </w:r>
      <w:r>
        <w:rPr>
          <w:rFonts w:ascii="Arial" w:cs="Arial" w:eastAsia="Arial" w:hAnsi="Arial"/>
          <w:sz w:val="18"/>
          <w:szCs w:val="18"/>
          <w:color w:val="auto"/>
        </w:rPr>
        <w:t>party contractors may fail to comply with regulatory requirements or the clinical trial protocol, or meet their contractual obligations to us in a timely manner, or at all, or we may be required to engage in additional clinical trial site monitoring;</w:t>
      </w:r>
    </w:p>
    <w:p>
      <w:pPr>
        <w:spacing w:after="0" w:line="163" w:lineRule="exact"/>
        <w:rPr>
          <w:rFonts w:ascii="Arial" w:cs="Arial" w:eastAsia="Arial" w:hAnsi="Arial"/>
          <w:sz w:val="18"/>
          <w:szCs w:val="18"/>
          <w:color w:val="auto"/>
        </w:rPr>
      </w:pPr>
    </w:p>
    <w:p>
      <w:pPr>
        <w:ind w:left="660" w:right="159" w:hanging="333"/>
        <w:spacing w:after="0" w:line="244"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the regulators, or IRBs may require that we or our investigators suspend or terminate clinical research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chemically or mechanistically similar drug or drug candidate. We may also discontinue clinical research and programs due to changing business priorities;</w:t>
      </w:r>
    </w:p>
    <w:p>
      <w:pPr>
        <w:spacing w:after="0" w:line="158" w:lineRule="exact"/>
        <w:rPr>
          <w:rFonts w:ascii="Arial" w:cs="Arial" w:eastAsia="Arial" w:hAnsi="Arial"/>
          <w:sz w:val="16"/>
          <w:szCs w:val="16"/>
          <w:color w:val="auto"/>
        </w:rPr>
      </w:pPr>
    </w:p>
    <w:p>
      <w:pPr>
        <w:ind w:left="660" w:right="399" w:hanging="333"/>
        <w:spacing w:after="0" w:line="23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marketing approval policies during the development period rendering our data insufficient to obtain marketing approval;</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or the enactment of additional statutes or regulations;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regulatory review for each submitted product application;</w:t>
      </w:r>
    </w:p>
    <w:p>
      <w:pPr>
        <w:spacing w:after="0" w:line="184" w:lineRule="exact"/>
        <w:rPr>
          <w:rFonts w:ascii="Arial" w:cs="Arial" w:eastAsia="Arial" w:hAnsi="Arial"/>
          <w:sz w:val="18"/>
          <w:szCs w:val="18"/>
          <w:color w:val="auto"/>
        </w:rPr>
      </w:pPr>
    </w:p>
    <w:p>
      <w:pPr>
        <w:ind w:left="660" w:right="259" w:hanging="333"/>
        <w:spacing w:after="0" w:line="289"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cost of clinical trials of our product candidates may be greater than we anticipate or we may have insufficient funds for a clinical trial or to pay the substantial user fees required by the FDA upon the filing of an NDA;</w:t>
      </w:r>
    </w:p>
    <w:p>
      <w:pPr>
        <w:spacing w:after="0" w:line="124" w:lineRule="exact"/>
        <w:rPr>
          <w:rFonts w:ascii="Arial" w:cs="Arial" w:eastAsia="Arial" w:hAnsi="Arial"/>
          <w:sz w:val="16"/>
          <w:szCs w:val="16"/>
          <w:color w:val="auto"/>
        </w:rPr>
      </w:pPr>
    </w:p>
    <w:p>
      <w:pPr>
        <w:ind w:left="660" w:right="119" w:hanging="333"/>
        <w:spacing w:after="0" w:line="23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161" w:lineRule="exact"/>
        <w:rPr>
          <w:rFonts w:ascii="Arial" w:cs="Arial" w:eastAsia="Arial" w:hAnsi="Arial"/>
          <w:sz w:val="18"/>
          <w:szCs w:val="18"/>
          <w:color w:val="auto"/>
        </w:rPr>
      </w:pPr>
    </w:p>
    <w:p>
      <w:pPr>
        <w:ind w:left="660" w:right="19" w:hanging="333"/>
        <w:spacing w:after="0" w:line="181" w:lineRule="exact"/>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may decide, or regulators may require us, to conduct additional clinical trials, analyses, reports, data, or preclinical trials than we currently plan, or we may abandon product development programs. For instance, with respect to our ongoing Phase 3 clinical trial with AXS-02 for the treatment of the pain of knee OA associated with BMLs, although we have received a Special Protocol Assessment, or SPA, the FDA stated that if there is a recurrence of knee OA pain, we will need to explore repeat dosing, which would require additional preclinical studies. Further, for AXS</w:t>
      </w:r>
      <w:r>
        <w:rPr>
          <w:rFonts w:ascii="MS PGothic" w:cs="MS PGothic" w:eastAsia="MS PGothic" w:hAnsi="MS PGothic"/>
          <w:sz w:val="17"/>
          <w:szCs w:val="17"/>
          <w:color w:val="auto"/>
        </w:rPr>
        <w:t>‑</w:t>
      </w:r>
      <w:r>
        <w:rPr>
          <w:rFonts w:ascii="Arial" w:cs="Arial" w:eastAsia="Arial" w:hAnsi="Arial"/>
          <w:sz w:val="17"/>
          <w:szCs w:val="17"/>
          <w:color w:val="auto"/>
        </w:rPr>
        <w:t>05, we will need to conduct additional clinical and preclinical studies in addition to our Phase 3 and Phase 2/3 trials in order to file an NDA for this product candidate. Additionally, although we believe that we may be able to rely on a single pivotal study to support our NDA for AXS-07 for the acute treatment of migraine, the FDA may ultimately disagree and require us to conduct additional pivotal studies. The outcome of our studies may further necessitate additional clinical or preclinical work;</w:t>
      </w:r>
    </w:p>
    <w:p>
      <w:pPr>
        <w:spacing w:after="0" w:line="163" w:lineRule="exact"/>
        <w:rPr>
          <w:rFonts w:ascii="Arial" w:cs="Arial" w:eastAsia="Arial" w:hAnsi="Arial"/>
          <w:sz w:val="17"/>
          <w:szCs w:val="17"/>
          <w:color w:val="auto"/>
        </w:rPr>
      </w:pPr>
    </w:p>
    <w:p>
      <w:pPr>
        <w:ind w:left="660" w:hanging="333"/>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fail to reach an agreement with regulators regarding the scope or design of our clinical trials;</w:t>
      </w:r>
    </w:p>
    <w:p>
      <w:pPr>
        <w:spacing w:after="0" w:line="184" w:lineRule="exact"/>
        <w:rPr>
          <w:rFonts w:ascii="Arial" w:cs="Arial" w:eastAsia="Arial" w:hAnsi="Arial"/>
          <w:sz w:val="18"/>
          <w:szCs w:val="18"/>
          <w:color w:val="auto"/>
        </w:rPr>
      </w:pPr>
    </w:p>
    <w:p>
      <w:pPr>
        <w:ind w:left="660" w:right="19" w:hanging="333"/>
        <w:spacing w:after="0" w:line="23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have delays in adding new investigators or clinical trial sites, or we may experience a withdrawal of clinical trial sites;</w:t>
      </w:r>
    </w:p>
    <w:p>
      <w:pPr>
        <w:spacing w:after="0" w:line="161" w:lineRule="exact"/>
        <w:rPr>
          <w:rFonts w:ascii="Arial" w:cs="Arial" w:eastAsia="Arial" w:hAnsi="Arial"/>
          <w:sz w:val="18"/>
          <w:szCs w:val="18"/>
          <w:color w:val="auto"/>
        </w:rPr>
      </w:pPr>
    </w:p>
    <w:p>
      <w:pPr>
        <w:ind w:left="660" w:right="239" w:hanging="333"/>
        <w:spacing w:after="0" w:line="23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patients that enroll in our studies may misrepresent their eligibility or may otherwise not comply with the clinical trial protocol, resulting in the need to drop the patients from the study or clinical trial, increase the needed enrollment size for the study or clinical trial, or extend the study’s or clinical trial’s duration;</w:t>
      </w: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right="380" w:hanging="333"/>
        <w:spacing w:after="0" w:line="23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may be regulatory questions regarding interpretations of data and results, or new information may emerge regarding our product candidates;</w:t>
      </w:r>
    </w:p>
    <w:p>
      <w:pPr>
        <w:spacing w:after="0" w:line="161" w:lineRule="exact"/>
        <w:rPr>
          <w:rFonts w:ascii="Arial" w:cs="Arial" w:eastAsia="Arial" w:hAnsi="Arial"/>
          <w:sz w:val="18"/>
          <w:szCs w:val="18"/>
          <w:color w:val="auto"/>
        </w:rPr>
      </w:pPr>
    </w:p>
    <w:p>
      <w:pPr>
        <w:ind w:left="660" w:right="140" w:hanging="333"/>
        <w:spacing w:after="0" w:line="184" w:lineRule="exact"/>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study design or our interpretation of data from preclinical studies and clinical trials or find that a product candidate’s benefits do not outweigh its safety risks. For instance, in our communications with the FDA, the FDA has raised questions and had comments regarding our preclinical studies and clinical trials, such as comments on the acceptability of the proposed trial designs for our product candidates, the number of patients planned for our studies, our data analysis plans, the applicability of the serum biomarkers studied in our Phase 1 study of AXS</w:t>
      </w:r>
      <w:r>
        <w:rPr>
          <w:rFonts w:ascii="MS PGothic" w:cs="MS PGothic" w:eastAsia="MS PGothic" w:hAnsi="MS PGothic"/>
          <w:sz w:val="17"/>
          <w:szCs w:val="17"/>
          <w:color w:val="auto"/>
        </w:rPr>
        <w:t>‑</w:t>
      </w:r>
      <w:r>
        <w:rPr>
          <w:rFonts w:ascii="Arial" w:cs="Arial" w:eastAsia="Arial" w:hAnsi="Arial"/>
          <w:sz w:val="17"/>
          <w:szCs w:val="17"/>
          <w:color w:val="auto"/>
        </w:rPr>
        <w:t>02, the species and doses used in our preclinical studies, and the results of our preclinical studies;</w:t>
      </w:r>
    </w:p>
    <w:p>
      <w:pPr>
        <w:spacing w:after="0" w:line="162" w:lineRule="exact"/>
        <w:rPr>
          <w:rFonts w:ascii="Arial" w:cs="Arial" w:eastAsia="Arial" w:hAnsi="Arial"/>
          <w:sz w:val="17"/>
          <w:szCs w:val="17"/>
          <w:color w:val="auto"/>
        </w:rPr>
      </w:pPr>
    </w:p>
    <w:p>
      <w:pPr>
        <w:ind w:left="660" w:hanging="333"/>
        <w:spacing w:after="0" w:line="21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belief that certain product attributes are advantageous or may require further study of product attributes that are different than our reference listed drugs. For instance, while we believe that certain of the pharmacokinetic results for AXS-06 are favorable, the FDA may disagree, refuse labeling claims based upon these results, or determine that additional studies are necessary to substantiate the benefits. Pharmacokinetic differences between our product candidates and the reference listed drugs, may also make bridging studies more difficult or may prevent us from using the 505(b)(2) pathway. If we are prevented from using the 505(b)(2) pathway, we will need to use the more time consuming and expensive NDA pathway to receive product approval;</w:t>
      </w:r>
    </w:p>
    <w:p>
      <w:pPr>
        <w:spacing w:after="0" w:line="164" w:lineRule="exact"/>
        <w:rPr>
          <w:rFonts w:ascii="Arial" w:cs="Arial" w:eastAsia="Arial" w:hAnsi="Arial"/>
          <w:sz w:val="18"/>
          <w:szCs w:val="18"/>
          <w:color w:val="auto"/>
        </w:rPr>
      </w:pPr>
    </w:p>
    <w:p>
      <w:pPr>
        <w:ind w:left="660" w:right="300" w:hanging="333"/>
        <w:spacing w:after="0" w:line="23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not accept data from studies with clinical trial sites in foreign countries;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intended indications;</w:t>
      </w:r>
    </w:p>
    <w:p>
      <w:pPr>
        <w:spacing w:after="0" w:line="184" w:lineRule="exact"/>
        <w:rPr>
          <w:rFonts w:ascii="Arial" w:cs="Arial" w:eastAsia="Arial" w:hAnsi="Arial"/>
          <w:sz w:val="18"/>
          <w:szCs w:val="18"/>
          <w:color w:val="auto"/>
        </w:rPr>
      </w:pPr>
    </w:p>
    <w:p>
      <w:pPr>
        <w:ind w:left="660" w:right="580" w:hanging="333"/>
        <w:spacing w:after="0" w:line="25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or subsequently find fault with the manufacturing processes or our manufacturing facilities for clinical and future commercial supplies;</w:t>
      </w:r>
    </w:p>
    <w:p>
      <w:pPr>
        <w:spacing w:after="0" w:line="146" w:lineRule="exact"/>
        <w:rPr>
          <w:rFonts w:ascii="Arial" w:cs="Arial" w:eastAsia="Arial" w:hAnsi="Arial"/>
          <w:sz w:val="17"/>
          <w:szCs w:val="17"/>
          <w:color w:val="auto"/>
        </w:rPr>
      </w:pPr>
    </w:p>
    <w:p>
      <w:pPr>
        <w:ind w:left="660" w:right="100" w:hanging="333"/>
        <w:spacing w:after="0" w:line="23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take longer than we anticipate to make a decision on our product candidates; and</w:t>
      </w:r>
    </w:p>
    <w:p>
      <w:pPr>
        <w:spacing w:after="0" w:line="161" w:lineRule="exact"/>
        <w:rPr>
          <w:rFonts w:ascii="Arial" w:cs="Arial" w:eastAsia="Arial" w:hAnsi="Arial"/>
          <w:sz w:val="18"/>
          <w:szCs w:val="18"/>
          <w:color w:val="auto"/>
        </w:rPr>
      </w:pPr>
    </w:p>
    <w:p>
      <w:pPr>
        <w:ind w:left="660" w:right="100" w:hanging="333"/>
        <w:spacing w:after="0" w:line="23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be able to demonstrate that a product candidate provides an advantage over current standards of care or current or future competitive therapies in development.</w:t>
      </w:r>
    </w:p>
    <w:p>
      <w:pPr>
        <w:spacing w:after="0" w:line="162" w:lineRule="exact"/>
        <w:rPr>
          <w:sz w:val="20"/>
          <w:szCs w:val="20"/>
          <w:color w:val="auto"/>
        </w:rPr>
      </w:pPr>
    </w:p>
    <w:p>
      <w:pPr>
        <w:jc w:val="both"/>
        <w:ind w:right="180" w:firstLine="648"/>
        <w:spacing w:after="0" w:line="219" w:lineRule="auto"/>
        <w:rPr>
          <w:sz w:val="20"/>
          <w:szCs w:val="20"/>
          <w:color w:val="auto"/>
        </w:rPr>
      </w:pPr>
      <w:r>
        <w:rPr>
          <w:rFonts w:ascii="Arial" w:cs="Arial" w:eastAsia="Arial" w:hAnsi="Arial"/>
          <w:sz w:val="18"/>
          <w:szCs w:val="18"/>
          <w:color w:val="auto"/>
        </w:rPr>
        <w:t>Moreover, if we are required to conduct additional clinical trials or other testing of our product candidates beyond those that we currently contemplate, if we are unable to successfully complete clinical trials or other testing of our product candidates, if the results of these trials or tests are not positive, or are only modestly positive or if there are safety concerns, we may:</w:t>
      </w:r>
    </w:p>
    <w:p>
      <w:pPr>
        <w:spacing w:after="0" w:line="163" w:lineRule="exact"/>
        <w:rPr>
          <w:sz w:val="20"/>
          <w:szCs w:val="20"/>
          <w:color w:val="auto"/>
        </w:rPr>
      </w:pPr>
    </w:p>
    <w:p>
      <w:pPr>
        <w:ind w:left="660" w:hanging="333"/>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84" w:lineRule="exact"/>
        <w:rPr>
          <w:rFonts w:ascii="Arial" w:cs="Arial" w:eastAsia="Arial" w:hAnsi="Arial"/>
          <w:sz w:val="18"/>
          <w:szCs w:val="18"/>
          <w:color w:val="auto"/>
        </w:rPr>
      </w:pPr>
    </w:p>
    <w:p>
      <w:pPr>
        <w:ind w:left="660" w:right="100" w:hanging="333"/>
        <w:spacing w:after="0" w:line="23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 or are not covered by our intellectual property;</w:t>
      </w:r>
    </w:p>
    <w:p>
      <w:pPr>
        <w:spacing w:after="0" w:line="161" w:lineRule="exact"/>
        <w:rPr>
          <w:rFonts w:ascii="Arial" w:cs="Arial" w:eastAsia="Arial" w:hAnsi="Arial"/>
          <w:sz w:val="18"/>
          <w:szCs w:val="18"/>
          <w:color w:val="auto"/>
        </w:rPr>
      </w:pPr>
    </w:p>
    <w:p>
      <w:pPr>
        <w:jc w:val="both"/>
        <w:ind w:left="660" w:right="220" w:hanging="333"/>
        <w:spacing w:after="0" w:line="23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or distribution restrictions, including restrictions on the intended patient population, or safety warnings, including boxed warnings, contraindications, and precautions, or may not include label statements necessary or desirable for successful commercialization:</w:t>
      </w:r>
    </w:p>
    <w:p>
      <w:pPr>
        <w:spacing w:after="0" w:line="161" w:lineRule="exact"/>
        <w:rPr>
          <w:rFonts w:ascii="Arial" w:cs="Arial" w:eastAsia="Arial" w:hAnsi="Arial"/>
          <w:sz w:val="17"/>
          <w:szCs w:val="17"/>
          <w:color w:val="auto"/>
        </w:rPr>
      </w:pPr>
    </w:p>
    <w:p>
      <w:pPr>
        <w:ind w:left="660" w:hanging="333"/>
        <w:spacing w:after="0" w:line="207" w:lineRule="exact"/>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subject to additional post</w:t>
      </w:r>
      <w:r>
        <w:rPr>
          <w:rFonts w:ascii="MS PGothic" w:cs="MS PGothic" w:eastAsia="MS PGothic" w:hAnsi="MS PGothic"/>
          <w:sz w:val="18"/>
          <w:szCs w:val="18"/>
          <w:color w:val="auto"/>
        </w:rPr>
        <w:t>‑</w:t>
      </w:r>
      <w:r>
        <w:rPr>
          <w:rFonts w:ascii="Arial" w:cs="Arial" w:eastAsia="Arial" w:hAnsi="Arial"/>
          <w:sz w:val="18"/>
          <w:szCs w:val="18"/>
          <w:color w:val="auto"/>
        </w:rPr>
        <w:t>marketing testing and surveillance requirements, including REMS; or</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additional preclinical tests or clinical trials will be required, will begin as planned, will need to be restructured, or will be completed on schedule, or at all. Significant delays relating to any preclinical studies or clinical trials also could shorten any periods during which we may have the exclusive right to commercialize our product candidates or allow our competitors, or the competitors of our collaborators, to bring products to market before we do and impair our ability to successfully commercialize our product candidates and may harm our business and results of operations. In addition, many of the factors that cause, or lead to, such delays may ultimately lead to the denial of marketing approval of any of our product candidates. If any of this occurs, our business, financial condition, results of operations, and prospects will be materially harmed.</w:t>
      </w:r>
    </w:p>
    <w:p>
      <w:pPr>
        <w:spacing w:after="0" w:line="167" w:lineRule="exact"/>
        <w:rPr>
          <w:sz w:val="20"/>
          <w:szCs w:val="20"/>
          <w:color w:val="auto"/>
        </w:rPr>
      </w:pPr>
    </w:p>
    <w:p>
      <w:pPr>
        <w:ind w:right="120" w:firstLine="648"/>
        <w:spacing w:after="0" w:line="212" w:lineRule="auto"/>
        <w:rPr>
          <w:sz w:val="20"/>
          <w:szCs w:val="20"/>
          <w:color w:val="auto"/>
        </w:rPr>
      </w:pPr>
      <w:r>
        <w:rPr>
          <w:rFonts w:ascii="Arial" w:cs="Arial" w:eastAsia="Arial" w:hAnsi="Arial"/>
          <w:sz w:val="18"/>
          <w:szCs w:val="18"/>
          <w:color w:val="auto"/>
        </w:rPr>
        <w:t>Regulatory authorities have substantial discretion in the approval process and may refuse to accept any application or may decide that our data are insufficient for approval and require additional preclinical studies, clinical trials, or other studies. In addition, varying interpretations of the data obtained from preclinical and clinical testing could delay, limit, or prevent marketing approval of a product candidate. Furthermore, there is the possibility that the FDA or comparable foreign regulatory authorities have not previously reviewed product candidates for the indications we are pursuing, such as bisphosphonates for the treatment of pain. As a result, we may experience delays in regulatory approval due to uncertainties in the approval process.</w:t>
      </w:r>
    </w:p>
    <w:p>
      <w:pPr>
        <w:spacing w:after="0" w:line="165" w:lineRule="exact"/>
        <w:rPr>
          <w:sz w:val="20"/>
          <w:szCs w:val="20"/>
          <w:color w:val="auto"/>
        </w:rPr>
      </w:pPr>
    </w:p>
    <w:p>
      <w:pPr>
        <w:ind w:right="220" w:firstLine="648"/>
        <w:spacing w:after="0" w:line="183" w:lineRule="exact"/>
        <w:rPr>
          <w:sz w:val="20"/>
          <w:szCs w:val="20"/>
          <w:color w:val="auto"/>
        </w:rPr>
      </w:pPr>
      <w:r>
        <w:rPr>
          <w:rFonts w:ascii="Arial" w:cs="Arial" w:eastAsia="Arial" w:hAnsi="Arial"/>
          <w:sz w:val="18"/>
          <w:szCs w:val="18"/>
          <w:color w:val="auto"/>
        </w:rPr>
        <w:t>Finally, even if we were to obtain approval, regulatory authorities may approve any of our product candidates for fewer or more limited indications or uses than we request, may contain significant safety warnings, including black box warnings, contraindications, and precautions, may grant approval contingent on the performance of costly post</w:t>
      </w:r>
      <w:r>
        <w:rPr>
          <w:rFonts w:ascii="MS PGothic" w:cs="MS PGothic" w:eastAsia="MS PGothic" w:hAnsi="MS PGothic"/>
          <w:sz w:val="18"/>
          <w:szCs w:val="18"/>
          <w:color w:val="auto"/>
        </w:rPr>
        <w:t>‑</w:t>
      </w:r>
      <w:r>
        <w:rPr>
          <w:rFonts w:ascii="Arial" w:cs="Arial" w:eastAsia="Arial" w:hAnsi="Arial"/>
          <w:sz w:val="18"/>
          <w:szCs w:val="18"/>
          <w:color w:val="auto"/>
        </w:rPr>
        <w:t>marketing clinical trials, surveillance, or other requirements, including REMS to monitor the safety or efficacy of the product, or may approve a product candidate with a label that does not include the labeling claims necessary or desirable for the successful commercialization of that product candidate. Any of these scenarios could compromise the commercial prospects for our product candidates.</w:t>
      </w:r>
    </w:p>
    <w:p>
      <w:pPr>
        <w:spacing w:after="0" w:line="165" w:lineRule="exact"/>
        <w:rPr>
          <w:sz w:val="20"/>
          <w:szCs w:val="20"/>
          <w:color w:val="auto"/>
        </w:rPr>
      </w:pPr>
    </w:p>
    <w:p>
      <w:pPr>
        <w:jc w:val="both"/>
        <w:ind w:right="120" w:firstLine="648"/>
        <w:spacing w:after="0" w:line="219" w:lineRule="auto"/>
        <w:rPr>
          <w:sz w:val="20"/>
          <w:szCs w:val="20"/>
          <w:color w:val="auto"/>
        </w:rPr>
      </w:pPr>
      <w:r>
        <w:rPr>
          <w:rFonts w:ascii="Arial" w:cs="Arial" w:eastAsia="Arial" w:hAnsi="Arial"/>
          <w:sz w:val="18"/>
          <w:szCs w:val="18"/>
          <w:color w:val="auto"/>
        </w:rPr>
        <w:t>If we experience delays in obtaining approval, if we fail to obtain approval of a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will be materially impaired.</w:t>
      </w:r>
    </w:p>
    <w:p>
      <w:pPr>
        <w:spacing w:after="0" w:line="163"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b w:val="1"/>
          <w:bCs w:val="1"/>
          <w:i w:val="1"/>
          <w:iCs w:val="1"/>
          <w:color w:val="auto"/>
        </w:rPr>
        <w:t>The FDA may determine that any of our current or future product candidates have undesirable side effects that could delay or prevent their regulatory approval or commercialization.</w:t>
      </w:r>
    </w:p>
    <w:p>
      <w:pPr>
        <w:spacing w:after="0" w:line="162"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Undesirable side effects caused by our product candidates could cause us, IRBs, and other reviewing entities or regulatory authorities to interrupt, delay, or halt clinical trials and could result in a more restrictive label or the delay or denial of regulatory approval by the FDA or other comparable foreign authorities. For example, if concerns are raised regarding the safety of a new drug as a result of undesirable side effects identified during clinical or preclinical testing, the FDA may order us to cease further development, decline to approve the drug, or issue a letter requesting additional data or information prior to making a final decision regarding whether or not to approve the drug.</w:t>
      </w:r>
    </w:p>
    <w:p>
      <w:pPr>
        <w:spacing w:after="0" w:line="165" w:lineRule="exact"/>
        <w:rPr>
          <w:sz w:val="20"/>
          <w:szCs w:val="20"/>
          <w:color w:val="auto"/>
        </w:rPr>
      </w:pPr>
    </w:p>
    <w:p>
      <w:pPr>
        <w:ind w:right="20" w:firstLine="648"/>
        <w:spacing w:after="0" w:line="181" w:lineRule="exact"/>
        <w:rPr>
          <w:sz w:val="20"/>
          <w:szCs w:val="20"/>
          <w:color w:val="auto"/>
        </w:rPr>
      </w:pPr>
      <w:r>
        <w:rPr>
          <w:rFonts w:ascii="Arial" w:cs="Arial" w:eastAsia="Arial" w:hAnsi="Arial"/>
          <w:sz w:val="16"/>
          <w:szCs w:val="16"/>
          <w:color w:val="auto"/>
        </w:rPr>
        <w:t>The number of requests for additional data or information issued by the FDA in recent years has increased, and resulted in substantial delays in the approval of several new drugs. Undesirable side effects caused by any of our current or future product candidates could also result in denial of regulatory approval by the FDA or other comparable foreign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w:t>
      </w:r>
      <w:r>
        <w:rPr>
          <w:rFonts w:ascii="MS PGothic" w:cs="MS PGothic" w:eastAsia="MS PGothic" w:hAnsi="MS PGothic"/>
          <w:sz w:val="16"/>
          <w:szCs w:val="16"/>
          <w:color w:val="auto"/>
        </w:rPr>
        <w:t>‑</w:t>
      </w:r>
      <w:r>
        <w:rPr>
          <w:rFonts w:ascii="Arial" w:cs="Arial" w:eastAsia="Arial" w:hAnsi="Arial"/>
          <w:sz w:val="16"/>
          <w:szCs w:val="16"/>
          <w:color w:val="auto"/>
        </w:rPr>
        <w:t>marketing testing and surveillance, or other requirements, including REMS, to monitor the safety or efficacy of the products, and in turn prevent us from commercializing and generating revenues from the sale of any of our current or future product candidates.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60" w:firstLine="648"/>
        <w:spacing w:after="0" w:line="194" w:lineRule="exact"/>
        <w:rPr>
          <w:sz w:val="20"/>
          <w:szCs w:val="20"/>
          <w:color w:val="auto"/>
        </w:rPr>
      </w:pPr>
      <w:r>
        <w:rPr>
          <w:rFonts w:ascii="Arial" w:cs="Arial" w:eastAsia="Arial" w:hAnsi="Arial"/>
          <w:sz w:val="17"/>
          <w:szCs w:val="17"/>
          <w:color w:val="auto"/>
        </w:rPr>
        <w:t>To date, the most commonly reported adverse events observed in the completed clinical trial of AXS</w:t>
      </w:r>
      <w:r>
        <w:rPr>
          <w:rFonts w:ascii="MS PGothic" w:cs="MS PGothic" w:eastAsia="MS PGothic" w:hAnsi="MS PGothic"/>
          <w:sz w:val="17"/>
          <w:szCs w:val="17"/>
          <w:color w:val="auto"/>
        </w:rPr>
        <w:t>‑</w:t>
      </w:r>
      <w:r>
        <w:rPr>
          <w:rFonts w:ascii="Arial" w:cs="Arial" w:eastAsia="Arial" w:hAnsi="Arial"/>
          <w:sz w:val="17"/>
          <w:szCs w:val="17"/>
          <w:color w:val="auto"/>
        </w:rPr>
        <w:t>02 include headache, fever, musculoskeletal pain, diarrhea, abdominal pain, nausea, myalgia, and chills. Some reported adverse events led to discontinuation from our trial of AXS</w:t>
      </w:r>
      <w:r>
        <w:rPr>
          <w:rFonts w:ascii="MS PGothic" w:cs="MS PGothic" w:eastAsia="MS PGothic" w:hAnsi="MS PGothic"/>
          <w:sz w:val="17"/>
          <w:szCs w:val="17"/>
          <w:color w:val="auto"/>
        </w:rPr>
        <w:t>‑</w:t>
      </w:r>
      <w:r>
        <w:rPr>
          <w:rFonts w:ascii="Arial" w:cs="Arial" w:eastAsia="Arial" w:hAnsi="Arial"/>
          <w:sz w:val="17"/>
          <w:szCs w:val="17"/>
          <w:color w:val="auto"/>
        </w:rPr>
        <w:t>02. These adverse events included abdominal pain.</w:t>
      </w:r>
    </w:p>
    <w:p>
      <w:pPr>
        <w:spacing w:after="0" w:line="161" w:lineRule="exact"/>
        <w:rPr>
          <w:sz w:val="20"/>
          <w:szCs w:val="20"/>
          <w:color w:val="auto"/>
        </w:rPr>
      </w:pPr>
    </w:p>
    <w:p>
      <w:pPr>
        <w:ind w:right="80" w:firstLine="648"/>
        <w:spacing w:after="0" w:line="194" w:lineRule="exact"/>
        <w:rPr>
          <w:sz w:val="20"/>
          <w:szCs w:val="20"/>
          <w:color w:val="auto"/>
        </w:rPr>
      </w:pPr>
      <w:r>
        <w:rPr>
          <w:rFonts w:ascii="Arial" w:cs="Arial" w:eastAsia="Arial" w:hAnsi="Arial"/>
          <w:sz w:val="18"/>
          <w:szCs w:val="18"/>
          <w:color w:val="auto"/>
        </w:rPr>
        <w:t>To date, the most commonly reported adverse events observed in a completed clinical trial with zoledronic acid, the active molecule in AXS</w:t>
      </w:r>
      <w:r>
        <w:rPr>
          <w:rFonts w:ascii="MS PGothic" w:cs="MS PGothic" w:eastAsia="MS PGothic" w:hAnsi="MS PGothic"/>
          <w:sz w:val="18"/>
          <w:szCs w:val="18"/>
          <w:color w:val="auto"/>
        </w:rPr>
        <w:t>‑</w:t>
      </w:r>
      <w:r>
        <w:rPr>
          <w:rFonts w:ascii="Arial" w:cs="Arial" w:eastAsia="Arial" w:hAnsi="Arial"/>
          <w:sz w:val="18"/>
          <w:szCs w:val="18"/>
          <w:color w:val="auto"/>
        </w:rPr>
        <w:t>02, for the treatment of the pain of knee OA associated with BMLs include acute phase reactions, primarily cold or flu</w:t>
      </w:r>
      <w:r>
        <w:rPr>
          <w:rFonts w:ascii="MS PGothic" w:cs="MS PGothic" w:eastAsia="MS PGothic" w:hAnsi="MS PGothic"/>
          <w:sz w:val="18"/>
          <w:szCs w:val="18"/>
          <w:color w:val="auto"/>
        </w:rPr>
        <w:t>‑</w:t>
      </w:r>
      <w:r>
        <w:rPr>
          <w:rFonts w:ascii="Arial" w:cs="Arial" w:eastAsia="Arial" w:hAnsi="Arial"/>
          <w:sz w:val="18"/>
          <w:szCs w:val="18"/>
          <w:color w:val="auto"/>
        </w:rPr>
        <w:t>like symptoms and headaches.</w:t>
      </w:r>
    </w:p>
    <w:p>
      <w:pPr>
        <w:spacing w:after="0" w:line="163" w:lineRule="exact"/>
        <w:rPr>
          <w:sz w:val="20"/>
          <w:szCs w:val="20"/>
          <w:color w:val="auto"/>
        </w:rPr>
      </w:pPr>
    </w:p>
    <w:p>
      <w:pPr>
        <w:ind w:right="80" w:firstLine="648"/>
        <w:spacing w:after="0" w:line="189" w:lineRule="exact"/>
        <w:rPr>
          <w:sz w:val="20"/>
          <w:szCs w:val="20"/>
          <w:color w:val="auto"/>
        </w:rPr>
      </w:pPr>
      <w:r>
        <w:rPr>
          <w:rFonts w:ascii="Arial" w:cs="Arial" w:eastAsia="Arial" w:hAnsi="Arial"/>
          <w:sz w:val="17"/>
          <w:szCs w:val="17"/>
          <w:color w:val="auto"/>
        </w:rPr>
        <w:t>To date, the most commonly reported adverse events observed in a completed clinical trial with zoledronic acid, the active molecule in AXS</w:t>
      </w:r>
      <w:r>
        <w:rPr>
          <w:rFonts w:ascii="MS PGothic" w:cs="MS PGothic" w:eastAsia="MS PGothic" w:hAnsi="MS PGothic"/>
          <w:sz w:val="17"/>
          <w:szCs w:val="17"/>
          <w:color w:val="auto"/>
        </w:rPr>
        <w:t>‑</w:t>
      </w:r>
      <w:r>
        <w:rPr>
          <w:rFonts w:ascii="Arial" w:cs="Arial" w:eastAsia="Arial" w:hAnsi="Arial"/>
          <w:sz w:val="17"/>
          <w:szCs w:val="17"/>
          <w:color w:val="auto"/>
        </w:rPr>
        <w:t>02, for the treatment of CLBP associated with MCs include fever, headache, myalgia, arthralgia, pain, nausea, and flu</w:t>
      </w:r>
      <w:r>
        <w:rPr>
          <w:rFonts w:ascii="MS PGothic" w:cs="MS PGothic" w:eastAsia="MS PGothic" w:hAnsi="MS PGothic"/>
          <w:sz w:val="17"/>
          <w:szCs w:val="17"/>
          <w:color w:val="auto"/>
        </w:rPr>
        <w:t>‑</w:t>
      </w:r>
      <w:r>
        <w:rPr>
          <w:rFonts w:ascii="Arial" w:cs="Arial" w:eastAsia="Arial" w:hAnsi="Arial"/>
          <w:sz w:val="17"/>
          <w:szCs w:val="17"/>
          <w:color w:val="auto"/>
        </w:rPr>
        <w:t>like symptoms. Sinusitis requiring temporary hospitalization following zoledronic acid infusion was reported in one patient and was therefore classified as a serious adverse event.</w:t>
      </w:r>
    </w:p>
    <w:p>
      <w:pPr>
        <w:spacing w:after="0" w:line="163" w:lineRule="exact"/>
        <w:rPr>
          <w:sz w:val="20"/>
          <w:szCs w:val="20"/>
          <w:color w:val="auto"/>
        </w:rPr>
      </w:pPr>
    </w:p>
    <w:p>
      <w:pPr>
        <w:jc w:val="both"/>
        <w:ind w:right="100" w:firstLine="648"/>
        <w:spacing w:after="0" w:line="194" w:lineRule="exact"/>
        <w:rPr>
          <w:sz w:val="20"/>
          <w:szCs w:val="20"/>
          <w:color w:val="auto"/>
        </w:rPr>
      </w:pPr>
      <w:r>
        <w:rPr>
          <w:rFonts w:ascii="Arial" w:cs="Arial" w:eastAsia="Arial" w:hAnsi="Arial"/>
          <w:sz w:val="17"/>
          <w:szCs w:val="17"/>
          <w:color w:val="auto"/>
        </w:rPr>
        <w:t>To date, the most commonly reported adverse events observed in the completed clinical trials of the combination of DM, one of the active molecules in AXS</w:t>
      </w:r>
      <w:r>
        <w:rPr>
          <w:rFonts w:ascii="MS PGothic" w:cs="MS PGothic" w:eastAsia="MS PGothic" w:hAnsi="MS PGothic"/>
          <w:sz w:val="17"/>
          <w:szCs w:val="17"/>
          <w:color w:val="auto"/>
        </w:rPr>
        <w:t>‑</w:t>
      </w:r>
      <w:r>
        <w:rPr>
          <w:rFonts w:ascii="Arial" w:cs="Arial" w:eastAsia="Arial" w:hAnsi="Arial"/>
          <w:sz w:val="17"/>
          <w:szCs w:val="17"/>
          <w:color w:val="auto"/>
        </w:rPr>
        <w:t>05, and quinidine for the treatment of pseudobulbar affect and agitation in patients with probable AD include falls, dizziness, headache, nausea, diarrhea, and urinary tract infection.</w:t>
      </w:r>
    </w:p>
    <w:p>
      <w:pPr>
        <w:spacing w:after="0" w:line="161" w:lineRule="exact"/>
        <w:rPr>
          <w:sz w:val="20"/>
          <w:szCs w:val="20"/>
          <w:color w:val="auto"/>
        </w:rPr>
      </w:pPr>
    </w:p>
    <w:p>
      <w:pPr>
        <w:ind w:firstLine="648"/>
        <w:spacing w:after="0" w:line="182" w:lineRule="exact"/>
        <w:rPr>
          <w:sz w:val="20"/>
          <w:szCs w:val="20"/>
          <w:color w:val="auto"/>
        </w:rPr>
      </w:pPr>
      <w:r>
        <w:rPr>
          <w:rFonts w:ascii="Arial" w:cs="Arial" w:eastAsia="Arial" w:hAnsi="Arial"/>
          <w:sz w:val="18"/>
          <w:szCs w:val="18"/>
          <w:color w:val="auto"/>
        </w:rPr>
        <w:t>To date, the most commonly reported adverse events observed in the completed clinical trials of AXS</w:t>
      </w:r>
      <w:r>
        <w:rPr>
          <w:rFonts w:ascii="MS PGothic" w:cs="MS PGothic" w:eastAsia="MS PGothic" w:hAnsi="MS PGothic"/>
          <w:sz w:val="18"/>
          <w:szCs w:val="18"/>
          <w:color w:val="auto"/>
        </w:rPr>
        <w:t>‑</w:t>
      </w:r>
      <w:r>
        <w:rPr>
          <w:rFonts w:ascii="Arial" w:cs="Arial" w:eastAsia="Arial" w:hAnsi="Arial"/>
          <w:sz w:val="18"/>
          <w:szCs w:val="18"/>
          <w:color w:val="auto"/>
        </w:rPr>
        <w:t>05 include headache, nausea, dizziness, insomnia, dry mouth, fatigue, hypoesthesia, disturbance in attention, hyperhidrosis, increased heart rate, palpitation, constipation, diarrhea, increased blood pressure, and tremor. Some reported adverse events resulted in discontinuations from our trials of AXS</w:t>
      </w:r>
      <w:r>
        <w:rPr>
          <w:rFonts w:ascii="MS PGothic" w:cs="MS PGothic" w:eastAsia="MS PGothic" w:hAnsi="MS PGothic"/>
          <w:sz w:val="18"/>
          <w:szCs w:val="18"/>
          <w:color w:val="auto"/>
        </w:rPr>
        <w:t>‑</w:t>
      </w:r>
      <w:r>
        <w:rPr>
          <w:rFonts w:ascii="Arial" w:cs="Arial" w:eastAsia="Arial" w:hAnsi="Arial"/>
          <w:sz w:val="18"/>
          <w:szCs w:val="18"/>
          <w:color w:val="auto"/>
        </w:rPr>
        <w:t>05. These adverse events included chest pain, headache, abdominal pain, diarrhea, signs of potential allergic reactions, atrial tachycardia, disturbance in attention, metamorphosia, tremor, feeling hot, dizziness, dyspnea, and increased respiratory rate. AXS-05 consists of DM and bupropion, and this combination may exacerbate any known adverse events for each individual component, or may result in new toxicities as compared to those of the individual components.</w:t>
      </w:r>
    </w:p>
    <w:p>
      <w:pPr>
        <w:spacing w:after="0" w:line="165" w:lineRule="exact"/>
        <w:rPr>
          <w:sz w:val="20"/>
          <w:szCs w:val="20"/>
          <w:color w:val="auto"/>
        </w:rPr>
      </w:pPr>
    </w:p>
    <w:p>
      <w:pPr>
        <w:ind w:firstLine="648"/>
        <w:spacing w:after="0" w:line="185" w:lineRule="exact"/>
        <w:rPr>
          <w:sz w:val="20"/>
          <w:szCs w:val="20"/>
          <w:color w:val="auto"/>
        </w:rPr>
      </w:pPr>
      <w:r>
        <w:rPr>
          <w:rFonts w:ascii="Arial" w:cs="Arial" w:eastAsia="Arial" w:hAnsi="Arial"/>
          <w:sz w:val="17"/>
          <w:szCs w:val="17"/>
          <w:color w:val="auto"/>
        </w:rPr>
        <w:t>If any of our other product candidates is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w:t>
      </w:r>
      <w:r>
        <w:rPr>
          <w:rFonts w:ascii="MS PGothic" w:cs="MS PGothic" w:eastAsia="MS PGothic" w:hAnsi="MS PGothic"/>
          <w:sz w:val="17"/>
          <w:szCs w:val="17"/>
          <w:color w:val="auto"/>
        </w:rPr>
        <w:t>‑</w:t>
      </w:r>
      <w:r>
        <w:rPr>
          <w:rFonts w:ascii="Arial" w:cs="Arial" w:eastAsia="Arial" w:hAnsi="Arial"/>
          <w:sz w:val="17"/>
          <w:szCs w:val="17"/>
          <w:color w:val="auto"/>
        </w:rPr>
        <w:t>benefit perspective. The drug</w:t>
      </w:r>
      <w:r>
        <w:rPr>
          <w:rFonts w:ascii="MS PGothic" w:cs="MS PGothic" w:eastAsia="MS PGothic" w:hAnsi="MS PGothic"/>
          <w:sz w:val="17"/>
          <w:szCs w:val="17"/>
          <w:color w:val="auto"/>
        </w:rPr>
        <w:t>‑</w:t>
      </w:r>
      <w:r>
        <w:rPr>
          <w:rFonts w:ascii="Arial" w:cs="Arial" w:eastAsia="Arial" w:hAnsi="Arial"/>
          <w:sz w:val="17"/>
          <w:szCs w:val="17"/>
          <w:color w:val="auto"/>
        </w:rPr>
        <w:t>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spacing w:after="0" w:line="165"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62" w:lineRule="exact"/>
        <w:rPr>
          <w:sz w:val="20"/>
          <w:szCs w:val="20"/>
          <w:color w:val="auto"/>
        </w:rPr>
      </w:pPr>
    </w:p>
    <w:p>
      <w:pPr>
        <w:ind w:right="140" w:firstLine="648"/>
        <w:spacing w:after="0" w:line="214" w:lineRule="auto"/>
        <w:rPr>
          <w:sz w:val="20"/>
          <w:szCs w:val="20"/>
          <w:color w:val="auto"/>
        </w:rPr>
      </w:pPr>
      <w:r>
        <w:rPr>
          <w:rFonts w:ascii="Arial" w:cs="Arial" w:eastAsia="Arial" w:hAnsi="Arial"/>
          <w:sz w:val="18"/>
          <w:szCs w:val="18"/>
          <w:color w:val="auto"/>
        </w:rPr>
        <w:t>We may not be able to initiate or continue conducting clinical trials for our product candidates if we are unable to locate and enroll a sufficient number of eligible patients to participate in these trials as required by the FDA or similar regulatory authorities outside the United States.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Patient enrollment is affected by other factors including:</w:t>
      </w:r>
    </w:p>
    <w:p>
      <w:pPr>
        <w:spacing w:after="0" w:line="162" w:lineRule="exact"/>
        <w:rPr>
          <w:sz w:val="20"/>
          <w:szCs w:val="20"/>
          <w:color w:val="auto"/>
        </w:rPr>
      </w:pPr>
    </w:p>
    <w:p>
      <w:pPr>
        <w:ind w:left="660" w:hanging="333"/>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84" w:lineRule="exact"/>
        <w:rPr>
          <w:rFonts w:ascii="Arial" w:cs="Arial" w:eastAsia="Arial" w:hAnsi="Arial"/>
          <w:sz w:val="18"/>
          <w:szCs w:val="18"/>
          <w:color w:val="auto"/>
        </w:rPr>
      </w:pPr>
    </w:p>
    <w:p>
      <w:pPr>
        <w:ind w:left="660" w:right="40" w:hanging="333"/>
        <w:spacing w:after="0" w:line="235"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eligibility criteria for, and design of, the clinical trial in question, including factors such as frequency of required assessments, length of the study, and ongoing monitoring requirements;</w:t>
      </w:r>
    </w:p>
    <w:p>
      <w:pPr>
        <w:spacing w:after="0" w:line="161" w:lineRule="exact"/>
        <w:rPr>
          <w:rFonts w:ascii="Arial" w:cs="Arial" w:eastAsia="Arial" w:hAnsi="Arial"/>
          <w:sz w:val="18"/>
          <w:szCs w:val="18"/>
          <w:color w:val="auto"/>
        </w:rPr>
      </w:pPr>
    </w:p>
    <w:p>
      <w:pPr>
        <w:ind w:left="660" w:right="720" w:hanging="333"/>
        <w:spacing w:after="0" w:line="289"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perceived risks and benefits of the product candidate under study, including the potential advantages or disadvantages of the product candidate being studied in relation to other available therapies;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competition in recruiting and enrolling patients in clinical trials;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effectiveness of publicity created by clinical trial sites regarding the trial;</w:t>
      </w:r>
    </w:p>
    <w:p>
      <w:pPr>
        <w:spacing w:after="0" w:line="184" w:lineRule="exact"/>
        <w:rPr>
          <w:rFonts w:ascii="Arial" w:cs="Arial" w:eastAsia="Arial" w:hAnsi="Arial"/>
          <w:sz w:val="18"/>
          <w:szCs w:val="18"/>
          <w:color w:val="auto"/>
        </w:rPr>
      </w:pPr>
    </w:p>
    <w:p>
      <w:pPr>
        <w:ind w:left="660" w:right="120" w:hanging="333"/>
        <w:spacing w:after="0" w:line="235"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patients’ ability to comply with the specific instructions related to the trial protocol, proper documentation, and use of the drug product;</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obtain or maintain patient informed consents;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 that enrolled patients will drop out before completion;</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185" w:lineRule="exact"/>
        <w:rPr>
          <w:sz w:val="20"/>
          <w:szCs w:val="20"/>
          <w:color w:val="auto"/>
        </w:rPr>
      </w:pPr>
    </w:p>
    <w:p>
      <w:pPr>
        <w:ind w:firstLine="648"/>
        <w:spacing w:after="0" w:line="219" w:lineRule="auto"/>
        <w:rPr>
          <w:sz w:val="20"/>
          <w:szCs w:val="20"/>
          <w:color w:val="auto"/>
        </w:rPr>
      </w:pPr>
      <w:r>
        <w:rPr>
          <w:rFonts w:ascii="Arial" w:cs="Arial" w:eastAsia="Arial" w:hAnsi="Arial"/>
          <w:sz w:val="17"/>
          <w:szCs w:val="17"/>
          <w:color w:val="auto"/>
        </w:rPr>
        <w:t>Our inability to enroll a sufficient number of patients for our clinical trials would result in significant delays which would cause us to miss our projected timelines and could require us to abandon one or more clinical trials altogether. For instance, because we are seeking regulatory approval for certain indications that may have a narrow or small patient population, it may be difficult to find patients eligible to participate in our clinical studies at a sufficient rate or in a sufficient quantity. For our initiated Phase 3 clinical trial with AXS-02 for the treatment of the pain of knee OA associated with BMLs and our planned Phase 3 clinical trial in CLBP associated with type 1 or mixed type 1 and type 2 MCs, enrollment will require the existence of radiographic biomarkers, we may require patients to discontinue use of their existing medication before participating in our clinical trials, and we may exclude patients with advanced disease. In addition, for our planned Phase 3 clinical trial with AXS-02 in CLBP associated with type 1 or mixed type 1 and type 2 MCs, we will exclude women of childbearing potential from our potential patient population. We may also exclude patients who have been treated with opioids or other classes of medications. For our Phase 3 clinical trial with AXS-05 for the treatment of TRD, we are requiring patients to have previously failed one or two antidepressant treatments, which further limits our potential patient population. For our Phase 2/3 clinical trial with AXS-05 for the treatment of agitation associated with AD, we exclude patients who have been treated with certain classes of medications. As a result, these and other entry criteria may make it difficult for us to enroll patients in any of our clinical trials. We may be required by the FDA to modify the entry criteria for our ongoing or planned Phase 3 clinical trials and these changes may make it more difficult to enroll patients in our clinical trials. Moreover, patients in our clinical trials, especially patients in our control groups, may be at risk for dropping out of our studies if they are not experiencing relief of their symptoms. A significant number of withdrawn patients would compromise the quality of our data.</w:t>
      </w:r>
    </w:p>
    <w:p>
      <w:pPr>
        <w:spacing w:after="0" w:line="163" w:lineRule="exact"/>
        <w:rPr>
          <w:sz w:val="20"/>
          <w:szCs w:val="20"/>
          <w:color w:val="auto"/>
        </w:rPr>
      </w:pPr>
    </w:p>
    <w:p>
      <w:pPr>
        <w:jc w:val="both"/>
        <w:ind w:right="120" w:firstLine="648"/>
        <w:spacing w:after="0" w:line="238" w:lineRule="auto"/>
        <w:rPr>
          <w:sz w:val="20"/>
          <w:szCs w:val="20"/>
          <w:color w:val="auto"/>
        </w:rPr>
      </w:pPr>
      <w:r>
        <w:rPr>
          <w:rFonts w:ascii="Arial" w:cs="Arial" w:eastAsia="Arial" w:hAnsi="Arial"/>
          <w:sz w:val="17"/>
          <w:szCs w:val="17"/>
          <w:color w:val="auto"/>
        </w:rPr>
        <w:t>Enrollment delays in our clinical trials may result in increased development costs for our product candidates, or the inability to complete development of our product candidates, which would cause the value of our company to decline, limit our ability to obtain additional financing, and materially impair our ability to generate revenues.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i w:val="1"/>
          <w:iCs w:val="1"/>
          <w:color w:val="auto"/>
        </w:rPr>
        <w:t>Currently approved products containing bupropion are subject to restrictive marketing and distribution regulations, which if applied to our product candidates would restrict their use and harm our ability to generate profits.</w:t>
      </w:r>
    </w:p>
    <w:p>
      <w:pPr>
        <w:spacing w:after="0" w:line="124" w:lineRule="exact"/>
        <w:rPr>
          <w:sz w:val="20"/>
          <w:szCs w:val="20"/>
          <w:color w:val="auto"/>
        </w:rPr>
      </w:pPr>
    </w:p>
    <w:p>
      <w:pPr>
        <w:ind w:right="20" w:firstLine="648"/>
        <w:spacing w:after="0" w:line="234" w:lineRule="auto"/>
        <w:rPr>
          <w:sz w:val="20"/>
          <w:szCs w:val="20"/>
          <w:color w:val="auto"/>
        </w:rPr>
      </w:pPr>
      <w:r>
        <w:rPr>
          <w:rFonts w:ascii="Arial" w:cs="Arial" w:eastAsia="Arial" w:hAnsi="Arial"/>
          <w:sz w:val="16"/>
          <w:szCs w:val="16"/>
          <w:color w:val="auto"/>
        </w:rPr>
        <w:t>Some of the currently approved products containing the same active ingredients as our product candidates require medication guides. Medication guides can be required independently or as part of REMS programs. REMS programs, in addition to medication guides, may require special communication plans to healthcare professionals, or elements to assure safe use, such as restricted distribution methods, distribution only to certain medical professionals, training for medical professionals prescribing our product candidates, patient registries, or other risk minimization tools. The FDA may determine that our product candidates will require a REMS program or medication guide. We cannot predict whether either will be required as part of the FDA’s approval of our product candidates and, if required, what those requirements might be. Any limitations on approval or marketing could restrict the commercial promotion, distribution, prescription, or dispensing of our product candidates, if approved. If a REMS program is required, depending on the extent of the REMS requirements, the program might significantly increase our costs to commercialize these product candidates or could place a substantial burden on medical professionals, discouraging their use of our product candidates, if approved. Furthermore, risks of our product candidates that are not adequately addressed through proposed REMS or medication guides for such product candidates may also prevent or delay their approval for commercialization.</w:t>
      </w:r>
    </w:p>
    <w:p>
      <w:pPr>
        <w:spacing w:after="0" w:line="18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Development of combination product candidates may present more or different challenges than development of a single agent product candidate.</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Certain of our product candidates, including AXS-05, AXS-06, AXS-07, and AXS-09 are combination therapies. A combination therapy is a single drug product that consists of two or more active ingredients, with each component making a contribution to the claimed effect of the drug. The development of combination drugs may be more complex than the development of single agent products and generally requires that sponsors demonstrate the contribution of each component to the claimed effect and the safety and efficacy of the product as a whole. This requirement may make the design and conduct of clinical trials more complex, requiring more clinical trial subjects. We also may not be able to meet the FDA’s approval standards required for combination products. Finally, the FDA’s requirements concerning combination products may change in the future.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product candidate manufacturing or formulation may result in additional costs or delay.</w:t>
      </w:r>
    </w:p>
    <w:p>
      <w:pPr>
        <w:spacing w:after="0" w:line="185"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As product candidates are developed through preclinical studies to late</w:t>
      </w:r>
      <w:r>
        <w:rPr>
          <w:rFonts w:ascii="MS PGothic" w:cs="MS PGothic" w:eastAsia="MS PGothic" w:hAnsi="MS PGothic"/>
          <w:sz w:val="16"/>
          <w:szCs w:val="16"/>
          <w:color w:val="auto"/>
        </w:rPr>
        <w:t>‑</w:t>
      </w:r>
      <w:r>
        <w:rPr>
          <w:rFonts w:ascii="Arial" w:cs="Arial" w:eastAsia="Arial" w:hAnsi="Arial"/>
          <w:sz w:val="16"/>
          <w:szCs w:val="16"/>
          <w:color w:val="auto"/>
        </w:rPr>
        <w:t>stage clinical trials towards approval and commercialization, it is common that various aspects of the development program, such as manufacturing methods and formulation, are altered along the way in an effort to optimize processes and results. For instance, two of our initial studies of AXS</w:t>
      </w:r>
      <w:r>
        <w:rPr>
          <w:rFonts w:ascii="MS PGothic" w:cs="MS PGothic" w:eastAsia="MS PGothic" w:hAnsi="MS PGothic"/>
          <w:sz w:val="16"/>
          <w:szCs w:val="16"/>
          <w:color w:val="auto"/>
        </w:rPr>
        <w:t>‑</w:t>
      </w:r>
      <w:r>
        <w:rPr>
          <w:rFonts w:ascii="Arial" w:cs="Arial" w:eastAsia="Arial" w:hAnsi="Arial"/>
          <w:sz w:val="16"/>
          <w:szCs w:val="16"/>
          <w:color w:val="auto"/>
        </w:rPr>
        <w:t>05 were completed with two separate tablets containing DM and bupropion. Our Phase 3 studies, however, are being conducted using a single tablet containing both active ingredients.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Such changes may also require additional testing, FDA notification, or FDA approval. This could delay completion of clinical trials; require the conduct of bridging clinical trials or studies, or the repetition of one or more clinical trials; increase clinical trial costs; delay approval of our product candidates; and jeopardize our ability to commence product sales and generate revenue.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b w:val="1"/>
          <w:bCs w:val="1"/>
          <w:i w:val="1"/>
          <w:iCs w:val="1"/>
          <w:color w:val="auto"/>
        </w:rPr>
        <w:t>Failure to obtain marketing approval in international jurisdictions would prevent our product candidates from being marketed abroad.</w:t>
      </w:r>
    </w:p>
    <w:p>
      <w:pPr>
        <w:spacing w:after="0" w:line="162"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In order to market and sell our products in the European Union, or EU, and many other jurisdictions, we or our third</w:t>
      </w:r>
      <w:r>
        <w:rPr>
          <w:rFonts w:ascii="MS PGothic" w:cs="MS PGothic" w:eastAsia="MS PGothic" w:hAnsi="MS PGothic"/>
          <w:sz w:val="17"/>
          <w:szCs w:val="17"/>
          <w:color w:val="auto"/>
        </w:rPr>
        <w:t>‑</w:t>
      </w:r>
      <w:r>
        <w:rPr>
          <w:rFonts w:ascii="Arial" w:cs="Arial" w:eastAsia="Arial" w:hAnsi="Arial"/>
          <w:sz w:val="17"/>
          <w:szCs w:val="17"/>
          <w:color w:val="auto"/>
        </w:rPr>
        <w:t>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the failure to obtain approval in one jurisdiction may compromise our ability to obtain approval elsewhere. We may not be able to file for marketing approvals and may not receive necessary approvals to commercialize our products in any market.</w:t>
      </w:r>
    </w:p>
    <w:p>
      <w:pPr>
        <w:spacing w:after="0" w:line="163" w:lineRule="exact"/>
        <w:rPr>
          <w:sz w:val="20"/>
          <w:szCs w:val="20"/>
          <w:color w:val="auto"/>
        </w:rPr>
      </w:pPr>
    </w:p>
    <w:p>
      <w:pPr>
        <w:jc w:val="both"/>
        <w:ind w:right="100"/>
        <w:spacing w:after="0" w:line="224" w:lineRule="auto"/>
        <w:rPr>
          <w:sz w:val="20"/>
          <w:szCs w:val="20"/>
          <w:color w:val="auto"/>
        </w:rPr>
      </w:pPr>
      <w:r>
        <w:rPr>
          <w:rFonts w:ascii="Arial" w:cs="Arial" w:eastAsia="Arial" w:hAnsi="Arial"/>
          <w:sz w:val="18"/>
          <w:szCs w:val="18"/>
          <w:b w:val="1"/>
          <w:bCs w:val="1"/>
          <w:i w:val="1"/>
          <w:iCs w:val="1"/>
          <w:color w:val="auto"/>
        </w:rPr>
        <w:t>A Fast Track product designation or other designation to facilitate product candidate development may not lead to faster development or regulatory review or approval process, and it does not increase the likelihood that our product candidates will receive marketing approval.</w:t>
      </w:r>
    </w:p>
    <w:p>
      <w:pPr>
        <w:spacing w:after="0" w:line="163" w:lineRule="exact"/>
        <w:rPr>
          <w:sz w:val="20"/>
          <w:szCs w:val="20"/>
          <w:color w:val="auto"/>
        </w:rPr>
      </w:pPr>
    </w:p>
    <w:p>
      <w:pPr>
        <w:ind w:right="60" w:firstLine="648"/>
        <w:spacing w:after="0" w:line="237" w:lineRule="auto"/>
        <w:rPr>
          <w:sz w:val="20"/>
          <w:szCs w:val="20"/>
          <w:color w:val="auto"/>
        </w:rPr>
      </w:pPr>
      <w:r>
        <w:rPr>
          <w:rFonts w:ascii="Arial" w:cs="Arial" w:eastAsia="Arial" w:hAnsi="Arial"/>
          <w:sz w:val="16"/>
          <w:szCs w:val="16"/>
          <w:color w:val="auto"/>
        </w:rPr>
        <w:t>We have received a Fast Track product designation for AXS-02 for the treatment of the pain of knee OA associated with BMLs, and for AXS-05 for both the treatment of TRD as well as for the treatment of agitation associated with AD, and we may seek Fast Track designation for other of our current or future product candidates. Receipt of a designation to facilitate product candidate development is within the discretion of the FDA. Accordingly, even if we believe one of our product candidates meets the criteria for a designation, the FDA may disagree. In any event, the receipt of such a designation for a product candidate may not result in a faster development process, review, or approval compared to drugs considered for approval under conventional FDA procedures and does not assure ultimate marketing approval by the FDA. In addition, the FDA may later decide that the products no longer meet the designation conditions.</w:t>
      </w:r>
    </w:p>
    <w:p>
      <w:pPr>
        <w:spacing w:after="0" w:line="167" w:lineRule="exact"/>
        <w:rPr>
          <w:sz w:val="20"/>
          <w:szCs w:val="20"/>
          <w:color w:val="auto"/>
        </w:rPr>
      </w:pPr>
    </w:p>
    <w:p>
      <w:pPr>
        <w:ind w:right="60"/>
        <w:spacing w:after="0" w:line="189" w:lineRule="exact"/>
        <w:rPr>
          <w:sz w:val="20"/>
          <w:szCs w:val="20"/>
          <w:color w:val="auto"/>
        </w:rPr>
      </w:pPr>
      <w:r>
        <w:rPr>
          <w:rFonts w:ascii="Arial" w:cs="Arial" w:eastAsia="Arial" w:hAnsi="Arial"/>
          <w:sz w:val="17"/>
          <w:szCs w:val="17"/>
          <w:b w:val="1"/>
          <w:bCs w:val="1"/>
          <w:i w:val="1"/>
          <w:iCs w:val="1"/>
          <w:color w:val="auto"/>
        </w:rPr>
        <w:t>Regulatory approval is limited by the FDA or comparable foreign regulatory authorities to those specific indications and conditions for which clinical safety and efficacy have been demonstrated, and we may be subject to fines, penalties, injunctions, or other enforcement actions if we are determined to be promoting the use of our products for unapproved or “off</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label” uses, resulting in damage to our reputation and business.</w:t>
      </w:r>
    </w:p>
    <w:p>
      <w:pPr>
        <w:spacing w:after="0" w:line="163" w:lineRule="exact"/>
        <w:rPr>
          <w:sz w:val="20"/>
          <w:szCs w:val="20"/>
          <w:color w:val="auto"/>
        </w:rPr>
      </w:pPr>
    </w:p>
    <w:p>
      <w:pPr>
        <w:ind w:right="20" w:firstLine="648"/>
        <w:spacing w:after="0" w:line="181" w:lineRule="exact"/>
        <w:rPr>
          <w:sz w:val="20"/>
          <w:szCs w:val="20"/>
          <w:color w:val="auto"/>
        </w:rPr>
      </w:pPr>
      <w:r>
        <w:rPr>
          <w:rFonts w:ascii="Arial" w:cs="Arial" w:eastAsia="Arial" w:hAnsi="Arial"/>
          <w:sz w:val="17"/>
          <w:szCs w:val="17"/>
          <w:color w:val="auto"/>
        </w:rPr>
        <w:t>We, and any of our collaborators, must comply with requirements concerning advertising and promotion for any of our product candidates for which we or they obtain marketing approval. Promotional communications with respect to prescription drugs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any desired uses or indications for our products and product candidates, we may not market or promote our products for those indications and uses, referred to as off</w:t>
      </w:r>
      <w:r>
        <w:rPr>
          <w:rFonts w:ascii="MS PGothic" w:cs="MS PGothic" w:eastAsia="MS PGothic" w:hAnsi="MS PGothic"/>
          <w:sz w:val="17"/>
          <w:szCs w:val="17"/>
          <w:color w:val="auto"/>
        </w:rPr>
        <w:t>‑</w:t>
      </w:r>
      <w:r>
        <w:rPr>
          <w:rFonts w:ascii="Arial" w:cs="Arial" w:eastAsia="Arial" w:hAnsi="Arial"/>
          <w:sz w:val="17"/>
          <w:szCs w:val="17"/>
          <w:color w:val="auto"/>
        </w:rPr>
        <w:t>label uses, and our business may be adversely affected. We further must be able to sufficiently substantiate any claims that we make for our products including claims comparing our products to other companies’ products.</w:t>
      </w:r>
    </w:p>
    <w:p>
      <w:pPr>
        <w:spacing w:after="0" w:line="164" w:lineRule="exact"/>
        <w:rPr>
          <w:sz w:val="20"/>
          <w:szCs w:val="20"/>
          <w:color w:val="auto"/>
        </w:rPr>
      </w:pPr>
    </w:p>
    <w:p>
      <w:pPr>
        <w:ind w:right="20" w:firstLine="648"/>
        <w:spacing w:after="0" w:line="182" w:lineRule="exact"/>
        <w:rPr>
          <w:sz w:val="20"/>
          <w:szCs w:val="20"/>
          <w:color w:val="auto"/>
        </w:rPr>
      </w:pPr>
      <w:r>
        <w:rPr>
          <w:rFonts w:ascii="Arial" w:cs="Arial" w:eastAsia="Arial" w:hAnsi="Arial"/>
          <w:sz w:val="18"/>
          <w:szCs w:val="18"/>
          <w:color w:val="auto"/>
        </w:rPr>
        <w:t>While physicians may choose to prescribe drugs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or comparable foreign regulatory authorities. These off</w:t>
      </w:r>
      <w:r>
        <w:rPr>
          <w:rFonts w:ascii="MS PGothic" w:cs="MS PGothic" w:eastAsia="MS PGothic" w:hAnsi="MS PGothic"/>
          <w:sz w:val="18"/>
          <w:szCs w:val="18"/>
          <w:color w:val="auto"/>
        </w:rPr>
        <w:t>‑</w:t>
      </w:r>
      <w:r>
        <w:rPr>
          <w:rFonts w:ascii="Arial" w:cs="Arial" w:eastAsia="Arial" w:hAnsi="Arial"/>
          <w:sz w:val="18"/>
          <w:szCs w:val="18"/>
          <w:color w:val="auto"/>
        </w:rPr>
        <w:t>label uses are common across medical specialties and may constitute an appropriate treatment for some patients in varied circumstances. Regulatory authorities in the United States and in many other major markets do not generally restrict or regulate the behavior of physicians in their choice of treatment within the practice of medicine. Regulatory authorities do, however, restrict communications by pharmaceutical companies concerning off</w:t>
      </w:r>
      <w:r>
        <w:rPr>
          <w:rFonts w:ascii="MS PGothic" w:cs="MS PGothic" w:eastAsia="MS PGothic" w:hAnsi="MS PGothic"/>
          <w:sz w:val="18"/>
          <w:szCs w:val="18"/>
          <w:color w:val="auto"/>
        </w:rPr>
        <w:t>‑</w:t>
      </w:r>
      <w:r>
        <w:rPr>
          <w:rFonts w:ascii="Arial" w:cs="Arial" w:eastAsia="Arial" w:hAnsi="Arial"/>
          <w:sz w:val="18"/>
          <w:szCs w:val="18"/>
          <w:color w:val="auto"/>
        </w:rPr>
        <w:t>label use.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80" w:firstLine="648"/>
        <w:spacing w:after="0" w:line="182" w:lineRule="exact"/>
        <w:rPr>
          <w:sz w:val="20"/>
          <w:szCs w:val="20"/>
          <w:color w:val="auto"/>
        </w:rPr>
      </w:pPr>
      <w:r>
        <w:rPr>
          <w:rFonts w:ascii="Arial" w:cs="Arial" w:eastAsia="Arial" w:hAnsi="Arial"/>
          <w:sz w:val="16"/>
          <w:szCs w:val="16"/>
          <w:color w:val="auto"/>
        </w:rPr>
        <w:t>If we are found to have impermissibly promoted any of our product candidates, we may become subject to significant liability and government fines. The FDA and other agencies actively enforce the laws and regulations regarding product promotion, particularly those prohibiting the promotion of off</w:t>
      </w:r>
      <w:r>
        <w:rPr>
          <w:rFonts w:ascii="MS PGothic" w:cs="MS PGothic" w:eastAsia="MS PGothic" w:hAnsi="MS PGothic"/>
          <w:sz w:val="16"/>
          <w:szCs w:val="16"/>
          <w:color w:val="auto"/>
        </w:rPr>
        <w:t>‑</w:t>
      </w:r>
      <w:r>
        <w:rPr>
          <w:rFonts w:ascii="Arial" w:cs="Arial" w:eastAsia="Arial" w:hAnsi="Arial"/>
          <w:sz w:val="16"/>
          <w:szCs w:val="16"/>
          <w:color w:val="auto"/>
        </w:rPr>
        <w:t>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w:t>
      </w:r>
      <w:r>
        <w:rPr>
          <w:rFonts w:ascii="MS PGothic" w:cs="MS PGothic" w:eastAsia="MS PGothic" w:hAnsi="MS PGothic"/>
          <w:sz w:val="16"/>
          <w:szCs w:val="16"/>
          <w:color w:val="auto"/>
        </w:rPr>
        <w:t>‑</w:t>
      </w:r>
      <w:r>
        <w:rPr>
          <w:rFonts w:ascii="Arial" w:cs="Arial" w:eastAsia="Arial" w:hAnsi="Arial"/>
          <w:sz w:val="16"/>
          <w:szCs w:val="16"/>
          <w:color w:val="auto"/>
        </w:rPr>
        <w:t>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spacing w:after="0" w:line="167" w:lineRule="exact"/>
        <w:rPr>
          <w:sz w:val="20"/>
          <w:szCs w:val="20"/>
          <w:color w:val="auto"/>
        </w:rPr>
      </w:pPr>
    </w:p>
    <w:p>
      <w:pPr>
        <w:ind w:firstLine="648"/>
        <w:spacing w:after="0" w:line="184" w:lineRule="exact"/>
        <w:rPr>
          <w:sz w:val="20"/>
          <w:szCs w:val="20"/>
          <w:color w:val="auto"/>
        </w:rPr>
      </w:pPr>
      <w:r>
        <w:rPr>
          <w:rFonts w:ascii="Arial" w:cs="Arial" w:eastAsia="Arial" w:hAnsi="Arial"/>
          <w:sz w:val="16"/>
          <w:szCs w:val="16"/>
          <w:color w:val="auto"/>
        </w:rPr>
        <w:t>In the United States, engaging in the impermissible promotion of our products, following approval, for off</w:t>
      </w:r>
      <w:r>
        <w:rPr>
          <w:rFonts w:ascii="MS PGothic" w:cs="MS PGothic" w:eastAsia="MS PGothic" w:hAnsi="MS PGothic"/>
          <w:sz w:val="16"/>
          <w:szCs w:val="16"/>
          <w:color w:val="auto"/>
        </w:rPr>
        <w:t>‑</w:t>
      </w:r>
      <w:r>
        <w:rPr>
          <w:rFonts w:ascii="Arial" w:cs="Arial" w:eastAsia="Arial" w:hAnsi="Arial"/>
          <w:sz w:val="16"/>
          <w:szCs w:val="16"/>
          <w:color w:val="auto"/>
        </w:rPr>
        <w:t>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drug products and do business through, for example, corporate integrity agreements, suspension or exclusion from participation in federal and state healthcare programs, and debarment from government contracts and refusal of future orders under existing contracts. These false claims statutes include the federal civil False Claims Act, which allows any individual to bring a lawsuit against a 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qui tam lawsuit, the individual will share in the proceeds from any fines or settlement funds. If the government declines to intervene, the individual may pursue the case alone. Under the False Claims Act, a penalty may be imposed for each false claim, for example, a claim for payment for each prescription for the product, and, when aggregated, these penalties often total millions of dollars and incentivize qui tam lawsuits. These False Claims Act lawsuits against pharmaceutical companies have increased significantly in volume and breadth, leading to several substantial civil and criminal settlements, up to $3.0 billion, pertaining to certain sales practices and promoting off</w:t>
      </w:r>
      <w:r>
        <w:rPr>
          <w:rFonts w:ascii="MS PGothic" w:cs="MS PGothic" w:eastAsia="MS PGothic" w:hAnsi="MS PGothic"/>
          <w:sz w:val="16"/>
          <w:szCs w:val="16"/>
          <w:color w:val="auto"/>
        </w:rPr>
        <w:t>‑</w:t>
      </w:r>
      <w:r>
        <w:rPr>
          <w:rFonts w:ascii="Arial" w:cs="Arial" w:eastAsia="Arial" w:hAnsi="Arial"/>
          <w:sz w:val="16"/>
          <w:szCs w:val="16"/>
          <w:color w:val="auto"/>
        </w:rPr>
        <w:t>label drug uses. This growth in litigation has increased the risk that a 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collaborators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spacing w:after="0" w:line="223" w:lineRule="exact"/>
        <w:rPr>
          <w:sz w:val="20"/>
          <w:szCs w:val="20"/>
          <w:color w:val="auto"/>
        </w:rPr>
      </w:pPr>
    </w:p>
    <w:p>
      <w:pPr>
        <w:ind w:right="60" w:firstLine="648"/>
        <w:spacing w:after="0" w:line="225" w:lineRule="auto"/>
        <w:rPr>
          <w:sz w:val="20"/>
          <w:szCs w:val="20"/>
          <w:color w:val="auto"/>
        </w:rPr>
      </w:pPr>
      <w:r>
        <w:rPr>
          <w:rFonts w:ascii="Arial" w:cs="Arial" w:eastAsia="Arial" w:hAnsi="Arial"/>
          <w:sz w:val="17"/>
          <w:szCs w:val="17"/>
          <w:color w:val="auto"/>
        </w:rPr>
        <w:t>In the United States, the distribution of product samples to physicians must further comply with the requirements of the U.S. Prescription Drug Marketing Act. If the FDA determines that our promotional activities violate its regulations and policies pertaining to product promotion, it could request that we modify our promotional materials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These regulatory and enforcement actions could significantly harm our business, financial condition, results of operations, and prospects.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spacing w:after="0" w:line="216" w:lineRule="auto"/>
        <w:rPr>
          <w:sz w:val="20"/>
          <w:szCs w:val="20"/>
          <w:color w:val="auto"/>
        </w:rPr>
      </w:pPr>
      <w:r>
        <w:rPr>
          <w:rFonts w:ascii="Arial" w:cs="Arial" w:eastAsia="Arial" w:hAnsi="Arial"/>
          <w:sz w:val="18"/>
          <w:szCs w:val="18"/>
          <w:b w:val="1"/>
          <w:bCs w:val="1"/>
          <w:i w:val="1"/>
          <w:iCs w:val="1"/>
          <w:color w:val="auto"/>
        </w:rPr>
        <w:t>We are, and if any of our product candidates receive regulatory approval, will continue to be subject to ongoing obligations and continued regulatory review, which may result in significant additional expense. Additionally, any of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62" w:lineRule="exact"/>
        <w:rPr>
          <w:sz w:val="20"/>
          <w:szCs w:val="20"/>
          <w:color w:val="auto"/>
        </w:rPr>
      </w:pPr>
    </w:p>
    <w:p>
      <w:pPr>
        <w:ind w:right="40" w:firstLine="648"/>
        <w:spacing w:after="0" w:line="180" w:lineRule="exact"/>
        <w:rPr>
          <w:sz w:val="20"/>
          <w:szCs w:val="20"/>
          <w:color w:val="auto"/>
        </w:rPr>
      </w:pPr>
      <w:r>
        <w:rPr>
          <w:rFonts w:ascii="Arial" w:cs="Arial" w:eastAsia="Arial" w:hAnsi="Arial"/>
          <w:sz w:val="17"/>
          <w:szCs w:val="17"/>
          <w:color w:val="auto"/>
        </w:rPr>
        <w:t>Any product candidate for which we obtain marketing approval will be subject to extensive and ongoing requirements of and review by the FDA and other regulatory authorities, including requirements related to the manufacturing processes, post</w:t>
      </w:r>
      <w:r>
        <w:rPr>
          <w:rFonts w:ascii="MS PGothic" w:cs="MS PGothic" w:eastAsia="MS PGothic" w:hAnsi="MS PGothic"/>
          <w:sz w:val="17"/>
          <w:szCs w:val="17"/>
          <w:color w:val="auto"/>
        </w:rPr>
        <w:t>‑</w:t>
      </w:r>
      <w:r>
        <w:rPr>
          <w:rFonts w:ascii="Arial" w:cs="Arial" w:eastAsia="Arial" w:hAnsi="Arial"/>
          <w:sz w:val="17"/>
          <w:szCs w:val="17"/>
          <w:color w:val="auto"/>
        </w:rPr>
        <w:t>approval clinical data, labeling, packaging, distribution, adverse event reporting, storage, recordkeeping, export, import, advertising, marketing, and promotional activities for such product. These requirements further include submissions of safety and other post</w:t>
      </w:r>
      <w:r>
        <w:rPr>
          <w:rFonts w:ascii="MS PGothic" w:cs="MS PGothic" w:eastAsia="MS PGothic" w:hAnsi="MS PGothic"/>
          <w:sz w:val="17"/>
          <w:szCs w:val="17"/>
          <w:color w:val="auto"/>
        </w:rPr>
        <w:t>‑</w:t>
      </w:r>
      <w:r>
        <w:rPr>
          <w:rFonts w:ascii="Arial" w:cs="Arial" w:eastAsia="Arial" w:hAnsi="Arial"/>
          <w:sz w:val="17"/>
          <w:szCs w:val="17"/>
          <w:color w:val="auto"/>
        </w:rPr>
        <w:t>marketing information, including manufacturing deviations and reports; registration and listing requirements; the payment of annual program fees for our product candidates, if approved; continued compliance with cGMP requirements relating to manufacturing, quality control, quality assurance, and corresponding maintenance of records and documents; requirements regarding the distribution of samples to physicians and recordkeeping; and good clinical practices, or GCPs, for any clinical trials that we conduct post</w:t>
      </w:r>
      <w:r>
        <w:rPr>
          <w:rFonts w:ascii="MS PGothic" w:cs="MS PGothic" w:eastAsia="MS PGothic" w:hAnsi="MS PGothic"/>
          <w:sz w:val="17"/>
          <w:szCs w:val="17"/>
          <w:color w:val="auto"/>
        </w:rPr>
        <w:t>‑</w:t>
      </w:r>
      <w:r>
        <w:rPr>
          <w:rFonts w:ascii="Arial" w:cs="Arial" w:eastAsia="Arial" w:hAnsi="Arial"/>
          <w:sz w:val="17"/>
          <w:szCs w:val="17"/>
          <w:color w:val="auto"/>
        </w:rPr>
        <w:t>approval. Even if marketing approval of a product candidate is granted, the approval may be subject to limitations on the indicated uses and populations for which the product may be marketed or to the conditions of approval, including significant safety warnings, including boxed warnings, contraindications, and precautions that are not desirable for successful commercialization and any requirement to implement a REMS that render the approved product not commercially viable or other post</w:t>
      </w:r>
      <w:r>
        <w:rPr>
          <w:rFonts w:ascii="MS PGothic" w:cs="MS PGothic" w:eastAsia="MS PGothic" w:hAnsi="MS PGothic"/>
          <w:sz w:val="17"/>
          <w:szCs w:val="17"/>
          <w:color w:val="auto"/>
        </w:rPr>
        <w:t>‑</w:t>
      </w:r>
      <w:r>
        <w:rPr>
          <w:rFonts w:ascii="Arial" w:cs="Arial" w:eastAsia="Arial" w:hAnsi="Arial"/>
          <w:sz w:val="17"/>
          <w:szCs w:val="17"/>
          <w:color w:val="auto"/>
        </w:rPr>
        <w:t>market requirements or restrictions. Any such restrictions could limit sales of the product.</w:t>
      </w:r>
    </w:p>
    <w:p>
      <w:pPr>
        <w:spacing w:after="0" w:line="165" w:lineRule="exact"/>
        <w:rPr>
          <w:sz w:val="20"/>
          <w:szCs w:val="20"/>
          <w:color w:val="auto"/>
        </w:rPr>
      </w:pPr>
    </w:p>
    <w:p>
      <w:pPr>
        <w:jc w:val="both"/>
        <w:ind w:right="260" w:firstLine="648"/>
        <w:spacing w:after="0" w:line="189" w:lineRule="exact"/>
        <w:rPr>
          <w:sz w:val="20"/>
          <w:szCs w:val="20"/>
          <w:color w:val="auto"/>
        </w:rPr>
      </w:pPr>
      <w:r>
        <w:rPr>
          <w:rFonts w:ascii="Arial" w:cs="Arial" w:eastAsia="Arial" w:hAnsi="Arial"/>
          <w:sz w:val="18"/>
          <w:szCs w:val="18"/>
          <w:color w:val="auto"/>
        </w:rPr>
        <w:t>We and any of our collaborators, including our contract manufacturers, could be subject to periodic unannounced inspections by the FDA to monitor and ensure compliance with cGMPs. Application holders must further notify the FDA, and depending on the nature of the change, obtain FDA pre</w:t>
      </w:r>
      <w:r>
        <w:rPr>
          <w:rFonts w:ascii="MS PGothic" w:cs="MS PGothic" w:eastAsia="MS PGothic" w:hAnsi="MS PGothic"/>
          <w:sz w:val="18"/>
          <w:szCs w:val="18"/>
          <w:color w:val="auto"/>
        </w:rPr>
        <w:t>‑</w:t>
      </w:r>
      <w:r>
        <w:rPr>
          <w:rFonts w:ascii="Arial" w:cs="Arial" w:eastAsia="Arial" w:hAnsi="Arial"/>
          <w:sz w:val="18"/>
          <w:szCs w:val="18"/>
          <w:color w:val="auto"/>
        </w:rPr>
        <w:t>approval for product and manufacturing changes. Application fees may apply to certain changes.</w:t>
      </w:r>
    </w:p>
    <w:p>
      <w:pPr>
        <w:spacing w:after="0" w:line="163"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In addition, later discovery of previously unknown adverse events or that the drug is less effective than previously thought or other problems with our products, manufacturers, or manufacturing processes, or failure to comply with regulatory requirements both before and after approval, may yield various results, including:</w:t>
      </w:r>
    </w:p>
    <w:p>
      <w:pPr>
        <w:spacing w:after="0" w:line="163" w:lineRule="exact"/>
        <w:rPr>
          <w:sz w:val="20"/>
          <w:szCs w:val="20"/>
          <w:color w:val="auto"/>
        </w:rPr>
      </w:pPr>
    </w:p>
    <w:p>
      <w:pPr>
        <w:ind w:left="660" w:hanging="333"/>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manufacturing or distribution, or marketing of such products;</w:t>
      </w:r>
    </w:p>
    <w:p>
      <w:pPr>
        <w:spacing w:after="0" w:line="184" w:lineRule="exact"/>
        <w:rPr>
          <w:rFonts w:ascii="Arial" w:cs="Arial" w:eastAsia="Arial" w:hAnsi="Arial"/>
          <w:sz w:val="18"/>
          <w:szCs w:val="18"/>
          <w:color w:val="auto"/>
        </w:rPr>
      </w:pPr>
    </w:p>
    <w:p>
      <w:pPr>
        <w:ind w:left="660" w:right="160" w:hanging="333"/>
        <w:spacing w:after="0" w:line="235"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the labeling, including required additional warnings, such as black box warnings, contraindications, precautions, and restrictions on the approved indication or use;</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modifications to promotional pieces;</w:t>
      </w:r>
    </w:p>
    <w:p>
      <w:pPr>
        <w:spacing w:after="0" w:line="184" w:lineRule="exact"/>
        <w:rPr>
          <w:rFonts w:ascii="Arial" w:cs="Arial" w:eastAsia="Arial" w:hAnsi="Arial"/>
          <w:sz w:val="18"/>
          <w:szCs w:val="18"/>
          <w:color w:val="auto"/>
        </w:rPr>
      </w:pPr>
    </w:p>
    <w:p>
      <w:pPr>
        <w:ind w:left="660" w:hanging="333"/>
        <w:spacing w:after="0" w:line="196" w:lineRule="exact"/>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requirements to conduct post</w:t>
      </w:r>
      <w:r>
        <w:rPr>
          <w:rFonts w:ascii="MS PGothic" w:cs="MS PGothic" w:eastAsia="MS PGothic" w:hAnsi="MS PGothic"/>
          <w:sz w:val="17"/>
          <w:szCs w:val="17"/>
          <w:color w:val="auto"/>
        </w:rPr>
        <w:t>‑</w:t>
      </w:r>
      <w:r>
        <w:rPr>
          <w:rFonts w:ascii="Arial" w:cs="Arial" w:eastAsia="Arial" w:hAnsi="Arial"/>
          <w:sz w:val="17"/>
          <w:szCs w:val="17"/>
          <w:color w:val="auto"/>
        </w:rPr>
        <w:t>marketing studies or clinical trials; clinical holds or termination of clinical trials;</w:t>
      </w:r>
    </w:p>
    <w:p>
      <w:pPr>
        <w:spacing w:after="0" w:line="196" w:lineRule="exact"/>
        <w:rPr>
          <w:rFonts w:ascii="Arial" w:cs="Arial" w:eastAsia="Arial" w:hAnsi="Arial"/>
          <w:sz w:val="17"/>
          <w:szCs w:val="17"/>
          <w:color w:val="auto"/>
        </w:rPr>
      </w:pPr>
    </w:p>
    <w:p>
      <w:pPr>
        <w:ind w:left="660" w:right="240" w:hanging="333"/>
        <w:spacing w:after="0" w:line="232"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requirements to establish or modify a REMS or a comparable foreign authority may require that we establish or modify a similar strategy, that may, for instance, require us to create a Medication Guide outlining the risks of the previously unidentified side effects for distribution to patients, or restrict distribution of the product, if and when approved, and impose burdensome implementation requirements on us:</w:t>
      </w:r>
    </w:p>
    <w:p>
      <w:pPr>
        <w:spacing w:after="0" w:line="162" w:lineRule="exact"/>
        <w:rPr>
          <w:rFonts w:ascii="Arial" w:cs="Arial" w:eastAsia="Arial" w:hAnsi="Arial"/>
          <w:sz w:val="17"/>
          <w:szCs w:val="17"/>
          <w:color w:val="auto"/>
        </w:rPr>
      </w:pPr>
    </w:p>
    <w:p>
      <w:pPr>
        <w:ind w:left="660" w:hanging="333"/>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to the way the drug is administered;</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liability for harm caused to patients or subjects;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reputational harm;</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drug becoming less competitive;</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warning, untitled, or cyber letters;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suspension of marketing or withdrawal of the products from the market;</w:t>
      </w:r>
    </w:p>
    <w:p>
      <w:pPr>
        <w:spacing w:after="0" w:line="184" w:lineRule="exact"/>
        <w:rPr>
          <w:rFonts w:ascii="Arial" w:cs="Arial" w:eastAsia="Arial" w:hAnsi="Arial"/>
          <w:sz w:val="18"/>
          <w:szCs w:val="18"/>
          <w:color w:val="auto"/>
        </w:rPr>
      </w:pPr>
    </w:p>
    <w:p>
      <w:pPr>
        <w:ind w:left="660" w:right="1080" w:hanging="333"/>
        <w:spacing w:after="0" w:line="25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regulatory authority issuance of safety alerts, Dear Healthcare Provider letters, press releases, or other communications containing warnings or other safety information about the drug;</w:t>
      </w:r>
    </w:p>
    <w:p>
      <w:pPr>
        <w:spacing w:after="0" w:line="146" w:lineRule="exact"/>
        <w:rPr>
          <w:rFonts w:ascii="Arial" w:cs="Arial" w:eastAsia="Arial" w:hAnsi="Arial"/>
          <w:sz w:val="17"/>
          <w:szCs w:val="17"/>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fines, damages, restitution, or disgorgement of profits or revenues;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184" w:lineRule="exact"/>
        <w:rPr>
          <w:rFonts w:ascii="Arial" w:cs="Arial" w:eastAsia="Arial" w:hAnsi="Arial"/>
          <w:sz w:val="18"/>
          <w:szCs w:val="18"/>
          <w:color w:val="auto"/>
        </w:rPr>
      </w:pPr>
    </w:p>
    <w:p>
      <w:pPr>
        <w:ind w:left="660" w:right="540" w:hanging="333"/>
        <w:spacing w:after="0" w:line="289"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FDA debarment, debarment from government contracts, and refusal of future orders under existing contracts, exclusion from federal healthcare programs, consent decrees, or corporate integrity agreements; or</w:t>
      </w:r>
    </w:p>
    <w:p>
      <w:pPr>
        <w:spacing w:after="0" w:line="124" w:lineRule="exact"/>
        <w:rPr>
          <w:rFonts w:ascii="Arial" w:cs="Arial" w:eastAsia="Arial" w:hAnsi="Arial"/>
          <w:sz w:val="16"/>
          <w:szCs w:val="16"/>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including imprisonment.</w:t>
      </w:r>
    </w:p>
    <w:p>
      <w:pPr>
        <w:spacing w:after="0" w:line="185" w:lineRule="exact"/>
        <w:rPr>
          <w:sz w:val="20"/>
          <w:szCs w:val="20"/>
          <w:color w:val="auto"/>
        </w:rPr>
      </w:pPr>
    </w:p>
    <w:p>
      <w:pPr>
        <w:ind w:right="40" w:firstLine="648"/>
        <w:spacing w:after="0" w:line="229" w:lineRule="auto"/>
        <w:rPr>
          <w:sz w:val="20"/>
          <w:szCs w:val="20"/>
          <w:color w:val="auto"/>
        </w:rPr>
      </w:pPr>
      <w:r>
        <w:rPr>
          <w:rFonts w:ascii="Arial" w:cs="Arial" w:eastAsia="Arial" w:hAnsi="Arial"/>
          <w:sz w:val="17"/>
          <w:szCs w:val="17"/>
          <w:color w:val="auto"/>
        </w:rPr>
        <w:t>Any of these events could prevent us from achieving or maintaining market acceptance of the particular product candidate, if approved, or could substantially increase the costs and expenses of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61" w:lineRule="exact"/>
        <w:rPr>
          <w:sz w:val="20"/>
          <w:szCs w:val="20"/>
          <w:color w:val="auto"/>
        </w:rPr>
      </w:pPr>
    </w:p>
    <w:p>
      <w:pPr>
        <w:ind w:firstLine="648"/>
        <w:spacing w:after="0" w:line="229" w:lineRule="auto"/>
        <w:rPr>
          <w:sz w:val="20"/>
          <w:szCs w:val="20"/>
          <w:color w:val="auto"/>
        </w:rPr>
      </w:pPr>
      <w:r>
        <w:rPr>
          <w:rFonts w:ascii="Arial" w:cs="Arial" w:eastAsia="Arial" w:hAnsi="Arial"/>
          <w:sz w:val="17"/>
          <w:szCs w:val="17"/>
          <w:color w:val="auto"/>
        </w:rPr>
        <w:t>The FDA’s policies may change and additional government regulations may be enacted that could prevent, limit, or delay regulatory approval of our product candidates or that could impose additional regulatory obligations on us if our product candidates are approved. If we are slow or unable to adapt to changes in existing requirements or the adoption of new requirements or policies, or if we are not able to maintain regulatory compliance, we may lose any marketing approval that we may have obtained and be subject to regulatory enforcement action.</w:t>
      </w:r>
    </w:p>
    <w:p>
      <w:pPr>
        <w:spacing w:after="0" w:line="161" w:lineRule="exact"/>
        <w:rPr>
          <w:sz w:val="20"/>
          <w:szCs w:val="20"/>
          <w:color w:val="auto"/>
        </w:rPr>
      </w:pPr>
    </w:p>
    <w:p>
      <w:pPr>
        <w:ind w:right="60" w:firstLine="648"/>
        <w:spacing w:after="0" w:line="194" w:lineRule="exact"/>
        <w:rPr>
          <w:sz w:val="20"/>
          <w:szCs w:val="20"/>
          <w:color w:val="auto"/>
        </w:rPr>
      </w:pPr>
      <w:r>
        <w:rPr>
          <w:rFonts w:ascii="Arial" w:cs="Arial" w:eastAsia="Arial" w:hAnsi="Arial"/>
          <w:sz w:val="18"/>
          <w:szCs w:val="18"/>
          <w:color w:val="auto"/>
        </w:rPr>
        <w:t>Should any of the above actions take place, they could adversely affect our ability to achieve or sustain profitability. Further, the cost of compliance with post</w:t>
      </w:r>
      <w:r>
        <w:rPr>
          <w:rFonts w:ascii="MS PGothic" w:cs="MS PGothic" w:eastAsia="MS PGothic" w:hAnsi="MS PGothic"/>
          <w:sz w:val="18"/>
          <w:szCs w:val="18"/>
          <w:color w:val="auto"/>
        </w:rPr>
        <w:t>‑</w:t>
      </w:r>
      <w:r>
        <w:rPr>
          <w:rFonts w:ascii="Arial" w:cs="Arial" w:eastAsia="Arial" w:hAnsi="Arial"/>
          <w:sz w:val="18"/>
          <w:szCs w:val="18"/>
          <w:color w:val="auto"/>
        </w:rPr>
        <w:t>approval regulations may have a negative effect on our operating results and financial condition.</w:t>
      </w:r>
    </w:p>
    <w:p>
      <w:pPr>
        <w:spacing w:after="0" w:line="163"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b w:val="1"/>
          <w:bCs w:val="1"/>
          <w:i w:val="1"/>
          <w:iCs w:val="1"/>
          <w:color w:val="auto"/>
        </w:rPr>
        <w:t>If we obtain approval to commercialize our product candidates outside of the United States, a variety of risks associated with international operations could materially adversely affect our business.</w:t>
      </w:r>
    </w:p>
    <w:p>
      <w:pPr>
        <w:spacing w:after="0" w:line="162" w:lineRule="exact"/>
        <w:rPr>
          <w:sz w:val="20"/>
          <w:szCs w:val="20"/>
          <w:color w:val="auto"/>
        </w:rPr>
      </w:pPr>
    </w:p>
    <w:p>
      <w:pPr>
        <w:ind w:right="280" w:firstLine="648"/>
        <w:spacing w:after="0" w:line="224" w:lineRule="auto"/>
        <w:rPr>
          <w:sz w:val="20"/>
          <w:szCs w:val="20"/>
          <w:color w:val="auto"/>
        </w:rPr>
      </w:pPr>
      <w:r>
        <w:rPr>
          <w:rFonts w:ascii="Arial" w:cs="Arial" w:eastAsia="Arial" w:hAnsi="Arial"/>
          <w:sz w:val="18"/>
          <w:szCs w:val="18"/>
          <w:color w:val="auto"/>
        </w:rPr>
        <w:t>If any of our product candidates are approved for commercialization, we may enter into agreements with third parties to market them on a worldwide basis or in more limited geographical regions. We expect that we will be subject to additional risks related to entering into international business relationships, including:</w:t>
      </w:r>
    </w:p>
    <w:p>
      <w:pPr>
        <w:spacing w:after="0" w:line="163" w:lineRule="exact"/>
        <w:rPr>
          <w:sz w:val="20"/>
          <w:szCs w:val="20"/>
          <w:color w:val="auto"/>
        </w:rPr>
      </w:pPr>
    </w:p>
    <w:p>
      <w:pPr>
        <w:ind w:left="660" w:hanging="333"/>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drugs in foreign countries;</w:t>
      </w:r>
    </w:p>
    <w:p>
      <w:pPr>
        <w:spacing w:after="0" w:line="184" w:lineRule="exact"/>
        <w:rPr>
          <w:rFonts w:ascii="Arial" w:cs="Arial" w:eastAsia="Arial" w:hAnsi="Arial"/>
          <w:sz w:val="18"/>
          <w:szCs w:val="18"/>
          <w:color w:val="auto"/>
        </w:rPr>
      </w:pPr>
    </w:p>
    <w:p>
      <w:pPr>
        <w:jc w:val="both"/>
        <w:ind w:left="660" w:right="80" w:hanging="333"/>
        <w:spacing w:after="0" w:line="194" w:lineRule="exact"/>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potential for so</w:t>
      </w:r>
      <w:r>
        <w:rPr>
          <w:rFonts w:ascii="MS PGothic" w:cs="MS PGothic" w:eastAsia="MS PGothic" w:hAnsi="MS PGothic"/>
          <w:sz w:val="17"/>
          <w:szCs w:val="17"/>
          <w:color w:val="auto"/>
        </w:rPr>
        <w:t>‑</w:t>
      </w:r>
      <w:r>
        <w:rPr>
          <w:rFonts w:ascii="Arial" w:cs="Arial" w:eastAsia="Arial" w:hAnsi="Arial"/>
          <w:sz w:val="17"/>
          <w:szCs w:val="17"/>
          <w:color w:val="auto"/>
        </w:rPr>
        <w:t>called parallel importing, particularly within Europe, which is what happens when a local seller, faced with high or higher local prices, opts to import goods from a foreign market (with low or lower prices) rather than buying them locally with EU laws supporting such “free movement of goods” within the EU;</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left="660" w:right="340" w:hanging="333"/>
        <w:spacing w:after="0" w:line="22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stricter harmonized EU rules on data privacy particularly in relation to health data than is the case in the United States which are being further toughened with the EU General Data Protection Regulation, or the GDPR, which became enforceable beginning May 25, 2018;</w:t>
      </w:r>
    </w:p>
    <w:p>
      <w:pPr>
        <w:spacing w:after="0" w:line="163" w:lineRule="exact"/>
        <w:rPr>
          <w:rFonts w:ascii="Arial" w:cs="Arial" w:eastAsia="Arial" w:hAnsi="Arial"/>
          <w:sz w:val="18"/>
          <w:szCs w:val="18"/>
          <w:color w:val="auto"/>
        </w:rPr>
      </w:pPr>
    </w:p>
    <w:p>
      <w:pPr>
        <w:ind w:left="660" w:hanging="333"/>
        <w:spacing w:after="0" w:line="23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161" w:lineRule="exact"/>
        <w:rPr>
          <w:rFonts w:ascii="Arial" w:cs="Arial" w:eastAsia="Arial" w:hAnsi="Arial"/>
          <w:sz w:val="18"/>
          <w:szCs w:val="18"/>
          <w:color w:val="auto"/>
        </w:rPr>
      </w:pPr>
    </w:p>
    <w:p>
      <w:pPr>
        <w:ind w:left="660" w:right="180" w:hanging="333"/>
        <w:spacing w:after="0" w:line="23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 and in the health care policies of foreign jurisdictions;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economic weakness, including inflation, or political instability in particular foreign economies and markets;</w:t>
      </w:r>
    </w:p>
    <w:p>
      <w:pPr>
        <w:spacing w:after="0" w:line="196" w:lineRule="exact"/>
        <w:rPr>
          <w:rFonts w:ascii="Arial" w:cs="Arial" w:eastAsia="Arial" w:hAnsi="Arial"/>
          <w:sz w:val="17"/>
          <w:szCs w:val="17"/>
          <w:color w:val="auto"/>
        </w:rPr>
      </w:pPr>
    </w:p>
    <w:p>
      <w:pPr>
        <w:ind w:left="660" w:hanging="333"/>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84" w:lineRule="exact"/>
        <w:rPr>
          <w:rFonts w:ascii="Arial" w:cs="Arial" w:eastAsia="Arial" w:hAnsi="Arial"/>
          <w:sz w:val="18"/>
          <w:szCs w:val="18"/>
          <w:color w:val="auto"/>
        </w:rPr>
      </w:pPr>
    </w:p>
    <w:p>
      <w:pPr>
        <w:ind w:left="660" w:right="180" w:hanging="333"/>
        <w:spacing w:after="0" w:line="23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84" w:lineRule="exact"/>
        <w:rPr>
          <w:rFonts w:ascii="Arial" w:cs="Arial" w:eastAsia="Arial" w:hAnsi="Arial"/>
          <w:sz w:val="18"/>
          <w:szCs w:val="18"/>
          <w:color w:val="auto"/>
        </w:rPr>
      </w:pPr>
    </w:p>
    <w:p>
      <w:pPr>
        <w:ind w:left="660" w:right="140" w:hanging="333"/>
        <w:spacing w:after="0" w:line="23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 and worker rights tend to be stronger;</w:t>
      </w:r>
    </w:p>
    <w:p>
      <w:pPr>
        <w:spacing w:after="0" w:line="161" w:lineRule="exact"/>
        <w:rPr>
          <w:rFonts w:ascii="Arial" w:cs="Arial" w:eastAsia="Arial" w:hAnsi="Arial"/>
          <w:sz w:val="18"/>
          <w:szCs w:val="18"/>
          <w:color w:val="auto"/>
        </w:rPr>
      </w:pPr>
    </w:p>
    <w:p>
      <w:pPr>
        <w:ind w:left="660" w:right="160" w:hanging="333"/>
        <w:spacing w:after="0" w:line="23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of compliance with U.S. laws and regulations for foreign operations, including the Foreign Corrupt Practices Act or comparable foreign regulations, and the risks and costs of noncompliance;</w:t>
      </w:r>
    </w:p>
    <w:p>
      <w:pPr>
        <w:spacing w:after="0" w:line="161" w:lineRule="exact"/>
        <w:rPr>
          <w:rFonts w:ascii="Arial" w:cs="Arial" w:eastAsia="Arial" w:hAnsi="Arial"/>
          <w:sz w:val="18"/>
          <w:szCs w:val="18"/>
          <w:color w:val="auto"/>
        </w:rPr>
      </w:pPr>
    </w:p>
    <w:p>
      <w:pPr>
        <w:ind w:left="660" w:right="100" w:hanging="333"/>
        <w:spacing w:after="0" w:line="23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61" w:lineRule="exact"/>
        <w:rPr>
          <w:rFonts w:ascii="Arial" w:cs="Arial" w:eastAsia="Arial" w:hAnsi="Arial"/>
          <w:sz w:val="18"/>
          <w:szCs w:val="18"/>
          <w:color w:val="auto"/>
        </w:rPr>
      </w:pPr>
    </w:p>
    <w:p>
      <w:pPr>
        <w:ind w:left="660" w:right="20" w:hanging="333"/>
        <w:spacing w:after="0" w:line="23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62" w:lineRule="exact"/>
        <w:rPr>
          <w:sz w:val="20"/>
          <w:szCs w:val="20"/>
          <w:color w:val="auto"/>
        </w:rPr>
      </w:pPr>
    </w:p>
    <w:p>
      <w:pPr>
        <w:ind w:right="380" w:firstLine="648"/>
        <w:spacing w:after="0" w:line="235" w:lineRule="auto"/>
        <w:rPr>
          <w:sz w:val="20"/>
          <w:szCs w:val="20"/>
          <w:color w:val="auto"/>
        </w:rPr>
      </w:pPr>
      <w:r>
        <w:rPr>
          <w:rFonts w:ascii="Arial" w:cs="Arial" w:eastAsia="Arial" w:hAnsi="Arial"/>
          <w:sz w:val="18"/>
          <w:szCs w:val="18"/>
          <w:color w:val="auto"/>
        </w:rPr>
        <w:t>These and other risks associated with our international operations may materially adversely affect our ability to attain or maintain profitable operations.</w:t>
      </w:r>
    </w:p>
    <w:p>
      <w:pPr>
        <w:spacing w:after="0" w:line="162" w:lineRule="exact"/>
        <w:rPr>
          <w:sz w:val="20"/>
          <w:szCs w:val="20"/>
          <w:color w:val="auto"/>
        </w:rPr>
      </w:pPr>
    </w:p>
    <w:p>
      <w:pPr>
        <w:ind w:right="320"/>
        <w:spacing w:after="0" w:line="289" w:lineRule="auto"/>
        <w:rPr>
          <w:sz w:val="20"/>
          <w:szCs w:val="20"/>
          <w:color w:val="auto"/>
        </w:rPr>
      </w:pPr>
      <w:r>
        <w:rPr>
          <w:rFonts w:ascii="Arial" w:cs="Arial" w:eastAsia="Arial" w:hAnsi="Arial"/>
          <w:sz w:val="16"/>
          <w:szCs w:val="16"/>
          <w:b w:val="1"/>
          <w:bCs w:val="1"/>
          <w:i w:val="1"/>
          <w:iCs w:val="1"/>
          <w:color w:val="auto"/>
        </w:rPr>
        <w:t>We will need to obtain FDA approval (and that of comparable foreign regulatory authorities) of any proposed product names, and any failure or delay associated with such approval may adversely affect our business.</w:t>
      </w:r>
    </w:p>
    <w:p>
      <w:pPr>
        <w:spacing w:after="0" w:line="124"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89" w:lineRule="exact"/>
        <w:rPr>
          <w:sz w:val="20"/>
          <w:szCs w:val="20"/>
          <w:color w:val="auto"/>
        </w:rPr>
      </w:pPr>
    </w:p>
    <w:p>
      <w:pPr>
        <w:ind w:right="100"/>
        <w:spacing w:after="0" w:line="324" w:lineRule="auto"/>
        <w:rPr>
          <w:sz w:val="20"/>
          <w:szCs w:val="20"/>
          <w:color w:val="auto"/>
        </w:rPr>
      </w:pPr>
      <w:r>
        <w:rPr>
          <w:rFonts w:ascii="Arial" w:cs="Arial" w:eastAsia="Arial" w:hAnsi="Arial"/>
          <w:sz w:val="15"/>
          <w:szCs w:val="15"/>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02" w:lineRule="exact"/>
        <w:rPr>
          <w:sz w:val="20"/>
          <w:szCs w:val="20"/>
          <w:color w:val="auto"/>
        </w:rPr>
      </w:pPr>
    </w:p>
    <w:p>
      <w:pPr>
        <w:ind w:right="100" w:firstLine="648"/>
        <w:spacing w:after="0" w:line="223" w:lineRule="auto"/>
        <w:rPr>
          <w:sz w:val="20"/>
          <w:szCs w:val="20"/>
          <w:color w:val="auto"/>
        </w:rPr>
      </w:pPr>
      <w:r>
        <w:rPr>
          <w:rFonts w:ascii="Arial" w:cs="Arial" w:eastAsia="Arial" w:hAnsi="Arial"/>
          <w:sz w:val="17"/>
          <w:szCs w:val="17"/>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pain and CNS disorders.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68"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Specifically, there are a large number of companies developing or marketing therapies for CNS disorders, including many major pharmaceutical and biotechnology companies. Among the companies that currently market or are developing therapies that, if approved, our product candidates would potentially compete with include: Acadia Pharmaceuticals, Inc.; Alder Biopharmaceuticals, Inc.; Alkermes plc; Allergan plc; Amgen Inc.; Biohaven Pharmaceutical Holding Company Ltd.; Carbylan Therapeutics, Inc.; Eli Lilly and Company; Flexion Therapeutics, Inc.; Grunenthal GmbH; Intra-Cellular Therapies, Inc.; Janssen Research &amp; Development, LLC; Levolta Pharmaceuticals, Inc.; Otsuka Pharmaceutical Co. Ltd.; and OPKO Health, Inc.</w:t>
      </w:r>
    </w:p>
    <w:p>
      <w:pPr>
        <w:spacing w:after="0" w:line="165" w:lineRule="exact"/>
        <w:rPr>
          <w:sz w:val="20"/>
          <w:szCs w:val="20"/>
          <w:color w:val="auto"/>
        </w:rPr>
      </w:pPr>
    </w:p>
    <w:p>
      <w:pPr>
        <w:ind w:right="20" w:firstLine="648"/>
        <w:spacing w:after="0" w:line="182" w:lineRule="exact"/>
        <w:rPr>
          <w:sz w:val="20"/>
          <w:szCs w:val="20"/>
          <w:color w:val="auto"/>
        </w:rPr>
      </w:pPr>
      <w:r>
        <w:rPr>
          <w:rFonts w:ascii="Arial" w:cs="Arial" w:eastAsia="Arial" w:hAnsi="Arial"/>
          <w:sz w:val="17"/>
          <w:szCs w:val="17"/>
          <w:color w:val="auto"/>
        </w:rPr>
        <w:t>Our commercial opportunities could be reduced or eliminated if our competitors develop and commercialize products that are safer,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w:t>
      </w:r>
      <w:r>
        <w:rPr>
          <w:rFonts w:ascii="MS PGothic" w:cs="MS PGothic" w:eastAsia="MS PGothic" w:hAnsi="MS PGothic"/>
          <w:sz w:val="17"/>
          <w:szCs w:val="17"/>
          <w:color w:val="auto"/>
        </w:rPr>
        <w:t>‑</w:t>
      </w:r>
      <w:r>
        <w:rPr>
          <w:rFonts w:ascii="Arial" w:cs="Arial" w:eastAsia="Arial" w:hAnsi="Arial"/>
          <w:sz w:val="17"/>
          <w:szCs w:val="17"/>
          <w:color w:val="auto"/>
        </w:rPr>
        <w:t>party payors seeking to encourage the use of generic products or therapeutically similar lower cost brands. If our product candidates achieve marketing approval, we expect that they will be priced at a significant premium over competitive generic products, which would further impact our commercialization efforts.</w:t>
      </w:r>
    </w:p>
    <w:p>
      <w:pPr>
        <w:spacing w:after="0" w:line="168" w:lineRule="exact"/>
        <w:rPr>
          <w:sz w:val="20"/>
          <w:szCs w:val="20"/>
          <w:color w:val="auto"/>
        </w:rPr>
      </w:pPr>
    </w:p>
    <w:p>
      <w:pPr>
        <w:ind w:right="120" w:firstLine="648"/>
        <w:spacing w:after="0" w:line="184" w:lineRule="exact"/>
        <w:rPr>
          <w:sz w:val="20"/>
          <w:szCs w:val="20"/>
          <w:color w:val="auto"/>
        </w:rPr>
      </w:pPr>
      <w:r>
        <w:rPr>
          <w:rFonts w:ascii="Arial" w:cs="Arial" w:eastAsia="Arial" w:hAnsi="Arial"/>
          <w:sz w:val="16"/>
          <w:szCs w:val="16"/>
          <w:color w:val="auto"/>
        </w:rPr>
        <w:t>Generic forms of the active ingredients of our product candidates, including zoledronic acid, DM, bupropion, meloxicam, rizatripan, and esomeprazole, are available and could be used off</w:t>
      </w:r>
      <w:r>
        <w:rPr>
          <w:rFonts w:ascii="MS PGothic" w:cs="MS PGothic" w:eastAsia="MS PGothic" w:hAnsi="MS PGothic"/>
          <w:sz w:val="16"/>
          <w:szCs w:val="16"/>
          <w:color w:val="auto"/>
        </w:rPr>
        <w:t>‑</w:t>
      </w:r>
      <w:r>
        <w:rPr>
          <w:rFonts w:ascii="Arial" w:cs="Arial" w:eastAsia="Arial" w:hAnsi="Arial"/>
          <w:sz w:val="16"/>
          <w:szCs w:val="16"/>
          <w:color w:val="auto"/>
        </w:rPr>
        <w:t>label. Any such off</w:t>
      </w:r>
      <w:r>
        <w:rPr>
          <w:rFonts w:ascii="MS PGothic" w:cs="MS PGothic" w:eastAsia="MS PGothic" w:hAnsi="MS PGothic"/>
          <w:sz w:val="16"/>
          <w:szCs w:val="16"/>
          <w:color w:val="auto"/>
        </w:rPr>
        <w:t>‑</w:t>
      </w:r>
      <w:r>
        <w:rPr>
          <w:rFonts w:ascii="Arial" w:cs="Arial" w:eastAsia="Arial" w:hAnsi="Arial"/>
          <w:sz w:val="16"/>
          <w:szCs w:val="16"/>
          <w:color w:val="auto"/>
        </w:rPr>
        <w:t>label use could adversely affect our profitability and have a negative effect on our operating results and financial condition. For example, even though zoledronic acid is not currently approved for the treatment of pain, we would not be able to prevent a physician from prescribing zoledronic acid in intravenous form for such treatment. Nor could we prevent a payor from offering favorable coverage for such product and disadvantaging our product candidates, even if the generics would be used off-label.</w:t>
      </w:r>
    </w:p>
    <w:p>
      <w:pPr>
        <w:spacing w:after="0" w:line="166"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Early stage companies may also prove to be significant competitors, particularly through collaborative arrangements with, or acquisition by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180"/>
        <w:spacing w:after="0" w:line="284" w:lineRule="auto"/>
        <w:rPr>
          <w:sz w:val="20"/>
          <w:szCs w:val="20"/>
          <w:color w:val="auto"/>
        </w:rPr>
      </w:pPr>
      <w:r>
        <w:rPr>
          <w:rFonts w:ascii="Arial" w:cs="Arial" w:eastAsia="Arial" w:hAnsi="Arial"/>
          <w:sz w:val="15"/>
          <w:szCs w:val="15"/>
          <w:b w:val="1"/>
          <w:bCs w:val="1"/>
          <w:i w:val="1"/>
          <w:iCs w:val="1"/>
          <w:color w:val="auto"/>
        </w:rPr>
        <w:t>If the FDA or comparable foreign regulatory authorities approve generic or similar versions of any of our products that receive marketing approval, or such authorities do not grant our products appropriate periods of data exclusivity before approving generic or similar versions of our products, the sales of our products could be adversely affected.</w:t>
      </w:r>
    </w:p>
    <w:p>
      <w:pPr>
        <w:spacing w:after="0" w:line="130"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Once an NDA is approved, the covered product becomes a “reference listed drug” in the FDA’s Orange Book. Manufacturers may seek approval of generic versions of reference listed drugs through submission of ANDAs in the United States. In support of an ANDA, a generic manufacturer need not conduct full clinical studies. Rather, the applicant generally must show that its product has the same active ingredient(s), dosage form, strength, route of administration, and conditions of use or labeling, among other commonalities, as the reference listed drug and that the generic version is bioequivalent to the reference listed drug, meaning it is absorbed in the body at the same rate and to the same extent. Recently, the FDA and Congress have also taken steps to encourage increased generic drug competition in the market. Generic products may be significantly less costly to bring to market than the reference listed drug and companies that produce generic products are generally able to offer them at lower prices, and are generally preferred by third</w:t>
      </w:r>
      <w:r>
        <w:rPr>
          <w:rFonts w:ascii="MS PGothic" w:cs="MS PGothic" w:eastAsia="MS PGothic" w:hAnsi="MS PGothic"/>
          <w:sz w:val="17"/>
          <w:szCs w:val="17"/>
          <w:color w:val="auto"/>
        </w:rPr>
        <w:t>‑</w:t>
      </w:r>
      <w:r>
        <w:rPr>
          <w:rFonts w:ascii="Arial" w:cs="Arial" w:eastAsia="Arial" w:hAnsi="Arial"/>
          <w:sz w:val="17"/>
          <w:szCs w:val="17"/>
          <w:color w:val="auto"/>
        </w:rPr>
        <w:t>party payors. Thus, following the introduction of a generic drug, a significant percentage of the sales of any branded product or reference listed drug is typically lost to the generic product.</w:t>
      </w:r>
    </w:p>
    <w:p>
      <w:pPr>
        <w:spacing w:after="0" w:line="167" w:lineRule="exact"/>
        <w:rPr>
          <w:sz w:val="20"/>
          <w:szCs w:val="20"/>
          <w:color w:val="auto"/>
        </w:rPr>
      </w:pPr>
    </w:p>
    <w:p>
      <w:pPr>
        <w:ind w:right="100" w:firstLine="648"/>
        <w:spacing w:after="0" w:line="249" w:lineRule="auto"/>
        <w:rPr>
          <w:sz w:val="20"/>
          <w:szCs w:val="20"/>
          <w:color w:val="auto"/>
        </w:rPr>
      </w:pPr>
      <w:r>
        <w:rPr>
          <w:rFonts w:ascii="Arial" w:cs="Arial" w:eastAsia="Arial" w:hAnsi="Arial"/>
          <w:sz w:val="16"/>
          <w:szCs w:val="16"/>
          <w:color w:val="auto"/>
        </w:rPr>
        <w:t>Moreover, in addition to generic competition, we could face competition from other companies seeking approval of drug products that are similar to ours using the 505(b)(2) pathway. Such applicants may be able to rely on our product candidates, if approved, or other approved drug products or published literature to develop drug products that are similar to ours. The introduction of a drug product similar to our product candidates could expose us to increased competition.</w:t>
      </w:r>
    </w:p>
    <w:p>
      <w:pPr>
        <w:spacing w:after="0" w:line="155" w:lineRule="exact"/>
        <w:rPr>
          <w:sz w:val="20"/>
          <w:szCs w:val="20"/>
          <w:color w:val="auto"/>
        </w:rPr>
      </w:pPr>
    </w:p>
    <w:p>
      <w:pPr>
        <w:ind w:right="60" w:firstLine="648"/>
        <w:spacing w:after="0" w:line="184" w:lineRule="exact"/>
        <w:rPr>
          <w:sz w:val="20"/>
          <w:szCs w:val="20"/>
          <w:color w:val="auto"/>
        </w:rPr>
      </w:pPr>
      <w:r>
        <w:rPr>
          <w:rFonts w:ascii="Arial" w:cs="Arial" w:eastAsia="Arial" w:hAnsi="Arial"/>
          <w:sz w:val="17"/>
          <w:szCs w:val="17"/>
          <w:color w:val="auto"/>
        </w:rPr>
        <w:t>Further, if we do not file a patent infringement lawsuit against a generic manufacturer within 45 days of receiving notice of its paragraph IV certification, the ANDA or 505(b)(2) applicant would not be subject to a 30</w:t>
      </w:r>
      <w:r>
        <w:rPr>
          <w:rFonts w:ascii="MS PGothic" w:cs="MS PGothic" w:eastAsia="MS PGothic" w:hAnsi="MS PGothic"/>
          <w:sz w:val="17"/>
          <w:szCs w:val="17"/>
          <w:color w:val="auto"/>
        </w:rPr>
        <w:t>‑</w:t>
      </w:r>
      <w:r>
        <w:rPr>
          <w:rFonts w:ascii="Arial" w:cs="Arial" w:eastAsia="Arial" w:hAnsi="Arial"/>
          <w:sz w:val="17"/>
          <w:szCs w:val="17"/>
          <w:color w:val="auto"/>
        </w:rPr>
        <w:t>month stay. Litigation or other proceedings to enforce or defend intellectual property rights are often very complex in nature, may be expensive and time consuming, may divert our management’s attention from our core business, and may result in unfavorable results that could adversely impact our ability to prevent third parties from competing with our products. Accordingly, upon approval of our product candidates we may be subject to generic competition or competition from similar products, or may need to commence patent infringement proceedings, which would divert our resources.</w:t>
      </w:r>
    </w:p>
    <w:p>
      <w:pPr>
        <w:spacing w:after="0" w:line="162" w:lineRule="exact"/>
        <w:rPr>
          <w:sz w:val="20"/>
          <w:szCs w:val="20"/>
          <w:color w:val="auto"/>
        </w:rPr>
      </w:pPr>
    </w:p>
    <w:p>
      <w:pPr>
        <w:ind w:firstLine="648"/>
        <w:spacing w:after="0" w:line="183" w:lineRule="exact"/>
        <w:rPr>
          <w:sz w:val="20"/>
          <w:szCs w:val="20"/>
          <w:color w:val="auto"/>
        </w:rPr>
      </w:pPr>
      <w:r>
        <w:rPr>
          <w:rFonts w:ascii="Arial" w:cs="Arial" w:eastAsia="Arial" w:hAnsi="Arial"/>
          <w:sz w:val="18"/>
          <w:szCs w:val="18"/>
          <w:color w:val="auto"/>
        </w:rPr>
        <w:t>We currently anticipate that we may be eligible for three years of non</w:t>
      </w:r>
      <w:r>
        <w:rPr>
          <w:rFonts w:ascii="MS PGothic" w:cs="MS PGothic" w:eastAsia="MS PGothic" w:hAnsi="MS PGothic"/>
          <w:sz w:val="18"/>
          <w:szCs w:val="18"/>
          <w:color w:val="auto"/>
        </w:rPr>
        <w:t>‑</w:t>
      </w:r>
      <w:r>
        <w:rPr>
          <w:rFonts w:ascii="Arial" w:cs="Arial" w:eastAsia="Arial" w:hAnsi="Arial"/>
          <w:sz w:val="18"/>
          <w:szCs w:val="18"/>
          <w:color w:val="auto"/>
        </w:rPr>
        <w:t>patent marketing exclusivity in the United States for our product candidates if they are approved. These three years, however, would only protect our modifications in formulation or approved uses in comparison to the reference listed drug and would not prevent other companies from submitting full NDAs, and would not prevent physicians from prescribing other products off-label or third party payors from reimbursing for them. Moreover, a 505(b)(2) applicant could rely on a reference listed drug that is not one of our product candidates, or published literature, in which case any periods of patent or non</w:t>
      </w:r>
      <w:r>
        <w:rPr>
          <w:rFonts w:ascii="MS PGothic" w:cs="MS PGothic" w:eastAsia="MS PGothic" w:hAnsi="MS PGothic"/>
          <w:sz w:val="18"/>
          <w:szCs w:val="18"/>
          <w:color w:val="auto"/>
        </w:rPr>
        <w:t>‑</w:t>
      </w:r>
      <w:r>
        <w:rPr>
          <w:rFonts w:ascii="Arial" w:cs="Arial" w:eastAsia="Arial" w:hAnsi="Arial"/>
          <w:sz w:val="18"/>
          <w:szCs w:val="18"/>
          <w:color w:val="auto"/>
        </w:rPr>
        <w:t>patent protection may not prevent FDA making an approval effective.</w:t>
      </w:r>
    </w:p>
    <w:p>
      <w:pPr>
        <w:spacing w:after="0" w:line="165" w:lineRule="exact"/>
        <w:rPr>
          <w:sz w:val="20"/>
          <w:szCs w:val="20"/>
          <w:color w:val="auto"/>
        </w:rPr>
      </w:pPr>
    </w:p>
    <w:p>
      <w:pPr>
        <w:ind w:right="160" w:firstLine="648"/>
        <w:spacing w:after="0" w:line="224" w:lineRule="auto"/>
        <w:rPr>
          <w:sz w:val="20"/>
          <w:szCs w:val="20"/>
          <w:color w:val="auto"/>
        </w:rPr>
      </w:pPr>
      <w:r>
        <w:rPr>
          <w:rFonts w:ascii="Arial" w:cs="Arial" w:eastAsia="Arial" w:hAnsi="Arial"/>
          <w:sz w:val="18"/>
          <w:szCs w:val="18"/>
          <w:color w:val="auto"/>
        </w:rPr>
        <w:t>Competition that our products may face from generic or similar versions of our products could materially and adversely impact our future revenue, profitability, and cash flows and substantially limit our ability to obtain a return on the investments we have made in those product candidates.</w:t>
      </w:r>
    </w:p>
    <w:p>
      <w:pPr>
        <w:spacing w:after="0" w:line="163" w:lineRule="exact"/>
        <w:rPr>
          <w:sz w:val="20"/>
          <w:szCs w:val="20"/>
          <w:color w:val="auto"/>
        </w:rPr>
      </w:pPr>
    </w:p>
    <w:p>
      <w:pPr>
        <w:ind w:right="360"/>
        <w:spacing w:after="0" w:line="194" w:lineRule="exact"/>
        <w:rPr>
          <w:sz w:val="20"/>
          <w:szCs w:val="20"/>
          <w:color w:val="auto"/>
        </w:rPr>
      </w:pPr>
      <w:r>
        <w:rPr>
          <w:rFonts w:ascii="Arial" w:cs="Arial" w:eastAsia="Arial" w:hAnsi="Arial"/>
          <w:sz w:val="15"/>
          <w:szCs w:val="15"/>
          <w:b w:val="1"/>
          <w:bCs w:val="1"/>
          <w:i w:val="1"/>
          <w:iCs w:val="1"/>
          <w:color w:val="auto"/>
        </w:rPr>
        <w:t>AXS</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02 received Orphan Drug Designation from the FDA. However, there is no guarantee that we will receive this designation for any of our other product candidates, or receive or maintain any corresponding benefits for any of our other product candidates that may receive Orphan Drug Designation in the future, including periods of exclusivity.</w:t>
      </w:r>
    </w:p>
    <w:p>
      <w:pPr>
        <w:spacing w:after="0" w:line="163" w:lineRule="exact"/>
        <w:rPr>
          <w:sz w:val="20"/>
          <w:szCs w:val="20"/>
          <w:color w:val="auto"/>
        </w:rPr>
      </w:pPr>
    </w:p>
    <w:p>
      <w:pPr>
        <w:ind w:right="240" w:firstLine="648"/>
        <w:spacing w:after="0" w:line="203" w:lineRule="exact"/>
        <w:rPr>
          <w:sz w:val="20"/>
          <w:szCs w:val="20"/>
          <w:color w:val="auto"/>
        </w:rPr>
      </w:pPr>
      <w:r>
        <w:rPr>
          <w:rFonts w:ascii="Arial" w:cs="Arial" w:eastAsia="Arial" w:hAnsi="Arial"/>
          <w:sz w:val="17"/>
          <w:szCs w:val="17"/>
          <w:color w:val="auto"/>
        </w:rPr>
        <w:t>AXS</w:t>
      </w:r>
      <w:r>
        <w:rPr>
          <w:rFonts w:ascii="MS PGothic" w:cs="MS PGothic" w:eastAsia="MS PGothic" w:hAnsi="MS PGothic"/>
          <w:sz w:val="17"/>
          <w:szCs w:val="17"/>
          <w:color w:val="auto"/>
        </w:rPr>
        <w:t>‑</w:t>
      </w:r>
      <w:r>
        <w:rPr>
          <w:rFonts w:ascii="Arial" w:cs="Arial" w:eastAsia="Arial" w:hAnsi="Arial"/>
          <w:sz w:val="17"/>
          <w:szCs w:val="17"/>
          <w:color w:val="auto"/>
        </w:rPr>
        <w:t>02 received Orphan Drug Designation from the FDA for the treatment of CRPS. Although we are no longer pursuing CRPS, we may also seek Orphan Drug Designation for our other product candidates, as appropriate.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9" w:firstLine="648"/>
        <w:spacing w:after="0" w:line="223" w:lineRule="auto"/>
        <w:rPr>
          <w:sz w:val="20"/>
          <w:szCs w:val="20"/>
          <w:color w:val="auto"/>
        </w:rPr>
      </w:pPr>
      <w:r>
        <w:rPr>
          <w:rFonts w:ascii="Arial" w:cs="Arial" w:eastAsia="Arial" w:hAnsi="Arial"/>
          <w:sz w:val="17"/>
          <w:szCs w:val="17"/>
          <w:color w:val="auto"/>
        </w:rPr>
        <w:t>Orphan Drug Designation, however, may be lost if the indications for which we develop any of our future product candidates do not meet the orphan drug criteria. Moreover, following product approval, orphan drug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drug exclusivity for any of our current or future product candidates, that exclusivity may not effectively protect the product from competition because different products can be approved for the same condition.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162" w:lineRule="exact"/>
        <w:rPr>
          <w:sz w:val="20"/>
          <w:szCs w:val="20"/>
          <w:color w:val="auto"/>
        </w:rPr>
      </w:pPr>
    </w:p>
    <w:p>
      <w:pPr>
        <w:ind w:right="39" w:firstLine="648"/>
        <w:spacing w:after="0" w:line="181" w:lineRule="exact"/>
        <w:rPr>
          <w:sz w:val="20"/>
          <w:szCs w:val="20"/>
          <w:color w:val="auto"/>
        </w:rPr>
      </w:pPr>
      <w:r>
        <w:rPr>
          <w:rFonts w:ascii="Arial" w:cs="Arial" w:eastAsia="Arial" w:hAnsi="Arial"/>
          <w:sz w:val="16"/>
          <w:szCs w:val="16"/>
          <w:color w:val="auto"/>
        </w:rPr>
        <w:t>The FDA or the EMA may grant orphan exclusivity to two different sponsors for the same compound or active molecule and for the same indication. For example, subsequent to our Orphan Drug Designation, the FDA granted Orphan Drug Designation to Thar Pharmaceuticals, Inc. for a zoledronic acid</w:t>
      </w:r>
      <w:r>
        <w:rPr>
          <w:rFonts w:ascii="MS PGothic" w:cs="MS PGothic" w:eastAsia="MS PGothic" w:hAnsi="MS PGothic"/>
          <w:sz w:val="16"/>
          <w:szCs w:val="16"/>
          <w:color w:val="auto"/>
        </w:rPr>
        <w:t>‑</w:t>
      </w:r>
      <w:r>
        <w:rPr>
          <w:rFonts w:ascii="Arial" w:cs="Arial" w:eastAsia="Arial" w:hAnsi="Arial"/>
          <w:sz w:val="16"/>
          <w:szCs w:val="16"/>
          <w:color w:val="auto"/>
        </w:rPr>
        <w:t>containing product for the treatment of CRPS. Thar Pharmaceuticals was subsequently acquired by Grunenthal GmbH. Although we are no longer pursuing CRPS, if Grunenthal GmbH or another sponsor had received FDA approval for a zoledronic acid</w:t>
      </w:r>
      <w:r>
        <w:rPr>
          <w:rFonts w:ascii="MS PGothic" w:cs="MS PGothic" w:eastAsia="MS PGothic" w:hAnsi="MS PGothic"/>
          <w:sz w:val="16"/>
          <w:szCs w:val="16"/>
          <w:color w:val="auto"/>
        </w:rPr>
        <w:t>‑</w:t>
      </w:r>
      <w:r>
        <w:rPr>
          <w:rFonts w:ascii="Arial" w:cs="Arial" w:eastAsia="Arial" w:hAnsi="Arial"/>
          <w:sz w:val="16"/>
          <w:szCs w:val="16"/>
          <w:color w:val="auto"/>
        </w:rPr>
        <w:t>containing product for the treatment of CRPS before we had obtained FDA approval for AXS</w:t>
      </w:r>
      <w:r>
        <w:rPr>
          <w:rFonts w:ascii="MS PGothic" w:cs="MS PGothic" w:eastAsia="MS PGothic" w:hAnsi="MS PGothic"/>
          <w:sz w:val="16"/>
          <w:szCs w:val="16"/>
          <w:color w:val="auto"/>
        </w:rPr>
        <w:t>‑</w:t>
      </w:r>
      <w:r>
        <w:rPr>
          <w:rFonts w:ascii="Arial" w:cs="Arial" w:eastAsia="Arial" w:hAnsi="Arial"/>
          <w:sz w:val="16"/>
          <w:szCs w:val="16"/>
          <w:color w:val="auto"/>
        </w:rPr>
        <w:t>02 for the treatment of pain associated with CRPS, we would have been prevented from launching our product in the United States for this indication for a period of at least 7 years. If another sponsor had received EMA approval for a zoledronic acid</w:t>
      </w:r>
      <w:r>
        <w:rPr>
          <w:rFonts w:ascii="MS PGothic" w:cs="MS PGothic" w:eastAsia="MS PGothic" w:hAnsi="MS PGothic"/>
          <w:sz w:val="16"/>
          <w:szCs w:val="16"/>
          <w:color w:val="auto"/>
        </w:rPr>
        <w:t>‑</w:t>
      </w:r>
      <w:r>
        <w:rPr>
          <w:rFonts w:ascii="Arial" w:cs="Arial" w:eastAsia="Arial" w:hAnsi="Arial"/>
          <w:sz w:val="16"/>
          <w:szCs w:val="16"/>
          <w:color w:val="auto"/>
        </w:rPr>
        <w:t>containing product for the treatment of CRPS before we had obtained EMA approval for AXS</w:t>
      </w:r>
      <w:r>
        <w:rPr>
          <w:rFonts w:ascii="MS PGothic" w:cs="MS PGothic" w:eastAsia="MS PGothic" w:hAnsi="MS PGothic"/>
          <w:sz w:val="16"/>
          <w:szCs w:val="16"/>
          <w:color w:val="auto"/>
        </w:rPr>
        <w:t>‑</w:t>
      </w:r>
      <w:r>
        <w:rPr>
          <w:rFonts w:ascii="Arial" w:cs="Arial" w:eastAsia="Arial" w:hAnsi="Arial"/>
          <w:sz w:val="16"/>
          <w:szCs w:val="16"/>
          <w:color w:val="auto"/>
        </w:rPr>
        <w:t>02 for the treatment of pain associated with CRPS, we would have been prevented from launching our product in the EU for this indication for a period of at least 10 to 12 years.</w:t>
      </w:r>
    </w:p>
    <w:p>
      <w:pPr>
        <w:spacing w:after="0" w:line="163" w:lineRule="exact"/>
        <w:rPr>
          <w:sz w:val="20"/>
          <w:szCs w:val="20"/>
          <w:color w:val="auto"/>
        </w:rPr>
      </w:pPr>
    </w:p>
    <w:p>
      <w:pPr>
        <w:jc w:val="both"/>
        <w:ind w:right="59" w:firstLine="648"/>
        <w:spacing w:after="0" w:line="229" w:lineRule="auto"/>
        <w:rPr>
          <w:sz w:val="20"/>
          <w:szCs w:val="20"/>
          <w:color w:val="auto"/>
        </w:rPr>
      </w:pPr>
      <w:r>
        <w:rPr>
          <w:rFonts w:ascii="Arial" w:cs="Arial" w:eastAsia="Arial" w:hAnsi="Arial"/>
          <w:sz w:val="17"/>
          <w:szCs w:val="17"/>
          <w:color w:val="auto"/>
        </w:rPr>
        <w:t>In response to a recent court decision regarding the plain meaning of the exclusivity provision of the Orphan Drug Act, the FDA may undertake a reevaluation of aspects of its orphan drug regulations and policies.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161" w:lineRule="exact"/>
        <w:rPr>
          <w:sz w:val="20"/>
          <w:szCs w:val="20"/>
          <w:color w:val="auto"/>
        </w:rPr>
      </w:pPr>
    </w:p>
    <w:p>
      <w:pPr>
        <w:ind w:right="499"/>
        <w:spacing w:after="0" w:line="324" w:lineRule="auto"/>
        <w:rPr>
          <w:sz w:val="20"/>
          <w:szCs w:val="20"/>
          <w:color w:val="auto"/>
        </w:rPr>
      </w:pPr>
      <w:r>
        <w:rPr>
          <w:rFonts w:ascii="Arial" w:cs="Arial" w:eastAsia="Arial" w:hAnsi="Arial"/>
          <w:sz w:val="15"/>
          <w:szCs w:val="15"/>
          <w:b w:val="1"/>
          <w:bCs w:val="1"/>
          <w:i w:val="1"/>
          <w:iCs w:val="1"/>
          <w:color w:val="auto"/>
        </w:rPr>
        <w:t>If we are unable to establish effective marketing and sales capabilities or enter into agreements with third parties to market and sell our product candidates, if they are approved, we may be unable to generate product revenues.</w:t>
      </w:r>
    </w:p>
    <w:p>
      <w:pPr>
        <w:spacing w:after="0" w:line="102" w:lineRule="exact"/>
        <w:rPr>
          <w:sz w:val="20"/>
          <w:szCs w:val="20"/>
          <w:color w:val="auto"/>
        </w:rPr>
      </w:pPr>
    </w:p>
    <w:p>
      <w:pPr>
        <w:ind w:right="39" w:firstLine="648"/>
        <w:spacing w:after="0" w:line="182" w:lineRule="exact"/>
        <w:rPr>
          <w:sz w:val="20"/>
          <w:szCs w:val="20"/>
          <w:color w:val="auto"/>
        </w:rPr>
      </w:pPr>
      <w:r>
        <w:rPr>
          <w:rFonts w:ascii="Arial" w:cs="Arial" w:eastAsia="Arial" w:hAnsi="Arial"/>
          <w:sz w:val="17"/>
          <w:szCs w:val="17"/>
          <w:color w:val="auto"/>
        </w:rPr>
        <w:t>We currently do not have a commercial infrastructure for the marketing, sale, and distribution of pharmaceutical products. If approved, in order to commercialize our products, we must build our marketing, sales, and distribution capabilities or make arrangements with third parties to perform these services. We may not be successful in doing so. If one of our product candidates is approved by the FDA, we plan to build a commercial infrastructure, including the creation of a specialty sales force to launch that product candidate throughout the United States. In the future, we may seek to further penetrate the U.S. market by expanding our sales force or through collaborations with other pharmaceutical or biotechnology companies or third</w:t>
      </w:r>
      <w:r>
        <w:rPr>
          <w:rFonts w:ascii="MS PGothic" w:cs="MS PGothic" w:eastAsia="MS PGothic" w:hAnsi="MS PGothic"/>
          <w:sz w:val="17"/>
          <w:szCs w:val="17"/>
          <w:color w:val="auto"/>
        </w:rPr>
        <w:t>‑</w:t>
      </w:r>
      <w:r>
        <w:rPr>
          <w:rFonts w:ascii="Arial" w:cs="Arial" w:eastAsia="Arial" w:hAnsi="Arial"/>
          <w:sz w:val="17"/>
          <w:szCs w:val="17"/>
          <w:color w:val="auto"/>
        </w:rPr>
        <w:t>party manufacturing and sales organizations. If approved for marketing outside the United States, we intend to commercialize our product candidates outside the United States with a marketing and sales collaborator or collaborators, rather than with our own sales force.</w:t>
      </w:r>
    </w:p>
    <w:p>
      <w:pPr>
        <w:spacing w:after="0" w:line="162" w:lineRule="exact"/>
        <w:rPr>
          <w:sz w:val="20"/>
          <w:szCs w:val="20"/>
          <w:color w:val="auto"/>
        </w:rPr>
      </w:pPr>
    </w:p>
    <w:p>
      <w:pPr>
        <w:ind w:right="19" w:firstLine="648"/>
        <w:spacing w:after="0" w:line="223" w:lineRule="auto"/>
        <w:rPr>
          <w:sz w:val="20"/>
          <w:szCs w:val="20"/>
          <w:color w:val="auto"/>
        </w:rPr>
      </w:pPr>
      <w:r>
        <w:rPr>
          <w:rFonts w:ascii="Arial" w:cs="Arial" w:eastAsia="Arial" w:hAnsi="Arial"/>
          <w:sz w:val="17"/>
          <w:szCs w:val="17"/>
          <w:color w:val="auto"/>
        </w:rPr>
        <w:t>We have no prior experience in the marketing, sale, and distribution of pharmaceutical products, and there are significant risks involved in the building and managing of a commercial infrastructure. The establishment and development of our own sales force and related compliance plans to market any products we may develop will be expensive and time consuming and could delay any product launch, and we may not be able to successfully develop this capability. We, or our future collaborators, will have to compete with other pharmaceutical and biotechnology companies to recruit, hire, train, manage, and retain marketing and sales personnel. In the event we are unable to develop a marketing and sales infrastructure, we may not be able to commercialize any of our current or future product candidates, which would limit our ability to generate product revenues. Factors that may inhibit our efforts to commercialize any of our current or future product candidates on our own include:</w:t>
      </w:r>
    </w:p>
    <w:p>
      <w:pPr>
        <w:spacing w:after="0" w:line="162" w:lineRule="exact"/>
        <w:rPr>
          <w:sz w:val="20"/>
          <w:szCs w:val="20"/>
          <w:color w:val="auto"/>
        </w:rPr>
      </w:pPr>
    </w:p>
    <w:p>
      <w:pPr>
        <w:ind w:left="660" w:hanging="333"/>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inability to recruit, train, manage, and retain adequate numbers of effective sales and marketing personnel;</w:t>
      </w:r>
    </w:p>
    <w:p>
      <w:pPr>
        <w:spacing w:after="0" w:line="196" w:lineRule="exact"/>
        <w:rPr>
          <w:rFonts w:ascii="Arial" w:cs="Arial" w:eastAsia="Arial" w:hAnsi="Arial"/>
          <w:sz w:val="17"/>
          <w:szCs w:val="17"/>
          <w:color w:val="auto"/>
        </w:rPr>
      </w:pPr>
    </w:p>
    <w:p>
      <w:pPr>
        <w:ind w:left="660" w:right="599" w:hanging="333"/>
        <w:spacing w:after="0" w:line="235"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any of our current or future product candidates;</w:t>
      </w: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inability to effectively oversee a geographically dispersed sales and marketing team;</w:t>
      </w:r>
    </w:p>
    <w:p>
      <w:pPr>
        <w:spacing w:after="0" w:line="184" w:lineRule="exact"/>
        <w:rPr>
          <w:rFonts w:ascii="Arial" w:cs="Arial" w:eastAsia="Arial" w:hAnsi="Arial"/>
          <w:sz w:val="18"/>
          <w:szCs w:val="18"/>
          <w:color w:val="auto"/>
        </w:rPr>
      </w:pPr>
    </w:p>
    <w:p>
      <w:pPr>
        <w:ind w:left="660" w:right="340" w:hanging="333"/>
        <w:spacing w:after="0" w:line="235"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associated with training sales and marketing personnel on legal and regulatory compliance matters and monitoring their actions;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inability to secure adequate coverage and reimbursement by government and private health plans;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clinical indications and labeled claims for which the product is approved;</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limitations or warnings, including distribution or use restrictions, contained in the product’s approved labeling;</w:t>
      </w:r>
    </w:p>
    <w:p>
      <w:pPr>
        <w:spacing w:after="0" w:line="196" w:lineRule="exact"/>
        <w:rPr>
          <w:rFonts w:ascii="Arial" w:cs="Arial" w:eastAsia="Arial" w:hAnsi="Arial"/>
          <w:sz w:val="17"/>
          <w:szCs w:val="17"/>
          <w:color w:val="auto"/>
        </w:rPr>
      </w:pPr>
    </w:p>
    <w:p>
      <w:pPr>
        <w:ind w:left="660" w:right="360" w:hanging="333"/>
        <w:spacing w:after="0" w:line="235"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distribution and use restrictions imposed by the FDA or to which we agree as part of a mandatory REMS or voluntary risk management plan;</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liability for sales or marketing personnel who fail to comply with the applicable legal and regulatory requirements;</w:t>
      </w:r>
    </w:p>
    <w:p>
      <w:pPr>
        <w:spacing w:after="0" w:line="207" w:lineRule="exact"/>
        <w:rPr>
          <w:rFonts w:ascii="Arial" w:cs="Arial" w:eastAsia="Arial" w:hAnsi="Arial"/>
          <w:sz w:val="16"/>
          <w:szCs w:val="16"/>
          <w:color w:val="auto"/>
        </w:rPr>
      </w:pPr>
    </w:p>
    <w:p>
      <w:pPr>
        <w:ind w:left="660" w:right="940" w:hanging="333"/>
        <w:spacing w:after="0" w:line="235"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161" w:lineRule="exact"/>
        <w:rPr>
          <w:rFonts w:ascii="Arial" w:cs="Arial" w:eastAsia="Arial" w:hAnsi="Arial"/>
          <w:sz w:val="18"/>
          <w:szCs w:val="18"/>
          <w:color w:val="auto"/>
        </w:rPr>
      </w:pPr>
    </w:p>
    <w:p>
      <w:pPr>
        <w:ind w:left="660" w:right="680" w:hanging="333"/>
        <w:spacing w:after="0" w:line="235"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 or engaging a contract sales organization.</w:t>
      </w:r>
    </w:p>
    <w:p>
      <w:pPr>
        <w:spacing w:after="0" w:line="162" w:lineRule="exact"/>
        <w:rPr>
          <w:sz w:val="20"/>
          <w:szCs w:val="20"/>
          <w:color w:val="auto"/>
        </w:rPr>
      </w:pPr>
    </w:p>
    <w:p>
      <w:pPr>
        <w:ind w:right="240" w:firstLine="648"/>
        <w:spacing w:after="0" w:line="241" w:lineRule="auto"/>
        <w:rPr>
          <w:sz w:val="20"/>
          <w:szCs w:val="20"/>
          <w:color w:val="auto"/>
        </w:rPr>
      </w:pPr>
      <w:r>
        <w:rPr>
          <w:rFonts w:ascii="Arial" w:cs="Arial" w:eastAsia="Arial" w:hAnsi="Arial"/>
          <w:sz w:val="16"/>
          <w:szCs w:val="16"/>
          <w:color w:val="auto"/>
        </w:rPr>
        <w:t>Although our current plan is to hire most of our sales and marketing personnel only if a product candidate is approved by the FDA, we will incur expenses prior to product launch in recruiting this sales force and developing a marketing and sales infrastructure. If a commercial launch is delayed as a result of FDA requirements or other reasons, we would incur these expenses prior to being able to realize any revenue from sales of our product candidates. Even if we are able to effectively hire a sales force and develop a marketing and sales infrastructure, our sales force and marketing teams may not be successful in commercializing any of our current or future product candidates.</w:t>
      </w:r>
    </w:p>
    <w:p>
      <w:pPr>
        <w:spacing w:after="0" w:line="161" w:lineRule="exact"/>
        <w:rPr>
          <w:sz w:val="20"/>
          <w:szCs w:val="20"/>
          <w:color w:val="auto"/>
        </w:rPr>
      </w:pPr>
    </w:p>
    <w:p>
      <w:pPr>
        <w:ind w:firstLine="648"/>
        <w:spacing w:after="0" w:line="185" w:lineRule="exact"/>
        <w:rPr>
          <w:sz w:val="20"/>
          <w:szCs w:val="20"/>
          <w:color w:val="auto"/>
        </w:rPr>
      </w:pPr>
      <w:r>
        <w:rPr>
          <w:rFonts w:ascii="Arial" w:cs="Arial" w:eastAsia="Arial" w:hAnsi="Arial"/>
          <w:sz w:val="17"/>
          <w:szCs w:val="17"/>
          <w:color w:val="auto"/>
        </w:rPr>
        <w:t>In the event we are unable to collaborate with a third</w:t>
      </w:r>
      <w:r>
        <w:rPr>
          <w:rFonts w:ascii="MS PGothic" w:cs="MS PGothic" w:eastAsia="MS PGothic" w:hAnsi="MS PGothic"/>
          <w:sz w:val="17"/>
          <w:szCs w:val="17"/>
          <w:color w:val="auto"/>
        </w:rPr>
        <w:t>‑</w:t>
      </w:r>
      <w:r>
        <w:rPr>
          <w:rFonts w:ascii="Arial" w:cs="Arial" w:eastAsia="Arial" w:hAnsi="Arial"/>
          <w:sz w:val="17"/>
          <w:szCs w:val="17"/>
          <w:color w:val="auto"/>
        </w:rPr>
        <w:t>party marketing and sales organization to commercialize any approved product candidates outside the United States, our ability to generate product revenues may be limited. To the extent we rely on third parties to commercialize any products for which we obtain regulatory approval, we may receive less revenues than if we commercialized these products ourselves. In addition, we would have less control over the sales efforts of any other third parties involved in our commercialization efforts, and could be held liable if they failed to comply with applicable legal or regulatory requirements.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9"/>
        <w:spacing w:after="0" w:line="235" w:lineRule="auto"/>
        <w:rPr>
          <w:sz w:val="20"/>
          <w:szCs w:val="20"/>
          <w:color w:val="auto"/>
        </w:rPr>
      </w:pPr>
      <w:r>
        <w:rPr>
          <w:rFonts w:ascii="Arial" w:cs="Arial" w:eastAsia="Arial" w:hAnsi="Arial"/>
          <w:sz w:val="18"/>
          <w:szCs w:val="18"/>
          <w:b w:val="1"/>
          <w:bCs w:val="1"/>
          <w:i w:val="1"/>
          <w:iCs w:val="1"/>
          <w:color w:val="auto"/>
        </w:rPr>
        <w:t>If any of our current or future product candidates do not achieve broad market acceptance, the revenues that we generate from their sales will be limited.</w:t>
      </w:r>
    </w:p>
    <w:p>
      <w:pPr>
        <w:spacing w:after="0" w:line="162" w:lineRule="exact"/>
        <w:rPr>
          <w:sz w:val="20"/>
          <w:szCs w:val="20"/>
          <w:color w:val="auto"/>
        </w:rPr>
      </w:pPr>
    </w:p>
    <w:p>
      <w:pPr>
        <w:ind w:right="39" w:firstLine="648"/>
        <w:spacing w:after="0" w:line="235" w:lineRule="auto"/>
        <w:rPr>
          <w:sz w:val="20"/>
          <w:szCs w:val="20"/>
          <w:color w:val="auto"/>
        </w:rPr>
      </w:pPr>
      <w:r>
        <w:rPr>
          <w:rFonts w:ascii="Arial" w:cs="Arial" w:eastAsia="Arial" w:hAnsi="Arial"/>
          <w:sz w:val="16"/>
          <w:szCs w:val="16"/>
          <w:color w:val="auto"/>
        </w:rPr>
        <w:t>We have never commercialized a product candidate for any indication. Even if any of our current or future product candidates are approved by the appropriate regulatory authorities for marketing and sale, it may not gain acceptance among physicians, patients, third-party payors, and others in the medical community. If any product candidates for which we obtain regulatory approval do not gain an adequate level of market acceptance, we may not generate significant product revenues or become profitable. Market acceptance of any of our current or future product candidates by the medical community, patients, and third-party payors will depend on a number of factors, some of which are beyond our control.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 Even if physicians prescribe our products, third party payors may not consider them cost effective without a significant price concession, which could negatively impact our revenue.</w:t>
      </w:r>
    </w:p>
    <w:p>
      <w:pPr>
        <w:spacing w:after="0" w:line="166" w:lineRule="exact"/>
        <w:rPr>
          <w:sz w:val="20"/>
          <w:szCs w:val="20"/>
          <w:color w:val="auto"/>
        </w:rPr>
      </w:pPr>
    </w:p>
    <w:p>
      <w:pPr>
        <w:ind w:right="59" w:firstLine="648"/>
        <w:spacing w:after="0" w:line="249" w:lineRule="auto"/>
        <w:rPr>
          <w:sz w:val="20"/>
          <w:szCs w:val="20"/>
          <w:color w:val="auto"/>
        </w:rPr>
      </w:pPr>
      <w:r>
        <w:rPr>
          <w:rFonts w:ascii="Arial" w:cs="Arial" w:eastAsia="Arial" w:hAnsi="Arial"/>
          <w:sz w:val="16"/>
          <w:szCs w:val="16"/>
          <w:color w:val="auto"/>
        </w:rPr>
        <w:t>Efforts to educate the medical community and third-party payors on the benefits of our product candidates may require significant resources and may not be successful. If any of our product candidates is approved but does not achieve an adequate level of market acceptance, we may not generate significant revenues and we may not become profitable. The degree of market acceptance of any of our product candidates will depend on a number of factors, including:</w:t>
      </w:r>
    </w:p>
    <w:p>
      <w:pPr>
        <w:spacing w:after="0" w:line="155" w:lineRule="exact"/>
        <w:rPr>
          <w:sz w:val="20"/>
          <w:szCs w:val="20"/>
          <w:color w:val="auto"/>
        </w:rPr>
      </w:pPr>
    </w:p>
    <w:p>
      <w:pPr>
        <w:ind w:left="660" w:hanging="333"/>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efficacy of our product candidates;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prevalence and severity of adverse events associated with such product candidate;</w:t>
      </w:r>
    </w:p>
    <w:p>
      <w:pPr>
        <w:spacing w:after="0" w:line="184" w:lineRule="exact"/>
        <w:rPr>
          <w:rFonts w:ascii="Arial" w:cs="Arial" w:eastAsia="Arial" w:hAnsi="Arial"/>
          <w:sz w:val="18"/>
          <w:szCs w:val="18"/>
          <w:color w:val="auto"/>
        </w:rPr>
      </w:pPr>
    </w:p>
    <w:p>
      <w:pPr>
        <w:ind w:left="660" w:right="599" w:hanging="333"/>
        <w:spacing w:after="0" w:line="235"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 and the approved claims that we may make for the product;</w:t>
      </w:r>
    </w:p>
    <w:p>
      <w:pPr>
        <w:spacing w:after="0" w:line="161" w:lineRule="exact"/>
        <w:rPr>
          <w:rFonts w:ascii="Arial" w:cs="Arial" w:eastAsia="Arial" w:hAnsi="Arial"/>
          <w:sz w:val="18"/>
          <w:szCs w:val="18"/>
          <w:color w:val="auto"/>
        </w:rPr>
      </w:pPr>
    </w:p>
    <w:p>
      <w:pPr>
        <w:ind w:left="660" w:right="599" w:hanging="333"/>
        <w:spacing w:after="0" w:line="203" w:lineRule="exact"/>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limitations or warnings contained in the product’s FDA</w:t>
      </w:r>
      <w:r>
        <w:rPr>
          <w:rFonts w:ascii="MS PGothic" w:cs="MS PGothic" w:eastAsia="MS PGothic" w:hAnsi="MS PGothic"/>
          <w:sz w:val="17"/>
          <w:szCs w:val="17"/>
          <w:color w:val="auto"/>
        </w:rPr>
        <w:t>‑</w:t>
      </w:r>
      <w:r>
        <w:rPr>
          <w:rFonts w:ascii="Arial" w:cs="Arial" w:eastAsia="Arial" w:hAnsi="Arial"/>
          <w:sz w:val="17"/>
          <w:szCs w:val="17"/>
          <w:color w:val="auto"/>
        </w:rPr>
        <w:t>approved labeling, including potential limitations or warnings for such product candidate, that may be more restrictive than other competitive products;</w:t>
      </w:r>
    </w:p>
    <w:p>
      <w:pPr>
        <w:spacing w:after="0" w:line="161" w:lineRule="exact"/>
        <w:rPr>
          <w:rFonts w:ascii="Arial" w:cs="Arial" w:eastAsia="Arial" w:hAnsi="Arial"/>
          <w:sz w:val="17"/>
          <w:szCs w:val="17"/>
          <w:color w:val="auto"/>
        </w:rPr>
      </w:pPr>
    </w:p>
    <w:p>
      <w:pPr>
        <w:ind w:left="660" w:right="459" w:hanging="333"/>
        <w:spacing w:after="0" w:line="235"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such product candidate, which could reduce the marketing impact of any claims that we could make following FDA approval, if obtained;</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 of such product candidate;</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 of treatment versus economic and clinical benefit in relation to alternative treatments or therapies;</w:t>
      </w:r>
    </w:p>
    <w:p>
      <w:pPr>
        <w:spacing w:after="0" w:line="184" w:lineRule="exact"/>
        <w:rPr>
          <w:rFonts w:ascii="Arial" w:cs="Arial" w:eastAsia="Arial" w:hAnsi="Arial"/>
          <w:sz w:val="18"/>
          <w:szCs w:val="18"/>
          <w:color w:val="auto"/>
        </w:rPr>
      </w:pPr>
    </w:p>
    <w:p>
      <w:pPr>
        <w:ind w:left="660" w:right="399" w:hanging="333"/>
        <w:spacing w:after="0" w:line="25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availability of adequate coverage or reimbursement by third parties, such as insurance companies and other healthcare payors, and by government healthcare programs, including Medicare and Medicaid;</w:t>
      </w:r>
    </w:p>
    <w:p>
      <w:pPr>
        <w:spacing w:after="0" w:line="146" w:lineRule="exact"/>
        <w:rPr>
          <w:rFonts w:ascii="Arial" w:cs="Arial" w:eastAsia="Arial" w:hAnsi="Arial"/>
          <w:sz w:val="17"/>
          <w:szCs w:val="17"/>
          <w:color w:val="auto"/>
        </w:rPr>
      </w:pPr>
    </w:p>
    <w:p>
      <w:pPr>
        <w:ind w:left="660" w:right="499" w:hanging="333"/>
        <w:spacing w:after="0" w:line="235"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willingness of third party payors to prefer similar but less expensive products even if not approved for our product’s indication;</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extent and strength of our marketing and distribution of such product candidate;</w:t>
      </w:r>
    </w:p>
    <w:p>
      <w:pPr>
        <w:spacing w:after="0" w:line="184" w:lineRule="exact"/>
        <w:rPr>
          <w:rFonts w:ascii="Arial" w:cs="Arial" w:eastAsia="Arial" w:hAnsi="Arial"/>
          <w:sz w:val="18"/>
          <w:szCs w:val="18"/>
          <w:color w:val="auto"/>
        </w:rPr>
      </w:pPr>
    </w:p>
    <w:p>
      <w:pPr>
        <w:ind w:left="660" w:right="219" w:hanging="333"/>
        <w:spacing w:after="0" w:line="235"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safety, efficacy, and other potential advantages over, and availability of, alternative treatments already used or that may later be approved for any of our intended indications;</w:t>
      </w:r>
    </w:p>
    <w:p>
      <w:pPr>
        <w:spacing w:after="0" w:line="161" w:lineRule="exact"/>
        <w:rPr>
          <w:rFonts w:ascii="Arial" w:cs="Arial" w:eastAsia="Arial" w:hAnsi="Arial"/>
          <w:sz w:val="18"/>
          <w:szCs w:val="18"/>
          <w:color w:val="auto"/>
        </w:rPr>
      </w:pPr>
    </w:p>
    <w:p>
      <w:pPr>
        <w:ind w:left="660" w:right="19" w:hanging="333"/>
        <w:spacing w:after="0" w:line="25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distribution and use restrictions imposed by the FDA with respect to such product candidate or to which we agree as part of a mandatory risk evaluation and mitigation strategy or voluntary risk management plan;</w:t>
      </w: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market introduction of such product candidate, as well as competitive products;</w:t>
      </w:r>
    </w:p>
    <w:p>
      <w:pPr>
        <w:spacing w:after="0" w:line="184" w:lineRule="exact"/>
        <w:rPr>
          <w:rFonts w:ascii="Arial" w:cs="Arial" w:eastAsia="Arial" w:hAnsi="Arial"/>
          <w:sz w:val="18"/>
          <w:szCs w:val="18"/>
          <w:color w:val="auto"/>
        </w:rPr>
      </w:pPr>
    </w:p>
    <w:p>
      <w:pPr>
        <w:ind w:left="660" w:right="180" w:hanging="333"/>
        <w:spacing w:after="0" w:line="235"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offer such product candidate for sale at competitive prices, including prices that are competitive with generic products;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willingness of the target patient population to try new therapies and of physicians to prescribe these therapies;</w:t>
      </w:r>
    </w:p>
    <w:p>
      <w:pPr>
        <w:spacing w:after="0" w:line="207" w:lineRule="exact"/>
        <w:rPr>
          <w:rFonts w:ascii="Arial" w:cs="Arial" w:eastAsia="Arial" w:hAnsi="Arial"/>
          <w:sz w:val="16"/>
          <w:szCs w:val="16"/>
          <w:color w:val="auto"/>
        </w:rPr>
      </w:pPr>
    </w:p>
    <w:p>
      <w:pPr>
        <w:ind w:left="660" w:hanging="333"/>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clinical indications for which such product candidate is approved;</w:t>
      </w:r>
    </w:p>
    <w:p>
      <w:pPr>
        <w:spacing w:after="0" w:line="184" w:lineRule="exact"/>
        <w:rPr>
          <w:rFonts w:ascii="Arial" w:cs="Arial" w:eastAsia="Arial" w:hAnsi="Arial"/>
          <w:sz w:val="18"/>
          <w:szCs w:val="18"/>
          <w:color w:val="auto"/>
        </w:rPr>
      </w:pPr>
    </w:p>
    <w:p>
      <w:pPr>
        <w:ind w:left="660" w:hanging="333"/>
        <w:spacing w:after="0" w:line="207" w:lineRule="exact"/>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extent and strength of our third</w:t>
      </w:r>
      <w:r>
        <w:rPr>
          <w:rFonts w:ascii="MS PGothic" w:cs="MS PGothic" w:eastAsia="MS PGothic" w:hAnsi="MS PGothic"/>
          <w:sz w:val="18"/>
          <w:szCs w:val="18"/>
          <w:color w:val="auto"/>
        </w:rPr>
        <w:t>‑</w:t>
      </w:r>
      <w:r>
        <w:rPr>
          <w:rFonts w:ascii="Arial" w:cs="Arial" w:eastAsia="Arial" w:hAnsi="Arial"/>
          <w:sz w:val="18"/>
          <w:szCs w:val="18"/>
          <w:color w:val="auto"/>
        </w:rPr>
        <w:t>party manufacturer and supplier support;</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approval of other new products for the same indications;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publicity about the product or favorable publicity about competitive products; and</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185"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Our efforts to educate the medical community and third</w:t>
      </w:r>
      <w:r>
        <w:rPr>
          <w:rFonts w:ascii="MS PGothic" w:cs="MS PGothic" w:eastAsia="MS PGothic" w:hAnsi="MS PGothic"/>
          <w:sz w:val="16"/>
          <w:szCs w:val="16"/>
          <w:color w:val="auto"/>
        </w:rPr>
        <w:t>‑</w:t>
      </w:r>
      <w:r>
        <w:rPr>
          <w:rFonts w:ascii="Arial" w:cs="Arial" w:eastAsia="Arial" w:hAnsi="Arial"/>
          <w:sz w:val="16"/>
          <w:szCs w:val="16"/>
          <w:color w:val="auto"/>
        </w:rPr>
        <w:t>party payors on the benefits of our product candidates may require significant resources and may never be successful. Even if the medical community accepts that one of our product candidates is safe and effective for its approved indications, physicians and patients may not immediately be receptive to such product candidate and may be slow to adopt it as an accepted treatment of the approved indication. It is unlikely that any labeling approved by the FDA will contain claims that one of our product candidates is safer or more effective than competitive products or will permit us to promote such product candidate as being superior to competing products. Further, the availability of inexpensive generic forms of pain management products for acute pain may also limit acceptance of certain of our product candidates among physicians, patients, and third</w:t>
      </w:r>
      <w:r>
        <w:rPr>
          <w:rFonts w:ascii="MS PGothic" w:cs="MS PGothic" w:eastAsia="MS PGothic" w:hAnsi="MS PGothic"/>
          <w:sz w:val="16"/>
          <w:szCs w:val="16"/>
          <w:color w:val="auto"/>
        </w:rPr>
        <w:t>‑</w:t>
      </w:r>
      <w:r>
        <w:rPr>
          <w:rFonts w:ascii="Arial" w:cs="Arial" w:eastAsia="Arial" w:hAnsi="Arial"/>
          <w:sz w:val="16"/>
          <w:szCs w:val="16"/>
          <w:color w:val="auto"/>
        </w:rPr>
        <w:t>party payors. If any of our current or future product candidates is approved but does not achieve an adequate level of acceptance among physicians, patients, and third</w:t>
      </w:r>
      <w:r>
        <w:rPr>
          <w:rFonts w:ascii="MS PGothic" w:cs="MS PGothic" w:eastAsia="MS PGothic" w:hAnsi="MS PGothic"/>
          <w:sz w:val="16"/>
          <w:szCs w:val="16"/>
          <w:color w:val="auto"/>
        </w:rPr>
        <w:t>‑</w:t>
      </w:r>
      <w:r>
        <w:rPr>
          <w:rFonts w:ascii="Arial" w:cs="Arial" w:eastAsia="Arial" w:hAnsi="Arial"/>
          <w:sz w:val="16"/>
          <w:szCs w:val="16"/>
          <w:color w:val="auto"/>
        </w:rPr>
        <w:t>party payors, we may not generate meaningful revenues from our product candidates, and we may not become profitable.</w:t>
      </w:r>
    </w:p>
    <w:p>
      <w:pPr>
        <w:spacing w:after="0" w:line="163" w:lineRule="exact"/>
        <w:rPr>
          <w:sz w:val="20"/>
          <w:szCs w:val="20"/>
          <w:color w:val="auto"/>
        </w:rPr>
      </w:pPr>
    </w:p>
    <w:p>
      <w:pPr>
        <w:ind w:firstLine="648"/>
        <w:spacing w:after="0" w:line="187" w:lineRule="exact"/>
        <w:rPr>
          <w:sz w:val="20"/>
          <w:szCs w:val="20"/>
          <w:color w:val="auto"/>
        </w:rPr>
      </w:pPr>
      <w:r>
        <w:rPr>
          <w:rFonts w:ascii="Arial" w:cs="Arial" w:eastAsia="Arial" w:hAnsi="Arial"/>
          <w:sz w:val="18"/>
          <w:szCs w:val="18"/>
          <w:color w:val="auto"/>
        </w:rPr>
        <w:t>The ability of patients to purchase certain of the active ingredients of our product candidates in generic form could put us at a competitive disadvantage. For example, in some foreign jurisdictions, generic oral forms of DM and bupropion are currently available individually for consumer purchase. In addition, physicians may prescribe generic zoledronic acid for the treatment of pain off</w:t>
      </w:r>
      <w:r>
        <w:rPr>
          <w:rFonts w:ascii="MS PGothic" w:cs="MS PGothic" w:eastAsia="MS PGothic" w:hAnsi="MS PGothic"/>
          <w:sz w:val="18"/>
          <w:szCs w:val="18"/>
          <w:color w:val="auto"/>
        </w:rPr>
        <w:t>‑</w:t>
      </w:r>
      <w:r>
        <w:rPr>
          <w:rFonts w:ascii="Arial" w:cs="Arial" w:eastAsia="Arial" w:hAnsi="Arial"/>
          <w:sz w:val="18"/>
          <w:szCs w:val="18"/>
          <w:color w:val="auto"/>
        </w:rPr>
        <w:t>label. Any use of these generic forms of the active molecules of our product candidates could adversely affect our business and our results of operations.</w:t>
      </w:r>
    </w:p>
    <w:p>
      <w:pPr>
        <w:spacing w:after="0" w:line="162" w:lineRule="exact"/>
        <w:rPr>
          <w:sz w:val="20"/>
          <w:szCs w:val="20"/>
          <w:color w:val="auto"/>
        </w:rPr>
      </w:pPr>
    </w:p>
    <w:p>
      <w:pPr>
        <w:ind w:right="20"/>
        <w:spacing w:after="0" w:line="183" w:lineRule="exact"/>
        <w:rPr>
          <w:sz w:val="20"/>
          <w:szCs w:val="20"/>
          <w:color w:val="auto"/>
        </w:rPr>
      </w:pPr>
      <w:r>
        <w:rPr>
          <w:rFonts w:ascii="Arial" w:cs="Arial" w:eastAsia="Arial" w:hAnsi="Arial"/>
          <w:sz w:val="18"/>
          <w:szCs w:val="18"/>
          <w:color w:val="auto"/>
        </w:rPr>
        <w:t>The potential market opportunities for our product candidates are difficult to precisely estimate. Our estimates of the potential market opportunities are predicated on many assumptions including industry knowledge and publications, third</w:t>
      </w:r>
      <w:r>
        <w:rPr>
          <w:rFonts w:ascii="MS PGothic" w:cs="MS PGothic" w:eastAsia="MS PGothic" w:hAnsi="MS PGothic"/>
          <w:sz w:val="18"/>
          <w:szCs w:val="18"/>
          <w:color w:val="auto"/>
        </w:rPr>
        <w:t>‑</w:t>
      </w:r>
      <w:r>
        <w:rPr>
          <w:rFonts w:ascii="Arial" w:cs="Arial" w:eastAsia="Arial" w:hAnsi="Arial"/>
          <w:sz w:val="18"/>
          <w:szCs w:val="18"/>
          <w:color w:val="auto"/>
        </w:rPr>
        <w:t>party research reports, and other surveys. While we believe that our internal assumptions are reasonable, these assumptions involve the exercise of significant judgment on the part of our management and are inherently uncertain, and the reasonableness of these assumptions has not been assessed by an independent source. If any of the assumptions proves to be inaccurate, the actual markets for our product candidates could be smaller than our estimates of the potential market opportunities.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20"/>
        <w:spacing w:after="0" w:line="324" w:lineRule="auto"/>
        <w:rPr>
          <w:sz w:val="20"/>
          <w:szCs w:val="20"/>
          <w:color w:val="auto"/>
        </w:rPr>
      </w:pPr>
      <w:r>
        <w:rPr>
          <w:rFonts w:ascii="Arial" w:cs="Arial" w:eastAsia="Arial" w:hAnsi="Arial"/>
          <w:sz w:val="15"/>
          <w:szCs w:val="15"/>
          <w:b w:val="1"/>
          <w:bCs w:val="1"/>
          <w:i w:val="1"/>
          <w:iCs w:val="1"/>
          <w:color w:val="auto"/>
        </w:rPr>
        <w:t>We face potential product liability exposure, and if successful claims are brought against us, we may incur substantial liability for any of our current or future product candidates and may have to limit their commercialization.</w:t>
      </w:r>
    </w:p>
    <w:p>
      <w:pPr>
        <w:spacing w:after="0" w:line="102"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The use of any of our current or future product candidates in clinical trials, and the sale of any of our product candidates for which we obtain regulatory approval, exposes us to the risk of product liability claims. We face inherent risk of product liability related to the testing of our product candidates in human clinical trials and will face an even greater risk if we commercially sell any product candidates that we may develop. For example, we may be sued if any product candidate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 candidates. Even successful defense would require significant financial and management resources. Regardless of merit or eventual outcome, liability claims may result in:</w:t>
      </w:r>
    </w:p>
    <w:p>
      <w:pPr>
        <w:spacing w:after="0" w:line="163" w:lineRule="exact"/>
        <w:rPr>
          <w:sz w:val="20"/>
          <w:szCs w:val="20"/>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revenue from decreased demand for our products and/or product candidates;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impairment of our business reputation or financial stability;</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diversion of management attention;</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withdrawal of clinical trial participants and potential termination of clinical trial sites or entire clinical programs;</w:t>
      </w:r>
    </w:p>
    <w:p>
      <w:pPr>
        <w:spacing w:after="0" w:line="196" w:lineRule="exact"/>
        <w:rPr>
          <w:rFonts w:ascii="Arial" w:cs="Arial" w:eastAsia="Arial" w:hAnsi="Arial"/>
          <w:sz w:val="17"/>
          <w:szCs w:val="17"/>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negative media attention;</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 in our stock price;</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initiation of investigations and enforcement actions by regulators; and</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We have obtained limited product liability insurance coverage for our products and our clinical trials with a</w:t>
      </w:r>
    </w:p>
    <w:p>
      <w:pPr>
        <w:ind w:right="40"/>
        <w:spacing w:after="0" w:line="220" w:lineRule="auto"/>
        <w:rPr>
          <w:sz w:val="20"/>
          <w:szCs w:val="20"/>
          <w:color w:val="auto"/>
        </w:rPr>
      </w:pPr>
      <w:r>
        <w:rPr>
          <w:rFonts w:ascii="Arial" w:cs="Arial" w:eastAsia="Arial" w:hAnsi="Arial"/>
          <w:sz w:val="17"/>
          <w:szCs w:val="17"/>
          <w:color w:val="auto"/>
        </w:rPr>
        <w:t>$8 million annual aggregate coverage limit. We have also obtained local policies in those foreign jurisdictions where it was appropriate.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We intend to expand our insurance coverage to include the sale of commercial products if we obtain FDA approval for our product candidates in development, but we may be unable to obtain commercially reasonable product liability insurance for any products approved for marketing, or at all. On occasion, large judgments have been awarded in class action lawsuits based on drugs that had unanticipated side effects. A successful product liability claim or series of claims brought against us could cause our stock price to fall and, if judgments exceed our insurance coverage, could decrease our cash and adversely affect our business and our prospects.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89" w:lineRule="exact"/>
        <w:rPr>
          <w:sz w:val="20"/>
          <w:szCs w:val="20"/>
          <w:color w:val="auto"/>
        </w:rPr>
      </w:pPr>
    </w:p>
    <w:p>
      <w:pPr>
        <w:ind w:right="380"/>
        <w:spacing w:after="0" w:line="238" w:lineRule="auto"/>
        <w:rPr>
          <w:sz w:val="20"/>
          <w:szCs w:val="20"/>
          <w:color w:val="auto"/>
        </w:rPr>
      </w:pPr>
      <w:r>
        <w:rPr>
          <w:rFonts w:ascii="Arial" w:cs="Arial" w:eastAsia="Arial" w:hAnsi="Arial"/>
          <w:sz w:val="17"/>
          <w:szCs w:val="17"/>
          <w:b w:val="1"/>
          <w:bCs w:val="1"/>
          <w:i w:val="1"/>
          <w:iCs w:val="1"/>
          <w:color w:val="auto"/>
        </w:rPr>
        <w:t>We rely, and expect to continue to rely, on third parties to conduct, supervise, and monitor our preclinical studies and clinical trials, and those third parties may not perform satisfactorily, including failing to meet deadlines for the completion of such trials or failing to comply with regulatory requirements.</w:t>
      </w:r>
    </w:p>
    <w:p>
      <w:pPr>
        <w:spacing w:after="0" w:line="161" w:lineRule="exact"/>
        <w:rPr>
          <w:sz w:val="20"/>
          <w:szCs w:val="20"/>
          <w:color w:val="auto"/>
        </w:rPr>
      </w:pPr>
    </w:p>
    <w:p>
      <w:pPr>
        <w:ind w:right="100" w:firstLine="648"/>
        <w:spacing w:after="0" w:line="181" w:lineRule="exact"/>
        <w:rPr>
          <w:sz w:val="20"/>
          <w:szCs w:val="20"/>
          <w:color w:val="auto"/>
        </w:rPr>
      </w:pPr>
      <w:r>
        <w:rPr>
          <w:rFonts w:ascii="Arial" w:cs="Arial" w:eastAsia="Arial" w:hAnsi="Arial"/>
          <w:sz w:val="17"/>
          <w:szCs w:val="17"/>
          <w:color w:val="auto"/>
        </w:rPr>
        <w:t>We rely on third</w:t>
      </w:r>
      <w:r>
        <w:rPr>
          <w:rFonts w:ascii="MS PGothic" w:cs="MS PGothic" w:eastAsia="MS PGothic" w:hAnsi="MS PGothic"/>
          <w:sz w:val="17"/>
          <w:szCs w:val="17"/>
          <w:color w:val="auto"/>
        </w:rPr>
        <w:t>‑</w:t>
      </w:r>
      <w:r>
        <w:rPr>
          <w:rFonts w:ascii="Arial" w:cs="Arial" w:eastAsia="Arial" w:hAnsi="Arial"/>
          <w:sz w:val="17"/>
          <w:szCs w:val="17"/>
          <w:color w:val="auto"/>
        </w:rPr>
        <w:t>party CROs to conduct, supervise, and monitor our preclinical studies and clinical trials for our product candidates and do not currently plan to independently conduct preclinical studies or clinical trials of any other potential product candidates. We expect to continue to rely on third parties, such as CROs, clinical data management organizations, medical institutions, and clinical investigators, to conduct our preclinical studies and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would delay our product development activities and adversely affect our business.</w:t>
      </w:r>
    </w:p>
    <w:p>
      <w:pPr>
        <w:spacing w:after="0" w:line="164" w:lineRule="exact"/>
        <w:rPr>
          <w:sz w:val="20"/>
          <w:szCs w:val="20"/>
          <w:color w:val="auto"/>
        </w:rPr>
      </w:pPr>
    </w:p>
    <w:p>
      <w:pPr>
        <w:ind w:right="40" w:firstLine="648"/>
        <w:spacing w:after="0" w:line="220" w:lineRule="auto"/>
        <w:rPr>
          <w:sz w:val="20"/>
          <w:szCs w:val="20"/>
          <w:color w:val="auto"/>
        </w:rPr>
      </w:pPr>
      <w:r>
        <w:rPr>
          <w:rFonts w:ascii="Arial" w:cs="Arial" w:eastAsia="Arial" w:hAnsi="Arial"/>
          <w:sz w:val="17"/>
          <w:szCs w:val="17"/>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the CROs does not relieve us of our regulatory responsibilities. For example, we will remain responsible for ensuring that each of our clinical trials is conducted in accordance with the general investigational plan and protocols for the trial and for ensuring that our preclinical trials are conducted in accordance with good laboratory practice, or GLP, as appropriate. Moreover, the FDA and comparable foreign regulatory authorities require us to comply with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As a clinical trial sponsor, we also have regulatory requirements that directly apply to us. Regulatory authorities enforce these requirements through periodic inspections of trial sponsors, clinical investigators, and trial sites. If we or any of our CROs fail to comply with applicable GCPs, we or our CROs may be subject to enforcement or other legal actions, the clinical data generated in our clinical trials may be deemed unreliable and the FDA or comparable foreign regulatory authorities may require us to perform additional clinical trials.</w:t>
      </w:r>
    </w:p>
    <w:p>
      <w:pPr>
        <w:spacing w:after="0" w:line="165" w:lineRule="exact"/>
        <w:rPr>
          <w:sz w:val="20"/>
          <w:szCs w:val="20"/>
          <w:color w:val="auto"/>
        </w:rPr>
      </w:pPr>
    </w:p>
    <w:p>
      <w:pPr>
        <w:ind w:right="20" w:firstLine="648"/>
        <w:spacing w:after="0" w:line="183" w:lineRule="exact"/>
        <w:rPr>
          <w:sz w:val="20"/>
          <w:szCs w:val="20"/>
          <w:color w:val="auto"/>
        </w:rPr>
      </w:pPr>
      <w:r>
        <w:rPr>
          <w:rFonts w:ascii="Arial" w:cs="Arial" w:eastAsia="Arial" w:hAnsi="Arial"/>
          <w:sz w:val="18"/>
          <w:szCs w:val="18"/>
          <w:color w:val="auto"/>
        </w:rPr>
        <w:t>In addition, once we have an approved product, we will be required to report certain financial interests of our third</w:t>
      </w:r>
      <w:r>
        <w:rPr>
          <w:rFonts w:ascii="MS PGothic" w:cs="MS PGothic" w:eastAsia="MS PGothic" w:hAnsi="MS PGothic"/>
          <w:sz w:val="18"/>
          <w:szCs w:val="18"/>
          <w:color w:val="auto"/>
        </w:rPr>
        <w:t>‑</w:t>
      </w:r>
      <w:r>
        <w:rPr>
          <w:rFonts w:ascii="Arial" w:cs="Arial" w:eastAsia="Arial" w:hAnsi="Arial"/>
          <w:sz w:val="18"/>
          <w:szCs w:val="18"/>
          <w:color w:val="auto"/>
        </w:rPr>
        <w:t>party investigators if these relationships exceed certain financial thresholds or meet other criteria. The FDA and comparable foreign regulatory authorities may question the integrity of the data from those clinical trials conducted by investigators who previously served or currently serve as scientific advisors or consultants to us from time to time and receive cash compensation in connection with such services or otherwise receive compensation from us that could be deemed to impact study outcome, proprietary interests in a product candidate, certain company equity interests, or significant payments of other sorts.</w:t>
      </w:r>
    </w:p>
    <w:p>
      <w:pPr>
        <w:spacing w:after="0" w:line="165" w:lineRule="exact"/>
        <w:rPr>
          <w:sz w:val="20"/>
          <w:szCs w:val="20"/>
          <w:color w:val="auto"/>
        </w:rPr>
      </w:pPr>
    </w:p>
    <w:p>
      <w:pPr>
        <w:ind w:firstLine="648"/>
        <w:spacing w:after="0" w:line="185" w:lineRule="exact"/>
        <w:rPr>
          <w:sz w:val="20"/>
          <w:szCs w:val="20"/>
          <w:color w:val="auto"/>
        </w:rPr>
      </w:pPr>
      <w:r>
        <w:rPr>
          <w:rFonts w:ascii="Arial" w:cs="Arial" w:eastAsia="Arial" w:hAnsi="Arial"/>
          <w:sz w:val="17"/>
          <w:szCs w:val="17"/>
          <w:color w:val="auto"/>
        </w:rPr>
        <w:t>We cannot assure you that upon inspection by a given regulatory authority, such regulatory authority will determine that any of our clinical trials complies with GCP regulations. In addition, our clinical trials must be conducted with product candidates that were produced under cGMP regulations. Our failure to comply with these regulations may require us to repeat clinical trials, which would delay the regulatory approval process. We also are required to register certain clinical trials and post the results of certain completed clinical trials on a government</w:t>
      </w:r>
      <w:r>
        <w:rPr>
          <w:rFonts w:ascii="MS PGothic" w:cs="MS PGothic" w:eastAsia="MS PGothic" w:hAnsi="MS PGothic"/>
          <w:sz w:val="17"/>
          <w:szCs w:val="17"/>
          <w:color w:val="auto"/>
        </w:rPr>
        <w:t>‑</w:t>
      </w:r>
      <w:r>
        <w:rPr>
          <w:rFonts w:ascii="Arial" w:cs="Arial" w:eastAsia="Arial" w:hAnsi="Arial"/>
          <w:sz w:val="17"/>
          <w:szCs w:val="17"/>
          <w:color w:val="auto"/>
        </w:rPr>
        <w:t>sponsored database, ClinicalTrials.gov, within specified timeframes. Failure to do so can result in enforcement actions and adverse publicity.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9" w:firstLine="648"/>
        <w:spacing w:after="0" w:line="180" w:lineRule="exact"/>
        <w:rPr>
          <w:sz w:val="20"/>
          <w:szCs w:val="20"/>
          <w:color w:val="auto"/>
        </w:rPr>
      </w:pPr>
      <w:r>
        <w:rPr>
          <w:rFonts w:ascii="Arial" w:cs="Arial" w:eastAsia="Arial" w:hAnsi="Arial"/>
          <w:sz w:val="16"/>
          <w:szCs w:val="16"/>
          <w:color w:val="auto"/>
        </w:rPr>
        <w:t>Our CROs may also have relationships with other entities, some of which may be our competitors, for whom they may also be conducting clinical trials or other drug development activities that could harm our competitive position. In addition, our CROs are not our employees, and except for remedies available to us under our agreements with such CROs, we cannot control whether or not they devote sufficient time and resources to our ongoing clinical, non</w:t>
      </w:r>
      <w:r>
        <w:rPr>
          <w:rFonts w:ascii="MS PGothic" w:cs="MS PGothic" w:eastAsia="MS PGothic" w:hAnsi="MS PGothic"/>
          <w:sz w:val="16"/>
          <w:szCs w:val="16"/>
          <w:color w:val="auto"/>
        </w:rPr>
        <w:t>‑</w:t>
      </w:r>
      <w:r>
        <w:rPr>
          <w:rFonts w:ascii="Arial" w:cs="Arial" w:eastAsia="Arial" w:hAnsi="Arial"/>
          <w:sz w:val="16"/>
          <w:szCs w:val="16"/>
          <w:color w:val="auto"/>
        </w:rPr>
        <w:t>clinical, and preclinical programs. If these third parties do not successfully carry out their contractual duties, meet expected deadlines or conduct our preclinical studies or clinical trials in accordance with regulatory requirements or our stated protocols,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w:t>
      </w:r>
      <w:r>
        <w:rPr>
          <w:rFonts w:ascii="MS PGothic" w:cs="MS PGothic" w:eastAsia="MS PGothic" w:hAnsi="MS PGothic"/>
          <w:sz w:val="16"/>
          <w:szCs w:val="16"/>
          <w:color w:val="auto"/>
        </w:rPr>
        <w:t>‑</w:t>
      </w:r>
      <w:r>
        <w:rPr>
          <w:rFonts w:ascii="Arial" w:cs="Arial" w:eastAsia="Arial" w:hAnsi="Arial"/>
          <w:sz w:val="16"/>
          <w:szCs w:val="16"/>
          <w:color w:val="auto"/>
        </w:rPr>
        <w:t>party service providers in the future, our business may be materially and adversely affected.</w:t>
      </w:r>
    </w:p>
    <w:p>
      <w:pPr>
        <w:spacing w:after="0" w:line="163" w:lineRule="exact"/>
        <w:rPr>
          <w:sz w:val="20"/>
          <w:szCs w:val="20"/>
          <w:color w:val="auto"/>
        </w:rPr>
      </w:pPr>
    </w:p>
    <w:p>
      <w:pPr>
        <w:ind w:right="59" w:firstLine="648"/>
        <w:spacing w:after="0" w:line="184" w:lineRule="exact"/>
        <w:rPr>
          <w:sz w:val="20"/>
          <w:szCs w:val="20"/>
          <w:color w:val="auto"/>
        </w:rPr>
      </w:pPr>
      <w:r>
        <w:rPr>
          <w:rFonts w:ascii="Arial" w:cs="Arial" w:eastAsia="Arial" w:hAnsi="Arial"/>
          <w:sz w:val="17"/>
          <w:szCs w:val="17"/>
          <w:color w:val="auto"/>
        </w:rPr>
        <w:t>If any of our relationships with these third</w:t>
      </w:r>
      <w:r>
        <w:rPr>
          <w:rFonts w:ascii="MS PGothic" w:cs="MS PGothic" w:eastAsia="MS PGothic" w:hAnsi="MS PGothic"/>
          <w:sz w:val="17"/>
          <w:szCs w:val="17"/>
          <w:color w:val="auto"/>
        </w:rPr>
        <w:t>‑</w:t>
      </w:r>
      <w:r>
        <w:rPr>
          <w:rFonts w:ascii="Arial" w:cs="Arial" w:eastAsia="Arial" w:hAnsi="Arial"/>
          <w:sz w:val="17"/>
          <w:szCs w:val="17"/>
          <w:color w:val="auto"/>
        </w:rPr>
        <w:t>party CROs terminate, we may not be able to enter into arrangements with alternative CROs or to do so on commercially reasonable terms. Switching or adding additional CROs involves additional cost and requires management time and focus. In addition, there is a natural transition period when a new CRO commences work. As a result, delays could occur, which could compromise our ability to meet our desired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 and results of operations.</w:t>
      </w:r>
    </w:p>
    <w:p>
      <w:pPr>
        <w:spacing w:after="0" w:line="162" w:lineRule="exact"/>
        <w:rPr>
          <w:sz w:val="20"/>
          <w:szCs w:val="20"/>
          <w:color w:val="auto"/>
        </w:rPr>
      </w:pPr>
    </w:p>
    <w:p>
      <w:pPr>
        <w:ind w:right="459"/>
        <w:spacing w:after="0" w:line="219" w:lineRule="auto"/>
        <w:rPr>
          <w:sz w:val="20"/>
          <w:szCs w:val="20"/>
          <w:color w:val="auto"/>
        </w:rPr>
      </w:pPr>
      <w:r>
        <w:rPr>
          <w:rFonts w:ascii="Arial" w:cs="Arial" w:eastAsia="Arial" w:hAnsi="Arial"/>
          <w:sz w:val="18"/>
          <w:szCs w:val="18"/>
          <w:b w:val="1"/>
          <w:bCs w:val="1"/>
          <w:i w:val="1"/>
          <w:iCs w:val="1"/>
          <w:color w:val="auto"/>
        </w:rPr>
        <w:t>If the manufacturers upon whom we rely fail to produce our product candidates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spacing w:after="0" w:line="163" w:lineRule="exact"/>
        <w:rPr>
          <w:sz w:val="20"/>
          <w:szCs w:val="20"/>
          <w:color w:val="auto"/>
        </w:rPr>
      </w:pPr>
    </w:p>
    <w:p>
      <w:pPr>
        <w:ind w:right="159" w:firstLine="648"/>
        <w:spacing w:after="0" w:line="211" w:lineRule="auto"/>
        <w:rPr>
          <w:sz w:val="20"/>
          <w:szCs w:val="20"/>
          <w:color w:val="auto"/>
        </w:rPr>
      </w:pPr>
      <w:r>
        <w:rPr>
          <w:rFonts w:ascii="Arial" w:cs="Arial" w:eastAsia="Arial" w:hAnsi="Arial"/>
          <w:sz w:val="18"/>
          <w:szCs w:val="18"/>
          <w:color w:val="auto"/>
        </w:rPr>
        <w:t>We do not manufacture any of our product candidates, and we do not currently plan to develop any capacity to do so. We currently outsource all manufacturing of our product candidates to third parties typically without any guarantee that there will be sufficient supplies to fulfill our requirements or that we may obtain such supplies on acceptable terms. Any delays in obtaining adequate supplies with respect to our product candidates may delay the development or commercialization of our product candidates. Moreover, we do not yet have agreements established regarding commercial supply of our product candidates, and we may not be able to establish or maintain commercial manufacturing arrangements on commercially reasonable terms for any of our current or future product candidates for which we obtain approval in the future.</w:t>
      </w:r>
    </w:p>
    <w:p>
      <w:pPr>
        <w:spacing w:after="0" w:line="165" w:lineRule="exact"/>
        <w:rPr>
          <w:sz w:val="20"/>
          <w:szCs w:val="20"/>
          <w:color w:val="auto"/>
        </w:rPr>
      </w:pPr>
    </w:p>
    <w:p>
      <w:pPr>
        <w:ind w:right="19" w:firstLine="648"/>
        <w:spacing w:after="0" w:line="180" w:lineRule="exact"/>
        <w:rPr>
          <w:sz w:val="20"/>
          <w:szCs w:val="20"/>
          <w:color w:val="auto"/>
        </w:rPr>
      </w:pPr>
      <w:r>
        <w:rPr>
          <w:rFonts w:ascii="Arial" w:cs="Arial" w:eastAsia="Arial" w:hAnsi="Arial"/>
          <w:sz w:val="17"/>
          <w:szCs w:val="17"/>
          <w:color w:val="auto"/>
        </w:rPr>
        <w:t>We may not succeed in our efforts to establish manufacturing relationships or other alternative arrangements for any of our existing or future product candidates and programs. Our product candidates may compete with other products and product candidates for access to manufacturing facilities. There are a limited number of manufacturers that operate under cGMP regulations and that are both capable of manufacturing for us and willing to do so. If our existing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or the third parties that we engage in the future to manufacture a product for commercial sale or for our clinical trials, should cease to continue to do so for any reason, we likely would experience delays in obtaining sufficient quantities of our product candidates for us to meet commercial demand or to advance our clinical trials while we identify and qualify replacement suppliers. If for any reason we are unable to obtain adequate supplies of our product candidates or the drug substances used to manufacture them, it will be more difficult for us to develop our product candidates and compete effectively. Further, even if we do establish such collaborations or arrangements, our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may breach, terminate, or not renew these agreements.</w:t>
      </w: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Any problems or delays we experience in preparing for commercial</w:t>
      </w:r>
      <w:r>
        <w:rPr>
          <w:rFonts w:ascii="MS PGothic" w:cs="MS PGothic" w:eastAsia="MS PGothic" w:hAnsi="MS PGothic"/>
          <w:sz w:val="17"/>
          <w:szCs w:val="17"/>
          <w:color w:val="auto"/>
        </w:rPr>
        <w:t>‑</w:t>
      </w:r>
      <w:r>
        <w:rPr>
          <w:rFonts w:ascii="Arial" w:cs="Arial" w:eastAsia="Arial" w:hAnsi="Arial"/>
          <w:sz w:val="17"/>
          <w:szCs w:val="17"/>
          <w:color w:val="auto"/>
        </w:rPr>
        <w:t>scale manufacturing of a product candidate may result in a delay in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For example, our manufacturers will need to produce specific batches of our product candidates to demonstrate acceptable stability under various conditions and for commercially viable lengths of time. We and our contract manufacturers will need to demonstrate to the FDA and other regulatory authorities that this is acceptable stability data for our product candidates, as well as validate methods and manufacturing processes, in order to receive regulatory approval to commercialize any of our current or future product candidates. Furthermore, if our commercial manufacturers fail to deliver the required commercial quantities of bulk drug substance or finished product on a timely basis and at commercially reasonable prices, we would likely be unable to meet demand for our products and we would lose potential revenues.</w:t>
      </w:r>
    </w:p>
    <w:p>
      <w:pPr>
        <w:spacing w:after="0" w:line="167" w:lineRule="exact"/>
        <w:rPr>
          <w:sz w:val="20"/>
          <w:szCs w:val="20"/>
          <w:color w:val="auto"/>
        </w:rPr>
      </w:pPr>
    </w:p>
    <w:p>
      <w:pPr>
        <w:ind w:right="20" w:firstLine="648"/>
        <w:spacing w:after="0" w:line="181" w:lineRule="exact"/>
        <w:rPr>
          <w:sz w:val="20"/>
          <w:szCs w:val="20"/>
          <w:color w:val="auto"/>
        </w:rPr>
      </w:pPr>
      <w:r>
        <w:rPr>
          <w:rFonts w:ascii="Arial" w:cs="Arial" w:eastAsia="Arial" w:hAnsi="Arial"/>
          <w:sz w:val="17"/>
          <w:szCs w:val="17"/>
          <w:color w:val="auto"/>
        </w:rPr>
        <w:t>We have a limited number of contract manufacturers for our products. At times we may have only one manufacturer for a product. In addition, we do not have any long</w:t>
      </w:r>
      <w:r>
        <w:rPr>
          <w:rFonts w:ascii="MS PGothic" w:cs="MS PGothic" w:eastAsia="MS PGothic" w:hAnsi="MS PGothic"/>
          <w:sz w:val="17"/>
          <w:szCs w:val="17"/>
          <w:color w:val="auto"/>
        </w:rPr>
        <w:t>‑</w:t>
      </w:r>
      <w:r>
        <w:rPr>
          <w:rFonts w:ascii="Arial" w:cs="Arial" w:eastAsia="Arial" w:hAnsi="Arial"/>
          <w:sz w:val="17"/>
          <w:szCs w:val="17"/>
          <w:color w:val="auto"/>
        </w:rPr>
        <w:t>term commitments from our suppliers of clinical trial material or guaranteed prices for our product candidates. The manufacture of pharmaceutical products requires significant expertise and capital investment, including the development of advanced manufacturing techniques and process controls.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and foreign regulations. Our manufacturers may not perform as agreed. If our manufacturers were to encounter any of these difficulties, our ability to provide product candidates to patients in our clinical trials and for commercial use, if approved, would be jeopardized.</w:t>
      </w:r>
    </w:p>
    <w:p>
      <w:pPr>
        <w:spacing w:after="0" w:line="164" w:lineRule="exact"/>
        <w:rPr>
          <w:sz w:val="20"/>
          <w:szCs w:val="20"/>
          <w:color w:val="auto"/>
        </w:rPr>
      </w:pPr>
    </w:p>
    <w:p>
      <w:pPr>
        <w:ind w:right="40" w:firstLine="648"/>
        <w:spacing w:after="0"/>
        <w:rPr>
          <w:sz w:val="20"/>
          <w:szCs w:val="20"/>
          <w:color w:val="auto"/>
        </w:rPr>
      </w:pPr>
      <w:r>
        <w:rPr>
          <w:rFonts w:ascii="Arial" w:cs="Arial" w:eastAsia="Arial" w:hAnsi="Arial"/>
          <w:sz w:val="16"/>
          <w:szCs w:val="16"/>
          <w:color w:val="auto"/>
        </w:rPr>
        <w:t>In addition, all manufacturers of our product candidates must comply with cGMP requirements enforced by the FDA and comparable foreign regulatory authorities that are applicable to both finished drug products and active pharmaceutical ingredients used both for clinical and commercial supply, through its facilities inspection program. Our manufacturers must be approved by the FDA and comparable foreign regulatory authorities pursuant to inspections that will be conducted after we submit our marketing applications to the agency and comparable foreign regulatory authorities. The cGMP requirements include quality control, quality assurance, and the maintenance of records and documentation. Manufacturers of our product candidates may be unable to comply with our specifications, these cGMP requirements and with other FDA, state, and foreign regulatory requirements. If our contract manufacturers cannot successfully manufacture material that conforms to our specifications and the strict regulatory requirements of the FDA or other regulatory authorities, they will not be able to secure or maintain regulatory approval for their manufacturing facilities. While we are ultimately responsible for the manufacture of our product candidates, other than through our contractual arrangements, we have little control over our manufacturers’ compliance with these regulations and standards.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 failure to comply with these requirements may result in regulatory enforcement actions against our manufacturers or us, including fines and civil and criminal penalties, including imprisonment; suspension or restrictions of production; suspension, delay, or denial of product approval or supplements to approved products; clinical holds or termination of clinical studies; warning or untitled letters; regulatory authority communications warning the public about safety issues with the drug; refusal to permit the import or export of the products; product seizure, detention, or recall; suits under the civil False Claims Act; corporate integrity agreements; consent decrees; or withdrawal of product approval. If the safety of any quantities supplied is compromised due to our manufacturers’ failure to adhere to applicable laws or for other reasons, we may not be able to obtain regulatory approval for or successfully commercialize our product candidates.</w:t>
      </w:r>
    </w:p>
    <w:p>
      <w:pPr>
        <w:spacing w:after="0" w:line="206" w:lineRule="exact"/>
        <w:rPr>
          <w:sz w:val="20"/>
          <w:szCs w:val="20"/>
          <w:color w:val="auto"/>
        </w:rPr>
      </w:pPr>
    </w:p>
    <w:p>
      <w:pPr>
        <w:ind w:right="160" w:firstLine="648"/>
        <w:spacing w:after="0" w:line="249" w:lineRule="auto"/>
        <w:rPr>
          <w:sz w:val="20"/>
          <w:szCs w:val="20"/>
          <w:color w:val="auto"/>
        </w:rPr>
      </w:pPr>
      <w:r>
        <w:rPr>
          <w:rFonts w:ascii="Arial" w:cs="Arial" w:eastAsia="Arial" w:hAnsi="Arial"/>
          <w:sz w:val="16"/>
          <w:szCs w:val="16"/>
          <w:color w:val="auto"/>
        </w:rPr>
        <w:t>Any failure or refusal to supply our product candidates or components for our current or future product candidates that we may develop could delay, prevent, or impair our clinical development or commercialization efforts. Any change in our manufacturers could be costly because the commercial terms of any new arrangement could be less favorable and because the expenses relating to the transfer of necessary technology and processes could be significant.</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40"/>
        <w:spacing w:after="0" w:line="244" w:lineRule="auto"/>
        <w:rPr>
          <w:sz w:val="20"/>
          <w:szCs w:val="20"/>
          <w:color w:val="auto"/>
        </w:rPr>
      </w:pPr>
      <w:r>
        <w:rPr>
          <w:rFonts w:ascii="Arial" w:cs="Arial" w:eastAsia="Arial" w:hAnsi="Arial"/>
          <w:sz w:val="16"/>
          <w:szCs w:val="16"/>
          <w:b w:val="1"/>
          <w:bCs w:val="1"/>
          <w:i w:val="1"/>
          <w:iCs w:val="1"/>
          <w:color w:val="auto"/>
        </w:rPr>
        <w:t>We may rely on third parties to perform many essential services for any products that we commercialize, including services related to warehousing and inventory control, distribution, government price reporting, customer service, accounts receivable management, cash collection, and adverse event reporting. If these third parties fail to perform as expected or to comply with legal and regulatory requirements, our ability to commercialize any of our current or future product candidates will be significantly impacted and we may be subject to regulatory sanctions.</w:t>
      </w:r>
    </w:p>
    <w:p>
      <w:pPr>
        <w:spacing w:after="0" w:line="159" w:lineRule="exact"/>
        <w:rPr>
          <w:sz w:val="20"/>
          <w:szCs w:val="20"/>
          <w:color w:val="auto"/>
        </w:rPr>
      </w:pPr>
    </w:p>
    <w:p>
      <w:pPr>
        <w:ind w:firstLine="648"/>
        <w:spacing w:after="0" w:line="181" w:lineRule="exact"/>
        <w:rPr>
          <w:sz w:val="20"/>
          <w:szCs w:val="20"/>
          <w:color w:val="auto"/>
        </w:rPr>
      </w:pPr>
      <w:r>
        <w:rPr>
          <w:rFonts w:ascii="Arial" w:cs="Arial" w:eastAsia="Arial" w:hAnsi="Arial"/>
          <w:sz w:val="17"/>
          <w:szCs w:val="17"/>
          <w:color w:val="auto"/>
        </w:rPr>
        <w:t>We may retain third</w:t>
      </w:r>
      <w:r>
        <w:rPr>
          <w:rFonts w:ascii="MS PGothic" w:cs="MS PGothic" w:eastAsia="MS PGothic" w:hAnsi="MS PGothic"/>
          <w:sz w:val="17"/>
          <w:szCs w:val="17"/>
          <w:color w:val="auto"/>
        </w:rPr>
        <w:t>‑</w:t>
      </w:r>
      <w:r>
        <w:rPr>
          <w:rFonts w:ascii="Arial" w:cs="Arial" w:eastAsia="Arial" w:hAnsi="Arial"/>
          <w:sz w:val="17"/>
          <w:szCs w:val="17"/>
          <w:color w:val="auto"/>
        </w:rPr>
        <w:t>party service providers to perform a variety of functions related to the sale and distribution of any of our current or future product candidates, key aspects of which will be out of our direct control. These service providers may provide key services related to warehousing and inventory control, distribution, government price reporting, customer service, accounts receivable management, and cash collection, and, as a result, most of our inventory may be stored at a single warehouse maintained by one such service provider. If we retain a service provider, we would substantially rely on it as well as other third</w:t>
      </w:r>
      <w:r>
        <w:rPr>
          <w:rFonts w:ascii="MS PGothic" w:cs="MS PGothic" w:eastAsia="MS PGothic" w:hAnsi="MS PGothic"/>
          <w:sz w:val="17"/>
          <w:szCs w:val="17"/>
          <w:color w:val="auto"/>
        </w:rPr>
        <w:t>‑</w:t>
      </w:r>
      <w:r>
        <w:rPr>
          <w:rFonts w:ascii="Arial" w:cs="Arial" w:eastAsia="Arial" w:hAnsi="Arial"/>
          <w:sz w:val="17"/>
          <w:szCs w:val="17"/>
          <w:color w:val="auto"/>
        </w:rPr>
        <w:t>party providers that perform services for us, including entrusting our inventories of products to their care and handling. If these third</w:t>
      </w:r>
      <w:r>
        <w:rPr>
          <w:rFonts w:ascii="MS PGothic" w:cs="MS PGothic" w:eastAsia="MS PGothic" w:hAnsi="MS PGothic"/>
          <w:sz w:val="17"/>
          <w:szCs w:val="17"/>
          <w:color w:val="auto"/>
        </w:rPr>
        <w:t>‑</w:t>
      </w:r>
      <w:r>
        <w:rPr>
          <w:rFonts w:ascii="Arial" w:cs="Arial" w:eastAsia="Arial" w:hAnsi="Arial"/>
          <w:sz w:val="17"/>
          <w:szCs w:val="17"/>
          <w:color w:val="auto"/>
        </w:rPr>
        <w:t>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164" w:lineRule="exact"/>
        <w:rPr>
          <w:sz w:val="20"/>
          <w:szCs w:val="20"/>
          <w:color w:val="auto"/>
        </w:rPr>
      </w:pPr>
    </w:p>
    <w:p>
      <w:pPr>
        <w:ind w:right="60" w:firstLine="648"/>
        <w:spacing w:after="0" w:line="216" w:lineRule="auto"/>
        <w:rPr>
          <w:sz w:val="20"/>
          <w:szCs w:val="20"/>
          <w:color w:val="auto"/>
        </w:rPr>
      </w:pPr>
      <w:r>
        <w:rPr>
          <w:rFonts w:ascii="Arial" w:cs="Arial" w:eastAsia="Arial" w:hAnsi="Arial"/>
          <w:sz w:val="18"/>
          <w:szCs w:val="18"/>
          <w:color w:val="auto"/>
        </w:rPr>
        <w:t>In addition, we may engage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62" w:lineRule="exact"/>
        <w:rPr>
          <w:sz w:val="20"/>
          <w:szCs w:val="20"/>
          <w:color w:val="auto"/>
        </w:rPr>
      </w:pPr>
    </w:p>
    <w:p>
      <w:pPr>
        <w:ind w:right="340" w:firstLine="648"/>
        <w:spacing w:after="0" w:line="224" w:lineRule="auto"/>
        <w:rPr>
          <w:sz w:val="20"/>
          <w:szCs w:val="20"/>
          <w:color w:val="auto"/>
        </w:rPr>
      </w:pPr>
      <w:r>
        <w:rPr>
          <w:rFonts w:ascii="Arial" w:cs="Arial" w:eastAsia="Arial" w:hAnsi="Arial"/>
          <w:sz w:val="18"/>
          <w:szCs w:val="18"/>
          <w:color w:val="auto"/>
        </w:rPr>
        <w:t>Additionally, if a third party errs in calculating government pricing information from transactional data in our financial records, it could impact our discount and rebate liability and potentially cause government programs to overpay providers for our products.</w:t>
      </w:r>
    </w:p>
    <w:p>
      <w:pPr>
        <w:spacing w:after="0" w:line="163"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b w:val="1"/>
          <w:bCs w:val="1"/>
          <w:i w:val="1"/>
          <w:iCs w:val="1"/>
          <w:color w:val="auto"/>
        </w:rPr>
        <w:t>Any collaboration arrangements that we are a party to or may enter into in the future may not be successful, which could adversely affect our ability to develop and commercialize our product candidates.</w:t>
      </w:r>
    </w:p>
    <w:p>
      <w:pPr>
        <w:spacing w:after="0" w:line="147" w:lineRule="exact"/>
        <w:rPr>
          <w:sz w:val="20"/>
          <w:szCs w:val="20"/>
          <w:color w:val="auto"/>
        </w:rPr>
      </w:pPr>
    </w:p>
    <w:p>
      <w:pPr>
        <w:ind w:right="40" w:firstLine="648"/>
        <w:spacing w:after="0" w:line="180" w:lineRule="exact"/>
        <w:rPr>
          <w:sz w:val="20"/>
          <w:szCs w:val="20"/>
          <w:color w:val="auto"/>
        </w:rPr>
      </w:pPr>
      <w:r>
        <w:rPr>
          <w:rFonts w:ascii="Arial" w:cs="Arial" w:eastAsia="Arial" w:hAnsi="Arial"/>
          <w:sz w:val="16"/>
          <w:szCs w:val="16"/>
          <w:color w:val="auto"/>
        </w:rPr>
        <w:t>Our business model is to commercialize our product candidates in the United States and generally to seek future collaboration arrangements with pharmaceutical or biotechnology companies, or academic institutions, for the development or commercialization of our product candidates in the rest of the world. For example, in December 2017 we entered into a research collaboration agreement with Duke University for the conduct of a Phase 2 clinical trial of AXS-05 for smoking cessation treatment. We currently have not entered into any sub</w:t>
      </w:r>
      <w:r>
        <w:rPr>
          <w:rFonts w:ascii="MS PGothic" w:cs="MS PGothic" w:eastAsia="MS PGothic" w:hAnsi="MS PGothic"/>
          <w:sz w:val="16"/>
          <w:szCs w:val="16"/>
          <w:color w:val="auto"/>
        </w:rPr>
        <w:t>‑</w:t>
      </w:r>
      <w:r>
        <w:rPr>
          <w:rFonts w:ascii="Arial" w:cs="Arial" w:eastAsia="Arial" w:hAnsi="Arial"/>
          <w:sz w:val="16"/>
          <w:szCs w:val="16"/>
          <w:color w:val="auto"/>
        </w:rPr>
        <w:t>license agreements. Our current and future collaboration arrangements may not be successful, and the success of them will depend heavily on the efforts and activities of our collaborators. Collaborators generally have significant discretion in determining the efforts and resources that they will apply to these collaboration arrangements. For clinical trials of our product candidates being conducted by our collaborators, for example the Phase 2 clinical trial of AXS-05 for smoking cessation in collaboration with Duke University, we rely on timeline estimates provided by our collaborators for these trials. Such timeline estimates may differ materially from actual trial completion dates.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 making authority.</w:t>
      </w:r>
    </w:p>
    <w:p>
      <w:pPr>
        <w:spacing w:after="0" w:line="163"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We may license the right to market and sell our product candidates under our collaborators’ labeler codes. Alternatively, we may enter into agreements with collaborators to market and sell our product candidates under our own labeler code, in which case errors and omissions by collaborators in capturing and transmitting transactional data may impact the accuracy of our government price reporting.</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60" w:firstLine="648"/>
        <w:spacing w:after="0" w:line="238" w:lineRule="auto"/>
        <w:rPr>
          <w:sz w:val="20"/>
          <w:szCs w:val="20"/>
          <w:color w:val="auto"/>
        </w:rPr>
      </w:pPr>
      <w:r>
        <w:rPr>
          <w:rFonts w:ascii="Arial" w:cs="Arial" w:eastAsia="Arial" w:hAnsi="Arial"/>
          <w:sz w:val="17"/>
          <w:szCs w:val="17"/>
          <w:color w:val="auto"/>
        </w:rPr>
        <w:t>Collaborations with pharmaceutical companies and other third parties often are terminated or allowed to expire by the other party. Any such termination or expiration would adversely affect us financially and could harm our business reputation. Any future collaborations we might enter into may pose a number of risks, including the following:</w:t>
      </w:r>
    </w:p>
    <w:p>
      <w:pPr>
        <w:spacing w:after="0" w:line="161" w:lineRule="exact"/>
        <w:rPr>
          <w:sz w:val="20"/>
          <w:szCs w:val="20"/>
          <w:color w:val="auto"/>
        </w:rPr>
      </w:pPr>
    </w:p>
    <w:p>
      <w:pPr>
        <w:ind w:left="660" w:hanging="333"/>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84" w:lineRule="exact"/>
        <w:rPr>
          <w:rFonts w:ascii="Arial" w:cs="Arial" w:eastAsia="Arial" w:hAnsi="Arial"/>
          <w:sz w:val="18"/>
          <w:szCs w:val="18"/>
          <w:color w:val="auto"/>
        </w:rPr>
      </w:pPr>
    </w:p>
    <w:p>
      <w:pPr>
        <w:ind w:left="660" w:right="40" w:hanging="333"/>
        <w:spacing w:after="0" w:line="219"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62" w:lineRule="exact"/>
        <w:rPr>
          <w:rFonts w:ascii="Arial" w:cs="Arial" w:eastAsia="Arial" w:hAnsi="Arial"/>
          <w:sz w:val="18"/>
          <w:szCs w:val="18"/>
          <w:color w:val="auto"/>
        </w:rPr>
      </w:pPr>
    </w:p>
    <w:p>
      <w:pPr>
        <w:ind w:left="660" w:right="20" w:hanging="333"/>
        <w:spacing w:after="0" w:line="22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63" w:lineRule="exact"/>
        <w:rPr>
          <w:rFonts w:ascii="Arial" w:cs="Arial" w:eastAsia="Arial" w:hAnsi="Arial"/>
          <w:sz w:val="18"/>
          <w:szCs w:val="18"/>
          <w:color w:val="auto"/>
        </w:rPr>
      </w:pPr>
    </w:p>
    <w:p>
      <w:pPr>
        <w:ind w:left="660" w:hanging="333"/>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could fail to make timely regulatory submissions for a product candidate;</w:t>
      </w:r>
    </w:p>
    <w:p>
      <w:pPr>
        <w:spacing w:after="0" w:line="184" w:lineRule="exact"/>
        <w:rPr>
          <w:rFonts w:ascii="Arial" w:cs="Arial" w:eastAsia="Arial" w:hAnsi="Arial"/>
          <w:sz w:val="18"/>
          <w:szCs w:val="18"/>
          <w:color w:val="auto"/>
        </w:rPr>
      </w:pPr>
    </w:p>
    <w:p>
      <w:pPr>
        <w:ind w:left="660" w:right="600" w:hanging="333"/>
        <w:spacing w:after="0" w:line="235"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not comply with all applicable regulatory requirements or may fail to report safety data in accordance with all applicable regulatory requirements;</w:t>
      </w:r>
    </w:p>
    <w:p>
      <w:pPr>
        <w:spacing w:after="0" w:line="161" w:lineRule="exact"/>
        <w:rPr>
          <w:rFonts w:ascii="Arial" w:cs="Arial" w:eastAsia="Arial" w:hAnsi="Arial"/>
          <w:sz w:val="18"/>
          <w:szCs w:val="18"/>
          <w:color w:val="auto"/>
        </w:rPr>
      </w:pPr>
    </w:p>
    <w:p>
      <w:pPr>
        <w:ind w:left="660" w:hanging="333"/>
        <w:spacing w:after="0" w:line="259"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47" w:lineRule="exact"/>
        <w:rPr>
          <w:rFonts w:ascii="Arial" w:cs="Arial" w:eastAsia="Arial" w:hAnsi="Arial"/>
          <w:sz w:val="16"/>
          <w:szCs w:val="16"/>
          <w:color w:val="auto"/>
        </w:rPr>
      </w:pPr>
    </w:p>
    <w:p>
      <w:pPr>
        <w:ind w:left="660" w:hanging="333"/>
        <w:spacing w:after="0" w:line="22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63" w:lineRule="exact"/>
        <w:rPr>
          <w:rFonts w:ascii="Arial" w:cs="Arial" w:eastAsia="Arial" w:hAnsi="Arial"/>
          <w:sz w:val="18"/>
          <w:szCs w:val="18"/>
          <w:color w:val="auto"/>
        </w:rPr>
      </w:pPr>
    </w:p>
    <w:p>
      <w:pPr>
        <w:ind w:left="660" w:hanging="333"/>
        <w:spacing w:after="0" w:line="22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163" w:lineRule="exact"/>
        <w:rPr>
          <w:rFonts w:ascii="Arial" w:cs="Arial" w:eastAsia="Arial" w:hAnsi="Arial"/>
          <w:sz w:val="18"/>
          <w:szCs w:val="18"/>
          <w:color w:val="auto"/>
        </w:rPr>
      </w:pPr>
    </w:p>
    <w:p>
      <w:pPr>
        <w:ind w:left="660" w:right="320" w:hanging="333"/>
        <w:spacing w:after="0" w:line="249"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 consuming and expensive;</w:t>
      </w:r>
    </w:p>
    <w:p>
      <w:pPr>
        <w:spacing w:after="0" w:line="154" w:lineRule="exact"/>
        <w:rPr>
          <w:rFonts w:ascii="Arial" w:cs="Arial" w:eastAsia="Arial" w:hAnsi="Arial"/>
          <w:sz w:val="16"/>
          <w:szCs w:val="16"/>
          <w:color w:val="auto"/>
        </w:rPr>
      </w:pPr>
    </w:p>
    <w:p>
      <w:pPr>
        <w:jc w:val="both"/>
        <w:ind w:left="660" w:right="500" w:hanging="333"/>
        <w:spacing w:after="0" w:line="22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and</w:t>
      </w:r>
    </w:p>
    <w:p>
      <w:pPr>
        <w:spacing w:after="0" w:line="163" w:lineRule="exact"/>
        <w:rPr>
          <w:rFonts w:ascii="Arial" w:cs="Arial" w:eastAsia="Arial" w:hAnsi="Arial"/>
          <w:sz w:val="18"/>
          <w:szCs w:val="18"/>
          <w:color w:val="auto"/>
        </w:rPr>
      </w:pPr>
    </w:p>
    <w:p>
      <w:pPr>
        <w:ind w:left="660" w:right="340" w:hanging="333"/>
        <w:spacing w:after="0" w:line="235"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62" w:lineRule="exact"/>
        <w:rPr>
          <w:sz w:val="20"/>
          <w:szCs w:val="20"/>
          <w:color w:val="auto"/>
        </w:rPr>
      </w:pPr>
    </w:p>
    <w:p>
      <w:pPr>
        <w:ind w:right="380" w:firstLine="648"/>
        <w:spacing w:after="0" w:line="229" w:lineRule="auto"/>
        <w:rPr>
          <w:sz w:val="20"/>
          <w:szCs w:val="20"/>
          <w:color w:val="auto"/>
        </w:rPr>
      </w:pPr>
      <w:r>
        <w:rPr>
          <w:rFonts w:ascii="Arial" w:cs="Arial" w:eastAsia="Arial" w:hAnsi="Arial"/>
          <w:sz w:val="17"/>
          <w:szCs w:val="17"/>
          <w:color w:val="auto"/>
        </w:rPr>
        <w:t>If any collaborations we might enter into in the future do not result in the successful development and commercialization of products or if one of our collaborators subsequently terminates its agreement with us, we may not receive any future research funding or milestone or royalty payments under the collaboration. If we do not receive the funding we expect under the agreements, our development of our product candidates could be delayed and we may need additional resources to develop our product candidates and our product platform.</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Additionally, if any future collaborator of ours is involved in a business combination, the collaborator might deemphasize or terminate development or commercialization of any product candidate licensed to it by us. If one of our collaborators terminates its agreement with us, we may find it more difficult to attract new collaborators and our reputation in the business and financial communities could be adversely affected.</w:t>
      </w:r>
    </w:p>
    <w:p>
      <w:pPr>
        <w:spacing w:after="0" w:line="163" w:lineRule="exact"/>
        <w:rPr>
          <w:sz w:val="20"/>
          <w:szCs w:val="20"/>
          <w:color w:val="auto"/>
        </w:rPr>
      </w:pPr>
    </w:p>
    <w:p>
      <w:pPr>
        <w:ind w:right="20" w:firstLine="648"/>
        <w:spacing w:after="0" w:line="234" w:lineRule="auto"/>
        <w:rPr>
          <w:sz w:val="20"/>
          <w:szCs w:val="20"/>
          <w:color w:val="auto"/>
        </w:rPr>
      </w:pPr>
      <w:r>
        <w:rPr>
          <w:rFonts w:ascii="Arial" w:cs="Arial" w:eastAsia="Arial" w:hAnsi="Arial"/>
          <w:sz w:val="16"/>
          <w:szCs w:val="16"/>
          <w:color w:val="auto"/>
        </w:rPr>
        <w:t>We may in the future determine to collaborate with additional pharmaceutical and biotechnology companies and academic institutions for the development and potential commercialization of any of our current or future product candidates. We face significant competition in seeking appropriate collaborators. Our ability to reach a definitive agreement for collaboration will depend upon, among other things,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platform and our business may be materially and adversely affected.</w:t>
      </w:r>
    </w:p>
    <w:p>
      <w:pPr>
        <w:spacing w:after="0" w:line="163"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i w:val="1"/>
          <w:iCs w:val="1"/>
          <w:color w:val="auto"/>
        </w:rPr>
        <w:t>We are dependent on third parties to decide to utilize our product candidates to make them readily available at the point of care throughout their networks of pharmacies.</w:t>
      </w:r>
    </w:p>
    <w:p>
      <w:pPr>
        <w:spacing w:after="0" w:line="162" w:lineRule="exact"/>
        <w:rPr>
          <w:sz w:val="20"/>
          <w:szCs w:val="20"/>
          <w:color w:val="auto"/>
        </w:rPr>
      </w:pPr>
    </w:p>
    <w:p>
      <w:pPr>
        <w:ind w:firstLine="648"/>
        <w:spacing w:after="0"/>
        <w:rPr>
          <w:sz w:val="20"/>
          <w:szCs w:val="20"/>
          <w:color w:val="auto"/>
        </w:rPr>
      </w:pPr>
      <w:r>
        <w:rPr>
          <w:rFonts w:ascii="Arial" w:cs="Arial" w:eastAsia="Arial" w:hAnsi="Arial"/>
          <w:sz w:val="16"/>
          <w:szCs w:val="16"/>
          <w:color w:val="auto"/>
        </w:rPr>
        <w:t>In addition to extensive internal efforts, the successful commercialization of our product candidates will require many third parties, over whom we have no control, to decide to utilize our product candidates, and to make them readily available at the point of care throughout their networks of pharmacies. These third parties include HMOs, long term care facilities, and pharmacy benefit managers, or PBMs, which use pharmacy and therapeutics committees, commonly referred to as P&amp;T committees, to make purchasing and reimbursement decisions. Generally, before an HMO or long-term care facility will acquire any of our product candidate for its own pharmacies, or a PBM will pay retail network pharmacies on behalf of its health plans, any such product candidates must be approved for addition to that organization’s list of approved drugs, or formulary list, by the organization’s P&amp;T committee. An institutional P&amp;T committee typically governs all matters pertaining to the use of medications within the institution, including review of medication formulary data and recommendations for the appropriate use of drugs within the institution to the medical staff. PBM P&amp;T committees develop the criteria for plan beneficiaries to access prescription medication, including such cost control measures as step therapy and prior authorization. The frequency of P&amp;T committee meetings varies considerably, and P&amp;T committees often require additional information to aid in their decision-making process, so we may experience substantial delays in obtaining formulary approvals. Additionally, P&amp;T committees may be concerned that the cost of acquiring any of our product candidates for use in their institutions or reimbursing retail pharmacies outweighs clinical benefits and will resist efforts to add any such product candidate to the formulary, or implement restrictions on the usage of the drug in order to control costs. Third party payors often have tiered formularies in which the non-preferred drugs have significantly higher co-pays, causing prescription rejections, and define therapeutic class broadly to increase competition for preferred status. We cannot guarantee that we will be successful in getting the approvals we need from enough P&amp;T committees quickly enough to maintain and grow sales of any of our product candidates.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60"/>
        <w:spacing w:after="0" w:line="224" w:lineRule="auto"/>
        <w:rPr>
          <w:sz w:val="20"/>
          <w:szCs w:val="20"/>
          <w:color w:val="auto"/>
        </w:rPr>
      </w:pPr>
      <w:r>
        <w:rPr>
          <w:rFonts w:ascii="Arial" w:cs="Arial" w:eastAsia="Arial" w:hAnsi="Arial"/>
          <w:sz w:val="18"/>
          <w:szCs w:val="18"/>
          <w:b w:val="1"/>
          <w:bCs w:val="1"/>
          <w:i w:val="1"/>
          <w:iCs w:val="1"/>
          <w:color w:val="auto"/>
        </w:rPr>
        <w:t>We are dependent upon our license agreements with an entity owned by our Chief Executive Officer and Chairman of the Board related to the development of our current product candidates, and if the agreements are terminated for any reason our business will be materially harmed.</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2012, we entered into three exclusive license agreements with Antecip Bioventures II LLC, or Antecip, an entity</w:t>
      </w:r>
    </w:p>
    <w:p>
      <w:pPr>
        <w:spacing w:after="0" w:line="224" w:lineRule="auto"/>
        <w:rPr>
          <w:sz w:val="20"/>
          <w:szCs w:val="20"/>
          <w:color w:val="auto"/>
        </w:rPr>
      </w:pPr>
      <w:r>
        <w:rPr>
          <w:rFonts w:ascii="Arial" w:cs="Arial" w:eastAsia="Arial" w:hAnsi="Arial"/>
          <w:sz w:val="17"/>
          <w:szCs w:val="17"/>
          <w:color w:val="auto"/>
        </w:rPr>
        <w:t>owned by our Chief Executive Officer and Chairman of the Board, Herriot Tabuteau, M.D., in which we were granted</w:t>
      </w:r>
    </w:p>
    <w:p>
      <w:pPr>
        <w:spacing w:after="0" w:line="229" w:lineRule="auto"/>
        <w:rPr>
          <w:sz w:val="20"/>
          <w:szCs w:val="20"/>
          <w:color w:val="auto"/>
        </w:rPr>
      </w:pPr>
      <w:r>
        <w:rPr>
          <w:rFonts w:ascii="Arial" w:cs="Arial" w:eastAsia="Arial" w:hAnsi="Arial"/>
          <w:sz w:val="16"/>
          <w:szCs w:val="16"/>
          <w:color w:val="auto"/>
        </w:rPr>
        <w:t>exclusive licenses to develop, manufacture, and commercialize Antecip’s patents and applications related to the development</w:t>
      </w:r>
    </w:p>
    <w:p>
      <w:pPr>
        <w:spacing w:after="0" w:line="176" w:lineRule="exact"/>
        <w:rPr>
          <w:sz w:val="20"/>
          <w:szCs w:val="20"/>
          <w:color w:val="auto"/>
        </w:rPr>
      </w:pPr>
      <w:r>
        <w:rPr>
          <w:rFonts w:ascii="Arial" w:cs="Arial" w:eastAsia="Arial" w:hAnsi="Arial"/>
          <w:sz w:val="16"/>
          <w:szCs w:val="16"/>
          <w:color w:val="auto"/>
        </w:rPr>
        <w:t>of AXS</w:t>
      </w:r>
      <w:r>
        <w:rPr>
          <w:rFonts w:ascii="MS PGothic" w:cs="MS PGothic" w:eastAsia="MS PGothic" w:hAnsi="MS PGothic"/>
          <w:sz w:val="16"/>
          <w:szCs w:val="16"/>
          <w:color w:val="auto"/>
        </w:rPr>
        <w:t>‑</w:t>
      </w:r>
      <w:r>
        <w:rPr>
          <w:rFonts w:ascii="Arial" w:cs="Arial" w:eastAsia="Arial" w:hAnsi="Arial"/>
          <w:sz w:val="16"/>
          <w:szCs w:val="16"/>
          <w:color w:val="auto"/>
        </w:rPr>
        <w:t>02 and AXS</w:t>
      </w:r>
      <w:r>
        <w:rPr>
          <w:rFonts w:ascii="MS PGothic" w:cs="MS PGothic" w:eastAsia="MS PGothic" w:hAnsi="MS PGothic"/>
          <w:sz w:val="16"/>
          <w:szCs w:val="16"/>
          <w:color w:val="auto"/>
        </w:rPr>
        <w:t>‑</w:t>
      </w:r>
      <w:r>
        <w:rPr>
          <w:rFonts w:ascii="Arial" w:cs="Arial" w:eastAsia="Arial" w:hAnsi="Arial"/>
          <w:sz w:val="16"/>
          <w:szCs w:val="16"/>
          <w:color w:val="auto"/>
        </w:rPr>
        <w:t>05, as well as AXS</w:t>
      </w:r>
      <w:r>
        <w:rPr>
          <w:rFonts w:ascii="MS PGothic" w:cs="MS PGothic" w:eastAsia="MS PGothic" w:hAnsi="MS PGothic"/>
          <w:sz w:val="16"/>
          <w:szCs w:val="16"/>
          <w:color w:val="auto"/>
        </w:rPr>
        <w:t>‑</w:t>
      </w:r>
      <w:r>
        <w:rPr>
          <w:rFonts w:ascii="Arial" w:cs="Arial" w:eastAsia="Arial" w:hAnsi="Arial"/>
          <w:sz w:val="16"/>
          <w:szCs w:val="16"/>
          <w:color w:val="auto"/>
        </w:rPr>
        <w:t>04, a product candidate that is currently in early stage development, anywhere in</w:t>
      </w:r>
    </w:p>
    <w:p>
      <w:pPr>
        <w:spacing w:after="0" w:line="229" w:lineRule="auto"/>
        <w:rPr>
          <w:sz w:val="20"/>
          <w:szCs w:val="20"/>
          <w:color w:val="auto"/>
        </w:rPr>
      </w:pPr>
      <w:r>
        <w:rPr>
          <w:rFonts w:ascii="Arial" w:cs="Arial" w:eastAsia="Arial" w:hAnsi="Arial"/>
          <w:sz w:val="16"/>
          <w:szCs w:val="16"/>
          <w:color w:val="auto"/>
        </w:rPr>
        <w:t>the world for veterinary and human therapeutic and diagnostic use. The agreements were amended in August 2015 to update</w:t>
      </w:r>
    </w:p>
    <w:p>
      <w:pPr>
        <w:spacing w:after="0" w:line="230" w:lineRule="auto"/>
        <w:rPr>
          <w:sz w:val="20"/>
          <w:szCs w:val="20"/>
          <w:color w:val="auto"/>
        </w:rPr>
      </w:pPr>
      <w:r>
        <w:rPr>
          <w:rFonts w:ascii="Arial" w:cs="Arial" w:eastAsia="Arial" w:hAnsi="Arial"/>
          <w:sz w:val="16"/>
          <w:szCs w:val="16"/>
          <w:color w:val="auto"/>
        </w:rPr>
        <w:t>the schedule of patents and applications subject to the license agreements. Pursuant to the agreements, we are required to use</w:t>
      </w:r>
    </w:p>
    <w:p>
      <w:pPr>
        <w:spacing w:after="0" w:line="176" w:lineRule="exact"/>
        <w:rPr>
          <w:sz w:val="20"/>
          <w:szCs w:val="20"/>
          <w:color w:val="auto"/>
        </w:rPr>
      </w:pPr>
      <w:r>
        <w:rPr>
          <w:rFonts w:ascii="Arial" w:cs="Arial" w:eastAsia="Arial" w:hAnsi="Arial"/>
          <w:sz w:val="17"/>
          <w:szCs w:val="17"/>
          <w:color w:val="auto"/>
        </w:rPr>
        <w:t>commercially reasonable efforts to develop, obtain regulatory approval for, and commercialize AXS</w:t>
      </w:r>
      <w:r>
        <w:rPr>
          <w:rFonts w:ascii="MS PGothic" w:cs="MS PGothic" w:eastAsia="MS PGothic" w:hAnsi="MS PGothic"/>
          <w:sz w:val="17"/>
          <w:szCs w:val="17"/>
          <w:color w:val="auto"/>
        </w:rPr>
        <w:t>‑</w:t>
      </w:r>
      <w:r>
        <w:rPr>
          <w:rFonts w:ascii="Arial" w:cs="Arial" w:eastAsia="Arial" w:hAnsi="Arial"/>
          <w:sz w:val="17"/>
          <w:szCs w:val="17"/>
          <w:color w:val="auto"/>
        </w:rPr>
        <w:t>02, AXS</w:t>
      </w:r>
      <w:r>
        <w:rPr>
          <w:rFonts w:ascii="MS PGothic" w:cs="MS PGothic" w:eastAsia="MS PGothic" w:hAnsi="MS PGothic"/>
          <w:sz w:val="17"/>
          <w:szCs w:val="17"/>
          <w:color w:val="auto"/>
        </w:rPr>
        <w:t>‑</w:t>
      </w:r>
      <w:r>
        <w:rPr>
          <w:rFonts w:ascii="Arial" w:cs="Arial" w:eastAsia="Arial" w:hAnsi="Arial"/>
          <w:sz w:val="17"/>
          <w:szCs w:val="17"/>
          <w:color w:val="auto"/>
        </w:rPr>
        <w:t>05, and</w:t>
      </w:r>
    </w:p>
    <w:p>
      <w:pPr>
        <w:spacing w:after="0" w:line="176" w:lineRule="exact"/>
        <w:rPr>
          <w:sz w:val="20"/>
          <w:szCs w:val="20"/>
          <w:color w:val="auto"/>
        </w:rPr>
      </w:pPr>
      <w:r>
        <w:rPr>
          <w:rFonts w:ascii="Arial" w:cs="Arial" w:eastAsia="Arial" w:hAnsi="Arial"/>
          <w:sz w:val="16"/>
          <w:szCs w:val="16"/>
          <w:color w:val="auto"/>
        </w:rPr>
        <w:t>AXS</w:t>
      </w:r>
      <w:r>
        <w:rPr>
          <w:rFonts w:ascii="MS PGothic" w:cs="MS PGothic" w:eastAsia="MS PGothic" w:hAnsi="MS PGothic"/>
          <w:sz w:val="16"/>
          <w:szCs w:val="16"/>
          <w:color w:val="auto"/>
        </w:rPr>
        <w:t>‑</w:t>
      </w:r>
      <w:r>
        <w:rPr>
          <w:rFonts w:ascii="Arial" w:cs="Arial" w:eastAsia="Arial" w:hAnsi="Arial"/>
          <w:sz w:val="16"/>
          <w:szCs w:val="16"/>
          <w:color w:val="auto"/>
        </w:rPr>
        <w:t>04. Under the terms of the agreements, we are required to pay to Antecip a royalty equal to 4.5% for AXS</w:t>
      </w:r>
      <w:r>
        <w:rPr>
          <w:rFonts w:ascii="MS PGothic" w:cs="MS PGothic" w:eastAsia="MS PGothic" w:hAnsi="MS PGothic"/>
          <w:sz w:val="16"/>
          <w:szCs w:val="16"/>
          <w:color w:val="auto"/>
        </w:rPr>
        <w:t>‑</w:t>
      </w:r>
      <w:r>
        <w:rPr>
          <w:rFonts w:ascii="Arial" w:cs="Arial" w:eastAsia="Arial" w:hAnsi="Arial"/>
          <w:sz w:val="16"/>
          <w:szCs w:val="16"/>
          <w:color w:val="auto"/>
        </w:rPr>
        <w:t>02, 3.0% for</w:t>
      </w:r>
    </w:p>
    <w:p>
      <w:pPr>
        <w:spacing w:after="0" w:line="176" w:lineRule="exact"/>
        <w:rPr>
          <w:sz w:val="20"/>
          <w:szCs w:val="20"/>
          <w:color w:val="auto"/>
        </w:rPr>
      </w:pPr>
      <w:r>
        <w:rPr>
          <w:rFonts w:ascii="Arial" w:cs="Arial" w:eastAsia="Arial" w:hAnsi="Arial"/>
          <w:sz w:val="16"/>
          <w:szCs w:val="16"/>
          <w:color w:val="auto"/>
        </w:rPr>
        <w:t>AXS</w:t>
      </w:r>
      <w:r>
        <w:rPr>
          <w:rFonts w:ascii="MS PGothic" w:cs="MS PGothic" w:eastAsia="MS PGothic" w:hAnsi="MS PGothic"/>
          <w:sz w:val="16"/>
          <w:szCs w:val="16"/>
          <w:color w:val="auto"/>
        </w:rPr>
        <w:t>‑</w:t>
      </w:r>
      <w:r>
        <w:rPr>
          <w:rFonts w:ascii="Arial" w:cs="Arial" w:eastAsia="Arial" w:hAnsi="Arial"/>
          <w:sz w:val="16"/>
          <w:szCs w:val="16"/>
          <w:color w:val="auto"/>
        </w:rPr>
        <w:t>05, and 1.5% for AXS</w:t>
      </w:r>
      <w:r>
        <w:rPr>
          <w:rFonts w:ascii="MS PGothic" w:cs="MS PGothic" w:eastAsia="MS PGothic" w:hAnsi="MS PGothic"/>
          <w:sz w:val="16"/>
          <w:szCs w:val="16"/>
          <w:color w:val="auto"/>
        </w:rPr>
        <w:t>‑</w:t>
      </w:r>
      <w:r>
        <w:rPr>
          <w:rFonts w:ascii="Arial" w:cs="Arial" w:eastAsia="Arial" w:hAnsi="Arial"/>
          <w:sz w:val="16"/>
          <w:szCs w:val="16"/>
          <w:color w:val="auto"/>
        </w:rPr>
        <w:t>04, of net sales of products containing the licensed technology by us, our affiliates, or permitted</w:t>
      </w:r>
    </w:p>
    <w:p>
      <w:pPr>
        <w:spacing w:after="0" w:line="229" w:lineRule="auto"/>
        <w:rPr>
          <w:sz w:val="20"/>
          <w:szCs w:val="20"/>
          <w:color w:val="auto"/>
        </w:rPr>
      </w:pPr>
      <w:r>
        <w:rPr>
          <w:rFonts w:ascii="Arial" w:cs="Arial" w:eastAsia="Arial" w:hAnsi="Arial"/>
          <w:sz w:val="16"/>
          <w:szCs w:val="16"/>
          <w:color w:val="auto"/>
        </w:rPr>
        <w:t>sublicensees. These royalty payments are subject to reduction by an amount up to 50.0% of any required payments to third</w:t>
      </w:r>
    </w:p>
    <w:p>
      <w:pPr>
        <w:spacing w:after="0" w:line="216" w:lineRule="auto"/>
        <w:rPr>
          <w:sz w:val="20"/>
          <w:szCs w:val="20"/>
          <w:color w:val="auto"/>
        </w:rPr>
      </w:pPr>
      <w:r>
        <w:rPr>
          <w:rFonts w:ascii="Arial" w:cs="Arial" w:eastAsia="Arial" w:hAnsi="Arial"/>
          <w:sz w:val="17"/>
          <w:szCs w:val="17"/>
          <w:color w:val="auto"/>
        </w:rPr>
        <w:t>parties. Unless earlier terminated by a party for cause or by us for convenience, the agreements remain in effect on a</w:t>
      </w:r>
    </w:p>
    <w:p>
      <w:pPr>
        <w:spacing w:after="0" w:line="176" w:lineRule="exact"/>
        <w:rPr>
          <w:sz w:val="20"/>
          <w:szCs w:val="20"/>
          <w:color w:val="auto"/>
        </w:rPr>
      </w:pPr>
      <w:r>
        <w:rPr>
          <w:rFonts w:ascii="Arial" w:cs="Arial" w:eastAsia="Arial" w:hAnsi="Arial"/>
          <w:sz w:val="16"/>
          <w:szCs w:val="16"/>
          <w:color w:val="auto"/>
        </w:rPr>
        <w:t>product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product and country</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country basis until the later to occur of (1) the applicable product is no longer covered by</w:t>
      </w:r>
    </w:p>
    <w:p>
      <w:pPr>
        <w:spacing w:after="0" w:line="215" w:lineRule="auto"/>
        <w:rPr>
          <w:sz w:val="20"/>
          <w:szCs w:val="20"/>
          <w:color w:val="auto"/>
        </w:rPr>
      </w:pPr>
      <w:r>
        <w:rPr>
          <w:rFonts w:ascii="Arial" w:cs="Arial" w:eastAsia="Arial" w:hAnsi="Arial"/>
          <w:sz w:val="17"/>
          <w:szCs w:val="17"/>
          <w:color w:val="auto"/>
        </w:rPr>
        <w:t>a valid claim in that country or (2) 10 years from the first commercial sale of the applicable product in that country. Upon</w:t>
      </w:r>
    </w:p>
    <w:p>
      <w:pPr>
        <w:spacing w:after="0" w:line="216" w:lineRule="auto"/>
        <w:rPr>
          <w:sz w:val="20"/>
          <w:szCs w:val="20"/>
          <w:color w:val="auto"/>
        </w:rPr>
      </w:pPr>
      <w:r>
        <w:rPr>
          <w:rFonts w:ascii="Arial" w:cs="Arial" w:eastAsia="Arial" w:hAnsi="Arial"/>
          <w:sz w:val="17"/>
          <w:szCs w:val="17"/>
          <w:color w:val="auto"/>
        </w:rPr>
        <w:t>expiration of the agreements with respect to a product in a country, our license grant for that product in that country will</w:t>
      </w:r>
    </w:p>
    <w:p>
      <w:pPr>
        <w:spacing w:after="0" w:line="176" w:lineRule="exact"/>
        <w:rPr>
          <w:sz w:val="20"/>
          <w:szCs w:val="20"/>
          <w:color w:val="auto"/>
        </w:rPr>
      </w:pPr>
      <w:r>
        <w:rPr>
          <w:rFonts w:ascii="Arial" w:cs="Arial" w:eastAsia="Arial" w:hAnsi="Arial"/>
          <w:sz w:val="16"/>
          <w:szCs w:val="16"/>
          <w:color w:val="auto"/>
        </w:rPr>
        <w:t>become a fully paid</w:t>
      </w:r>
      <w:r>
        <w:rPr>
          <w:rFonts w:ascii="MS PGothic" w:cs="MS PGothic" w:eastAsia="MS PGothic" w:hAnsi="MS PGothic"/>
          <w:sz w:val="16"/>
          <w:szCs w:val="16"/>
          <w:color w:val="auto"/>
        </w:rPr>
        <w:t>‑</w:t>
      </w:r>
      <w:r>
        <w:rPr>
          <w:rFonts w:ascii="Arial" w:cs="Arial" w:eastAsia="Arial" w:hAnsi="Arial"/>
          <w:sz w:val="16"/>
          <w:szCs w:val="16"/>
          <w:color w:val="auto"/>
        </w:rPr>
        <w:t>up, royalty</w:t>
      </w:r>
      <w:r>
        <w:rPr>
          <w:rFonts w:ascii="MS PGothic" w:cs="MS PGothic" w:eastAsia="MS PGothic" w:hAnsi="MS PGothic"/>
          <w:sz w:val="16"/>
          <w:szCs w:val="16"/>
          <w:color w:val="auto"/>
        </w:rPr>
        <w:t>‑</w:t>
      </w:r>
      <w:r>
        <w:rPr>
          <w:rFonts w:ascii="Arial" w:cs="Arial" w:eastAsia="Arial" w:hAnsi="Arial"/>
          <w:sz w:val="16"/>
          <w:szCs w:val="16"/>
          <w:color w:val="auto"/>
        </w:rPr>
        <w:t>free, perpetual non</w:t>
      </w:r>
      <w:r>
        <w:rPr>
          <w:rFonts w:ascii="MS PGothic" w:cs="MS PGothic" w:eastAsia="MS PGothic" w:hAnsi="MS PGothic"/>
          <w:sz w:val="16"/>
          <w:szCs w:val="16"/>
          <w:color w:val="auto"/>
        </w:rPr>
        <w:t>‑</w:t>
      </w:r>
      <w:r>
        <w:rPr>
          <w:rFonts w:ascii="Arial" w:cs="Arial" w:eastAsia="Arial" w:hAnsi="Arial"/>
          <w:sz w:val="16"/>
          <w:szCs w:val="16"/>
          <w:color w:val="auto"/>
        </w:rPr>
        <w:t>exclusive license. If Antecip terminates any of the agreements for cause,</w:t>
      </w:r>
    </w:p>
    <w:p>
      <w:pPr>
        <w:spacing w:after="0" w:line="229" w:lineRule="auto"/>
        <w:rPr>
          <w:sz w:val="20"/>
          <w:szCs w:val="20"/>
          <w:color w:val="auto"/>
        </w:rPr>
      </w:pPr>
      <w:r>
        <w:rPr>
          <w:rFonts w:ascii="Arial" w:cs="Arial" w:eastAsia="Arial" w:hAnsi="Arial"/>
          <w:sz w:val="16"/>
          <w:szCs w:val="16"/>
          <w:color w:val="auto"/>
        </w:rPr>
        <w:t>or if we exercise our right to terminate any of the agreements for convenience, the rights granted to us under such terminated</w:t>
      </w:r>
    </w:p>
    <w:p>
      <w:pPr>
        <w:spacing w:after="0" w:line="215" w:lineRule="auto"/>
        <w:rPr>
          <w:sz w:val="20"/>
          <w:szCs w:val="20"/>
          <w:color w:val="auto"/>
        </w:rPr>
      </w:pPr>
      <w:r>
        <w:rPr>
          <w:rFonts w:ascii="Arial" w:cs="Arial" w:eastAsia="Arial" w:hAnsi="Arial"/>
          <w:sz w:val="17"/>
          <w:szCs w:val="17"/>
          <w:color w:val="auto"/>
        </w:rPr>
        <w:t>agreement will revert to Antecip. To date, we have not been required to make any payments to Antecip under any of the</w:t>
      </w:r>
    </w:p>
    <w:p>
      <w:pPr>
        <w:spacing w:after="0" w:line="216" w:lineRule="auto"/>
        <w:rPr>
          <w:sz w:val="20"/>
          <w:szCs w:val="20"/>
          <w:color w:val="auto"/>
        </w:rPr>
      </w:pPr>
      <w:r>
        <w:rPr>
          <w:rFonts w:ascii="Arial" w:cs="Arial" w:eastAsia="Arial" w:hAnsi="Arial"/>
          <w:sz w:val="17"/>
          <w:szCs w:val="17"/>
          <w:color w:val="auto"/>
        </w:rPr>
        <w:t>license agreements. If any of the license agreements with Antecip are terminated for any reason, our business, financial</w:t>
      </w:r>
    </w:p>
    <w:p>
      <w:pPr>
        <w:spacing w:after="0"/>
        <w:rPr>
          <w:sz w:val="20"/>
          <w:szCs w:val="20"/>
          <w:color w:val="auto"/>
        </w:rPr>
      </w:pPr>
      <w:r>
        <w:rPr>
          <w:rFonts w:ascii="Arial" w:cs="Arial" w:eastAsia="Arial" w:hAnsi="Arial"/>
          <w:sz w:val="18"/>
          <w:szCs w:val="18"/>
          <w:color w:val="auto"/>
        </w:rPr>
        <w:t>condition, results of operations, and prospects will be materially harmed.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89"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b w:val="1"/>
          <w:bCs w:val="1"/>
          <w:i w:val="1"/>
          <w:iCs w:val="1"/>
          <w:color w:val="auto"/>
        </w:rPr>
        <w:t>It is difficult and costly to protect our proprietary rights and as a result we may not be able to ensure their protection. In addition, patents have a limited lifespan and will eventually expire.</w:t>
      </w:r>
    </w:p>
    <w:p>
      <w:pPr>
        <w:spacing w:after="0" w:line="162" w:lineRule="exact"/>
        <w:rPr>
          <w:sz w:val="20"/>
          <w:szCs w:val="20"/>
          <w:color w:val="auto"/>
        </w:rPr>
      </w:pPr>
    </w:p>
    <w:p>
      <w:pPr>
        <w:ind w:right="40" w:firstLine="648"/>
        <w:spacing w:after="0" w:line="187" w:lineRule="exact"/>
        <w:rPr>
          <w:sz w:val="20"/>
          <w:szCs w:val="20"/>
          <w:color w:val="auto"/>
        </w:rPr>
      </w:pPr>
      <w:r>
        <w:rPr>
          <w:rFonts w:ascii="Arial" w:cs="Arial" w:eastAsia="Arial" w:hAnsi="Arial"/>
          <w:sz w:val="16"/>
          <w:szCs w:val="16"/>
          <w:color w:val="auto"/>
        </w:rPr>
        <w:t>Market exclusivity awarded by the FDA upon the approval of an NDA is limited in scope and duration. Our commercial success will depend in part on obtaining, maintaining, enforcing, and defending against third</w:t>
      </w:r>
      <w:r>
        <w:rPr>
          <w:rFonts w:ascii="MS PGothic" w:cs="MS PGothic" w:eastAsia="MS PGothic" w:hAnsi="MS PGothic"/>
          <w:sz w:val="16"/>
          <w:szCs w:val="16"/>
          <w:color w:val="auto"/>
        </w:rPr>
        <w:t>‑</w:t>
      </w:r>
      <w:r>
        <w:rPr>
          <w:rFonts w:ascii="Arial" w:cs="Arial" w:eastAsia="Arial" w:hAnsi="Arial"/>
          <w:sz w:val="16"/>
          <w:szCs w:val="16"/>
          <w:color w:val="auto"/>
        </w:rPr>
        <w:t>party challenges, our patent and trade secret protection for any of our current and future product candidates that we may develop, license, or acquire, and the related manufacturing methods. We will only be able to fully protect our technologies from unauthorized use by third parties to the extent that valid and enforceable patents or trade secrets cover them.</w:t>
      </w:r>
    </w:p>
    <w:p>
      <w:pPr>
        <w:spacing w:after="0" w:line="162" w:lineRule="exact"/>
        <w:rPr>
          <w:sz w:val="20"/>
          <w:szCs w:val="20"/>
          <w:color w:val="auto"/>
        </w:rPr>
      </w:pPr>
    </w:p>
    <w:p>
      <w:pPr>
        <w:ind w:firstLine="648"/>
        <w:spacing w:after="0" w:line="179" w:lineRule="exact"/>
        <w:rPr>
          <w:sz w:val="20"/>
          <w:szCs w:val="20"/>
          <w:color w:val="auto"/>
        </w:rPr>
      </w:pPr>
      <w:r>
        <w:rPr>
          <w:rFonts w:ascii="Arial" w:cs="Arial" w:eastAsia="Arial" w:hAnsi="Arial"/>
          <w:sz w:val="16"/>
          <w:szCs w:val="16"/>
          <w:color w:val="auto"/>
        </w:rPr>
        <w:t>The patent prosecution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Moreover, should we enter into additional collaborations we may be required to consult with or cede control to collaborators regarding the prosecution, maintenance, and enforcement of our patents. Therefore, these patents and applications may not be prosecuted and enforced in a manner consistent with the best interests of our business. The patent positions of pharmaceutical and biotechnology companies can be highly uncertain and involve complex legal and factual questions for which important legal principles remain unresolved. No consistent policy regarding the breadth of claims allowed in pharmaceutical or biotechnology patents has emerged to date in the United States. The patent situation outside the United States is even more uncertain. Changes in either the patent laws or in interpretations of patent laws in the United States and other countries may diminish the value of our intellectual property. Accordingly, we cannot predict the breadth of claims that may be allowed or enforced in our patents or in third</w:t>
      </w:r>
      <w:r>
        <w:rPr>
          <w:rFonts w:ascii="MS PGothic" w:cs="MS PGothic" w:eastAsia="MS PGothic" w:hAnsi="MS PGothic"/>
          <w:sz w:val="16"/>
          <w:szCs w:val="16"/>
          <w:color w:val="auto"/>
        </w:rPr>
        <w:t>‑</w:t>
      </w:r>
      <w:r>
        <w:rPr>
          <w:rFonts w:ascii="Arial" w:cs="Arial" w:eastAsia="Arial" w:hAnsi="Arial"/>
          <w:sz w:val="16"/>
          <w:szCs w:val="16"/>
          <w:color w:val="auto"/>
        </w:rPr>
        <w:t>party patents. The degree of future protection for our proprietary rights is uncertain because legal means afford only limited protection and may not adequately protect our rights or permit us to gain or keep our competitive advantage. Moreover, the patent application process is also subject to numerous risks and uncertainties, and there can be no assurance that we or any of our future development partners will be successful in protecting any of our current or future product candidates that we may develop, license, or acquire by obtaining and defending patents. For example: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line="235"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have been the first to make the inventions covered by each of our pending patent applications and issued patents;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have been the first to file patent applications for these inventions;</w:t>
      </w:r>
    </w:p>
    <w:p>
      <w:pPr>
        <w:spacing w:after="0" w:line="184" w:lineRule="exact"/>
        <w:rPr>
          <w:rFonts w:ascii="Arial" w:cs="Arial" w:eastAsia="Arial" w:hAnsi="Arial"/>
          <w:sz w:val="18"/>
          <w:szCs w:val="18"/>
          <w:color w:val="auto"/>
        </w:rPr>
      </w:pPr>
    </w:p>
    <w:p>
      <w:pPr>
        <w:ind w:left="660" w:right="160" w:hanging="333"/>
        <w:spacing w:after="0" w:line="235"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product candidates or technologies;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it is possible that none of the pending patent applications will result in issued patents;</w:t>
      </w:r>
    </w:p>
    <w:p>
      <w:pPr>
        <w:spacing w:after="0" w:line="184" w:lineRule="exact"/>
        <w:rPr>
          <w:rFonts w:ascii="Arial" w:cs="Arial" w:eastAsia="Arial" w:hAnsi="Arial"/>
          <w:sz w:val="18"/>
          <w:szCs w:val="18"/>
          <w:color w:val="auto"/>
        </w:rPr>
      </w:pPr>
    </w:p>
    <w:p>
      <w:pPr>
        <w:ind w:left="660" w:right="360" w:hanging="333"/>
        <w:spacing w:after="0" w:line="235"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issued patents may not cover commercially viable active products, may not provide us with any competitive advantages, or may be successfully challenged by third parties;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patents of others may have an adverse effect on our business;</w:t>
      </w:r>
    </w:p>
    <w:p>
      <w:pPr>
        <w:spacing w:after="0" w:line="184" w:lineRule="exact"/>
        <w:rPr>
          <w:rFonts w:ascii="Arial" w:cs="Arial" w:eastAsia="Arial" w:hAnsi="Arial"/>
          <w:sz w:val="18"/>
          <w:szCs w:val="18"/>
          <w:color w:val="auto"/>
        </w:rPr>
      </w:pPr>
    </w:p>
    <w:p>
      <w:pPr>
        <w:ind w:left="660" w:right="220" w:hanging="333"/>
        <w:spacing w:after="0" w:line="23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noncompliance with governmental patent agencies requirements can result in abandonment or lapse of a patent or patent application, resulting in partial or complete loss of patent rights in the relevant jurisdiction, potentially allowing competitors to enter the market earlier than would otherwise have been the case;</w:t>
      </w:r>
    </w:p>
    <w:p>
      <w:pPr>
        <w:spacing w:after="0" w:line="161" w:lineRule="exact"/>
        <w:rPr>
          <w:rFonts w:ascii="Arial" w:cs="Arial" w:eastAsia="Arial" w:hAnsi="Arial"/>
          <w:sz w:val="17"/>
          <w:szCs w:val="17"/>
          <w:color w:val="auto"/>
        </w:rPr>
      </w:pPr>
    </w:p>
    <w:p>
      <w:pPr>
        <w:ind w:left="660" w:right="240" w:hanging="333"/>
        <w:spacing w:after="0" w:line="23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 or</w:t>
      </w:r>
    </w:p>
    <w:p>
      <w:pPr>
        <w:spacing w:after="0" w:line="161" w:lineRule="exact"/>
        <w:rPr>
          <w:rFonts w:ascii="Arial" w:cs="Arial" w:eastAsia="Arial" w:hAnsi="Arial"/>
          <w:sz w:val="17"/>
          <w:szCs w:val="17"/>
          <w:color w:val="auto"/>
        </w:rPr>
      </w:pPr>
    </w:p>
    <w:p>
      <w:pPr>
        <w:ind w:left="660" w:right="100" w:hanging="333"/>
        <w:spacing w:after="0" w:line="22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available patent protection both inside and outside the United States for disease treatments that prove successful, as a matter of public policy regarding worldwide health concerns.</w:t>
      </w:r>
    </w:p>
    <w:p>
      <w:pPr>
        <w:spacing w:after="0" w:line="163" w:lineRule="exact"/>
        <w:rPr>
          <w:sz w:val="20"/>
          <w:szCs w:val="20"/>
          <w:color w:val="auto"/>
        </w:rPr>
      </w:pPr>
    </w:p>
    <w:p>
      <w:pPr>
        <w:ind w:right="20" w:firstLine="648"/>
        <w:spacing w:after="0" w:line="180" w:lineRule="exact"/>
        <w:rPr>
          <w:sz w:val="20"/>
          <w:szCs w:val="20"/>
          <w:color w:val="auto"/>
        </w:rPr>
      </w:pPr>
      <w:r>
        <w:rPr>
          <w:rFonts w:ascii="Arial" w:cs="Arial" w:eastAsia="Arial" w:hAnsi="Arial"/>
          <w:sz w:val="16"/>
          <w:szCs w:val="16"/>
          <w:color w:val="auto"/>
        </w:rPr>
        <w:t>Patents have a limited lifespan. In most countries, including the United States, the expiration of a patent is typically 20 years from the date that the application for the patent is filed. Various extensions of patent term may be available in particular countries; however, in all circumstances the life of a patent, and the protection it affords, has a limited term. If we encounter delays in obtaining regulatory approvals, the period of time during which we could market a product under patent protection could be reduced. We expect to seek extensions of patent terms where these are available in any countries where we are prosecuting patents. Such possible extensions include those permitted under the Drug Price Competition and Patent Term Restoration Act of 1984 in the United States, which permits a patent term extension of up to five years to cover an FDA</w:t>
      </w:r>
      <w:r>
        <w:rPr>
          <w:rFonts w:ascii="MS PGothic" w:cs="MS PGothic" w:eastAsia="MS PGothic" w:hAnsi="MS PGothic"/>
          <w:sz w:val="16"/>
          <w:szCs w:val="16"/>
          <w:color w:val="auto"/>
        </w:rPr>
        <w:t>‑</w:t>
      </w:r>
      <w:r>
        <w:rPr>
          <w:rFonts w:ascii="Arial" w:cs="Arial" w:eastAsia="Arial" w:hAnsi="Arial"/>
          <w:sz w:val="16"/>
          <w:szCs w:val="16"/>
          <w:color w:val="auto"/>
        </w:rPr>
        <w:t>approved product. The actual length of the extension will depend on the amount of patent term lost while the product was in clinical trials. However, the applicable authorities, including the USPTO and the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then may be able to launch their product earlier than might otherwise be the case.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162" w:lineRule="exact"/>
        <w:rPr>
          <w:sz w:val="20"/>
          <w:szCs w:val="20"/>
          <w:color w:val="auto"/>
        </w:rPr>
      </w:pPr>
    </w:p>
    <w:p>
      <w:pPr>
        <w:ind w:right="80" w:firstLine="648"/>
        <w:spacing w:after="0" w:line="223" w:lineRule="auto"/>
        <w:rPr>
          <w:sz w:val="20"/>
          <w:szCs w:val="20"/>
          <w:color w:val="auto"/>
        </w:rPr>
      </w:pPr>
      <w:r>
        <w:rPr>
          <w:rFonts w:ascii="Arial" w:cs="Arial" w:eastAsia="Arial" w:hAnsi="Arial"/>
          <w:sz w:val="17"/>
          <w:szCs w:val="17"/>
          <w:color w:val="auto"/>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to file" system in which the first inventor to file a patent application will be entitled to the patent. Third parties are allowed to submit prior art before the issuance of a patent by the USPTO, and may become involved in post-grant proceedings including reexamination, post-grant review, inter-partes review, or derivation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w:t>
      </w:r>
    </w:p>
    <w:p>
      <w:pPr>
        <w:spacing w:after="0" w:line="162" w:lineRule="exact"/>
        <w:rPr>
          <w:sz w:val="20"/>
          <w:szCs w:val="20"/>
          <w:color w:val="auto"/>
        </w:rPr>
      </w:pPr>
    </w:p>
    <w:p>
      <w:pPr>
        <w:ind w:firstLine="648"/>
        <w:spacing w:after="0" w:line="232" w:lineRule="auto"/>
        <w:rPr>
          <w:sz w:val="20"/>
          <w:szCs w:val="20"/>
          <w:color w:val="auto"/>
        </w:rPr>
      </w:pPr>
      <w:r>
        <w:rPr>
          <w:rFonts w:ascii="Arial" w:cs="Arial" w:eastAsia="Arial" w:hAnsi="Arial"/>
          <w:sz w:val="16"/>
          <w:szCs w:val="16"/>
          <w:color w:val="auto"/>
        </w:rPr>
        <w:t>The USPTO has developed regulations and procedures to govern administration of the Leahy-Smith Act, and many of the substantive changes to patent law associated with the Leahy-Smith Act, and in particular, the first to file provisions, did not become effective until March 16, 2013. However, the full impact of the Leahy-Smith Act and the courts' review of any appeals to related proceedings, is in its early stages. Accordingly, the full impact that the Leahy-Smith Act will have on the operation of our business is not clear. However, the Leahy-Smith Act and its implementation could increase the uncertainties and costs surrounding the prosecution of our patent applications and the enforcement or defense of our issued patents, as well as our ability to bring about timely favorable resolution of any disputes involving our patents and the patents of others. Patent applications in the United States are maintained in confidence for at least 18 months after their earliest effective filing date. Consequently, we cannot be certain we were the first to invent or the first to file patent applications of our current or future product candidates that we may develop, license, or acquire. In the event that a third party has also filed a U.S. patent application relating to our product candidates or a similar invention, we may have to participate in interference proceedings declared by the USPTO to determine priority of invention in the United States. The costs of these proceedings could be substantial and it is possible that our efforts would be unsuccessful, resulting in a material adverse effect on our U.S. patent position. The results of these types of proceedings may reduce the scope of, or invalidate, our patent rights, allow third parties to commercialize our technology or products and compete directly with us, without payment to us, or result in our inability to manufacture or commercialize products without infringing third party patent rights. In addition, if the breadth or strength of protection provided by our patents and patent applications is threatened, it could dissuade companies from collaborating with us to license, develop, or commercialize current or future product candidates. Such results could have a material adverse effect on our business, financial condition, results of operations, and prospects.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30" w:lineRule="auto"/>
        <w:rPr>
          <w:sz w:val="20"/>
          <w:szCs w:val="20"/>
          <w:color w:val="auto"/>
        </w:rPr>
      </w:pPr>
      <w:r>
        <w:rPr>
          <w:rFonts w:ascii="Arial" w:cs="Arial" w:eastAsia="Arial" w:hAnsi="Arial"/>
          <w:sz w:val="16"/>
          <w:szCs w:val="16"/>
          <w:color w:val="auto"/>
        </w:rPr>
        <w:t>In addition, the patentability of claims in pending patent applications covering AXS-02, AXS-05, or any other of our current or future product candidates can be challenged by third parties during prosecution in the USPTO, for example by third-party observations and derivation proceedings, and the validity of claims in issued patents can be challenged by third parties in various post-grant proceedings such as post-grant review, reexamination, and inter-partes review proceedings. For example, in December 2016, a petition for post-grant review of U.S. Patent No. 9,283,239, which we refer to as the ‘239 patent, was filed at the USPTO by Grunenthal GmbH, or Grunenthal, and the post-grant review was instituted on July 7, 2017. In addition, in May 2017, October 2017, and April 2018 petitions for post-grant review of U.S. Patent No. 9,408,862, which we refer to as the ‘862 patent, U.S. Patent No. 9,539,268, which we refer to as the ‘268 patent, and of U.S. Patent No. 9,707,245, which we refer to as the ‘245 patent, respectively, were filed at the USPTO by Grunenthal. The ‘239 patent contains claims directed to the use of orally administered zoledronic acid, the active moiety in AXS-02, for the treatment of CRPS, and is one of several issued patents containing claims covering the use of AXS-02 for the treatment of CRPS. The ‘862 and ‘268 patents contain claims directed to certain dosage forms containing zoledronic acid, the active moiety in AXS-</w:t>
      </w:r>
    </w:p>
    <w:p>
      <w:pPr>
        <w:spacing w:after="0" w:line="7" w:lineRule="exact"/>
        <w:rPr>
          <w:sz w:val="20"/>
          <w:szCs w:val="20"/>
          <w:color w:val="auto"/>
        </w:rPr>
      </w:pPr>
    </w:p>
    <w:p>
      <w:pPr>
        <w:ind w:right="60" w:firstLine="3"/>
        <w:spacing w:after="0" w:line="221" w:lineRule="auto"/>
        <w:tabs>
          <w:tab w:leader="none" w:pos="27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‘862 patent also contains claims directed to certain oral dosage forms containing zoledronic acid, including AXS-02, and use of certain oral dosage forms containing zoledronic acid, including AXS-02, for the treatment of knee pain and arthritis, respectively. The ‘862 and ‘268 patents are two of several issued patents containing claims covering dosage forms of zoledronic acid such as AXS-02, and the use of certain oral dosage forms containing zoledronic acid, including AXS-02, in the treatment of knee pain and arthritis. The ‘245 patent contains claims directed to the use of neridronic acid for the treatment of CRPS, and is one of several issued patents containing claims covering the use of neridronic acid for the treatment of CRPS. The petitions request that the Patent Trial and Appeal Board, or PTAB, initiate proceedings to review the validity of the ‘239, the ‘862, the ‘268, and the ‘245 patents.</w:t>
      </w:r>
    </w:p>
    <w:p>
      <w:pPr>
        <w:spacing w:after="0" w:line="165" w:lineRule="exact"/>
        <w:rPr>
          <w:sz w:val="20"/>
          <w:szCs w:val="20"/>
          <w:color w:val="auto"/>
        </w:rPr>
      </w:pPr>
    </w:p>
    <w:p>
      <w:pPr>
        <w:ind w:right="100" w:firstLine="648"/>
        <w:spacing w:after="0" w:line="236" w:lineRule="auto"/>
        <w:rPr>
          <w:sz w:val="20"/>
          <w:szCs w:val="20"/>
          <w:color w:val="auto"/>
        </w:rPr>
      </w:pPr>
      <w:r>
        <w:rPr>
          <w:rFonts w:ascii="Arial" w:cs="Arial" w:eastAsia="Arial" w:hAnsi="Arial"/>
          <w:sz w:val="16"/>
          <w:szCs w:val="16"/>
          <w:color w:val="auto"/>
        </w:rPr>
        <w:t>In April 2017, we responded to and opposed Grunenthal's petition for post-grant review of the ‘239 patent. In July 2017, the PTAB issued a decision in which it refused to institute a post-grant-review of the ‘239 patent on the grounds of novelty, obviousness, or enablement. The PTAB ruled that Grunenthal had not established that it is more likely than not that the stated prior art would have rendered the claims of the ‘239 patent obvious or not novel, and that Grunenthal had failed to demonstrate that it is more likely than not that the claims are unpatentable for lack of enablement. However, a post-grant review was instituted on the ground of written description. The PTAB further ordered that the post-grant review for the ‘239 patent be limited to written description and that no other grounds of unpatentability are authorized for post-grant review. In October 2017, we responded to the PTAB decision to institute a post-grant review. On June 22, 2018, the Patent Trial and Appeal Board, or PTAB, entered a final written decision holding that the claims were invalid for lack of written description.</w:t>
      </w:r>
    </w:p>
    <w:p>
      <w:pPr>
        <w:spacing w:after="0" w:line="168" w:lineRule="exact"/>
        <w:rPr>
          <w:sz w:val="20"/>
          <w:szCs w:val="20"/>
          <w:color w:val="auto"/>
        </w:rPr>
      </w:pPr>
    </w:p>
    <w:p>
      <w:pPr>
        <w:ind w:right="240" w:firstLine="648"/>
        <w:spacing w:after="0" w:line="216" w:lineRule="auto"/>
        <w:rPr>
          <w:sz w:val="20"/>
          <w:szCs w:val="20"/>
          <w:color w:val="auto"/>
        </w:rPr>
      </w:pPr>
      <w:r>
        <w:rPr>
          <w:rFonts w:ascii="Arial" w:cs="Arial" w:eastAsia="Arial" w:hAnsi="Arial"/>
          <w:sz w:val="18"/>
          <w:szCs w:val="18"/>
          <w:color w:val="auto"/>
        </w:rPr>
        <w:t>In August 2017, we responded to and opposed the petition for the ‘862 patent. In November 2017, the PTAB rendered a decision to initiate a post-grant review for that patent. In February 2018, we responded to the PTAB decision to institute a post-grant review. Any patent claim the PTAB determines to be unpatentable as a result of these proceedings would be stricken from the challenged patents or modified. We cannot predict what the outcomes of the proceeding on the ‘862 patent will be.</w:t>
      </w:r>
    </w:p>
    <w:p>
      <w:pPr>
        <w:spacing w:after="0" w:line="162"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In February 2018, we responded to and opposed the petition for the ‘268 patent. The PTAB is expected to render a decision as to whether it will initiate a post-grant review for that patent. In May 2018, the PTAB rendered a decision to initiate a post-grant review for the patent. In August 2018, we responded to the PTAB decision to institute a post-grant review. Any patent claim the PTAB determines to be unpatentable as a result of these proceedings would be stricken from the challenged patents or modified. Additionally, we cannot be sure that the validity of the claims in other issued patents covering any of our current or future product candidates will not also be challenged, or that Grunenthal will not file any additional petitions for post-grant review with respect to any of our current or future product candidates. We may incur increased expenses related to the growth of our intellectual property portfolio and to its defense.</w:t>
      </w:r>
    </w:p>
    <w:p>
      <w:pPr>
        <w:spacing w:after="0" w:line="168" w:lineRule="exact"/>
        <w:rPr>
          <w:sz w:val="20"/>
          <w:szCs w:val="20"/>
          <w:color w:val="auto"/>
        </w:rPr>
      </w:pPr>
    </w:p>
    <w:p>
      <w:pPr>
        <w:ind w:right="20" w:firstLine="648"/>
        <w:spacing w:after="0" w:line="226" w:lineRule="auto"/>
        <w:rPr>
          <w:sz w:val="20"/>
          <w:szCs w:val="20"/>
          <w:color w:val="auto"/>
        </w:rPr>
      </w:pPr>
      <w:r>
        <w:rPr>
          <w:rFonts w:ascii="Arial" w:cs="Arial" w:eastAsia="Arial" w:hAnsi="Arial"/>
          <w:sz w:val="17"/>
          <w:szCs w:val="17"/>
          <w:color w:val="auto"/>
        </w:rPr>
        <w:t>Furthermore, we may not have identified all United States and foreign patents or published applications that affect our business either by blocking our ability to commercialize our drugs or by covering similar technologies that affect our drug market. In addition, some countries, including many in Europe, do not grant patent claims directed to methods of treating humans, and in these countries patent protection may not be available at all to protect our product candidates. Even if patents issue, we cannot guarantee that the claims of those patents will be valid and enforceable or provide us with any significant protection against competitive products, or otherwise be commercially valuable to us.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We also rely on trade secrets to protect our technology, particularly where we do not believe patent protection is appropriate or obtainable. However, trade secrets are difficult to protect. While we use reasonable efforts to protect our trade secrets, our licensors, employees, consultants, contractors, outside scientific collaborators, and other advisors may unintentionally or willfully disclose our information to competitors. Enforcing a claim that a third party illegally obtained and is using our trade secrets is expensive and time consuming, and the outcome is unpredictable. In addition, courts outside the United States are sometimes less willing to protect trade secrets. Moreover, our competitors may independently develop equivalent knowledge, methods, and know how.</w:t>
      </w:r>
    </w:p>
    <w:p>
      <w:pPr>
        <w:spacing w:after="0" w:line="162" w:lineRule="exact"/>
        <w:rPr>
          <w:sz w:val="20"/>
          <w:szCs w:val="20"/>
          <w:color w:val="auto"/>
        </w:rPr>
      </w:pPr>
    </w:p>
    <w:p>
      <w:pPr>
        <w:ind w:right="200"/>
        <w:spacing w:after="0" w:line="22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163" w:lineRule="exact"/>
        <w:rPr>
          <w:sz w:val="20"/>
          <w:szCs w:val="20"/>
          <w:color w:val="auto"/>
        </w:rPr>
      </w:pPr>
    </w:p>
    <w:p>
      <w:pPr>
        <w:ind w:right="60" w:firstLine="648"/>
        <w:spacing w:after="0" w:line="180" w:lineRule="exact"/>
        <w:rPr>
          <w:sz w:val="20"/>
          <w:szCs w:val="20"/>
          <w:color w:val="auto"/>
        </w:rPr>
      </w:pPr>
      <w:r>
        <w:rPr>
          <w:rFonts w:ascii="Arial" w:cs="Arial" w:eastAsia="Arial" w:hAnsi="Arial"/>
          <w:sz w:val="17"/>
          <w:szCs w:val="17"/>
          <w:color w:val="auto"/>
        </w:rPr>
        <w:t>The USPTO and various foreign governmental patent agencies require compliance with a number of procedural, documentary, fee payment, and other similar provisions during the patent prosecution process. Periodic maintenance fees, renewal fees, annuity fees, and various other governmental fees on patents or patent applications will be due to be paid to the USPTO and various patent agencies outside of the United States in several stages over the lifetime of the patents and applications. We have systems in place to remind us to pay these fees, and we employ and rely on reputable law firms and other professionals to effect payment of these fees to the USPTO and non</w:t>
      </w:r>
      <w:r>
        <w:rPr>
          <w:rFonts w:ascii="MS PGothic" w:cs="MS PGothic" w:eastAsia="MS PGothic" w:hAnsi="MS PGothic"/>
          <w:sz w:val="17"/>
          <w:szCs w:val="17"/>
          <w:color w:val="auto"/>
        </w:rPr>
        <w:t>‑</w:t>
      </w:r>
      <w:r>
        <w:rPr>
          <w:rFonts w:ascii="Arial" w:cs="Arial" w:eastAsia="Arial" w:hAnsi="Arial"/>
          <w:sz w:val="17"/>
          <w:szCs w:val="17"/>
          <w:color w:val="auto"/>
        </w:rPr>
        <w:t>U.S. patent agencies for the patents and patent applications we own and those that we in</w:t>
      </w:r>
      <w:r>
        <w:rPr>
          <w:rFonts w:ascii="MS PGothic" w:cs="MS PGothic" w:eastAsia="MS PGothic" w:hAnsi="MS PGothic"/>
          <w:sz w:val="17"/>
          <w:szCs w:val="17"/>
          <w:color w:val="auto"/>
        </w:rPr>
        <w:t>‑</w:t>
      </w:r>
      <w:r>
        <w:rPr>
          <w:rFonts w:ascii="Arial" w:cs="Arial" w:eastAsia="Arial" w:hAnsi="Arial"/>
          <w:sz w:val="17"/>
          <w:szCs w:val="17"/>
          <w:color w:val="auto"/>
        </w:rPr>
        <w:t>license. We also employ reputable law firms and other professionals to help us comply with the various documentary and other procedural requirements with respect to the patents and patent applications that we own and those that we in</w:t>
      </w:r>
      <w:r>
        <w:rPr>
          <w:rFonts w:ascii="MS PGothic" w:cs="MS PGothic" w:eastAsia="MS PGothic" w:hAnsi="MS PGothic"/>
          <w:sz w:val="17"/>
          <w:szCs w:val="17"/>
          <w:color w:val="auto"/>
        </w:rPr>
        <w:t>‑</w:t>
      </w:r>
      <w:r>
        <w:rPr>
          <w:rFonts w:ascii="Arial" w:cs="Arial" w:eastAsia="Arial" w:hAnsi="Arial"/>
          <w:sz w:val="17"/>
          <w:szCs w:val="17"/>
          <w:color w:val="auto"/>
        </w:rPr>
        <w:t>license.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169" w:lineRule="exact"/>
        <w:rPr>
          <w:sz w:val="20"/>
          <w:szCs w:val="20"/>
          <w:color w:val="auto"/>
        </w:rPr>
      </w:pPr>
    </w:p>
    <w:p>
      <w:pPr>
        <w:ind w:right="400"/>
        <w:spacing w:after="0" w:line="289" w:lineRule="auto"/>
        <w:rPr>
          <w:sz w:val="20"/>
          <w:szCs w:val="20"/>
          <w:color w:val="auto"/>
        </w:rPr>
      </w:pPr>
      <w:r>
        <w:rPr>
          <w:rFonts w:ascii="Arial" w:cs="Arial" w:eastAsia="Arial" w:hAnsi="Arial"/>
          <w:sz w:val="16"/>
          <w:szCs w:val="16"/>
          <w:b w:val="1"/>
          <w:bCs w:val="1"/>
          <w:i w:val="1"/>
          <w:iCs w:val="1"/>
          <w:color w:val="auto"/>
        </w:rPr>
        <w:t>If we or any future collaboration partner are sued for infringing intellectual property rights of third parties, it will be costly and time consuming, and an unfavorable outcome in any litigation would harm our business.</w:t>
      </w:r>
    </w:p>
    <w:p>
      <w:pPr>
        <w:spacing w:after="0" w:line="124" w:lineRule="exact"/>
        <w:rPr>
          <w:sz w:val="20"/>
          <w:szCs w:val="20"/>
          <w:color w:val="auto"/>
        </w:rPr>
      </w:pPr>
    </w:p>
    <w:p>
      <w:pPr>
        <w:ind w:firstLine="648"/>
        <w:spacing w:after="0" w:line="233" w:lineRule="auto"/>
        <w:rPr>
          <w:sz w:val="20"/>
          <w:szCs w:val="20"/>
          <w:color w:val="auto"/>
        </w:rPr>
      </w:pPr>
      <w:r>
        <w:rPr>
          <w:rFonts w:ascii="Arial" w:cs="Arial" w:eastAsia="Arial" w:hAnsi="Arial"/>
          <w:sz w:val="16"/>
          <w:szCs w:val="16"/>
          <w:color w:val="auto"/>
        </w:rPr>
        <w:t>Our ability to develop, manufacture, market, and sell any of our current and future product candidates depends upon our ability to avoid infringing the proprietary rights of third parties, and 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Numerous U.S. and foreign issued patents and pending patent applications, which are owned by third parties, exist in the general field of treatment and management of pain and other CNS disorders and cover the use of numerous compounds and formulations in our targeted markets. Third parties may assert infringement claims against us based on existing patents or patents that may be granted in the future. Because of the uncertainty inherent in any patent or other litigation involving proprietary rights, we and our licensors may not be successful in defending intellectual property claims by third parties, which could have a material adverse effect on our business, financial condition, results of operations, and prospects. Regardless of the outcome of any litigation, defending the litigation may be expensive, time consuming, and distracting to management. In addition, because patent applications can take many years to issue, there may be currently pending applications, unknown to us, which may later result in issued patents that any of our current or future product candidates may infringe. There could also be existing patents of which we are not aware that any of our current or future product candidates may inadvertently infringe.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a third party claims that we infringe on their products or technology, we could face a number of issues, including:</w:t>
      </w:r>
    </w:p>
    <w:p>
      <w:pPr>
        <w:spacing w:after="0" w:line="208" w:lineRule="exact"/>
        <w:rPr>
          <w:sz w:val="20"/>
          <w:szCs w:val="20"/>
          <w:color w:val="auto"/>
        </w:rPr>
      </w:pPr>
    </w:p>
    <w:p>
      <w:pPr>
        <w:ind w:left="660" w:right="260" w:hanging="333"/>
        <w:spacing w:after="0" w:line="25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infringement and other intellectual property claims which, whether meritorious or not, can be expensive and time consuming to litigate and can divert management’s attention from our core business;</w:t>
      </w:r>
    </w:p>
    <w:p>
      <w:pPr>
        <w:spacing w:after="0" w:line="146" w:lineRule="exact"/>
        <w:rPr>
          <w:rFonts w:ascii="Arial" w:cs="Arial" w:eastAsia="Arial" w:hAnsi="Arial"/>
          <w:sz w:val="17"/>
          <w:szCs w:val="17"/>
          <w:color w:val="auto"/>
        </w:rPr>
      </w:pPr>
    </w:p>
    <w:p>
      <w:pPr>
        <w:ind w:left="660" w:right="40" w:hanging="333"/>
        <w:spacing w:after="0" w:line="235"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substantial damages for past infringement which we may have to pay if a court decides that our product infringes on a competitor’s patent;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line="235"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court prohibiting us from selling or licensing our product unless the patent holder licenses the patent to us, which it would not be required to do;</w:t>
      </w:r>
    </w:p>
    <w:p>
      <w:pPr>
        <w:spacing w:after="0" w:line="161" w:lineRule="exact"/>
        <w:rPr>
          <w:rFonts w:ascii="Arial" w:cs="Arial" w:eastAsia="Arial" w:hAnsi="Arial"/>
          <w:sz w:val="18"/>
          <w:szCs w:val="18"/>
          <w:color w:val="auto"/>
        </w:rPr>
      </w:pPr>
    </w:p>
    <w:p>
      <w:pPr>
        <w:ind w:left="660" w:right="140" w:hanging="333"/>
        <w:spacing w:after="0" w:line="235"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 license is available from a patent holder, we may have to pay substantial royalties or grant cross licenses to our patents; and</w:t>
      </w:r>
    </w:p>
    <w:p>
      <w:pPr>
        <w:spacing w:after="0" w:line="161" w:lineRule="exact"/>
        <w:rPr>
          <w:rFonts w:ascii="Arial" w:cs="Arial" w:eastAsia="Arial" w:hAnsi="Arial"/>
          <w:sz w:val="18"/>
          <w:szCs w:val="18"/>
          <w:color w:val="auto"/>
        </w:rPr>
      </w:pPr>
    </w:p>
    <w:p>
      <w:pPr>
        <w:ind w:left="660" w:right="520" w:hanging="333"/>
        <w:spacing w:after="0" w:line="235"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redesigning our product candidates and processes so they do not infringe, which may not be possible or could require substantial funds and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we are found to infringe a third party’s intellectual property rights, we could be required to obtain a license from</w:t>
      </w:r>
    </w:p>
    <w:p>
      <w:pPr>
        <w:spacing w:after="0"/>
        <w:rPr>
          <w:sz w:val="20"/>
          <w:szCs w:val="20"/>
          <w:color w:val="auto"/>
        </w:rPr>
      </w:pPr>
      <w:r>
        <w:rPr>
          <w:rFonts w:ascii="Arial" w:cs="Arial" w:eastAsia="Arial" w:hAnsi="Arial"/>
          <w:sz w:val="16"/>
          <w:szCs w:val="16"/>
          <w:color w:val="auto"/>
        </w:rPr>
        <w:t>such third party to continue developing and marketing our products and technology. However, we may not be able to obtain</w:t>
      </w:r>
    </w:p>
    <w:p>
      <w:pPr>
        <w:spacing w:after="0" w:line="215" w:lineRule="auto"/>
        <w:rPr>
          <w:sz w:val="20"/>
          <w:szCs w:val="20"/>
          <w:color w:val="auto"/>
        </w:rPr>
      </w:pPr>
      <w:r>
        <w:rPr>
          <w:rFonts w:ascii="Arial" w:cs="Arial" w:eastAsia="Arial" w:hAnsi="Arial"/>
          <w:sz w:val="17"/>
          <w:szCs w:val="17"/>
          <w:color w:val="auto"/>
        </w:rPr>
        <w:t>any required license on commercially reasonable terms, or at all. Even if we were able to obtain a license, it could be</w:t>
      </w:r>
    </w:p>
    <w:p>
      <w:pPr>
        <w:spacing w:after="0" w:line="176" w:lineRule="exact"/>
        <w:rPr>
          <w:sz w:val="20"/>
          <w:szCs w:val="20"/>
          <w:color w:val="auto"/>
        </w:rPr>
      </w:pPr>
      <w:r>
        <w:rPr>
          <w:rFonts w:ascii="Arial" w:cs="Arial" w:eastAsia="Arial" w:hAnsi="Arial"/>
          <w:sz w:val="16"/>
          <w:szCs w:val="16"/>
          <w:color w:val="auto"/>
        </w:rPr>
        <w:t>non</w:t>
      </w:r>
      <w:r>
        <w:rPr>
          <w:rFonts w:ascii="MS PGothic" w:cs="MS PGothic" w:eastAsia="MS PGothic" w:hAnsi="MS PGothic"/>
          <w:sz w:val="16"/>
          <w:szCs w:val="16"/>
          <w:color w:val="auto"/>
        </w:rPr>
        <w:t>‑</w:t>
      </w:r>
      <w:r>
        <w:rPr>
          <w:rFonts w:ascii="Arial" w:cs="Arial" w:eastAsia="Arial" w:hAnsi="Arial"/>
          <w:sz w:val="16"/>
          <w:szCs w:val="16"/>
          <w:color w:val="auto"/>
        </w:rPr>
        <w:t>exclusive, thereby giving our competitors access to the same technologies licensed to us. We could be forced, including</w:t>
      </w:r>
    </w:p>
    <w:p>
      <w:pPr>
        <w:spacing w:after="0" w:line="216" w:lineRule="auto"/>
        <w:rPr>
          <w:sz w:val="20"/>
          <w:szCs w:val="20"/>
          <w:color w:val="auto"/>
        </w:rPr>
      </w:pPr>
      <w:r>
        <w:rPr>
          <w:rFonts w:ascii="Arial" w:cs="Arial" w:eastAsia="Arial" w:hAnsi="Arial"/>
          <w:sz w:val="17"/>
          <w:szCs w:val="17"/>
          <w:color w:val="auto"/>
        </w:rPr>
        <w:t>by court order, to cease commercializing the infringing technology or product. In addition, we could be found liable for</w:t>
      </w:r>
    </w:p>
    <w:p>
      <w:pPr>
        <w:spacing w:after="0" w:line="215" w:lineRule="auto"/>
        <w:rPr>
          <w:sz w:val="20"/>
          <w:szCs w:val="20"/>
          <w:color w:val="auto"/>
        </w:rPr>
      </w:pPr>
      <w:r>
        <w:rPr>
          <w:rFonts w:ascii="Arial" w:cs="Arial" w:eastAsia="Arial" w:hAnsi="Arial"/>
          <w:sz w:val="17"/>
          <w:szCs w:val="17"/>
          <w:color w:val="auto"/>
        </w:rPr>
        <w:t>monetary damages, including treble damages and attorneys’ fees if we are found to have willfully infringed a patent. A</w:t>
      </w:r>
    </w:p>
    <w:p>
      <w:pPr>
        <w:spacing w:after="0" w:line="216" w:lineRule="auto"/>
        <w:rPr>
          <w:sz w:val="20"/>
          <w:szCs w:val="20"/>
          <w:color w:val="auto"/>
        </w:rPr>
      </w:pPr>
      <w:r>
        <w:rPr>
          <w:rFonts w:ascii="Arial" w:cs="Arial" w:eastAsia="Arial" w:hAnsi="Arial"/>
          <w:sz w:val="17"/>
          <w:szCs w:val="17"/>
          <w:color w:val="auto"/>
        </w:rPr>
        <w:t>finding of infringement could prevent us from commercializing our product candidates or force us to cease some of our</w:t>
      </w:r>
    </w:p>
    <w:p>
      <w:pPr>
        <w:spacing w:after="0" w:line="215" w:lineRule="auto"/>
        <w:rPr>
          <w:sz w:val="20"/>
          <w:szCs w:val="20"/>
          <w:color w:val="auto"/>
        </w:rPr>
      </w:pPr>
      <w:r>
        <w:rPr>
          <w:rFonts w:ascii="Arial" w:cs="Arial" w:eastAsia="Arial" w:hAnsi="Arial"/>
          <w:sz w:val="17"/>
          <w:szCs w:val="17"/>
          <w:color w:val="auto"/>
        </w:rPr>
        <w:t>business operations, which could materially harm our business. Claims that we have misappropriated the confidential</w:t>
      </w:r>
    </w:p>
    <w:p>
      <w:pPr>
        <w:spacing w:after="0" w:line="229" w:lineRule="auto"/>
        <w:rPr>
          <w:sz w:val="20"/>
          <w:szCs w:val="20"/>
          <w:color w:val="auto"/>
        </w:rPr>
      </w:pPr>
      <w:r>
        <w:rPr>
          <w:rFonts w:ascii="Arial" w:cs="Arial" w:eastAsia="Arial" w:hAnsi="Arial"/>
          <w:sz w:val="16"/>
          <w:szCs w:val="16"/>
          <w:color w:val="auto"/>
        </w:rPr>
        <w:t>information or trade secrets of third parties could have a similar negative impact on our business, financial condition, results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operations, and prospects.</w:t>
      </w:r>
    </w:p>
    <w:p>
      <w:pPr>
        <w:spacing w:after="0" w:line="169"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62" w:lineRule="exact"/>
        <w:rPr>
          <w:sz w:val="20"/>
          <w:szCs w:val="20"/>
          <w:color w:val="auto"/>
        </w:rPr>
      </w:pPr>
    </w:p>
    <w:p>
      <w:pPr>
        <w:ind w:right="20" w:firstLine="648"/>
        <w:spacing w:after="0" w:line="181" w:lineRule="exact"/>
        <w:rPr>
          <w:sz w:val="20"/>
          <w:szCs w:val="20"/>
          <w:color w:val="auto"/>
        </w:rPr>
      </w:pPr>
      <w:r>
        <w:rPr>
          <w:rFonts w:ascii="Arial" w:cs="Arial" w:eastAsia="Arial" w:hAnsi="Arial"/>
          <w:sz w:val="16"/>
          <w:szCs w:val="16"/>
          <w:color w:val="auto"/>
        </w:rPr>
        <w:t>Competitors may infringe our issued patents, our in</w:t>
      </w:r>
      <w:r>
        <w:rPr>
          <w:rFonts w:ascii="MS PGothic" w:cs="MS PGothic" w:eastAsia="MS PGothic" w:hAnsi="MS PGothic"/>
          <w:sz w:val="16"/>
          <w:szCs w:val="16"/>
          <w:color w:val="auto"/>
        </w:rPr>
        <w:t>‑</w:t>
      </w:r>
      <w:r>
        <w:rPr>
          <w:rFonts w:ascii="Arial" w:cs="Arial" w:eastAsia="Arial" w:hAnsi="Arial"/>
          <w:sz w:val="16"/>
          <w:szCs w:val="16"/>
          <w:color w:val="auto"/>
        </w:rPr>
        <w:t>licensed patents, or other intellectual property that we own or in</w:t>
      </w:r>
      <w:r>
        <w:rPr>
          <w:rFonts w:ascii="MS PGothic" w:cs="MS PGothic" w:eastAsia="MS PGothic" w:hAnsi="MS PGothic"/>
          <w:sz w:val="16"/>
          <w:szCs w:val="16"/>
          <w:color w:val="auto"/>
        </w:rPr>
        <w:t>‑</w:t>
      </w:r>
      <w:r>
        <w:rPr>
          <w:rFonts w:ascii="Arial" w:cs="Arial" w:eastAsia="Arial" w:hAnsi="Arial"/>
          <w:sz w:val="16"/>
          <w:szCs w:val="16"/>
          <w:color w:val="auto"/>
        </w:rPr>
        <w:t>license. Under the terms of our license agreements with Antecip, if we believe a third party is infringing on the patents subject to the licenses, we are obligated, at our own expense, to initiate suit against those third parties.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66" w:lineRule="exact"/>
        <w:rPr>
          <w:sz w:val="20"/>
          <w:szCs w:val="20"/>
          <w:color w:val="auto"/>
        </w:rPr>
      </w:pPr>
    </w:p>
    <w:p>
      <w:pPr>
        <w:ind w:right="20" w:firstLine="648"/>
        <w:spacing w:after="0" w:line="187" w:lineRule="exact"/>
        <w:rPr>
          <w:sz w:val="20"/>
          <w:szCs w:val="20"/>
          <w:color w:val="auto"/>
        </w:rPr>
      </w:pPr>
      <w:r>
        <w:rPr>
          <w:rFonts w:ascii="Arial" w:cs="Arial" w:eastAsia="Arial" w:hAnsi="Arial"/>
          <w:sz w:val="18"/>
          <w:szCs w:val="18"/>
          <w:color w:val="auto"/>
        </w:rPr>
        <w:t>Most of our competitors are larger than we are and have substantially greater resources than we do. They are, therefore, likely to be able to sustain the costs of complex patent litigation longer than we could. In addition, the uncertainties associated with litigation could have a material adverse effect on our ability to raise the funds necessary to continue our clinical trials, continue our internal research programs, in</w:t>
      </w:r>
      <w:r>
        <w:rPr>
          <w:rFonts w:ascii="MS PGothic" w:cs="MS PGothic" w:eastAsia="MS PGothic" w:hAnsi="MS PGothic"/>
          <w:sz w:val="18"/>
          <w:szCs w:val="18"/>
          <w:color w:val="auto"/>
        </w:rPr>
        <w:t>‑</w:t>
      </w:r>
      <w:r>
        <w:rPr>
          <w:rFonts w:ascii="Arial" w:cs="Arial" w:eastAsia="Arial" w:hAnsi="Arial"/>
          <w:sz w:val="18"/>
          <w:szCs w:val="18"/>
          <w:color w:val="auto"/>
        </w:rPr>
        <w:t>license needed technology, or enter into development partnerships that would help us bring our product candidates to market.</w:t>
      </w:r>
    </w:p>
    <w:p>
      <w:pPr>
        <w:spacing w:after="0" w:line="162"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b w:val="1"/>
          <w:bCs w:val="1"/>
          <w:i w:val="1"/>
          <w:iCs w:val="1"/>
          <w:color w:val="auto"/>
        </w:rPr>
        <w:t>We may need to license certain intellectual property from third parties, and such licenses may not be available or may not be available on commercially reasonable terms.</w:t>
      </w:r>
    </w:p>
    <w:p>
      <w:pPr>
        <w:spacing w:after="0" w:line="162" w:lineRule="exact"/>
        <w:rPr>
          <w:sz w:val="20"/>
          <w:szCs w:val="20"/>
          <w:color w:val="auto"/>
        </w:rPr>
      </w:pPr>
    </w:p>
    <w:p>
      <w:pPr>
        <w:ind w:right="160" w:firstLine="648"/>
        <w:spacing w:after="0" w:line="229" w:lineRule="auto"/>
        <w:rPr>
          <w:sz w:val="20"/>
          <w:szCs w:val="20"/>
          <w:color w:val="auto"/>
        </w:rPr>
      </w:pPr>
      <w:r>
        <w:rPr>
          <w:rFonts w:ascii="Arial" w:cs="Arial" w:eastAsia="Arial" w:hAnsi="Arial"/>
          <w:sz w:val="17"/>
          <w:szCs w:val="17"/>
          <w:color w:val="auto"/>
        </w:rPr>
        <w:t>A third party may hold intellectual property, including patent rights that are important or necessary to the development or commercialization of our products. It may be necessary for us to use the patented or proprietary technology of third parties to commercialize our products, in which case we would be required to obtain a license from these third parties. Such a license may not be available on commercially reasonable terms, or at all, which could materially harm our business, financial condition, results of operations, and prospects.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60"/>
        <w:spacing w:after="0" w:line="258" w:lineRule="auto"/>
        <w:rPr>
          <w:sz w:val="20"/>
          <w:szCs w:val="20"/>
          <w:color w:val="auto"/>
        </w:rPr>
      </w:pPr>
      <w:r>
        <w:rPr>
          <w:rFonts w:ascii="Arial" w:cs="Arial" w:eastAsia="Arial" w:hAnsi="Arial"/>
          <w:sz w:val="17"/>
          <w:szCs w:val="17"/>
          <w:b w:val="1"/>
          <w:bCs w:val="1"/>
          <w:i w:val="1"/>
          <w:iCs w:val="1"/>
          <w:color w:val="auto"/>
        </w:rPr>
        <w:t>We may be subject to claims that our employees, independent contractors, or consultants have wrongfully used or disclosed alleged trade secrets of their former employers or other third parties.</w:t>
      </w:r>
    </w:p>
    <w:p>
      <w:pPr>
        <w:spacing w:after="0" w:line="147" w:lineRule="exact"/>
        <w:rPr>
          <w:sz w:val="20"/>
          <w:szCs w:val="20"/>
          <w:color w:val="auto"/>
        </w:rPr>
      </w:pPr>
    </w:p>
    <w:p>
      <w:pPr>
        <w:ind w:right="20" w:firstLine="648"/>
        <w:spacing w:after="0" w:line="214" w:lineRule="auto"/>
        <w:rPr>
          <w:sz w:val="20"/>
          <w:szCs w:val="20"/>
          <w:color w:val="auto"/>
        </w:rPr>
      </w:pPr>
      <w:r>
        <w:rPr>
          <w:rFonts w:ascii="Arial" w:cs="Arial" w:eastAsia="Arial" w:hAnsi="Arial"/>
          <w:sz w:val="18"/>
          <w:szCs w:val="18"/>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individuals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adequately prevent disclosure of trade secrets and other proprietary information.</w:t>
      </w:r>
    </w:p>
    <w:p>
      <w:pPr>
        <w:spacing w:after="0" w:line="185" w:lineRule="exact"/>
        <w:rPr>
          <w:sz w:val="20"/>
          <w:szCs w:val="20"/>
          <w:color w:val="auto"/>
        </w:rPr>
      </w:pPr>
    </w:p>
    <w:p>
      <w:pPr>
        <w:ind w:firstLine="648"/>
        <w:spacing w:after="0" w:line="179" w:lineRule="exact"/>
        <w:rPr>
          <w:sz w:val="20"/>
          <w:szCs w:val="20"/>
          <w:color w:val="auto"/>
        </w:rPr>
      </w:pPr>
      <w:r>
        <w:rPr>
          <w:rFonts w:ascii="Arial" w:cs="Arial" w:eastAsia="Arial" w:hAnsi="Arial"/>
          <w:sz w:val="16"/>
          <w:szCs w:val="16"/>
          <w:color w:val="auto"/>
        </w:rPr>
        <w:t>We rely on trade secrets to protect our proprietary technological advances and know</w:t>
      </w:r>
      <w:r>
        <w:rPr>
          <w:rFonts w:ascii="MS PGothic" w:cs="MS PGothic" w:eastAsia="MS PGothic" w:hAnsi="MS PGothic"/>
          <w:sz w:val="16"/>
          <w:szCs w:val="16"/>
          <w:color w:val="auto"/>
        </w:rPr>
        <w:t>‑</w:t>
      </w:r>
      <w:r>
        <w:rPr>
          <w:rFonts w:ascii="Arial" w:cs="Arial" w:eastAsia="Arial" w:hAnsi="Arial"/>
          <w:sz w:val="16"/>
          <w:szCs w:val="16"/>
          <w:color w:val="auto"/>
        </w:rPr>
        <w:t>how, especially where we do not believe patent protection is appropriate or obtainable. However, trade secrets are difficult to protect. We rely in part on confidentiality agreements with our employees, consultants, contractors, outside scientific collaborators, sponsored researchers, and other advisors, including the third parties we rely on to manufacture our product candidates, to protect our trade secrets and other proprietary information. However, any party with whom we have executed such an agreement may breach that agreement and disclose our proprietary information, including our trade secrets. Accordingly, these agreements may not effectively prevent disclosure of confidential information and may not provide an adequate remedy in the event of unauthorized disclosure of confidential information. Costly and time</w:t>
      </w:r>
      <w:r>
        <w:rPr>
          <w:rFonts w:ascii="MS PGothic" w:cs="MS PGothic" w:eastAsia="MS PGothic" w:hAnsi="MS PGothic"/>
          <w:sz w:val="16"/>
          <w:szCs w:val="16"/>
          <w:color w:val="auto"/>
        </w:rPr>
        <w:t>‑</w:t>
      </w:r>
      <w:r>
        <w:rPr>
          <w:rFonts w:ascii="Arial" w:cs="Arial" w:eastAsia="Arial" w:hAnsi="Arial"/>
          <w:sz w:val="16"/>
          <w:szCs w:val="16"/>
          <w:color w:val="auto"/>
        </w:rPr>
        <w:t>consuming litigation could be necessary to enforce and determine the scope of our proprietary rights. In addition, others may independently discover our trade secrets and proprietary information. Further, the FDA, as part of its Transparency Initiative, a proposal to increase disclosure and make data more accessible to the public,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Failure to obtain or maintain trade secret protection could enable competitors to use our proprietary information to develop products that compete with our products or cause additional, material adverse effects upon our competitive business position and financial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or our licensors may not be able to protect our intellectual property rights throughout the world.</w:t>
      </w:r>
    </w:p>
    <w:p>
      <w:pPr>
        <w:spacing w:after="0" w:line="185" w:lineRule="exact"/>
        <w:rPr>
          <w:sz w:val="20"/>
          <w:szCs w:val="20"/>
          <w:color w:val="auto"/>
        </w:rPr>
      </w:pPr>
    </w:p>
    <w:p>
      <w:pPr>
        <w:ind w:right="40" w:firstLine="648"/>
        <w:spacing w:after="0" w:line="222"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rights are not as strong as those in the United States. These products may compete with our product candidates and our patents or other intellectual property rights may not be effective or sufficient to prevent them from competing.</w:t>
      </w:r>
    </w:p>
    <w:p>
      <w:pPr>
        <w:spacing w:after="0" w:line="164" w:lineRule="exact"/>
        <w:rPr>
          <w:sz w:val="20"/>
          <w:szCs w:val="20"/>
          <w:color w:val="auto"/>
        </w:rPr>
      </w:pPr>
    </w:p>
    <w:p>
      <w:pPr>
        <w:ind w:right="160" w:firstLine="648"/>
        <w:spacing w:after="0" w:line="236"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or our licensors’ intellectual property rights around the world may be inadequate to obtain a significant commercial advantage from the intellectual property that we develop or license.</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COMPLIANCE MATTERS</w:t>
      </w:r>
    </w:p>
    <w:p>
      <w:pPr>
        <w:spacing w:after="0" w:line="189"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b w:val="1"/>
          <w:bCs w:val="1"/>
          <w:i w:val="1"/>
          <w:iCs w:val="1"/>
          <w:color w:val="auto"/>
        </w:rPr>
        <w:t>If we fail to comply with federal state, and foreign healthcare laws, including fraud and abuse and health and other information privacy and security laws, we could face substantial penalties and our business, financial condition, results of operations, and prospects could be adversely affected.</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a pharmaceutical company, we are subject to many federal and state healthcare laws, including those described in</w:t>
      </w:r>
    </w:p>
    <w:p>
      <w:pPr>
        <w:spacing w:after="0"/>
        <w:rPr>
          <w:sz w:val="20"/>
          <w:szCs w:val="20"/>
          <w:color w:val="auto"/>
        </w:rPr>
      </w:pPr>
      <w:r>
        <w:rPr>
          <w:rFonts w:ascii="Arial" w:cs="Arial" w:eastAsia="Arial" w:hAnsi="Arial"/>
          <w:sz w:val="16"/>
          <w:szCs w:val="16"/>
          <w:color w:val="auto"/>
        </w:rPr>
        <w:t>the “Business—Government Regulation and Product Approval” section of our Annual Report on Form 10-K, filed with the</w:t>
      </w:r>
    </w:p>
    <w:p>
      <w:pPr>
        <w:spacing w:after="0" w:line="176" w:lineRule="exact"/>
        <w:rPr>
          <w:sz w:val="20"/>
          <w:szCs w:val="20"/>
          <w:color w:val="auto"/>
        </w:rPr>
      </w:pPr>
      <w:r>
        <w:rPr>
          <w:rFonts w:ascii="Arial" w:cs="Arial" w:eastAsia="Arial" w:hAnsi="Arial"/>
          <w:sz w:val="16"/>
          <w:szCs w:val="16"/>
          <w:color w:val="auto"/>
        </w:rPr>
        <w:t>Securities and Exchange Commission, or SEC, on March 7, 2018, such as the federal Anti</w:t>
      </w:r>
      <w:r>
        <w:rPr>
          <w:rFonts w:ascii="MS PGothic" w:cs="MS PGothic" w:eastAsia="MS PGothic" w:hAnsi="MS PGothic"/>
          <w:sz w:val="16"/>
          <w:szCs w:val="16"/>
          <w:color w:val="auto"/>
        </w:rPr>
        <w:t>‑</w:t>
      </w:r>
      <w:r>
        <w:rPr>
          <w:rFonts w:ascii="Arial" w:cs="Arial" w:eastAsia="Arial" w:hAnsi="Arial"/>
          <w:sz w:val="16"/>
          <w:szCs w:val="16"/>
          <w:color w:val="auto"/>
        </w:rPr>
        <w:t>Kickback Statute, the federal civil</w:t>
      </w:r>
    </w:p>
    <w:p>
      <w:pPr>
        <w:spacing w:after="0" w:line="215" w:lineRule="auto"/>
        <w:rPr>
          <w:sz w:val="20"/>
          <w:szCs w:val="20"/>
          <w:color w:val="auto"/>
        </w:rPr>
      </w:pPr>
      <w:r>
        <w:rPr>
          <w:rFonts w:ascii="Arial" w:cs="Arial" w:eastAsia="Arial" w:hAnsi="Arial"/>
          <w:sz w:val="17"/>
          <w:szCs w:val="17"/>
          <w:color w:val="auto"/>
        </w:rPr>
        <w:t>and criminal False Claims Act, the civil monetary penalties statute, the Medicaid Drug Rebate statute and other price</w:t>
      </w:r>
    </w:p>
    <w:p>
      <w:pPr>
        <w:spacing w:after="0" w:line="229" w:lineRule="auto"/>
        <w:rPr>
          <w:sz w:val="20"/>
          <w:szCs w:val="20"/>
          <w:color w:val="auto"/>
        </w:rPr>
      </w:pPr>
      <w:r>
        <w:rPr>
          <w:rFonts w:ascii="Arial" w:cs="Arial" w:eastAsia="Arial" w:hAnsi="Arial"/>
          <w:sz w:val="16"/>
          <w:szCs w:val="16"/>
          <w:color w:val="auto"/>
        </w:rPr>
        <w:t>reporting requirements, the Veterans Health Care Act of 1992, the federal Health Insurance Portability and Accountability</w:t>
      </w:r>
    </w:p>
    <w:p>
      <w:pPr>
        <w:spacing w:after="0" w:line="229" w:lineRule="auto"/>
        <w:rPr>
          <w:sz w:val="20"/>
          <w:szCs w:val="20"/>
          <w:color w:val="auto"/>
        </w:rPr>
      </w:pPr>
      <w:r>
        <w:rPr>
          <w:rFonts w:ascii="Arial" w:cs="Arial" w:eastAsia="Arial" w:hAnsi="Arial"/>
          <w:sz w:val="16"/>
          <w:szCs w:val="16"/>
          <w:color w:val="auto"/>
        </w:rPr>
        <w:t>Act of 1996 (as amended by the Health Information Technology for Economics and Clinical Health Act), the Foreign Corrupt</w:t>
      </w:r>
    </w:p>
    <w:p>
      <w:pPr>
        <w:spacing w:after="0" w:line="216" w:lineRule="auto"/>
        <w:rPr>
          <w:sz w:val="20"/>
          <w:szCs w:val="20"/>
          <w:color w:val="auto"/>
        </w:rPr>
      </w:pPr>
      <w:r>
        <w:rPr>
          <w:rFonts w:ascii="Arial" w:cs="Arial" w:eastAsia="Arial" w:hAnsi="Arial"/>
          <w:sz w:val="17"/>
          <w:szCs w:val="17"/>
          <w:color w:val="auto"/>
        </w:rPr>
        <w:t>Practices Act of 1977, the Patient Protection and Affordable Care Act of 2010, and similar state and foreign laws. Even</w:t>
      </w:r>
    </w:p>
    <w:p>
      <w:pPr>
        <w:spacing w:after="0" w:line="215" w:lineRule="auto"/>
        <w:rPr>
          <w:sz w:val="20"/>
          <w:szCs w:val="20"/>
          <w:color w:val="auto"/>
        </w:rPr>
      </w:pPr>
      <w:r>
        <w:rPr>
          <w:rFonts w:ascii="Arial" w:cs="Arial" w:eastAsia="Arial" w:hAnsi="Arial"/>
          <w:sz w:val="17"/>
          <w:szCs w:val="17"/>
          <w:color w:val="auto"/>
        </w:rPr>
        <w:t>though we do not and will not control referrals of healthcare services or bill directly to Medicare, Medicaid, or other</w:t>
      </w:r>
    </w:p>
    <w:p>
      <w:pPr>
        <w:spacing w:after="0" w:line="176" w:lineRule="exact"/>
        <w:rPr>
          <w:sz w:val="20"/>
          <w:szCs w:val="20"/>
          <w:color w:val="auto"/>
        </w:rPr>
      </w:pPr>
      <w:r>
        <w:rPr>
          <w:rFonts w:ascii="Arial" w:cs="Arial" w:eastAsia="Arial" w:hAnsi="Arial"/>
          <w:sz w:val="16"/>
          <w:szCs w:val="16"/>
          <w:color w:val="auto"/>
        </w:rPr>
        <w:t>third</w:t>
      </w:r>
      <w:r>
        <w:rPr>
          <w:rFonts w:ascii="MS PGothic" w:cs="MS PGothic" w:eastAsia="MS PGothic" w:hAnsi="MS PGothic"/>
          <w:sz w:val="16"/>
          <w:szCs w:val="16"/>
          <w:color w:val="auto"/>
        </w:rPr>
        <w:t>‑</w:t>
      </w:r>
      <w:r>
        <w:rPr>
          <w:rFonts w:ascii="Arial" w:cs="Arial" w:eastAsia="Arial" w:hAnsi="Arial"/>
          <w:sz w:val="16"/>
          <w:szCs w:val="16"/>
          <w:color w:val="auto"/>
        </w:rPr>
        <w:t>party payors, certain federal and state healthcare laws and regulations pertaining to fraud and abuse and patients’ rights</w:t>
      </w:r>
    </w:p>
    <w:p>
      <w:pPr>
        <w:spacing w:after="0" w:line="229" w:lineRule="auto"/>
        <w:rPr>
          <w:sz w:val="20"/>
          <w:szCs w:val="20"/>
          <w:color w:val="auto"/>
        </w:rPr>
      </w:pPr>
      <w:r>
        <w:rPr>
          <w:rFonts w:ascii="Arial" w:cs="Arial" w:eastAsia="Arial" w:hAnsi="Arial"/>
          <w:sz w:val="16"/>
          <w:szCs w:val="16"/>
          <w:color w:val="auto"/>
        </w:rPr>
        <w:t>are and will be applicable to our business. We would be subject to healthcare fraud and abuse by both the federal government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the states in which we conduct our business.</w:t>
      </w:r>
    </w:p>
    <w:p>
      <w:pPr>
        <w:spacing w:after="0" w:line="169"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If we or our operations are found to be in violation of any federal or state healthcare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it may be subject to criminal, civil, or administrative sanctions, including but not limited to, exclusions from participation in government healthcare programs, which could also materially affect our business.</w:t>
      </w:r>
    </w:p>
    <w:p>
      <w:pPr>
        <w:spacing w:after="0" w:line="162" w:lineRule="exact"/>
        <w:rPr>
          <w:sz w:val="20"/>
          <w:szCs w:val="20"/>
          <w:color w:val="auto"/>
        </w:rPr>
      </w:pPr>
    </w:p>
    <w:p>
      <w:pPr>
        <w:ind w:right="80" w:firstLine="648"/>
        <w:spacing w:after="0" w:line="216" w:lineRule="auto"/>
        <w:rPr>
          <w:sz w:val="20"/>
          <w:szCs w:val="20"/>
          <w:color w:val="auto"/>
        </w:rPr>
      </w:pPr>
      <w:r>
        <w:rPr>
          <w:rFonts w:ascii="Arial" w:cs="Arial" w:eastAsia="Arial" w:hAnsi="Arial"/>
          <w:sz w:val="18"/>
          <w:szCs w:val="18"/>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62" w:lineRule="exact"/>
        <w:rPr>
          <w:sz w:val="20"/>
          <w:szCs w:val="20"/>
          <w:color w:val="auto"/>
        </w:rPr>
      </w:pPr>
    </w:p>
    <w:p>
      <w:pPr>
        <w:jc w:val="both"/>
        <w:ind w:right="360"/>
        <w:spacing w:after="0" w:line="194" w:lineRule="exact"/>
        <w:rPr>
          <w:sz w:val="20"/>
          <w:szCs w:val="20"/>
          <w:color w:val="auto"/>
        </w:rPr>
      </w:pPr>
      <w:r>
        <w:rPr>
          <w:rFonts w:ascii="Arial" w:cs="Arial" w:eastAsia="Arial" w:hAnsi="Arial"/>
          <w:sz w:val="18"/>
          <w:szCs w:val="18"/>
          <w:b w:val="1"/>
          <w:bCs w:val="1"/>
          <w:i w:val="1"/>
          <w:iCs w:val="1"/>
          <w:color w:val="auto"/>
        </w:rPr>
        <w:t>If the government or 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payors fail to provide adequate coverage and payment rates for any of our current or future product candidates, or if HMOs or long</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term care facilities choose to use therapies that are less expensive, our revenue and prospects for profitability will be limited.</w:t>
      </w:r>
    </w:p>
    <w:p>
      <w:pPr>
        <w:spacing w:after="0" w:line="163" w:lineRule="exact"/>
        <w:rPr>
          <w:sz w:val="20"/>
          <w:szCs w:val="20"/>
          <w:color w:val="auto"/>
        </w:rPr>
      </w:pPr>
    </w:p>
    <w:p>
      <w:pPr>
        <w:ind w:right="200" w:firstLine="648"/>
        <w:spacing w:after="0" w:line="181" w:lineRule="exact"/>
        <w:rPr>
          <w:sz w:val="20"/>
          <w:szCs w:val="20"/>
          <w:color w:val="auto"/>
        </w:rPr>
      </w:pPr>
      <w:r>
        <w:rPr>
          <w:rFonts w:ascii="Arial" w:cs="Arial" w:eastAsia="Arial" w:hAnsi="Arial"/>
          <w:sz w:val="16"/>
          <w:szCs w:val="16"/>
          <w:color w:val="auto"/>
        </w:rPr>
        <w:t>In both domestic and foreign markets, sales of our future products will depend in part upon the availability of coverage and reimbursement from third</w:t>
      </w:r>
      <w:r>
        <w:rPr>
          <w:rFonts w:ascii="MS PGothic" w:cs="MS PGothic" w:eastAsia="MS PGothic" w:hAnsi="MS PGothic"/>
          <w:sz w:val="16"/>
          <w:szCs w:val="16"/>
          <w:color w:val="auto"/>
        </w:rPr>
        <w:t>‑</w:t>
      </w:r>
      <w:r>
        <w:rPr>
          <w:rFonts w:ascii="Arial" w:cs="Arial" w:eastAsia="Arial" w:hAnsi="Arial"/>
          <w:sz w:val="16"/>
          <w:szCs w:val="16"/>
          <w:color w:val="auto"/>
        </w:rPr>
        <w:t>party payors. Such third</w:t>
      </w:r>
      <w:r>
        <w:rPr>
          <w:rFonts w:ascii="MS PGothic" w:cs="MS PGothic" w:eastAsia="MS PGothic" w:hAnsi="MS PGothic"/>
          <w:sz w:val="16"/>
          <w:szCs w:val="16"/>
          <w:color w:val="auto"/>
        </w:rPr>
        <w:t>‑</w:t>
      </w:r>
      <w:r>
        <w:rPr>
          <w:rFonts w:ascii="Arial" w:cs="Arial" w:eastAsia="Arial" w:hAnsi="Arial"/>
          <w:sz w:val="16"/>
          <w:szCs w:val="16"/>
          <w:color w:val="auto"/>
        </w:rPr>
        <w:t>party payors include government health programs such as Medicare and Medicaid, managed care providers, private health insurers, and other organizations. Coverage decisions may depend upon clinical and economic standards that disfavor new drug products when more established or lower cost therapeutic alternatives are already available or subsequently become available. If reimbursement is not available, or is available only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178" w:lineRule="exact"/>
        <w:rPr>
          <w:sz w:val="20"/>
          <w:szCs w:val="20"/>
          <w:color w:val="auto"/>
        </w:rPr>
      </w:pPr>
      <w:r>
        <w:rPr>
          <w:rFonts w:ascii="Arial" w:cs="Arial" w:eastAsia="Arial" w:hAnsi="Arial"/>
          <w:sz w:val="16"/>
          <w:szCs w:val="16"/>
          <w:color w:val="auto"/>
        </w:rPr>
        <w:t>There is significant uncertainty related to third</w:t>
      </w:r>
      <w:r>
        <w:rPr>
          <w:rFonts w:ascii="MS PGothic" w:cs="MS PGothic" w:eastAsia="MS PGothic" w:hAnsi="MS PGothic"/>
          <w:sz w:val="16"/>
          <w:szCs w:val="16"/>
          <w:color w:val="auto"/>
        </w:rPr>
        <w:t>‑</w:t>
      </w:r>
      <w:r>
        <w:rPr>
          <w:rFonts w:ascii="Arial" w:cs="Arial" w:eastAsia="Arial" w:hAnsi="Arial"/>
          <w:sz w:val="16"/>
          <w:szCs w:val="16"/>
          <w:color w:val="auto"/>
        </w:rPr>
        <w:t>party payor coverage and reimbursement of newly approved drugs. Marketing approvals, pricing,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or the ability of our collaborators to recoup our or their investment in one or more product candidates, even if our product candidates obtain marketing approval. Our ability, and the ability of our collaborators, to commercialize our product candidates will depend in part on the extent to which coverage and reimbursement for these products and related treatments will be available from government health administration authorities, private health insurers, and other organizations. Regulatory authorities and third</w:t>
      </w:r>
      <w:r>
        <w:rPr>
          <w:rFonts w:ascii="MS PGothic" w:cs="MS PGothic" w:eastAsia="MS PGothic" w:hAnsi="MS PGothic"/>
          <w:sz w:val="16"/>
          <w:szCs w:val="16"/>
          <w:color w:val="auto"/>
        </w:rPr>
        <w:t>‑</w:t>
      </w:r>
      <w:r>
        <w:rPr>
          <w:rFonts w:ascii="Arial" w:cs="Arial" w:eastAsia="Arial" w:hAnsi="Arial"/>
          <w:sz w:val="16"/>
          <w:szCs w:val="16"/>
          <w:color w:val="auto"/>
        </w:rPr>
        <w:t>party payors, such as private health insurers and health maintenance organizations, decide which medications they will cover and establish reimbursement levels. The healthcare industry is acutely focused on cost containment, both in the United States and elsewhere. Several third</w:t>
      </w:r>
      <w:r>
        <w:rPr>
          <w:rFonts w:ascii="MS PGothic" w:cs="MS PGothic" w:eastAsia="MS PGothic" w:hAnsi="MS PGothic"/>
          <w:sz w:val="16"/>
          <w:szCs w:val="16"/>
          <w:color w:val="auto"/>
        </w:rPr>
        <w:t>‑</w:t>
      </w:r>
      <w:r>
        <w:rPr>
          <w:rFonts w:ascii="Arial" w:cs="Arial" w:eastAsia="Arial" w:hAnsi="Arial"/>
          <w:sz w:val="16"/>
          <w:szCs w:val="16"/>
          <w:color w:val="auto"/>
        </w:rPr>
        <w:t>party payors are requiring that drug companies provide them with predetermined discounts from list prices, are using preferred drug lists to leverage greater discounts in competitive classes, are disregarding therapeutic differentiators within classes, and are challenging the prices charged for drugs. Brand drugs without generic equivalents are often included in therapeutic classes with other brands that have generic versions and may be similarly disadvantaged by the availability of low cost alternatives within the class, particularly if a generic version of the same agent is available in another form.</w:t>
      </w:r>
    </w:p>
    <w:p>
      <w:pPr>
        <w:spacing w:after="0" w:line="168"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Third</w:t>
      </w:r>
      <w:r>
        <w:rPr>
          <w:rFonts w:ascii="MS PGothic" w:cs="MS PGothic" w:eastAsia="MS PGothic" w:hAnsi="MS PGothic"/>
          <w:sz w:val="17"/>
          <w:szCs w:val="17"/>
          <w:color w:val="auto"/>
        </w:rPr>
        <w:t>‑</w:t>
      </w:r>
      <w:r>
        <w:rPr>
          <w:rFonts w:ascii="Arial" w:cs="Arial" w:eastAsia="Arial" w:hAnsi="Arial"/>
          <w:sz w:val="17"/>
          <w:szCs w:val="17"/>
          <w:color w:val="auto"/>
        </w:rPr>
        <w:t>party payors, whether foreign or domestic, or governmental or commercial, are developing increasingly sophisticated methods of controlling healthcare costs. In addition, in the United States, no uniform policy of coverage and reimbursement for drug products exists among third</w:t>
      </w:r>
      <w:r>
        <w:rPr>
          <w:rFonts w:ascii="MS PGothic" w:cs="MS PGothic" w:eastAsia="MS PGothic" w:hAnsi="MS PGothic"/>
          <w:sz w:val="17"/>
          <w:szCs w:val="17"/>
          <w:color w:val="auto"/>
        </w:rPr>
        <w:t>‑</w:t>
      </w:r>
      <w:r>
        <w:rPr>
          <w:rFonts w:ascii="Arial" w:cs="Arial" w:eastAsia="Arial" w:hAnsi="Arial"/>
          <w:sz w:val="17"/>
          <w:szCs w:val="17"/>
          <w:color w:val="auto"/>
        </w:rPr>
        <w:t>party payors. Therefore, coverage and reimbursement for drug products can differ significantly from payor to payor. Further, we believe that future coverage and reimbursement will likely be subject to increased restrictions both in the United States and in international markets. Third</w:t>
      </w:r>
      <w:r>
        <w:rPr>
          <w:rFonts w:ascii="MS PGothic" w:cs="MS PGothic" w:eastAsia="MS PGothic" w:hAnsi="MS PGothic"/>
          <w:sz w:val="17"/>
          <w:szCs w:val="17"/>
          <w:color w:val="auto"/>
        </w:rPr>
        <w:t>‑</w:t>
      </w:r>
      <w:r>
        <w:rPr>
          <w:rFonts w:ascii="Arial" w:cs="Arial" w:eastAsia="Arial" w:hAnsi="Arial"/>
          <w:sz w:val="17"/>
          <w:szCs w:val="17"/>
          <w:color w:val="auto"/>
        </w:rPr>
        <w:t>party coverage and reimbursement for our products or product candidates for which we receive regulatory approval may not be available or adequate in either the United States or international markets, which could have a negative effect on our business, financial condition, results of operations, and prospects.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Assuming coverage is approved, the resulting reimbursement payment rates might not be adequate. If payors subject</w:t>
      </w:r>
    </w:p>
    <w:p>
      <w:pPr>
        <w:spacing w:after="0"/>
        <w:rPr>
          <w:sz w:val="20"/>
          <w:szCs w:val="20"/>
          <w:color w:val="auto"/>
        </w:rPr>
      </w:pPr>
      <w:r>
        <w:rPr>
          <w:rFonts w:ascii="Arial" w:cs="Arial" w:eastAsia="Arial" w:hAnsi="Arial"/>
          <w:sz w:val="16"/>
          <w:szCs w:val="16"/>
          <w:color w:val="auto"/>
        </w:rPr>
        <w:t>our product candidates to maximum payment amounts, or impose limitations that make it difficult to obtain reimbursement,</w:t>
      </w:r>
    </w:p>
    <w:p>
      <w:pPr>
        <w:spacing w:after="0" w:line="229" w:lineRule="auto"/>
        <w:rPr>
          <w:sz w:val="20"/>
          <w:szCs w:val="20"/>
          <w:color w:val="auto"/>
        </w:rPr>
      </w:pPr>
      <w:r>
        <w:rPr>
          <w:rFonts w:ascii="Arial" w:cs="Arial" w:eastAsia="Arial" w:hAnsi="Arial"/>
          <w:sz w:val="16"/>
          <w:szCs w:val="16"/>
          <w:color w:val="auto"/>
        </w:rPr>
        <w:t>providers may choose to use therapies which are less expensive when compared to our product candidates. Additionally, if</w:t>
      </w:r>
    </w:p>
    <w:p>
      <w:pPr>
        <w:spacing w:after="0" w:line="229" w:lineRule="auto"/>
        <w:rPr>
          <w:sz w:val="20"/>
          <w:szCs w:val="20"/>
          <w:color w:val="auto"/>
        </w:rPr>
      </w:pPr>
      <w:r>
        <w:rPr>
          <w:rFonts w:ascii="Arial" w:cs="Arial" w:eastAsia="Arial" w:hAnsi="Arial"/>
          <w:sz w:val="16"/>
          <w:szCs w:val="16"/>
          <w:color w:val="auto"/>
        </w:rPr>
        <w:t>payors require high copayments, beneficiaries may decline prescriptions and seek alternative therapies. We may need to</w:t>
      </w:r>
    </w:p>
    <w:p>
      <w:pPr>
        <w:spacing w:after="0" w:line="176" w:lineRule="exact"/>
        <w:rPr>
          <w:sz w:val="20"/>
          <w:szCs w:val="20"/>
          <w:color w:val="auto"/>
        </w:rPr>
      </w:pPr>
      <w:r>
        <w:rPr>
          <w:rFonts w:ascii="Arial" w:cs="Arial" w:eastAsia="Arial" w:hAnsi="Arial"/>
          <w:sz w:val="16"/>
          <w:szCs w:val="16"/>
          <w:color w:val="auto"/>
        </w:rPr>
        <w:t>conduct post</w:t>
      </w:r>
      <w:r>
        <w:rPr>
          <w:rFonts w:ascii="MS PGothic" w:cs="MS PGothic" w:eastAsia="MS PGothic" w:hAnsi="MS PGothic"/>
          <w:sz w:val="16"/>
          <w:szCs w:val="16"/>
          <w:color w:val="auto"/>
        </w:rPr>
        <w:t>‑</w:t>
      </w:r>
      <w:r>
        <w:rPr>
          <w:rFonts w:ascii="Arial" w:cs="Arial" w:eastAsia="Arial" w:hAnsi="Arial"/>
          <w:sz w:val="16"/>
          <w:szCs w:val="16"/>
          <w:color w:val="auto"/>
        </w:rPr>
        <w:t>marketing studies in order to demonstrate the cost</w:t>
      </w:r>
      <w:r>
        <w:rPr>
          <w:rFonts w:ascii="MS PGothic" w:cs="MS PGothic" w:eastAsia="MS PGothic" w:hAnsi="MS PGothic"/>
          <w:sz w:val="16"/>
          <w:szCs w:val="16"/>
          <w:color w:val="auto"/>
        </w:rPr>
        <w:t>‑</w:t>
      </w:r>
      <w:r>
        <w:rPr>
          <w:rFonts w:ascii="Arial" w:cs="Arial" w:eastAsia="Arial" w:hAnsi="Arial"/>
          <w:sz w:val="16"/>
          <w:szCs w:val="16"/>
          <w:color w:val="auto"/>
        </w:rPr>
        <w:t>effectiveness of any future products to the satisfaction of</w:t>
      </w:r>
    </w:p>
    <w:p>
      <w:pPr>
        <w:spacing w:after="0" w:line="176" w:lineRule="exact"/>
        <w:rPr>
          <w:sz w:val="20"/>
          <w:szCs w:val="20"/>
          <w:color w:val="auto"/>
        </w:rPr>
      </w:pPr>
      <w:r>
        <w:rPr>
          <w:rFonts w:ascii="Arial" w:cs="Arial" w:eastAsia="Arial" w:hAnsi="Arial"/>
          <w:sz w:val="17"/>
          <w:szCs w:val="17"/>
          <w:color w:val="auto"/>
        </w:rPr>
        <w:t>hospitals and other target customers and their third</w:t>
      </w:r>
      <w:r>
        <w:rPr>
          <w:rFonts w:ascii="MS PGothic" w:cs="MS PGothic" w:eastAsia="MS PGothic" w:hAnsi="MS PGothic"/>
          <w:sz w:val="17"/>
          <w:szCs w:val="17"/>
          <w:color w:val="auto"/>
        </w:rPr>
        <w:t>‑</w:t>
      </w:r>
      <w:r>
        <w:rPr>
          <w:rFonts w:ascii="Arial" w:cs="Arial" w:eastAsia="Arial" w:hAnsi="Arial"/>
          <w:sz w:val="17"/>
          <w:szCs w:val="17"/>
          <w:color w:val="auto"/>
        </w:rPr>
        <w:t>party payors. Such studies might require us to commit a significant</w:t>
      </w:r>
    </w:p>
    <w:p>
      <w:pPr>
        <w:spacing w:after="0" w:line="216" w:lineRule="auto"/>
        <w:rPr>
          <w:sz w:val="20"/>
          <w:szCs w:val="20"/>
          <w:color w:val="auto"/>
        </w:rPr>
      </w:pPr>
      <w:r>
        <w:rPr>
          <w:rFonts w:ascii="Arial" w:cs="Arial" w:eastAsia="Arial" w:hAnsi="Arial"/>
          <w:sz w:val="17"/>
          <w:szCs w:val="17"/>
          <w:color w:val="auto"/>
        </w:rPr>
        <w:t>amount of management time and financial and other resources. Our future products might not ultimately be considered</w:t>
      </w:r>
    </w:p>
    <w:p>
      <w:pPr>
        <w:spacing w:after="0" w:line="176" w:lineRule="exact"/>
        <w:rPr>
          <w:sz w:val="20"/>
          <w:szCs w:val="20"/>
          <w:color w:val="auto"/>
        </w:rPr>
      </w:pPr>
      <w:r>
        <w:rPr>
          <w:rFonts w:ascii="Arial" w:cs="Arial" w:eastAsia="Arial" w:hAnsi="Arial"/>
          <w:sz w:val="16"/>
          <w:szCs w:val="16"/>
          <w:color w:val="auto"/>
        </w:rPr>
        <w:t>cost</w:t>
      </w:r>
      <w:r>
        <w:rPr>
          <w:rFonts w:ascii="MS PGothic" w:cs="MS PGothic" w:eastAsia="MS PGothic" w:hAnsi="MS PGothic"/>
          <w:sz w:val="16"/>
          <w:szCs w:val="16"/>
          <w:color w:val="auto"/>
        </w:rPr>
        <w:t>‑</w:t>
      </w:r>
      <w:r>
        <w:rPr>
          <w:rFonts w:ascii="Arial" w:cs="Arial" w:eastAsia="Arial" w:hAnsi="Arial"/>
          <w:sz w:val="16"/>
          <w:szCs w:val="16"/>
          <w:color w:val="auto"/>
        </w:rPr>
        <w:t>effective. Adequate third</w:t>
      </w:r>
      <w:r>
        <w:rPr>
          <w:rFonts w:ascii="MS PGothic" w:cs="MS PGothic" w:eastAsia="MS PGothic" w:hAnsi="MS PGothic"/>
          <w:sz w:val="16"/>
          <w:szCs w:val="16"/>
          <w:color w:val="auto"/>
        </w:rPr>
        <w:t>‑</w:t>
      </w:r>
      <w:r>
        <w:rPr>
          <w:rFonts w:ascii="Arial" w:cs="Arial" w:eastAsia="Arial" w:hAnsi="Arial"/>
          <w:sz w:val="16"/>
          <w:szCs w:val="16"/>
          <w:color w:val="auto"/>
        </w:rPr>
        <w:t>party coverage and reimbursement might not be available to enable us to maintain price levels</w:t>
      </w:r>
    </w:p>
    <w:p>
      <w:pPr>
        <w:spacing w:after="0"/>
        <w:rPr>
          <w:sz w:val="20"/>
          <w:szCs w:val="20"/>
          <w:color w:val="auto"/>
        </w:rPr>
      </w:pPr>
      <w:r>
        <w:rPr>
          <w:rFonts w:ascii="Arial" w:cs="Arial" w:eastAsia="Arial" w:hAnsi="Arial"/>
          <w:sz w:val="18"/>
          <w:szCs w:val="18"/>
          <w:color w:val="auto"/>
        </w:rPr>
        <w:t>sufficient to realize an appropriate return on investment in product development.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federal programs impose penalties on manufacturers of drugs marketed under an NDA, including 505(b)</w:t>
      </w:r>
    </w:p>
    <w:p>
      <w:pPr>
        <w:spacing w:after="0" w:line="8" w:lineRule="exact"/>
        <w:rPr>
          <w:sz w:val="20"/>
          <w:szCs w:val="20"/>
          <w:color w:val="auto"/>
        </w:rPr>
      </w:pPr>
    </w:p>
    <w:p>
      <w:pPr>
        <w:ind w:firstLine="3"/>
        <w:spacing w:after="0" w:line="180" w:lineRule="exact"/>
        <w:tabs>
          <w:tab w:leader="none" w:pos="255" w:val="left"/>
        </w:tabs>
        <w:numPr>
          <w:ilvl w:val="0"/>
          <w:numId w:val="34"/>
        </w:numPr>
        <w:rPr>
          <w:rFonts w:ascii="Arial" w:cs="Arial" w:eastAsia="Arial" w:hAnsi="Arial"/>
          <w:sz w:val="16"/>
          <w:szCs w:val="16"/>
          <w:color w:val="auto"/>
        </w:rPr>
      </w:pPr>
      <w:r>
        <w:rPr>
          <w:rFonts w:ascii="Arial" w:cs="Arial" w:eastAsia="Arial" w:hAnsi="Arial"/>
          <w:sz w:val="16"/>
          <w:szCs w:val="16"/>
          <w:color w:val="auto"/>
        </w:rPr>
        <w:t>drugs, in the form of mandatory additional rebates and/or discounts if commercial prices increase at a rate greater than the Consumer Price Index</w:t>
      </w:r>
      <w:r>
        <w:rPr>
          <w:rFonts w:ascii="MS PGothic" w:cs="MS PGothic" w:eastAsia="MS PGothic" w:hAnsi="MS PGothic"/>
          <w:sz w:val="16"/>
          <w:szCs w:val="16"/>
          <w:color w:val="auto"/>
        </w:rPr>
        <w:t>‑</w:t>
      </w:r>
      <w:r>
        <w:rPr>
          <w:rFonts w:ascii="Arial" w:cs="Arial" w:eastAsia="Arial" w:hAnsi="Arial"/>
          <w:sz w:val="16"/>
          <w:szCs w:val="16"/>
          <w:color w:val="auto"/>
        </w:rPr>
        <w:t>Urban, and these rebates and/or discounts, which can be substantial, may impact our ability to raise commercial prices. Regulatory authorities and third</w:t>
      </w:r>
      <w:r>
        <w:rPr>
          <w:rFonts w:ascii="MS PGothic" w:cs="MS PGothic" w:eastAsia="MS PGothic" w:hAnsi="MS PGothic"/>
          <w:sz w:val="16"/>
          <w:szCs w:val="16"/>
          <w:color w:val="auto"/>
        </w:rPr>
        <w:t>‑</w:t>
      </w:r>
      <w:r>
        <w:rPr>
          <w:rFonts w:ascii="Arial" w:cs="Arial" w:eastAsia="Arial" w:hAnsi="Arial"/>
          <w:sz w:val="16"/>
          <w:szCs w:val="16"/>
          <w:color w:val="auto"/>
        </w:rPr>
        <w:t>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w:t>
      </w:r>
      <w:r>
        <w:rPr>
          <w:rFonts w:ascii="MS PGothic" w:cs="MS PGothic" w:eastAsia="MS PGothic" w:hAnsi="MS PGothic"/>
          <w:sz w:val="16"/>
          <w:szCs w:val="16"/>
          <w:color w:val="auto"/>
        </w:rPr>
        <w:t>‑</w:t>
      </w:r>
      <w:r>
        <w:rPr>
          <w:rFonts w:ascii="Arial" w:cs="Arial" w:eastAsia="Arial" w:hAnsi="Arial"/>
          <w:sz w:val="16"/>
          <w:szCs w:val="16"/>
          <w:color w:val="auto"/>
        </w:rPr>
        <w:t>effective, and coverage and reimbursement may not be available to our customers, or those of our collaborators, or may not be sufficient to allow our products, if any, to be marketed on a competitive basis. Cost</w:t>
      </w:r>
      <w:r>
        <w:rPr>
          <w:rFonts w:ascii="MS PGothic" w:cs="MS PGothic" w:eastAsia="MS PGothic" w:hAnsi="MS PGothic"/>
          <w:sz w:val="16"/>
          <w:szCs w:val="16"/>
          <w:color w:val="auto"/>
        </w:rPr>
        <w:t>‑</w:t>
      </w:r>
      <w:r>
        <w:rPr>
          <w:rFonts w:ascii="Arial" w:cs="Arial" w:eastAsia="Arial" w:hAnsi="Arial"/>
          <w:sz w:val="16"/>
          <w:szCs w:val="16"/>
          <w:color w:val="auto"/>
        </w:rPr>
        <w:t>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w:t>
      </w:r>
      <w:r>
        <w:rPr>
          <w:rFonts w:ascii="MS PGothic" w:cs="MS PGothic" w:eastAsia="MS PGothic" w:hAnsi="MS PGothic"/>
          <w:sz w:val="16"/>
          <w:szCs w:val="16"/>
          <w:color w:val="auto"/>
        </w:rPr>
        <w:t>‑</w:t>
      </w:r>
      <w:r>
        <w:rPr>
          <w:rFonts w:ascii="Arial" w:cs="Arial" w:eastAsia="Arial" w:hAnsi="Arial"/>
          <w:sz w:val="16"/>
          <w:szCs w:val="16"/>
          <w:color w:val="auto"/>
        </w:rPr>
        <w:t>party payors do not provide adequate coverage or reimbursement, our prospects for revenue and profitability will suffer.</w:t>
      </w:r>
    </w:p>
    <w:p>
      <w:pPr>
        <w:spacing w:after="0" w:line="162" w:lineRule="exact"/>
        <w:rPr>
          <w:sz w:val="20"/>
          <w:szCs w:val="20"/>
          <w:color w:val="auto"/>
        </w:rPr>
      </w:pPr>
    </w:p>
    <w:p>
      <w:pPr>
        <w:ind w:right="40" w:firstLine="648"/>
        <w:spacing w:after="0" w:line="211" w:lineRule="auto"/>
        <w:rPr>
          <w:sz w:val="20"/>
          <w:szCs w:val="20"/>
          <w:color w:val="auto"/>
        </w:rPr>
      </w:pPr>
      <w:r>
        <w:rPr>
          <w:rFonts w:ascii="Arial" w:cs="Arial" w:eastAsia="Arial" w:hAnsi="Arial"/>
          <w:sz w:val="18"/>
          <w:szCs w:val="18"/>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by way of example, according to the use of the drug and the clinical setting in which it is used. Reimbursement rates may also be based on reimbursement levels already set for lower cost drugs or may be incorporated into existing payments for other services.</w:t>
      </w:r>
    </w:p>
    <w:p>
      <w:pPr>
        <w:spacing w:after="0" w:line="165"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Drugs approved under NDAs, including 505(b)(2) drugs, are subject to greater discounts and reporting obligations under federal programs than drugs approved under ANDAs, and the inflation penalty applicable to these products can equal the selling price.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167" w:lineRule="exact"/>
        <w:rPr>
          <w:sz w:val="20"/>
          <w:szCs w:val="20"/>
          <w:color w:val="auto"/>
        </w:rPr>
      </w:pPr>
    </w:p>
    <w:p>
      <w:pPr>
        <w:ind w:right="40" w:firstLine="648"/>
        <w:spacing w:after="0" w:line="182" w:lineRule="exact"/>
        <w:rPr>
          <w:sz w:val="20"/>
          <w:szCs w:val="20"/>
          <w:color w:val="auto"/>
        </w:rPr>
      </w:pPr>
      <w:r>
        <w:rPr>
          <w:rFonts w:ascii="Arial" w:cs="Arial" w:eastAsia="Arial" w:hAnsi="Arial"/>
          <w:sz w:val="16"/>
          <w:szCs w:val="16"/>
          <w:color w:val="auto"/>
        </w:rPr>
        <w:t>In addition, increasingly, third</w:t>
      </w:r>
      <w:r>
        <w:rPr>
          <w:rFonts w:ascii="MS PGothic" w:cs="MS PGothic" w:eastAsia="MS PGothic" w:hAnsi="MS PGothic"/>
          <w:sz w:val="16"/>
          <w:szCs w:val="16"/>
          <w:color w:val="auto"/>
        </w:rPr>
        <w:t>‑</w:t>
      </w:r>
      <w:r>
        <w:rPr>
          <w:rFonts w:ascii="Arial" w:cs="Arial" w:eastAsia="Arial" w:hAnsi="Arial"/>
          <w:sz w:val="16"/>
          <w:szCs w:val="16"/>
          <w:color w:val="auto"/>
        </w:rPr>
        <w:t>party payors are requiring higher levels of evidence of the benefits and clinical outcomes of new technologies and are challenging the prices charged. We, and our collaborators,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w:t>
      </w:r>
      <w:r>
        <w:rPr>
          <w:rFonts w:ascii="MS PGothic" w:cs="MS PGothic" w:eastAsia="MS PGothic" w:hAnsi="MS PGothic"/>
          <w:sz w:val="16"/>
          <w:szCs w:val="16"/>
          <w:color w:val="auto"/>
        </w:rPr>
        <w:t>‑</w:t>
      </w:r>
      <w:r>
        <w:rPr>
          <w:rFonts w:ascii="Arial" w:cs="Arial" w:eastAsia="Arial" w:hAnsi="Arial"/>
          <w:sz w:val="16"/>
          <w:szCs w:val="16"/>
          <w:color w:val="auto"/>
        </w:rPr>
        <w:t>funded and private payors for any our product candidates for which we obtain marketing approval could have a material adverse effect on our operating results, our ability to raise capital needed to commercialize products, and our overall financial condition.</w:t>
      </w:r>
    </w:p>
    <w:p>
      <w:pPr>
        <w:spacing w:after="0" w:line="167" w:lineRule="exact"/>
        <w:rPr>
          <w:sz w:val="20"/>
          <w:szCs w:val="20"/>
          <w:color w:val="auto"/>
        </w:rPr>
      </w:pPr>
    </w:p>
    <w:p>
      <w:pPr>
        <w:ind w:right="320"/>
        <w:spacing w:after="0" w:line="324" w:lineRule="auto"/>
        <w:rPr>
          <w:sz w:val="20"/>
          <w:szCs w:val="20"/>
          <w:color w:val="auto"/>
        </w:rPr>
      </w:pPr>
      <w:r>
        <w:rPr>
          <w:rFonts w:ascii="Arial" w:cs="Arial" w:eastAsia="Arial" w:hAnsi="Arial"/>
          <w:sz w:val="15"/>
          <w:szCs w:val="15"/>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102" w:lineRule="exact"/>
        <w:rPr>
          <w:sz w:val="20"/>
          <w:szCs w:val="20"/>
          <w:color w:val="auto"/>
        </w:rPr>
      </w:pPr>
    </w:p>
    <w:p>
      <w:pPr>
        <w:ind w:right="120" w:firstLine="648"/>
        <w:spacing w:after="0" w:line="185" w:lineRule="exact"/>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w:t>
      </w:r>
      <w:r>
        <w:rPr>
          <w:rFonts w:ascii="MS PGothic" w:cs="MS PGothic" w:eastAsia="MS PGothic" w:hAnsi="MS PGothic"/>
          <w:sz w:val="17"/>
          <w:szCs w:val="17"/>
          <w:color w:val="auto"/>
        </w:rPr>
        <w:t>‑</w:t>
      </w:r>
      <w:r>
        <w:rPr>
          <w:rFonts w:ascii="Arial" w:cs="Arial" w:eastAsia="Arial" w:hAnsi="Arial"/>
          <w:sz w:val="17"/>
          <w:szCs w:val="17"/>
          <w:color w:val="auto"/>
        </w:rPr>
        <w:t>approval activities, and affect our ability, or the ability of our collaborators,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241" w:lineRule="auto"/>
        <w:rPr>
          <w:sz w:val="20"/>
          <w:szCs w:val="20"/>
          <w:color w:val="auto"/>
        </w:rPr>
      </w:pPr>
      <w:r>
        <w:rPr>
          <w:rFonts w:ascii="Arial" w:cs="Arial" w:eastAsia="Arial" w:hAnsi="Arial"/>
          <w:sz w:val="16"/>
          <w:szCs w:val="16"/>
          <w:color w:val="auto"/>
        </w:rPr>
        <w:t>For example, legislative changes have been proposed and adopted since enactment of the Affordable Care Act, or ACA, in 2010. These changes include, among other things, aggregate reductions to Medicare payments to providers of up to 2% per fiscal year, which became effective on April 1, 2013, and significant reductions to Medicare payment to certain safety net hospitals for outpatient drugs purchased under the “340B” drug discount program, effective January 1, 2018. These laws may result in additional reductions in Medicare and other healthcare funding, which could have a material adverse effect on customers for our drugs, if approved, and, accordingly, on our results of operations.</w:t>
      </w:r>
    </w:p>
    <w:p>
      <w:pPr>
        <w:spacing w:after="0" w:line="161" w:lineRule="exact"/>
        <w:rPr>
          <w:sz w:val="20"/>
          <w:szCs w:val="20"/>
          <w:color w:val="auto"/>
        </w:rPr>
      </w:pPr>
    </w:p>
    <w:p>
      <w:pPr>
        <w:ind w:right="120" w:firstLine="648"/>
        <w:spacing w:after="0" w:line="237" w:lineRule="auto"/>
        <w:rPr>
          <w:sz w:val="20"/>
          <w:szCs w:val="20"/>
          <w:color w:val="auto"/>
        </w:rPr>
      </w:pPr>
      <w:r>
        <w:rPr>
          <w:rFonts w:ascii="Arial" w:cs="Arial" w:eastAsia="Arial" w:hAnsi="Arial"/>
          <w:sz w:val="16"/>
          <w:szCs w:val="16"/>
          <w:color w:val="auto"/>
        </w:rPr>
        <w:t>In January 2017, the U.S. House of Representatives and Senate passed legislation, which, if signed into law by the current administration, would repeal certain aspects of the ACA. Further, on January 20, 2017, the current administration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Further, in December 2017, the current administration signed into law legislation that repealed the individual mandate in the ACA and increased manufacturer liability for payment on behalf of Medicare Part D beneficiaries during the coverage gap. Congress also could consider additional legislation to repeal and replace elements of the ACA.</w:t>
      </w:r>
    </w:p>
    <w:p>
      <w:pPr>
        <w:spacing w:after="0" w:line="167" w:lineRule="exact"/>
        <w:rPr>
          <w:sz w:val="20"/>
          <w:szCs w:val="20"/>
          <w:color w:val="auto"/>
        </w:rPr>
      </w:pPr>
    </w:p>
    <w:p>
      <w:pPr>
        <w:ind w:firstLine="648"/>
        <w:spacing w:after="0" w:line="210" w:lineRule="auto"/>
        <w:rPr>
          <w:sz w:val="20"/>
          <w:szCs w:val="20"/>
          <w:color w:val="auto"/>
        </w:rPr>
      </w:pPr>
      <w:r>
        <w:rPr>
          <w:rFonts w:ascii="Arial" w:cs="Arial" w:eastAsia="Arial" w:hAnsi="Arial"/>
          <w:sz w:val="18"/>
          <w:szCs w:val="18"/>
          <w:color w:val="auto"/>
        </w:rPr>
        <w:t>While the full effect that the ACA may have on our business continues to evolve, we expect that the ACA, as well as other federal and state healthcare reform measures that may be adopted in the future,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There is increasing focus on the price of drugs, and states such as California have begun enacting transparency laws aimed at curbing drug price increases.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66" w:lineRule="exact"/>
        <w:rPr>
          <w:sz w:val="20"/>
          <w:szCs w:val="20"/>
          <w:color w:val="auto"/>
        </w:rPr>
      </w:pPr>
    </w:p>
    <w:p>
      <w:pPr>
        <w:ind w:right="120" w:firstLine="648"/>
        <w:spacing w:after="0" w:line="185" w:lineRule="exact"/>
        <w:rPr>
          <w:sz w:val="20"/>
          <w:szCs w:val="20"/>
          <w:color w:val="auto"/>
        </w:rPr>
      </w:pPr>
      <w:r>
        <w:rPr>
          <w:rFonts w:ascii="Arial" w:cs="Arial" w:eastAsia="Arial" w:hAnsi="Arial"/>
          <w:sz w:val="17"/>
          <w:szCs w:val="17"/>
          <w:color w:val="auto"/>
        </w:rPr>
        <w:t>Legislative and regulatory proposals may also be made to expand post</w:t>
      </w:r>
      <w:r>
        <w:rPr>
          <w:rFonts w:ascii="MS PGothic" w:cs="MS PGothic" w:eastAsia="MS PGothic" w:hAnsi="MS PGothic"/>
          <w:sz w:val="17"/>
          <w:szCs w:val="17"/>
          <w:color w:val="auto"/>
        </w:rPr>
        <w:t>‑</w:t>
      </w:r>
      <w:r>
        <w:rPr>
          <w:rFonts w:ascii="Arial" w:cs="Arial" w:eastAsia="Arial" w:hAnsi="Arial"/>
          <w:sz w:val="17"/>
          <w:szCs w:val="17"/>
          <w:color w:val="auto"/>
        </w:rPr>
        <w: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w:t>
      </w:r>
      <w:r>
        <w:rPr>
          <w:rFonts w:ascii="MS PGothic" w:cs="MS PGothic" w:eastAsia="MS PGothic" w:hAnsi="MS PGothic"/>
          <w:sz w:val="17"/>
          <w:szCs w:val="17"/>
          <w:color w:val="auto"/>
        </w:rPr>
        <w:t>‑</w:t>
      </w:r>
      <w:r>
        <w:rPr>
          <w:rFonts w:ascii="Arial" w:cs="Arial" w:eastAsia="Arial" w:hAnsi="Arial"/>
          <w:sz w:val="17"/>
          <w:szCs w:val="17"/>
          <w:color w:val="auto"/>
        </w:rPr>
        <w:t>marketing testing and other requirements.</w:t>
      </w:r>
    </w:p>
    <w:p>
      <w:pPr>
        <w:spacing w:after="0" w:line="165" w:lineRule="exact"/>
        <w:rPr>
          <w:sz w:val="20"/>
          <w:szCs w:val="20"/>
          <w:color w:val="auto"/>
        </w:rPr>
      </w:pPr>
    </w:p>
    <w:p>
      <w:pPr>
        <w:ind w:right="60" w:firstLine="648"/>
        <w:spacing w:after="0" w:line="221" w:lineRule="auto"/>
        <w:rPr>
          <w:sz w:val="20"/>
          <w:szCs w:val="20"/>
          <w:color w:val="auto"/>
        </w:rPr>
      </w:pPr>
      <w:r>
        <w:rPr>
          <w:rFonts w:ascii="Arial" w:cs="Arial" w:eastAsia="Arial" w:hAnsi="Arial"/>
          <w:sz w:val="17"/>
          <w:szCs w:val="17"/>
          <w:color w:val="auto"/>
        </w:rPr>
        <w:t>In addition, there have been a number of other legislative and regulatory proposals aimed at changing the pharmaceutical industry. For instance, the enacted Drug Quality and Security Act imposes obligations on manufacturers of pharmaceutical products related to product tracking and tracing. Among the requirements of this legislation, manufacturers are required to provide certain information regarding the drug product to individuals and entities to which product ownership is transferred, will be required label drug product with a product identifier, and are required to keep certain records regarding the drug product. The transfer of information to subsequent product owners by manufacturers is also required to be done electronically. Manufacturers are also required to verify that purchasers of the manufacturers’ products are appropriately licensed. Further, under this legislation, manufactures have drug product investigation, quarantine, disposition, and FDA and trading partner notification responsibilities related to counterfeit, diverted, stolen, and intentionally adulterated products that would result in serious adverse health consequences of death to humans, as well as products that are the subject of fraudulent transactions or which are otherwise unfit for distribution such that they would be reasonably likely to result in serious health consequences or death.</w:t>
      </w:r>
    </w:p>
    <w:p>
      <w:pPr>
        <w:spacing w:after="0" w:line="163" w:lineRule="exact"/>
        <w:rPr>
          <w:sz w:val="20"/>
          <w:szCs w:val="20"/>
          <w:color w:val="auto"/>
        </w:rPr>
      </w:pPr>
    </w:p>
    <w:p>
      <w:pPr>
        <w:ind w:right="240" w:firstLine="648"/>
        <w:spacing w:after="0" w:line="219" w:lineRule="auto"/>
        <w:rPr>
          <w:sz w:val="20"/>
          <w:szCs w:val="20"/>
          <w:color w:val="auto"/>
        </w:rPr>
      </w:pPr>
      <w:r>
        <w:rPr>
          <w:rFonts w:ascii="Arial" w:cs="Arial" w:eastAsia="Arial" w:hAnsi="Arial"/>
          <w:sz w:val="18"/>
          <w:szCs w:val="18"/>
          <w:color w:val="auto"/>
        </w:rPr>
        <w:t>Compliance with the federal track and trace requirements may increase our operational expenses and impose significant administrative burdens.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79"/>
        <w:spacing w:after="0" w:line="235" w:lineRule="auto"/>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162" w:lineRule="exact"/>
        <w:rPr>
          <w:sz w:val="20"/>
          <w:szCs w:val="20"/>
          <w:color w:val="auto"/>
        </w:rPr>
      </w:pPr>
    </w:p>
    <w:p>
      <w:pPr>
        <w:ind w:right="19" w:firstLine="648"/>
        <w:spacing w:after="0" w:line="181" w:lineRule="exact"/>
        <w:rPr>
          <w:sz w:val="20"/>
          <w:szCs w:val="20"/>
          <w:color w:val="auto"/>
        </w:rPr>
      </w:pPr>
      <w:r>
        <w:rPr>
          <w:rFonts w:ascii="Arial" w:cs="Arial" w:eastAsia="Arial" w:hAnsi="Arial"/>
          <w:sz w:val="17"/>
          <w:szCs w:val="17"/>
          <w:color w:val="auto"/>
        </w:rPr>
        <w:t>In international markets, reimbursement and health care payment systems vary significantly by country, and many countries have instituted price ceilings on specific products and therapies. 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w:t>
      </w:r>
      <w:r>
        <w:rPr>
          <w:rFonts w:ascii="MS PGothic" w:cs="MS PGothic" w:eastAsia="MS PGothic" w:hAnsi="MS PGothic"/>
          <w:sz w:val="17"/>
          <w:szCs w:val="17"/>
          <w:color w:val="auto"/>
        </w:rPr>
        <w:t>‑</w:t>
      </w:r>
      <w:r>
        <w:rPr>
          <w:rFonts w:ascii="Arial" w:cs="Arial" w:eastAsia="Arial" w:hAnsi="Arial"/>
          <w:sz w:val="17"/>
          <w:szCs w:val="17"/>
          <w:color w:val="auto"/>
        </w:rPr>
        <w:t>effectiveness of our product candidate to other available therapies. There can be no assurance that our products will be considered cost</w:t>
      </w:r>
      <w:r>
        <w:rPr>
          <w:rFonts w:ascii="MS PGothic" w:cs="MS PGothic" w:eastAsia="MS PGothic" w:hAnsi="MS PGothic"/>
          <w:sz w:val="17"/>
          <w:szCs w:val="17"/>
          <w:color w:val="auto"/>
        </w:rPr>
        <w:t>‑</w:t>
      </w:r>
      <w:r>
        <w:rPr>
          <w:rFonts w:ascii="Arial" w:cs="Arial" w:eastAsia="Arial" w:hAnsi="Arial"/>
          <w:sz w:val="17"/>
          <w:szCs w:val="17"/>
          <w:color w:val="auto"/>
        </w:rPr>
        <w:t>effective by third</w:t>
      </w:r>
      <w:r>
        <w:rPr>
          <w:rFonts w:ascii="MS PGothic" w:cs="MS PGothic" w:eastAsia="MS PGothic" w:hAnsi="MS PGothic"/>
          <w:sz w:val="17"/>
          <w:szCs w:val="17"/>
          <w:color w:val="auto"/>
        </w:rPr>
        <w:t>‑</w:t>
      </w:r>
      <w:r>
        <w:rPr>
          <w:rFonts w:ascii="Arial" w:cs="Arial" w:eastAsia="Arial" w:hAnsi="Arial"/>
          <w:sz w:val="17"/>
          <w:szCs w:val="17"/>
          <w:color w:val="auto"/>
        </w:rPr>
        <w:t>party payors, that an adequate level of reimbursement will be available, or that the third</w:t>
      </w:r>
      <w:r>
        <w:rPr>
          <w:rFonts w:ascii="MS PGothic" w:cs="MS PGothic" w:eastAsia="MS PGothic" w:hAnsi="MS PGothic"/>
          <w:sz w:val="17"/>
          <w:szCs w:val="17"/>
          <w:color w:val="auto"/>
        </w:rPr>
        <w:t>‑</w:t>
      </w:r>
      <w:r>
        <w:rPr>
          <w:rFonts w:ascii="Arial" w:cs="Arial" w:eastAsia="Arial" w:hAnsi="Arial"/>
          <w:sz w:val="17"/>
          <w:szCs w:val="17"/>
          <w:color w:val="auto"/>
        </w:rPr>
        <w:t>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pacing w:after="0" w:line="164" w:lineRule="exact"/>
        <w:rPr>
          <w:sz w:val="20"/>
          <w:szCs w:val="20"/>
          <w:color w:val="auto"/>
        </w:rPr>
      </w:pPr>
    </w:p>
    <w:p>
      <w:pPr>
        <w:jc w:val="both"/>
        <w:ind w:right="79"/>
        <w:spacing w:after="0" w:line="224"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163" w:lineRule="exact"/>
        <w:rPr>
          <w:sz w:val="20"/>
          <w:szCs w:val="20"/>
          <w:color w:val="auto"/>
        </w:rPr>
      </w:pPr>
    </w:p>
    <w:p>
      <w:pPr>
        <w:ind w:right="39" w:firstLine="648"/>
        <w:spacing w:after="0" w:line="235" w:lineRule="auto"/>
        <w:rPr>
          <w:sz w:val="20"/>
          <w:szCs w:val="20"/>
          <w:color w:val="auto"/>
        </w:rPr>
      </w:pPr>
      <w:r>
        <w:rPr>
          <w:rFonts w:ascii="Arial" w:cs="Arial" w:eastAsia="Arial" w:hAnsi="Arial"/>
          <w:sz w:val="16"/>
          <w:szCs w:val="16"/>
          <w:color w:val="auto"/>
        </w:rPr>
        <w:t>We are exposed to the risk of employee fraud or other misconduct. Misconduct by employees, independent contractors, consultants, commercial partners, principal investigators, or CROs could include intentional, reckless, negligent, or unintentional failures to comply with FDA regulations, comply with applicable fraud and abuse laws, provide accurate information to the FDA,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w:t>
      </w:r>
    </w:p>
    <w:p>
      <w:pPr>
        <w:spacing w:after="0" w:line="166" w:lineRule="exact"/>
        <w:rPr>
          <w:sz w:val="20"/>
          <w:szCs w:val="20"/>
          <w:color w:val="auto"/>
        </w:rPr>
      </w:pPr>
    </w:p>
    <w:p>
      <w:pPr>
        <w:jc w:val="both"/>
        <w:ind w:right="179"/>
        <w:spacing w:after="0" w:line="203" w:lineRule="exact"/>
        <w:rPr>
          <w:sz w:val="20"/>
          <w:szCs w:val="20"/>
          <w:color w:val="auto"/>
        </w:rPr>
      </w:pPr>
      <w:r>
        <w:rPr>
          <w:rFonts w:ascii="Arial" w:cs="Arial" w:eastAsia="Arial" w:hAnsi="Arial"/>
          <w:sz w:val="15"/>
          <w:szCs w:val="15"/>
          <w:b w:val="1"/>
          <w:bCs w:val="1"/>
          <w:i w:val="1"/>
          <w:iCs w:val="1"/>
          <w:color w:val="auto"/>
        </w:rPr>
        <w:t>Our third</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party manufacturers may use hazardous materials in the production of our product candidates and if so, they must comply with environmental laws and regulations, which can be expensive and restrict how we or they do business.</w:t>
      </w:r>
    </w:p>
    <w:p>
      <w:pPr>
        <w:spacing w:after="0" w:line="162" w:lineRule="exact"/>
        <w:rPr>
          <w:sz w:val="20"/>
          <w:szCs w:val="20"/>
          <w:color w:val="auto"/>
        </w:rPr>
      </w:pPr>
    </w:p>
    <w:p>
      <w:pPr>
        <w:ind w:right="39" w:firstLine="648"/>
        <w:spacing w:after="0" w:line="181" w:lineRule="exact"/>
        <w:rPr>
          <w:sz w:val="20"/>
          <w:szCs w:val="20"/>
          <w:color w:val="auto"/>
        </w:rPr>
      </w:pPr>
      <w:r>
        <w:rPr>
          <w:rFonts w:ascii="Arial" w:cs="Arial" w:eastAsia="Arial" w:hAnsi="Arial"/>
          <w:sz w:val="17"/>
          <w:szCs w:val="17"/>
          <w:color w:val="auto"/>
        </w:rPr>
        <w:t>Manufacturing activities for the production of our product candidates involve the controlled storage, use, and disposal of hazardous materials, including the components of our product candidates, and other hazardous compounds. Our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and we are subject to federal, state, and local laws and regulations governing the use, manufacture, storage, handling, release, and disposal of, and exposure to, these hazardous materials. Violation of these laws and regulations could lead to substantial fines and penalties. Although we believe that our safety procedures, and those of our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releases.</w:t>
      </w:r>
    </w:p>
    <w:p>
      <w:pPr>
        <w:spacing w:after="0" w:line="164" w:lineRule="exact"/>
        <w:rPr>
          <w:sz w:val="20"/>
          <w:szCs w:val="20"/>
          <w:color w:val="auto"/>
        </w:rPr>
      </w:pPr>
    </w:p>
    <w:p>
      <w:pPr>
        <w:ind w:right="39" w:firstLine="648"/>
        <w:spacing w:after="0" w:line="232"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00" w:firstLine="648"/>
        <w:spacing w:after="0" w:line="219"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89" w:lineRule="exact"/>
        <w:rPr>
          <w:sz w:val="20"/>
          <w:szCs w:val="20"/>
          <w:color w:val="auto"/>
        </w:rPr>
      </w:pPr>
    </w:p>
    <w:p>
      <w:pPr>
        <w:ind w:right="600"/>
        <w:spacing w:after="0" w:line="235" w:lineRule="auto"/>
        <w:rPr>
          <w:sz w:val="20"/>
          <w:szCs w:val="20"/>
          <w:color w:val="auto"/>
        </w:rPr>
      </w:pPr>
      <w:r>
        <w:rPr>
          <w:rFonts w:ascii="Arial" w:cs="Arial" w:eastAsia="Arial" w:hAnsi="Arial"/>
          <w:sz w:val="18"/>
          <w:szCs w:val="18"/>
          <w:b w:val="1"/>
          <w:bCs w:val="1"/>
          <w:i w:val="1"/>
          <w:iCs w:val="1"/>
          <w:color w:val="auto"/>
        </w:rPr>
        <w:t>We will need to significantly increase the size of our organization, and we may experience difficulties in managing growth.</w:t>
      </w:r>
    </w:p>
    <w:p>
      <w:pPr>
        <w:spacing w:after="0" w:line="162" w:lineRule="exact"/>
        <w:rPr>
          <w:sz w:val="20"/>
          <w:szCs w:val="20"/>
          <w:color w:val="auto"/>
        </w:rPr>
      </w:pPr>
    </w:p>
    <w:p>
      <w:pPr>
        <w:ind w:right="160" w:firstLine="648"/>
        <w:spacing w:after="0" w:line="182" w:lineRule="exact"/>
        <w:rPr>
          <w:sz w:val="20"/>
          <w:szCs w:val="20"/>
          <w:color w:val="auto"/>
        </w:rPr>
      </w:pPr>
      <w:r>
        <w:rPr>
          <w:rFonts w:ascii="Arial" w:cs="Arial" w:eastAsia="Arial" w:hAnsi="Arial"/>
          <w:sz w:val="18"/>
          <w:szCs w:val="18"/>
          <w:color w:val="auto"/>
        </w:rPr>
        <w:t>As of August 3, 2018, we had only 27 full</w:t>
      </w:r>
      <w:r>
        <w:rPr>
          <w:rFonts w:ascii="MS PGothic" w:cs="MS PGothic" w:eastAsia="MS PGothic" w:hAnsi="MS PGothic"/>
          <w:sz w:val="18"/>
          <w:szCs w:val="18"/>
          <w:color w:val="auto"/>
        </w:rPr>
        <w:t>‑</w:t>
      </w:r>
      <w:r>
        <w:rPr>
          <w:rFonts w:ascii="Arial" w:cs="Arial" w:eastAsia="Arial" w:hAnsi="Arial"/>
          <w:sz w:val="18"/>
          <w:szCs w:val="18"/>
          <w:color w:val="auto"/>
        </w:rPr>
        <w:t>time employees and 4 key consultants. We will need to substantially expand our managerial, commercial, financial, manufacturing, and other personnel resources in order to manage our operations and prepare for the commercialization of our product candidates, if approved. Our management, personnel, systems, and facilities currently in place may not be adequate to support this future growth. In addition, we may not be able to recruit and retain qualified personnel in the future, particularly for sales and marketing positions, due to competition for personnel among pharmaceutical businesses, and the failure to do so could have a significant negative impact on our future product revenues and business results. Our need to effectively manage our operations, growth and various projects requires that we:</w:t>
      </w:r>
    </w:p>
    <w:p>
      <w:pPr>
        <w:spacing w:after="0" w:line="165" w:lineRule="exact"/>
        <w:rPr>
          <w:sz w:val="20"/>
          <w:szCs w:val="20"/>
          <w:color w:val="auto"/>
        </w:rPr>
      </w:pPr>
    </w:p>
    <w:p>
      <w:pPr>
        <w:ind w:left="660" w:hanging="333"/>
        <w:spacing w:after="0" w:line="22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continue the hiring and training of personnel for an effective commercial organization in anticipation of the potential approval of our product candidates, and establish appropriate systems, policies and infrastructure to support that organization;</w:t>
      </w:r>
    </w:p>
    <w:p>
      <w:pPr>
        <w:spacing w:after="0" w:line="163" w:lineRule="exact"/>
        <w:rPr>
          <w:rFonts w:ascii="Arial" w:cs="Arial" w:eastAsia="Arial" w:hAnsi="Arial"/>
          <w:sz w:val="18"/>
          <w:szCs w:val="18"/>
          <w:color w:val="auto"/>
        </w:rPr>
      </w:pPr>
    </w:p>
    <w:p>
      <w:pPr>
        <w:ind w:left="660" w:right="160" w:hanging="333"/>
        <w:spacing w:after="0" w:line="235"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ensure that our consultants and other service providers successfully carry out their contractual obligations, provide high quality results, and meet expected deadlines;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continue to carry out our own contractual obligations to our licensors and other third parties; and</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continue to improve our operational, financial, and management controls, reporting systems, and procedures.</w:t>
      </w:r>
    </w:p>
    <w:p>
      <w:pPr>
        <w:spacing w:after="0" w:line="196" w:lineRule="exact"/>
        <w:rPr>
          <w:sz w:val="20"/>
          <w:szCs w:val="20"/>
          <w:color w:val="auto"/>
        </w:rPr>
      </w:pPr>
    </w:p>
    <w:p>
      <w:pPr>
        <w:ind w:right="340" w:firstLine="648"/>
        <w:spacing w:after="0" w:line="235" w:lineRule="auto"/>
        <w:rPr>
          <w:sz w:val="20"/>
          <w:szCs w:val="20"/>
          <w:color w:val="auto"/>
        </w:rPr>
      </w:pPr>
      <w:r>
        <w:rPr>
          <w:rFonts w:ascii="Arial" w:cs="Arial" w:eastAsia="Arial" w:hAnsi="Arial"/>
          <w:sz w:val="18"/>
          <w:szCs w:val="18"/>
          <w:color w:val="auto"/>
        </w:rPr>
        <w:t>We may be unable to successfully implement these tasks on a larger scale and, accordingly, may not achieve our development and commercialization goals.</w:t>
      </w:r>
    </w:p>
    <w:p>
      <w:pPr>
        <w:spacing w:after="0" w:line="162"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b w:val="1"/>
          <w:bCs w:val="1"/>
          <w:i w:val="1"/>
          <w:iCs w:val="1"/>
          <w:color w:val="auto"/>
        </w:rPr>
        <w:t>We may acquire businesses or products, or form strategic alliances in the future, and we may not realize the benefits of such acquisitions or alliances.</w:t>
      </w:r>
    </w:p>
    <w:p>
      <w:pPr>
        <w:spacing w:after="0" w:line="162" w:lineRule="exact"/>
        <w:rPr>
          <w:sz w:val="20"/>
          <w:szCs w:val="20"/>
          <w:color w:val="auto"/>
        </w:rPr>
      </w:pPr>
    </w:p>
    <w:p>
      <w:pPr>
        <w:ind w:right="60" w:firstLine="648"/>
        <w:spacing w:after="0" w:line="225" w:lineRule="auto"/>
        <w:rPr>
          <w:sz w:val="20"/>
          <w:szCs w:val="20"/>
          <w:color w:val="auto"/>
        </w:rPr>
      </w:pPr>
      <w:r>
        <w:rPr>
          <w:rFonts w:ascii="Arial" w:cs="Arial" w:eastAsia="Arial" w:hAnsi="Arial"/>
          <w:sz w:val="17"/>
          <w:szCs w:val="17"/>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manage our business effectively if we are unable to attract and retain key personnel.</w:t>
      </w:r>
    </w:p>
    <w:p>
      <w:pPr>
        <w:spacing w:after="0" w:line="196" w:lineRule="exact"/>
        <w:rPr>
          <w:sz w:val="20"/>
          <w:szCs w:val="20"/>
          <w:color w:val="auto"/>
        </w:rPr>
      </w:pPr>
    </w:p>
    <w:p>
      <w:pPr>
        <w:jc w:val="both"/>
        <w:ind w:right="80" w:firstLine="648"/>
        <w:spacing w:after="0" w:line="216" w:lineRule="auto"/>
        <w:rPr>
          <w:sz w:val="20"/>
          <w:szCs w:val="20"/>
          <w:color w:val="auto"/>
        </w:rPr>
      </w:pPr>
      <w:r>
        <w:rPr>
          <w:rFonts w:ascii="Arial" w:cs="Arial" w:eastAsia="Arial" w:hAnsi="Arial"/>
          <w:sz w:val="18"/>
          <w:szCs w:val="18"/>
          <w:color w:val="auto"/>
        </w:rPr>
        <w:t>We may not be able to attract or retain qualified management and commercial, scientific, and clinical personnel due to the intense competition for qualified personnel among biotechnology, pharmaceutical, and other businesses. If we are not able to attract and retain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Our industry has experienced a high rate of turnover of management personnel in recent years. We are highly dependent on the skills and leadership of our management team, including Dr. Herriot Tabuteau, our Chief Executive Officer and Chairman of the Board. We do not have formal employment agreements with any of our management team. However, we typically enter into offer letters with our executive officers and key personnel. Our senior management may terminate their employment with us at any time. If we lose one or more members of our senior management team, our ability to successfully implement our business strategy could be seriously harmed. Replacing these employees may be difficult and may take an extended period of time because of the limited number of individuals in our industry with the breadth of skills and experience required to develop, gain regulatory approval of, and commercialize products successfully. Competition to hire from this limited pool is intense, and we may be unable to hire, train, retain, or motivate additional key personnel. We do not maintain “key person” insurance for any of our executives or other employees.</w:t>
      </w:r>
    </w:p>
    <w:p>
      <w:pPr>
        <w:spacing w:after="0" w:line="164"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b w:val="1"/>
          <w:bCs w:val="1"/>
          <w:i w:val="1"/>
          <w:iCs w:val="1"/>
          <w:color w:val="auto"/>
        </w:rPr>
        <w:t>We continue to incur significant increased costs as a result of operating as a public company, and our management is required to devote substantial time to compliance initiatives.</w:t>
      </w:r>
    </w:p>
    <w:p>
      <w:pPr>
        <w:spacing w:after="0" w:line="17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As a public company, we continue to incur significant legal, accounting and other expenses that we did not incur as a private company. In addition, the Sarbanes-Oxley Act, as well as rules subsequently implemented by the SEC and the Nasdaq Global Market, impose various requirements on public companies, including requiring establishment and maintenance of effective disclosure controls and internal control over financial reporting and changes in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spacing w:after="0" w:line="18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Section 404(a) of the Sarbanes-Oxley Act requires annual management assessments of the effectiveness of our internal control over financial reporting. However, for as long as we remain an “emerging growth company” as defined in the Jumpstart Our Business Startups Act of 2012, or JOBS Act,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We may take advantage of these reporting exemptions until we are no longer an “emerging growth company.” We will remain an “emerging growth company” until the earliest of (i) the last day of the fiscal year in which we have total annual gross revenues of $1.07 billion or more; (ii) December 31, 2020; (iii) the date on which we have issued more than $1.0 billion in nonconvertible debt during the previous three years; or (iv) the date on which we are deemed to be a “large accelerated filer” under the rules of the SEC.</w:t>
      </w:r>
    </w:p>
    <w:p>
      <w:pPr>
        <w:spacing w:after="0" w:line="164" w:lineRule="exact"/>
        <w:rPr>
          <w:sz w:val="20"/>
          <w:szCs w:val="20"/>
          <w:color w:val="auto"/>
        </w:rPr>
      </w:pPr>
    </w:p>
    <w:p>
      <w:pPr>
        <w:ind w:right="60" w:firstLine="648"/>
        <w:spacing w:after="0" w:line="236" w:lineRule="auto"/>
        <w:rPr>
          <w:sz w:val="20"/>
          <w:szCs w:val="20"/>
          <w:color w:val="auto"/>
        </w:rPr>
      </w:pPr>
      <w:r>
        <w:rPr>
          <w:rFonts w:ascii="Arial" w:cs="Arial" w:eastAsia="Arial" w:hAnsi="Arial"/>
          <w:sz w:val="16"/>
          <w:szCs w:val="16"/>
          <w:color w:val="auto"/>
        </w:rPr>
        <w:t>Our testing, or the subsequent testing by our independent registered public accounting firm, may reveal deficiencies in our internal control over financial reporting that are deemed to be material weaknesses. We will incur substantial accounting expense and expend significant management efforts to comply with internal control over financial reporting requirements. We currently do not have an internal audit group, and we may need to hire additional accounting and financial staff with appropriate public company experience and technical accounting knowledge. Moreover, if we are not able to comply with these requirements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Nasdaq Global Market, the SEC or other regulatory authorities, which would require additional financial and management resources.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common stock.</w:t>
      </w:r>
    </w:p>
    <w:p>
      <w:pPr>
        <w:spacing w:after="0" w:line="163"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the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begins its Section 404 reviews, we could lose investor confidence in the accuracy and completeness of our financial reports, the market price of our common stock could decline, and we could be subject to sanctions or investigations by the Nasdaq Global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44" w:lineRule="exact"/>
        <w:rPr>
          <w:sz w:val="20"/>
          <w:szCs w:val="20"/>
          <w:color w:val="auto"/>
        </w:rPr>
      </w:pPr>
    </w:p>
    <w:p>
      <w:pPr>
        <w:ind w:right="260" w:firstLine="648"/>
        <w:spacing w:after="0" w:line="241" w:lineRule="auto"/>
        <w:rPr>
          <w:sz w:val="20"/>
          <w:szCs w:val="20"/>
          <w:color w:val="auto"/>
        </w:rPr>
      </w:pPr>
      <w:r>
        <w:rPr>
          <w:rFonts w:ascii="Arial" w:cs="Arial" w:eastAsia="Arial" w:hAnsi="Arial"/>
          <w:sz w:val="16"/>
          <w:szCs w:val="16"/>
          <w:color w:val="auto"/>
        </w:rPr>
        <w:t>We are subject to the periodic reporting requirements of the Securities Exchange Act of 1934, as amended, or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spacing w:after="0" w:line="120" w:lineRule="exact"/>
        <w:rPr>
          <w:sz w:val="20"/>
          <w:szCs w:val="20"/>
          <w:color w:val="auto"/>
        </w:rPr>
      </w:pPr>
    </w:p>
    <w:p>
      <w:pPr>
        <w:ind w:right="80" w:firstLine="648"/>
        <w:spacing w:after="0" w:line="216"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185" w:lineRule="exact"/>
        <w:rPr>
          <w:sz w:val="20"/>
          <w:szCs w:val="20"/>
          <w:color w:val="auto"/>
        </w:rPr>
      </w:pPr>
    </w:p>
    <w:p>
      <w:pPr>
        <w:ind w:right="20" w:firstLine="648"/>
        <w:spacing w:after="0" w:line="234" w:lineRule="auto"/>
        <w:rPr>
          <w:sz w:val="20"/>
          <w:szCs w:val="20"/>
          <w:color w:val="auto"/>
        </w:rPr>
      </w:pPr>
      <w:r>
        <w:rPr>
          <w:rFonts w:ascii="Arial" w:cs="Arial" w:eastAsia="Arial" w:hAnsi="Arial"/>
          <w:sz w:val="16"/>
          <w:szCs w:val="16"/>
          <w:color w:val="auto"/>
        </w:rPr>
        <w:t>Despite our implementation of security measures, our internal computer systems and those of our CROs and other contractors and consultants are vulnerable to damage from computer viruses, unauthorized access,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any of our product candidates could be delayed.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Our failure to comply with data protection laws and regulations could lead to government enforcement actions and significant penalties against us, and adversely impact our operating results.</w:t>
      </w:r>
    </w:p>
    <w:p>
      <w:pPr>
        <w:spacing w:after="0" w:line="40" w:lineRule="exact"/>
        <w:rPr>
          <w:sz w:val="20"/>
          <w:szCs w:val="20"/>
          <w:color w:val="auto"/>
        </w:rPr>
      </w:pPr>
    </w:p>
    <w:p>
      <w:pPr>
        <w:jc w:val="both"/>
        <w:ind w:firstLine="501"/>
        <w:spacing w:after="0"/>
        <w:rPr>
          <w:sz w:val="20"/>
          <w:szCs w:val="20"/>
          <w:color w:val="auto"/>
        </w:rPr>
      </w:pPr>
      <w:r>
        <w:rPr>
          <w:rFonts w:ascii="Arial" w:cs="Arial" w:eastAsia="Arial" w:hAnsi="Arial"/>
          <w:sz w:val="16"/>
          <w:szCs w:val="16"/>
          <w:color w:val="auto"/>
        </w:rPr>
        <w:t>EU member states and other foreign jurisdictions, including Switzerland, have adopted data protection laws and regulations which impose significant compliance obligations. Moreover, the collection and use of personal health data in the EU, which was formerly governed by the provisions of the EU Data Protection Directive, was replaced with the EU General Data Protection Regulation, or the GDPR, in May 2018.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 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recent implementation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United States, the EU and other jurisdictions, and we cannot determine the impact such future laws, regulations and standards may have on our business.</w:t>
      </w:r>
    </w:p>
    <w:p>
      <w:pPr>
        <w:spacing w:after="0" w:line="200" w:lineRule="exact"/>
        <w:rPr>
          <w:sz w:val="20"/>
          <w:szCs w:val="20"/>
          <w:color w:val="auto"/>
        </w:rPr>
      </w:pPr>
    </w:p>
    <w:p>
      <w:pPr>
        <w:spacing w:after="0" w:line="220" w:lineRule="exact"/>
        <w:rPr>
          <w:sz w:val="20"/>
          <w:szCs w:val="20"/>
          <w:color w:val="auto"/>
        </w:rPr>
      </w:pPr>
    </w:p>
    <w:p>
      <w:pPr>
        <w:ind w:right="3820"/>
        <w:spacing w:after="0" w:line="513" w:lineRule="auto"/>
        <w:rPr>
          <w:sz w:val="20"/>
          <w:szCs w:val="20"/>
          <w:color w:val="auto"/>
        </w:rPr>
      </w:pPr>
      <w:r>
        <w:rPr>
          <w:rFonts w:ascii="Arial" w:cs="Arial" w:eastAsia="Arial" w:hAnsi="Arial"/>
          <w:sz w:val="16"/>
          <w:szCs w:val="16"/>
          <w:b w:val="1"/>
          <w:bCs w:val="1"/>
          <w:color w:val="auto"/>
        </w:rPr>
        <w:t xml:space="preserve">RISKS RELATED TO OWNERSHIP OF OUR COMMON STOCK </w:t>
      </w:r>
      <w:r>
        <w:rPr>
          <w:rFonts w:ascii="Arial" w:cs="Arial" w:eastAsia="Arial" w:hAnsi="Arial"/>
          <w:sz w:val="16"/>
          <w:szCs w:val="16"/>
          <w:b w:val="1"/>
          <w:bCs w:val="1"/>
          <w:i w:val="1"/>
          <w:iCs w:val="1"/>
          <w:color w:val="auto"/>
        </w:rPr>
        <w:t>An active trading market for our common stock may not be sustained.</w:t>
      </w:r>
    </w:p>
    <w:p>
      <w:pPr>
        <w:spacing w:after="0" w:line="1" w:lineRule="exact"/>
        <w:rPr>
          <w:sz w:val="20"/>
          <w:szCs w:val="20"/>
          <w:color w:val="auto"/>
        </w:rPr>
      </w:pPr>
    </w:p>
    <w:p>
      <w:pPr>
        <w:ind w:right="40" w:firstLine="648"/>
        <w:spacing w:after="0" w:line="225" w:lineRule="auto"/>
        <w:rPr>
          <w:sz w:val="20"/>
          <w:szCs w:val="20"/>
          <w:color w:val="auto"/>
        </w:rPr>
      </w:pPr>
      <w:r>
        <w:rPr>
          <w:rFonts w:ascii="Arial" w:cs="Arial" w:eastAsia="Arial" w:hAnsi="Arial"/>
          <w:sz w:val="17"/>
          <w:szCs w:val="17"/>
          <w:color w:val="auto"/>
        </w:rPr>
        <w:t>In November 2015, we closed our initial public offering. Prior to our initial public offering, there was no public market for shares of our common stock. Although we have completed our initial public offering and shares of our common stock are listed and trading on The Nasdaq Global Market, an active trading market for our shares may not be sustained. If an active market for our common stock does not continue, it may be difficult for our stockholders to sell their shares without depressing the market price for the shares or sell their shares at or above the prices at which they acquired their shares or sell their shares at the time they would like to sell. Any inactive trading market for our common stock may also impair our ability to raise capital to continue to fund our operations by selling shares.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highly volatile.</w:t>
      </w:r>
    </w:p>
    <w:p>
      <w:pPr>
        <w:spacing w:after="0" w:line="185" w:lineRule="exact"/>
        <w:rPr>
          <w:sz w:val="20"/>
          <w:szCs w:val="20"/>
          <w:color w:val="auto"/>
        </w:rPr>
      </w:pPr>
    </w:p>
    <w:p>
      <w:pPr>
        <w:ind w:right="20" w:firstLine="648"/>
        <w:spacing w:after="0" w:line="224" w:lineRule="auto"/>
        <w:rPr>
          <w:sz w:val="20"/>
          <w:szCs w:val="20"/>
          <w:color w:val="auto"/>
        </w:rPr>
      </w:pPr>
      <w:r>
        <w:rPr>
          <w:rFonts w:ascii="Arial" w:cs="Arial" w:eastAsia="Arial" w:hAnsi="Arial"/>
          <w:sz w:val="18"/>
          <w:szCs w:val="18"/>
          <w:color w:val="auto"/>
        </w:rPr>
        <w:t>The trading price of our common stock is likely to be volatile. As a result of this volatility, investors may not be able to sell their common stock at or above the price paid for the shares. The market price for our common stock may be influenced by many factors, including:</w:t>
      </w:r>
    </w:p>
    <w:p>
      <w:pPr>
        <w:spacing w:after="0" w:line="163" w:lineRule="exact"/>
        <w:rPr>
          <w:sz w:val="20"/>
          <w:szCs w:val="20"/>
          <w:color w:val="auto"/>
        </w:rPr>
      </w:pPr>
    </w:p>
    <w:p>
      <w:pPr>
        <w:ind w:left="660" w:right="360" w:hanging="333"/>
        <w:spacing w:after="0" w:line="235"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delays in the commencement, enrollment, and ultimate completion, of our planned and ongoing Phase 3 clinical trials for our product candidates;</w:t>
      </w:r>
    </w:p>
    <w:p>
      <w:pPr>
        <w:spacing w:after="0" w:line="161" w:lineRule="exact"/>
        <w:rPr>
          <w:rFonts w:ascii="Arial" w:cs="Arial" w:eastAsia="Arial" w:hAnsi="Arial"/>
          <w:sz w:val="18"/>
          <w:szCs w:val="18"/>
          <w:color w:val="auto"/>
        </w:rPr>
      </w:pPr>
    </w:p>
    <w:p>
      <w:pPr>
        <w:ind w:left="660" w:right="720" w:hanging="333"/>
        <w:spacing w:after="0" w:line="235"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delay or refusal on the part of the FDA in approving an NDA for any of our current and future product candidates;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commercial success of any of our current and future product candidates, if approved by the FDA;</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results of clinical trials of any of our current and future product candidates or those of our competitors;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or anticipated variations in quarterly or annual operating results;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to meet or exceed financial projections we provide to the public, if any;</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failure to meet or exceed the estimates and projections of the investment community, including securities analysts;</w:t>
      </w:r>
    </w:p>
    <w:p>
      <w:pPr>
        <w:spacing w:after="0" w:line="207" w:lineRule="exact"/>
        <w:rPr>
          <w:rFonts w:ascii="Arial" w:cs="Arial" w:eastAsia="Arial" w:hAnsi="Arial"/>
          <w:sz w:val="16"/>
          <w:szCs w:val="16"/>
          <w:color w:val="auto"/>
        </w:rPr>
      </w:pPr>
    </w:p>
    <w:p>
      <w:pPr>
        <w:ind w:left="660" w:hanging="333"/>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introduction of competitive products or technologies;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or developments in laws or regulations applicable to our product candidates;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perception of the pharmaceutical industry by the public, legislatures, regulators, and the investment community;</w:t>
      </w:r>
    </w:p>
    <w:p>
      <w:pPr>
        <w:spacing w:after="0" w:line="207" w:lineRule="exact"/>
        <w:rPr>
          <w:rFonts w:ascii="Arial" w:cs="Arial" w:eastAsia="Arial" w:hAnsi="Arial"/>
          <w:sz w:val="16"/>
          <w:szCs w:val="16"/>
          <w:color w:val="auto"/>
        </w:rPr>
      </w:pPr>
    </w:p>
    <w:p>
      <w:pPr>
        <w:ind w:left="660" w:hanging="333"/>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economic and market conditions and overall fluctuations in U.S. equity markets;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data or security breaches;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developments concerning our sources of manufacturing supply, warehousing, and inventory control;</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disputes or other developments relating to patents or other proprietary rights;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capital commitments;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investors’ general perception of our company and our business;</w:t>
      </w:r>
    </w:p>
    <w:p>
      <w:pPr>
        <w:spacing w:after="0" w:line="184" w:lineRule="exact"/>
        <w:rPr>
          <w:rFonts w:ascii="Arial" w:cs="Arial" w:eastAsia="Arial" w:hAnsi="Arial"/>
          <w:sz w:val="18"/>
          <w:szCs w:val="18"/>
          <w:color w:val="auto"/>
        </w:rPr>
      </w:pPr>
    </w:p>
    <w:p>
      <w:pPr>
        <w:ind w:left="660" w:hanging="333"/>
        <w:spacing w:after="0" w:line="235"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announcements and expectations of additional financing efforts, including the issuance of debt, equity or convertible securities;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sales of our common stock, including sales by our directors and officers or significant stockholders;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the market valuations of companies similar to us;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partnerships, or divestitures;</w:t>
      </w:r>
    </w:p>
    <w:p>
      <w:pPr>
        <w:spacing w:after="0" w:line="196" w:lineRule="exact"/>
        <w:rPr>
          <w:rFonts w:ascii="Arial" w:cs="Arial" w:eastAsia="Arial" w:hAnsi="Arial"/>
          <w:sz w:val="17"/>
          <w:szCs w:val="17"/>
          <w:color w:val="auto"/>
        </w:rPr>
      </w:pPr>
    </w:p>
    <w:p>
      <w:pPr>
        <w:ind w:left="660" w:hanging="333"/>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conditions or trends in our industry; and</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85" w:lineRule="exact"/>
        <w:rPr>
          <w:sz w:val="20"/>
          <w:szCs w:val="20"/>
          <w:color w:val="auto"/>
        </w:rPr>
      </w:pPr>
    </w:p>
    <w:p>
      <w:pPr>
        <w:jc w:val="both"/>
        <w:ind w:right="120" w:firstLine="648"/>
        <w:spacing w:after="0" w:line="232" w:lineRule="auto"/>
        <w:rPr>
          <w:sz w:val="20"/>
          <w:szCs w:val="20"/>
          <w:color w:val="auto"/>
        </w:rPr>
      </w:pPr>
      <w:r>
        <w:rPr>
          <w:rFonts w:ascii="Arial" w:cs="Arial" w:eastAsia="Arial" w:hAnsi="Arial"/>
          <w:sz w:val="17"/>
          <w:szCs w:val="17"/>
          <w:color w:val="auto"/>
        </w:rPr>
        <w:t>In addition, the stock market in general, and the market for small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63" w:lineRule="exact"/>
        <w:rPr>
          <w:sz w:val="20"/>
          <w:szCs w:val="20"/>
          <w:color w:val="auto"/>
        </w:rPr>
      </w:pPr>
    </w:p>
    <w:p>
      <w:pPr>
        <w:ind w:firstLine="648"/>
        <w:spacing w:after="0" w:line="259" w:lineRule="auto"/>
        <w:rPr>
          <w:sz w:val="20"/>
          <w:szCs w:val="20"/>
          <w:color w:val="auto"/>
        </w:rPr>
      </w:pPr>
      <w:r>
        <w:rPr>
          <w:rFonts w:ascii="Arial" w:cs="Arial" w:eastAsia="Arial" w:hAnsi="Arial"/>
          <w:sz w:val="16"/>
          <w:szCs w:val="16"/>
          <w:color w:val="auto"/>
        </w:rPr>
        <w:t>Further, in the past, stockholders have initiated class action lawsuits against pharmaceutical and biotechnology companies following periods of volatility in the market prices of these companies’ stocks. Such litigation, if instituted against us, could cause us to incur substantial costs and divert management’s attention and resources from our business.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83" w:name="page84"/>
    <w:bookmarkEnd w:id="8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62" w:lineRule="exact"/>
        <w:rPr>
          <w:sz w:val="20"/>
          <w:szCs w:val="20"/>
          <w:color w:val="auto"/>
        </w:rPr>
      </w:pPr>
    </w:p>
    <w:p>
      <w:pPr>
        <w:ind w:right="180" w:firstLine="648"/>
        <w:spacing w:after="0" w:line="241" w:lineRule="auto"/>
        <w:rPr>
          <w:sz w:val="20"/>
          <w:szCs w:val="20"/>
          <w:color w:val="auto"/>
        </w:rPr>
      </w:pPr>
      <w:r>
        <w:rPr>
          <w:rFonts w:ascii="Arial" w:cs="Arial" w:eastAsia="Arial" w:hAnsi="Arial"/>
          <w:sz w:val="16"/>
          <w:szCs w:val="16"/>
          <w:color w:val="auto"/>
        </w:rPr>
        <w:t>The trading market for our common stock is influenced by the research and reports that equity research analysts publish about us and our business. We do not have any control over the equity research analysts that provide research coverage of our common stock or the content and opinions included in their reports. The price of our stock could decline if one or more equity research analysts downgrades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may fluctuate significantly.</w:t>
      </w:r>
    </w:p>
    <w:p>
      <w:pPr>
        <w:spacing w:after="0" w:line="185" w:lineRule="exact"/>
        <w:rPr>
          <w:sz w:val="20"/>
          <w:szCs w:val="20"/>
          <w:color w:val="auto"/>
        </w:rPr>
      </w:pPr>
    </w:p>
    <w:p>
      <w:pPr>
        <w:ind w:right="140" w:firstLine="648"/>
        <w:spacing w:after="0" w:line="235"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162" w:lineRule="exact"/>
        <w:rPr>
          <w:sz w:val="20"/>
          <w:szCs w:val="20"/>
          <w:color w:val="auto"/>
        </w:rPr>
      </w:pPr>
    </w:p>
    <w:p>
      <w:pPr>
        <w:ind w:left="660" w:right="280" w:hanging="333"/>
        <w:spacing w:after="0" w:line="289"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whether the FDA requires us to complete additional, unanticipated studies, tests, or other activities prior to approving any of our current and future product candidates, which would likely further delay any such approval;</w:t>
      </w:r>
    </w:p>
    <w:p>
      <w:pPr>
        <w:spacing w:after="0" w:line="124" w:lineRule="exact"/>
        <w:rPr>
          <w:rFonts w:ascii="Arial" w:cs="Arial" w:eastAsia="Arial" w:hAnsi="Arial"/>
          <w:sz w:val="16"/>
          <w:szCs w:val="16"/>
          <w:color w:val="auto"/>
        </w:rPr>
      </w:pPr>
    </w:p>
    <w:p>
      <w:pPr>
        <w:ind w:left="660" w:right="180" w:hanging="333"/>
        <w:spacing w:after="0" w:line="219"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any of our current or future product candidates is approved, our ability to establish the necessary commercial infrastructure to launch this product candidate without substantial delays, including hiring sales and marketing personnel and contracting with third parties for warehousing, distribution, cash collection, and related commercial activities;</w:t>
      </w:r>
    </w:p>
    <w:p>
      <w:pPr>
        <w:spacing w:after="0" w:line="162" w:lineRule="exact"/>
        <w:rPr>
          <w:rFonts w:ascii="Arial" w:cs="Arial" w:eastAsia="Arial" w:hAnsi="Arial"/>
          <w:sz w:val="18"/>
          <w:szCs w:val="18"/>
          <w:color w:val="auto"/>
        </w:rPr>
      </w:pPr>
    </w:p>
    <w:p>
      <w:pPr>
        <w:ind w:left="660" w:right="220" w:hanging="333"/>
        <w:spacing w:after="0" w:line="203" w:lineRule="exact"/>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identify and enter into third</w:t>
      </w:r>
      <w:r>
        <w:rPr>
          <w:rFonts w:ascii="MS PGothic" w:cs="MS PGothic" w:eastAsia="MS PGothic" w:hAnsi="MS PGothic"/>
          <w:sz w:val="18"/>
          <w:szCs w:val="18"/>
          <w:color w:val="auto"/>
        </w:rPr>
        <w:t>‑</w:t>
      </w:r>
      <w:r>
        <w:rPr>
          <w:rFonts w:ascii="Arial" w:cs="Arial" w:eastAsia="Arial" w:hAnsi="Arial"/>
          <w:sz w:val="18"/>
          <w:szCs w:val="18"/>
          <w:color w:val="auto"/>
        </w:rPr>
        <w:t>party manufacturing arrangements capable of manufacturing any of our current or future product candidates in commercial quantities;</w:t>
      </w:r>
    </w:p>
    <w:p>
      <w:pPr>
        <w:spacing w:after="0" w:line="161" w:lineRule="exact"/>
        <w:rPr>
          <w:rFonts w:ascii="Arial" w:cs="Arial" w:eastAsia="Arial" w:hAnsi="Arial"/>
          <w:sz w:val="18"/>
          <w:szCs w:val="18"/>
          <w:color w:val="auto"/>
        </w:rPr>
      </w:pPr>
    </w:p>
    <w:p>
      <w:pPr>
        <w:ind w:left="660" w:right="20" w:hanging="333"/>
        <w:spacing w:after="0" w:line="235"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execution of other collaborative, licensing, or similar arrangements and the timing of payments we may make or receive under these arrangements;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variations in the level of expenses related to our future development programs;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product liability or intellectual property infringement lawsuit in which we may become involved;</w:t>
      </w:r>
    </w:p>
    <w:p>
      <w:pPr>
        <w:spacing w:after="0" w:line="184" w:lineRule="exact"/>
        <w:rPr>
          <w:rFonts w:ascii="Arial" w:cs="Arial" w:eastAsia="Arial" w:hAnsi="Arial"/>
          <w:sz w:val="18"/>
          <w:szCs w:val="18"/>
          <w:color w:val="auto"/>
        </w:rPr>
      </w:pPr>
    </w:p>
    <w:p>
      <w:pPr>
        <w:ind w:left="660" w:right="520" w:hanging="333"/>
        <w:spacing w:after="0" w:line="235"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developments affecting our current and future product candidates, or the product candidates of our competitors; and</w:t>
      </w:r>
    </w:p>
    <w:p>
      <w:pPr>
        <w:spacing w:after="0" w:line="161" w:lineRule="exact"/>
        <w:rPr>
          <w:rFonts w:ascii="Arial" w:cs="Arial" w:eastAsia="Arial" w:hAnsi="Arial"/>
          <w:sz w:val="18"/>
          <w:szCs w:val="18"/>
          <w:color w:val="auto"/>
        </w:rPr>
      </w:pPr>
    </w:p>
    <w:p>
      <w:pPr>
        <w:ind w:left="660" w:right="260" w:hanging="333"/>
        <w:spacing w:after="0" w:line="235"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any of our current or future product candidates receive regulatory approval, the level of underlying demand for such product candidate and wholesaler buying patterns.</w:t>
      </w:r>
    </w:p>
    <w:p>
      <w:pPr>
        <w:spacing w:after="0" w:line="162"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If our quarterly or annual operating results fall below the expectations of investors or securities analysts, the price of our common stock could decline substantially. Furthermore, any quarterly or annual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84" w:name="page85"/>
    <w:bookmarkEnd w:id="8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60"/>
        <w:spacing w:after="0" w:line="324" w:lineRule="auto"/>
        <w:rPr>
          <w:sz w:val="20"/>
          <w:szCs w:val="20"/>
          <w:color w:val="auto"/>
        </w:rPr>
      </w:pPr>
      <w:r>
        <w:rPr>
          <w:rFonts w:ascii="Arial" w:cs="Arial" w:eastAsia="Arial" w:hAnsi="Arial"/>
          <w:sz w:val="15"/>
          <w:szCs w:val="15"/>
          <w:b w:val="1"/>
          <w:bCs w:val="1"/>
          <w:i w:val="1"/>
          <w:iCs w:val="1"/>
          <w:color w:val="auto"/>
        </w:rPr>
        <w:t>Raising additional funds by issuing securities may cause dilution to existing stockholders and raising funds through lending and licensing arrangements may restrict our operations or require us to relinquish proprietary rights.</w:t>
      </w:r>
    </w:p>
    <w:p>
      <w:pPr>
        <w:spacing w:after="0" w:line="102" w:lineRule="exact"/>
        <w:rPr>
          <w:sz w:val="20"/>
          <w:szCs w:val="20"/>
          <w:color w:val="auto"/>
        </w:rPr>
      </w:pPr>
    </w:p>
    <w:p>
      <w:pPr>
        <w:ind w:right="200" w:firstLine="648"/>
        <w:spacing w:after="0" w:line="239"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equity offerings, debt financings, grants, and license and development agreements in connection with any collaborations. We do not have any committed external source of funds. To the extent that we raise additional capital by issuing equity securities, our existing stockholders’ ownership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63" w:lineRule="exact"/>
        <w:rPr>
          <w:sz w:val="20"/>
          <w:szCs w:val="20"/>
          <w:color w:val="auto"/>
        </w:rPr>
      </w:pPr>
    </w:p>
    <w:p>
      <w:pPr>
        <w:ind w:firstLine="648"/>
        <w:spacing w:after="0" w:line="210"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Any debt financing we enter into may involve covenants that restrict our operations. These restrictive covenants may include limitations on additional borrowing and specific restrictions on the use of our assets as well as prohibitions on our ability to create liens, pay dividends, redeem our stock, or make investments.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66" w:lineRule="exact"/>
        <w:rPr>
          <w:sz w:val="20"/>
          <w:szCs w:val="20"/>
          <w:color w:val="auto"/>
        </w:rPr>
      </w:pPr>
    </w:p>
    <w:p>
      <w:pPr>
        <w:ind w:right="820"/>
        <w:spacing w:after="0" w:line="235"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62" w:lineRule="exact"/>
        <w:rPr>
          <w:sz w:val="20"/>
          <w:szCs w:val="20"/>
          <w:color w:val="auto"/>
        </w:rPr>
      </w:pPr>
    </w:p>
    <w:p>
      <w:pPr>
        <w:ind w:right="60" w:firstLine="648"/>
        <w:spacing w:after="0" w:line="241" w:lineRule="auto"/>
        <w:rPr>
          <w:sz w:val="20"/>
          <w:szCs w:val="20"/>
          <w:color w:val="auto"/>
        </w:rPr>
      </w:pPr>
      <w:r>
        <w:rPr>
          <w:rFonts w:ascii="Arial" w:cs="Arial" w:eastAsia="Arial" w:hAnsi="Arial"/>
          <w:sz w:val="16"/>
          <w:szCs w:val="16"/>
          <w:color w:val="auto"/>
        </w:rPr>
        <w:t>As of August 3, 2018, our executive officers, directors, and 5% stockholders and their affiliates beneficially owned an aggregate of approximately 33% of our outstanding common stock. As a result, these stockholders have significant influence and may be able to determine all matters requiring stockholder approval. For example, these stockholders may be able to control elections of directors, amendments of our organizational documents, or approval of any merger, sale of assets, or other major corporate transaction. This concentration of ownership could delay or prevent any acquisition of our company on terms that other stockholders may desire, and may adversely affect the market price of our common stock.</w:t>
      </w:r>
    </w:p>
    <w:p>
      <w:pPr>
        <w:spacing w:after="0" w:line="161"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Some of these persons or entities may have interests different than yours. For example, these stockholders, if they acted together, could significantly influence all matters requiring approval by our stockholders, including the election of directors and the approval of mergers or other business combination transactions. These stockholders may be able to determine all matters requiring stockholder approval. The interests of these stockholders may not always coincide with our interests or the interests of other stockholders. This may also prevent or discourage unsolicited acquisition proposals or offers for our common stock that other stockholders may feel are in their best interest and our large stockholders may act in a manner that advances their best interests and not necessarily those of other stockholders, including seeking a premium value for their common stock, and might affect the prevailing market price for our common stock.</w:t>
      </w:r>
    </w:p>
    <w:p>
      <w:pPr>
        <w:spacing w:after="0" w:line="167"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by our existing stockholders could cause our stock price to fall.</w:t>
      </w:r>
    </w:p>
    <w:p>
      <w:pPr>
        <w:spacing w:after="0" w:line="162" w:lineRule="exact"/>
        <w:rPr>
          <w:sz w:val="20"/>
          <w:szCs w:val="20"/>
          <w:color w:val="auto"/>
        </w:rPr>
      </w:pPr>
    </w:p>
    <w:p>
      <w:pPr>
        <w:ind w:right="160" w:firstLine="648"/>
        <w:spacing w:after="0" w:line="219"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adequate capital through the sale of additional equity securities. We are unable to predict the effect that sales may have on the prevailing market price of our common stock.</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5" w:name="page86"/>
    <w:bookmarkEnd w:id="8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80" w:firstLine="648"/>
        <w:spacing w:after="0" w:line="214" w:lineRule="auto"/>
        <w:rPr>
          <w:sz w:val="20"/>
          <w:szCs w:val="20"/>
          <w:color w:val="auto"/>
        </w:rPr>
      </w:pPr>
      <w:r>
        <w:rPr>
          <w:rFonts w:ascii="Arial" w:cs="Arial" w:eastAsia="Arial" w:hAnsi="Arial"/>
          <w:sz w:val="18"/>
          <w:szCs w:val="18"/>
          <w:color w:val="auto"/>
        </w:rPr>
        <w:t>As of August 3, 2018, we have outstanding 26,252,862 shares of common stock and 5,015,050 shares of common stock equivalents that would increase the number of common stock outstanding if these instruments were exercised or converted, including stock options to purchase common stock based on vesting requirements and warrants to purchase common stock. Of our currently outstanding shares of common stock, 18,172,721 are freely tradable. The remainder of the outstanding shares of common stock are held by our affiliates and may be considered “control securities” for purposes of Rule 144 under the Securities Act.</w:t>
      </w:r>
    </w:p>
    <w:p>
      <w:pPr>
        <w:spacing w:after="0" w:line="162" w:lineRule="exact"/>
        <w:rPr>
          <w:sz w:val="20"/>
          <w:szCs w:val="20"/>
          <w:color w:val="auto"/>
        </w:rPr>
      </w:pPr>
    </w:p>
    <w:p>
      <w:pPr>
        <w:ind w:right="320" w:firstLine="648"/>
        <w:spacing w:after="0" w:line="187" w:lineRule="exact"/>
        <w:rPr>
          <w:sz w:val="20"/>
          <w:szCs w:val="20"/>
          <w:color w:val="auto"/>
        </w:rPr>
      </w:pPr>
      <w:r>
        <w:rPr>
          <w:rFonts w:ascii="Arial" w:cs="Arial" w:eastAsia="Arial" w:hAnsi="Arial"/>
          <w:sz w:val="17"/>
          <w:szCs w:val="17"/>
          <w:color w:val="auto"/>
        </w:rPr>
        <w:t>In addition, we have filed one or more registration statements on Form S</w:t>
      </w:r>
      <w:r>
        <w:rPr>
          <w:rFonts w:ascii="MS PGothic" w:cs="MS PGothic" w:eastAsia="MS PGothic" w:hAnsi="MS PGothic"/>
          <w:sz w:val="17"/>
          <w:szCs w:val="17"/>
          <w:color w:val="auto"/>
        </w:rPr>
        <w:t>‑</w:t>
      </w:r>
      <w:r>
        <w:rPr>
          <w:rFonts w:ascii="Arial" w:cs="Arial" w:eastAsia="Arial" w:hAnsi="Arial"/>
          <w:sz w:val="17"/>
          <w:szCs w:val="17"/>
          <w:color w:val="auto"/>
        </w:rPr>
        <w:t>8 registering the issuance of 5,257,843 shares of common stock subject to options or other equity awards issued or reserved for future issuance under our 2015 Omnibus Incentive Compensation Plan, or the Plan. Shares registered under registration statements on Form S</w:t>
      </w:r>
      <w:r>
        <w:rPr>
          <w:rFonts w:ascii="MS PGothic" w:cs="MS PGothic" w:eastAsia="MS PGothic" w:hAnsi="MS PGothic"/>
          <w:sz w:val="17"/>
          <w:szCs w:val="17"/>
          <w:color w:val="auto"/>
        </w:rPr>
        <w:t>‑</w:t>
      </w:r>
      <w:r>
        <w:rPr>
          <w:rFonts w:ascii="Arial" w:cs="Arial" w:eastAsia="Arial" w:hAnsi="Arial"/>
          <w:sz w:val="17"/>
          <w:szCs w:val="17"/>
          <w:color w:val="auto"/>
        </w:rPr>
        <w:t>8 will be available for sale in the public market subject to vesting arrangements and exercise of options, the lock</w:t>
      </w:r>
      <w:r>
        <w:rPr>
          <w:rFonts w:ascii="MS PGothic" w:cs="MS PGothic" w:eastAsia="MS PGothic" w:hAnsi="MS PGothic"/>
          <w:sz w:val="17"/>
          <w:szCs w:val="17"/>
          <w:color w:val="auto"/>
        </w:rPr>
        <w:t>‑</w:t>
      </w:r>
      <w:r>
        <w:rPr>
          <w:rFonts w:ascii="Arial" w:cs="Arial" w:eastAsia="Arial" w:hAnsi="Arial"/>
          <w:sz w:val="17"/>
          <w:szCs w:val="17"/>
          <w:color w:val="auto"/>
        </w:rPr>
        <w:t>up agreements described above and the restrictions of Rule 144 in the case of our affiliates.</w:t>
      </w:r>
    </w:p>
    <w:p>
      <w:pPr>
        <w:spacing w:after="0" w:line="161"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b w:val="1"/>
          <w:bCs w:val="1"/>
          <w:i w:val="1"/>
          <w:iCs w:val="1"/>
          <w:color w:val="auto"/>
        </w:rPr>
        <w:t>Our management will have broad discretion in the use of the net proceeds from our capital raises, including our March 2017 public offering, our December 2017 registered direct offering, and any proceeds from sales pursuant to the Sales Agreement, and may not use them effectively.</w:t>
      </w:r>
    </w:p>
    <w:p>
      <w:pPr>
        <w:spacing w:after="0" w:line="163" w:lineRule="exact"/>
        <w:rPr>
          <w:sz w:val="20"/>
          <w:szCs w:val="20"/>
          <w:color w:val="auto"/>
        </w:rPr>
      </w:pPr>
    </w:p>
    <w:p>
      <w:pPr>
        <w:ind w:right="60" w:firstLine="648"/>
        <w:spacing w:after="0" w:line="233" w:lineRule="auto"/>
        <w:rPr>
          <w:sz w:val="20"/>
          <w:szCs w:val="20"/>
          <w:color w:val="auto"/>
        </w:rPr>
      </w:pPr>
      <w:r>
        <w:rPr>
          <w:rFonts w:ascii="Arial" w:cs="Arial" w:eastAsia="Arial" w:hAnsi="Arial"/>
          <w:sz w:val="16"/>
          <w:szCs w:val="16"/>
          <w:color w:val="auto"/>
        </w:rPr>
        <w:t>Our management will have broad discretion in the application of the net proceeds from our capital raises, including our March 2017 public offering, our December 2017 registered direct offering and proceeds from sales pursuant to our “at-the-market” sales agreement with Leerink Partners LLC, or the Sales Agreement, if any, and our stockholders will not have the opportunity as part of their investment decision to assess whether the net proceeds from those capital raises are being used appropriately. You may not agree with our decisions, and our use of the proceeds may not yield any return on your investment. Because of the number and variability of factors that will determine our use of the net proceeds from our capital raises, including our March 2017 public offering, our December 2017 registered direct offering and proceeds from sales pursuant to the Sales Agreement, if any, their ultimate use may vary substantially from their currently intended use. Our failure to apply the net proceeds of our capital raises, including our March 2017 public offering, our December 2017 registered direct offering and proceeds from sales pursuant to the Sales Agreement, if any, effectively could compromise our ability to pursue our growth strategy and we might not be able to yield a significant return, if any, on our investment of those net proceeds. You will not have the opportunity to influence our decisions on how to use our net proceeds from those capital raises, including our March 2017 public offering, our December 2017 registered direct offering and proceeds from sales pursuant to the Sales Agreement, if any. Pending their use, we may invest the net proceeds from our capital raises, including our March 2017 public offering, and our December 2017 registered direct offering, in short-term, investment-grade, interest-bearing instruments and U.S. government securities. These temporary investments are not likely to yield a significant return.</w:t>
      </w:r>
    </w:p>
    <w:p>
      <w:pPr>
        <w:spacing w:after="0" w:line="167" w:lineRule="exact"/>
        <w:rPr>
          <w:sz w:val="20"/>
          <w:szCs w:val="20"/>
          <w:color w:val="auto"/>
        </w:rPr>
      </w:pPr>
    </w:p>
    <w:p>
      <w:pPr>
        <w:spacing w:after="0" w:line="258" w:lineRule="auto"/>
        <w:rPr>
          <w:sz w:val="20"/>
          <w:szCs w:val="20"/>
          <w:color w:val="auto"/>
        </w:rPr>
      </w:pPr>
      <w:r>
        <w:rPr>
          <w:rFonts w:ascii="Arial" w:cs="Arial" w:eastAsia="Arial" w:hAnsi="Arial"/>
          <w:sz w:val="17"/>
          <w:szCs w:val="17"/>
          <w:b w:val="1"/>
          <w:bCs w:val="1"/>
          <w:i w:val="1"/>
          <w:iCs w:val="1"/>
          <w:color w:val="auto"/>
        </w:rPr>
        <w:t>We are an “emerging growth company” and as a result of the reduced disclosure and governance requirements applicable to emerging growth companies, our common stock may be less attractive to investors.</w:t>
      </w:r>
    </w:p>
    <w:p>
      <w:pPr>
        <w:spacing w:after="0" w:line="147" w:lineRule="exact"/>
        <w:rPr>
          <w:sz w:val="20"/>
          <w:szCs w:val="20"/>
          <w:color w:val="auto"/>
        </w:rPr>
      </w:pPr>
    </w:p>
    <w:p>
      <w:pPr>
        <w:ind w:right="60" w:firstLine="648"/>
        <w:spacing w:after="0" w:line="209"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JOBS Act, and we intend to take advantage of some of the exemptions from reporting requirements that are applicable to other public companies that are not emerging growth companies, including not being required to comply with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reporting exemptions until we are no longer an emerging growth company. 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86" w:name="page87"/>
    <w:bookmarkEnd w:id="8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184" w:lineRule="exact"/>
        <w:rPr>
          <w:sz w:val="20"/>
          <w:szCs w:val="20"/>
          <w:color w:val="auto"/>
        </w:rPr>
      </w:pPr>
      <w:r>
        <w:rPr>
          <w:rFonts w:ascii="Arial" w:cs="Arial" w:eastAsia="Arial" w:hAnsi="Arial"/>
          <w:sz w:val="17"/>
          <w:szCs w:val="17"/>
          <w:color w:val="auto"/>
        </w:rPr>
        <w:t>We will remain an emerging growth company until the earlier of (1) December 31, 2020, (2) the last day of the fiscal year (a) in which we have total annual gross revenue of at least $1.07 billion, or (b) in which we are deemed to be a large accelerated filer, which means the market value of our common stock that is held by non</w:t>
      </w:r>
      <w:r>
        <w:rPr>
          <w:rFonts w:ascii="MS PGothic" w:cs="MS PGothic" w:eastAsia="MS PGothic" w:hAnsi="MS PGothic"/>
          <w:sz w:val="17"/>
          <w:szCs w:val="17"/>
          <w:color w:val="auto"/>
        </w:rPr>
        <w:t>‑</w:t>
      </w:r>
      <w:r>
        <w:rPr>
          <w:rFonts w:ascii="Arial" w:cs="Arial" w:eastAsia="Arial" w:hAnsi="Arial"/>
          <w:sz w:val="17"/>
          <w:szCs w:val="17"/>
          <w:color w:val="auto"/>
        </w:rPr>
        <w:t>affiliates exceeds $700 million as of the prior June 30</w:t>
      </w:r>
      <w:r>
        <w:rPr>
          <w:rFonts w:ascii="Arial" w:cs="Arial" w:eastAsia="Arial" w:hAnsi="Arial"/>
          <w:sz w:val="8"/>
          <w:szCs w:val="8"/>
          <w:color w:val="auto"/>
        </w:rPr>
        <w:t>th</w:t>
      </w:r>
      <w:r>
        <w:rPr>
          <w:rFonts w:ascii="Arial" w:cs="Arial" w:eastAsia="Arial" w:hAnsi="Arial"/>
          <w:sz w:val="17"/>
          <w:szCs w:val="17"/>
          <w:color w:val="auto"/>
        </w:rPr>
        <w:t>, and (3) the date on which we have issued more than $1.0 billion in non</w:t>
      </w:r>
      <w:r>
        <w:rPr>
          <w:rFonts w:ascii="MS PGothic" w:cs="MS PGothic" w:eastAsia="MS PGothic" w:hAnsi="MS PGothic"/>
          <w:sz w:val="17"/>
          <w:szCs w:val="17"/>
          <w:color w:val="auto"/>
        </w:rPr>
        <w:t>‑</w:t>
      </w:r>
      <w:r>
        <w:rPr>
          <w:rFonts w:ascii="Arial" w:cs="Arial" w:eastAsia="Arial" w:hAnsi="Arial"/>
          <w:sz w:val="17"/>
          <w:szCs w:val="17"/>
          <w:color w:val="auto"/>
        </w:rPr>
        <w:t>convertible debt during the prior three</w:t>
      </w:r>
      <w:r>
        <w:rPr>
          <w:rFonts w:ascii="MS PGothic" w:cs="MS PGothic" w:eastAsia="MS PGothic" w:hAnsi="MS PGothic"/>
          <w:sz w:val="17"/>
          <w:szCs w:val="17"/>
          <w:color w:val="auto"/>
        </w:rPr>
        <w:t>‑</w:t>
      </w:r>
      <w:r>
        <w:rPr>
          <w:rFonts w:ascii="Arial" w:cs="Arial" w:eastAsia="Arial" w:hAnsi="Arial"/>
          <w:sz w:val="17"/>
          <w:szCs w:val="17"/>
          <w:color w:val="auto"/>
        </w:rPr>
        <w:t>year period. To the extent we are no longer eligible to use exemptions from various reporting requirements under the JOBS Act, we may be unable to realize our anticipated cost savings from these exemptions, which could have a material adverse impact on our operating results.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use of our net operating loss carryforwards and research tax credits may be limited.</w:t>
      </w:r>
    </w:p>
    <w:p>
      <w:pPr>
        <w:spacing w:after="0" w:line="185" w:lineRule="exact"/>
        <w:rPr>
          <w:sz w:val="20"/>
          <w:szCs w:val="20"/>
          <w:color w:val="auto"/>
        </w:rPr>
      </w:pPr>
    </w:p>
    <w:p>
      <w:pPr>
        <w:ind w:firstLine="648"/>
        <w:spacing w:after="0"/>
        <w:rPr>
          <w:sz w:val="20"/>
          <w:szCs w:val="20"/>
          <w:color w:val="auto"/>
        </w:rPr>
      </w:pPr>
      <w:r>
        <w:rPr>
          <w:rFonts w:ascii="Arial" w:cs="Arial" w:eastAsia="Arial" w:hAnsi="Arial"/>
          <w:sz w:val="16"/>
          <w:szCs w:val="16"/>
          <w:color w:val="auto"/>
        </w:rPr>
        <w:t>Our net operating loss carryforwards and any future research and development tax credits may expire and not be used. As of December 31, 2017, we had U.S. net operating loss carryforwards of approximately $61 million. Our net operating loss carryforwards arising in taxable years ending on or prior to December 31, 2017 will begin expiring in 2033 if we have not used them prior to that time. Net operating loss carry forwards arising in taxable years ending after December 31, 2017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 The completion of our initial public offering, together with our March 2017 public offering and December 2017 registered direct offering, private placements and other transactions that have occurred, may trigger, or may have already triggered, such an ownership change. In addition, since we will need to raise substantial additional funding to finance our operations, we may undergo further ownership changes in the future. We have never completed an analysis as to whether such a change of ownership has occurred, but in such an event, we will be limited regarding the amount of net operating loss carryforwards and research tax credits that could be utilized annually in the future to offset taxable income or tax, respectively. Any such annual limitation may significantly reduce the utilization of the net operating loss carryforwards and research tax credits before they expire. In addition, certain states have suspended use of net operating loss carryforwards for certain taxable years, and other states are considering similar measures. As a result, we may incur higher state income tax expense in the future. Depending on our future tax position, continued suspension of our ability to use net operating loss carryforwards in states in which we are subject to income tax could have an adverse impact on our results of operations and financial condition.</w:t>
      </w:r>
    </w:p>
    <w:p>
      <w:pPr>
        <w:spacing w:after="0" w:line="240"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b w:val="1"/>
          <w:bCs w:val="1"/>
          <w:i w:val="1"/>
          <w:iCs w:val="1"/>
          <w:color w:val="auto"/>
        </w:rPr>
        <w:t>Because we do not intend to pay dividends on our common stock, your returns will be limited to any increase in the value of our stock.</w:t>
      </w:r>
    </w:p>
    <w:p>
      <w:pPr>
        <w:spacing w:after="0" w:line="162"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all available funds and any future earnings to support our operations and finance the growth and development of our business and do not anticipate declaring or paying any cash dividends on our common stock for the foreseeable future. Any return to stockholders will therefore be limited to the appreciation of their stock, if any. Investors seeking cash dividends should not purchase our common stock.</w:t>
      </w:r>
    </w:p>
    <w:p>
      <w:pPr>
        <w:spacing w:after="0" w:line="162"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63" w:lineRule="exact"/>
        <w:rPr>
          <w:sz w:val="20"/>
          <w:szCs w:val="20"/>
          <w:color w:val="auto"/>
        </w:rPr>
      </w:pPr>
    </w:p>
    <w:p>
      <w:pPr>
        <w:ind w:right="20" w:firstLine="648"/>
        <w:spacing w:after="0" w:line="211" w:lineRule="auto"/>
        <w:rPr>
          <w:sz w:val="20"/>
          <w:szCs w:val="20"/>
          <w:color w:val="auto"/>
        </w:rPr>
      </w:pPr>
      <w:r>
        <w:rPr>
          <w:rFonts w:ascii="Arial" w:cs="Arial" w:eastAsia="Arial" w:hAnsi="Arial"/>
          <w:sz w:val="18"/>
          <w:szCs w:val="18"/>
          <w:color w:val="auto"/>
        </w:rPr>
        <w:t>There are provisions in our amended and restated certificate of incorporation and amended and restated bylaws that may make it difficult for a third party to acquire, or attempt to acquire, control of our company, even if a change in control was considered favorable by you and other stockholders. For example, our board of directors will have the authority to issue up to 10,000,000 shares of preferred stock and to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87" w:name="page88"/>
    <w:bookmarkEnd w:id="8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9" w:firstLine="648"/>
        <w:spacing w:after="0" w:line="184" w:lineRule="exact"/>
        <w:rPr>
          <w:sz w:val="20"/>
          <w:szCs w:val="20"/>
          <w:color w:val="auto"/>
        </w:rPr>
      </w:pPr>
      <w:r>
        <w:rPr>
          <w:rFonts w:ascii="Arial" w:cs="Arial" w:eastAsia="Arial" w:hAnsi="Arial"/>
          <w:sz w:val="16"/>
          <w:szCs w:val="16"/>
          <w:color w:val="auto"/>
        </w:rPr>
        <w:t>In addition, we are subject to the anti</w:t>
      </w:r>
      <w:r>
        <w:rPr>
          <w:rFonts w:ascii="MS PGothic" w:cs="MS PGothic" w:eastAsia="MS PGothic" w:hAnsi="MS PGothic"/>
          <w:sz w:val="16"/>
          <w:szCs w:val="16"/>
          <w:color w:val="auto"/>
        </w:rPr>
        <w:t>‑</w:t>
      </w:r>
      <w:r>
        <w:rPr>
          <w:rFonts w:ascii="Arial" w:cs="Arial" w:eastAsia="Arial" w:hAnsi="Arial"/>
          <w:sz w:val="16"/>
          <w:szCs w:val="16"/>
          <w:color w:val="auto"/>
        </w:rPr>
        <w:t>takeover provisions of Section 203 of the Delaware General Corporation Law, or DGCL,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66" w:lineRule="exact"/>
        <w:rPr>
          <w:sz w:val="20"/>
          <w:szCs w:val="20"/>
          <w:color w:val="auto"/>
        </w:rPr>
      </w:pPr>
    </w:p>
    <w:p>
      <w:pPr>
        <w:ind w:right="199"/>
        <w:spacing w:after="0" w:line="219"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state or federal courts located in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63" w:lineRule="exact"/>
        <w:rPr>
          <w:sz w:val="20"/>
          <w:szCs w:val="20"/>
          <w:color w:val="auto"/>
        </w:rPr>
      </w:pPr>
    </w:p>
    <w:p>
      <w:pPr>
        <w:ind w:right="19" w:firstLine="648"/>
        <w:spacing w:after="0" w:line="220" w:lineRule="auto"/>
        <w:rPr>
          <w:sz w:val="20"/>
          <w:szCs w:val="20"/>
          <w:color w:val="auto"/>
        </w:rPr>
      </w:pPr>
      <w:r>
        <w:rPr>
          <w:rFonts w:ascii="Arial" w:cs="Arial" w:eastAsia="Arial" w:hAnsi="Arial"/>
          <w:sz w:val="17"/>
          <w:szCs w:val="17"/>
          <w:color w:val="auto"/>
        </w:rPr>
        <w:t>Our amended and restated certificate of incorporation provides that, subject to limited exceptions, the state and federal courts located in the State of Delaware will be the sole and exclusive forum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DGCL, our amended and restated certificate of incorporation or our amended and restated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89" w:lineRule="exact"/>
        <w:rPr>
          <w:sz w:val="20"/>
          <w:szCs w:val="20"/>
          <w:color w:val="auto"/>
        </w:rPr>
      </w:pPr>
    </w:p>
    <w:p>
      <w:pPr>
        <w:ind w:right="319"/>
        <w:spacing w:after="0" w:line="235" w:lineRule="auto"/>
        <w:rPr>
          <w:sz w:val="20"/>
          <w:szCs w:val="20"/>
          <w:color w:val="auto"/>
        </w:rPr>
      </w:pPr>
      <w:r>
        <w:rPr>
          <w:rFonts w:ascii="Arial" w:cs="Arial" w:eastAsia="Arial" w:hAnsi="Arial"/>
          <w:sz w:val="18"/>
          <w:szCs w:val="18"/>
          <w:color w:val="auto"/>
        </w:rPr>
        <w:t>The exhibits filed as part of this Quarterly Report on Form 10-Q are set forth on the Exhibit Index, which is incorporated herein by reference.</w:t>
      </w: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88" w:name="page89"/>
    <w:bookmarkEnd w:id="8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2040" w:type="dxa"/>
            <w:vAlign w:val="bottom"/>
          </w:tcPr>
          <w:p>
            <w:pPr>
              <w:spacing w:after="0"/>
              <w:rPr>
                <w:sz w:val="20"/>
                <w:szCs w:val="20"/>
                <w:color w:val="auto"/>
              </w:rPr>
            </w:pPr>
          </w:p>
        </w:tc>
        <w:tc>
          <w:tcPr>
            <w:tcW w:w="3300" w:type="dxa"/>
            <w:vAlign w:val="bottom"/>
          </w:tcPr>
          <w:p>
            <w:pPr>
              <w:ind w:left="1520"/>
              <w:spacing w:after="0"/>
              <w:rPr>
                <w:sz w:val="20"/>
                <w:szCs w:val="20"/>
                <w:color w:val="auto"/>
              </w:rPr>
            </w:pPr>
            <w:r>
              <w:rPr>
                <w:rFonts w:ascii="Arial" w:cs="Arial" w:eastAsia="Arial" w:hAnsi="Arial"/>
                <w:sz w:val="18"/>
                <w:szCs w:val="18"/>
                <w:b w:val="1"/>
                <w:bCs w:val="1"/>
                <w:color w:val="auto"/>
              </w:rPr>
              <w:t>INDEX OF EXHIBITS</w:t>
            </w:r>
          </w:p>
        </w:tc>
        <w:tc>
          <w:tcPr>
            <w:tcW w:w="0" w:type="dxa"/>
            <w:vAlign w:val="bottom"/>
          </w:tcPr>
          <w:p>
            <w:pPr>
              <w:spacing w:after="0"/>
              <w:rPr>
                <w:sz w:val="1"/>
                <w:szCs w:val="1"/>
                <w:color w:val="auto"/>
              </w:rPr>
            </w:pPr>
          </w:p>
        </w:tc>
      </w:tr>
      <w:tr>
        <w:trPr>
          <w:trHeight w:val="342"/>
        </w:trPr>
        <w:tc>
          <w:tcPr>
            <w:tcW w:w="2040" w:type="dxa"/>
            <w:vAlign w:val="bottom"/>
          </w:tcPr>
          <w:p>
            <w:pPr>
              <w:ind w:left="40"/>
              <w:spacing w:after="0"/>
              <w:rPr>
                <w:sz w:val="20"/>
                <w:szCs w:val="20"/>
                <w:color w:val="auto"/>
              </w:rPr>
            </w:pPr>
            <w:r>
              <w:rPr>
                <w:rFonts w:ascii="Arial" w:cs="Arial" w:eastAsia="Arial" w:hAnsi="Arial"/>
                <w:sz w:val="14"/>
                <w:szCs w:val="14"/>
                <w:b w:val="1"/>
                <w:bCs w:val="1"/>
                <w:color w:val="auto"/>
              </w:rPr>
              <w:t>Exhibit</w:t>
            </w:r>
          </w:p>
        </w:tc>
        <w:tc>
          <w:tcPr>
            <w:tcW w:w="3300" w:type="dxa"/>
            <w:vAlign w:val="bottom"/>
            <w:vMerge w:val="restart"/>
          </w:tcPr>
          <w:p>
            <w:pPr>
              <w:ind w:left="25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20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57543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ind w:left="860" w:right="599" w:hanging="706"/>
        <w:spacing w:after="0" w:line="219" w:lineRule="auto"/>
        <w:tabs>
          <w:tab w:leader="none" w:pos="840" w:val="left"/>
        </w:tabs>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10.1</w:t>
        </w:r>
      </w:hyperlink>
      <w:r>
        <w:rPr>
          <w:rFonts w:ascii="Arial" w:cs="Arial" w:eastAsia="Arial" w:hAnsi="Arial"/>
          <w:sz w:val="18"/>
          <w:szCs w:val="18"/>
          <w:u w:val="single" w:color="auto"/>
          <w:color w:val="0000EE"/>
        </w:rPr>
        <w:tab/>
      </w:r>
      <w:hyperlink w:anchor="page91">
        <w:r>
          <w:rPr>
            <w:rFonts w:ascii="Arial" w:cs="Arial" w:eastAsia="Arial" w:hAnsi="Arial"/>
            <w:sz w:val="18"/>
            <w:szCs w:val="18"/>
            <w:u w:val="single" w:color="auto"/>
            <w:color w:val="0000EE"/>
          </w:rPr>
          <w:t>Nick Pizzie Offer Letter, dated April 16, 2018 (Incorporated by reference, Exhibit 10.1 to the Company’s</w:t>
        </w:r>
      </w:hyperlink>
      <w:r>
        <w:rPr>
          <w:rFonts w:ascii="Arial" w:cs="Arial" w:eastAsia="Arial" w:hAnsi="Arial"/>
          <w:sz w:val="18"/>
          <w:szCs w:val="18"/>
          <w:u w:val="single" w:color="auto"/>
          <w:color w:val="0000EE"/>
        </w:rPr>
        <w:t xml:space="preserve"> </w:t>
      </w:r>
      <w:hyperlink w:anchor="page91">
        <w:r>
          <w:rPr>
            <w:rFonts w:ascii="Arial" w:cs="Arial" w:eastAsia="Arial" w:hAnsi="Arial"/>
            <w:sz w:val="18"/>
            <w:szCs w:val="18"/>
            <w:u w:val="single" w:color="auto"/>
            <w:color w:val="0000EE"/>
          </w:rPr>
          <w:t>Quarterly Report on Form 10-Q, filed May 8, 2018).</w:t>
        </w:r>
      </w:hyperlink>
    </w:p>
    <w:p>
      <w:pPr>
        <w:spacing w:after="0" w:line="1" w:lineRule="exact"/>
        <w:rPr>
          <w:rFonts w:ascii="Arial" w:cs="Arial" w:eastAsia="Arial" w:hAnsi="Arial"/>
          <w:sz w:val="18"/>
          <w:szCs w:val="18"/>
          <w:u w:val="single" w:color="auto"/>
          <w:color w:val="0000EE"/>
        </w:rPr>
      </w:pPr>
    </w:p>
    <w:p>
      <w:pPr>
        <w:ind w:left="860" w:right="599" w:hanging="706"/>
        <w:spacing w:after="0" w:line="219" w:lineRule="auto"/>
        <w:tabs>
          <w:tab w:leader="none" w:pos="840" w:val="left"/>
        </w:tabs>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31.1</w:t>
        </w:r>
      </w:hyperlink>
      <w:r>
        <w:rPr>
          <w:rFonts w:ascii="Arial" w:cs="Arial" w:eastAsia="Arial" w:hAnsi="Arial"/>
          <w:sz w:val="18"/>
          <w:szCs w:val="18"/>
          <w:u w:val="single" w:color="auto"/>
          <w:color w:val="0000EE"/>
        </w:rPr>
        <w:tab/>
      </w:r>
      <w:hyperlink w:anchor="page95">
        <w:r>
          <w:rPr>
            <w:rFonts w:ascii="Arial" w:cs="Arial" w:eastAsia="Arial" w:hAnsi="Arial"/>
            <w:sz w:val="18"/>
            <w:szCs w:val="18"/>
            <w:u w:val="single" w:color="auto"/>
            <w:color w:val="0000EE"/>
          </w:rPr>
          <w:t>Certification of Principal Executive Officer pursuant to Rule 13a-14(a)/15d-14(a), as adopted pursuant to</w:t>
        </w:r>
      </w:hyperlink>
      <w:r>
        <w:rPr>
          <w:rFonts w:ascii="Arial" w:cs="Arial" w:eastAsia="Arial" w:hAnsi="Arial"/>
          <w:sz w:val="18"/>
          <w:szCs w:val="18"/>
          <w:u w:val="single" w:color="auto"/>
          <w:color w:val="0000EE"/>
        </w:rPr>
        <w:t xml:space="preserve"> </w:t>
      </w:r>
      <w:hyperlink w:anchor="page95">
        <w:r>
          <w:rPr>
            <w:rFonts w:ascii="Arial" w:cs="Arial" w:eastAsia="Arial" w:hAnsi="Arial"/>
            <w:sz w:val="18"/>
            <w:szCs w:val="18"/>
            <w:u w:val="single" w:color="auto"/>
            <w:color w:val="0000EE"/>
          </w:rPr>
          <w:t>Section 302 of the Sarbanes-Oxley Act of 2002.</w:t>
        </w:r>
      </w:hyperlink>
    </w:p>
    <w:p>
      <w:pPr>
        <w:ind w:left="860" w:right="659" w:hanging="706"/>
        <w:spacing w:after="0" w:line="219" w:lineRule="auto"/>
        <w:tabs>
          <w:tab w:leader="none" w:pos="840" w:val="left"/>
        </w:tabs>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31.2</w:t>
        </w:r>
      </w:hyperlink>
      <w:r>
        <w:rPr>
          <w:rFonts w:ascii="Arial" w:cs="Arial" w:eastAsia="Arial" w:hAnsi="Arial"/>
          <w:sz w:val="18"/>
          <w:szCs w:val="18"/>
          <w:u w:val="single" w:color="auto"/>
          <w:color w:val="0000EE"/>
        </w:rPr>
        <w:tab/>
      </w:r>
      <w:hyperlink w:anchor="page96">
        <w:r>
          <w:rPr>
            <w:rFonts w:ascii="Arial" w:cs="Arial" w:eastAsia="Arial" w:hAnsi="Arial"/>
            <w:sz w:val="18"/>
            <w:szCs w:val="18"/>
            <w:u w:val="single" w:color="auto"/>
            <w:color w:val="0000EE"/>
          </w:rPr>
          <w:t>Certification of Principal Financial Officer pursuant to Rule 13a-14(a)/15d-14(a), as adopted pursuant to</w:t>
        </w:r>
      </w:hyperlink>
      <w:r>
        <w:rPr>
          <w:rFonts w:ascii="Arial" w:cs="Arial" w:eastAsia="Arial" w:hAnsi="Arial"/>
          <w:sz w:val="18"/>
          <w:szCs w:val="18"/>
          <w:u w:val="single" w:color="auto"/>
          <w:color w:val="0000EE"/>
        </w:rPr>
        <w:t xml:space="preserve"> </w:t>
      </w:r>
      <w:hyperlink w:anchor="page96">
        <w:r>
          <w:rPr>
            <w:rFonts w:ascii="Arial" w:cs="Arial" w:eastAsia="Arial" w:hAnsi="Arial"/>
            <w:sz w:val="18"/>
            <w:szCs w:val="18"/>
            <w:u w:val="single" w:color="auto"/>
            <w:color w:val="0000EE"/>
          </w:rPr>
          <w:t>Section 302 of the Sarbanes-Oxley Act of 2002.</w:t>
        </w:r>
      </w:hyperlink>
    </w:p>
    <w:p>
      <w:pPr>
        <w:ind w:left="860" w:right="139" w:hanging="706"/>
        <w:spacing w:after="0" w:line="219" w:lineRule="auto"/>
        <w:tabs>
          <w:tab w:leader="none" w:pos="840" w:val="left"/>
        </w:tabs>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32.1</w:t>
        </w:r>
      </w:hyperlink>
      <w:r>
        <w:rPr>
          <w:rFonts w:ascii="Arial" w:cs="Arial" w:eastAsia="Arial" w:hAnsi="Arial"/>
          <w:sz w:val="18"/>
          <w:szCs w:val="18"/>
          <w:u w:val="single" w:color="auto"/>
          <w:color w:val="0000EE"/>
        </w:rPr>
        <w:tab/>
      </w:r>
      <w:hyperlink w:anchor="page97">
        <w:r>
          <w:rPr>
            <w:rFonts w:ascii="Arial" w:cs="Arial" w:eastAsia="Arial" w:hAnsi="Arial"/>
            <w:sz w:val="18"/>
            <w:szCs w:val="18"/>
            <w:u w:val="single" w:color="auto"/>
            <w:color w:val="0000EE"/>
          </w:rPr>
          <w:t>Certification of Principal Executive Officer pursuant to 18 U.S.C. §1350, as adopted pursuant to Section 906 of</w:t>
        </w:r>
      </w:hyperlink>
      <w:r>
        <w:rPr>
          <w:rFonts w:ascii="Arial" w:cs="Arial" w:eastAsia="Arial" w:hAnsi="Arial"/>
          <w:sz w:val="18"/>
          <w:szCs w:val="18"/>
          <w:u w:val="single" w:color="auto"/>
          <w:color w:val="0000EE"/>
        </w:rPr>
        <w:t xml:space="preserve"> </w:t>
      </w:r>
      <w:hyperlink w:anchor="page97">
        <w:r>
          <w:rPr>
            <w:rFonts w:ascii="Arial" w:cs="Arial" w:eastAsia="Arial" w:hAnsi="Arial"/>
            <w:sz w:val="18"/>
            <w:szCs w:val="18"/>
            <w:u w:val="single" w:color="auto"/>
            <w:color w:val="0000EE"/>
          </w:rPr>
          <w:t>the Sarbanes-Oxley Act of 2002 (furnished herewith).</w:t>
        </w:r>
      </w:hyperlink>
    </w:p>
    <w:p>
      <w:pPr>
        <w:ind w:left="860" w:right="199" w:hanging="706"/>
        <w:spacing w:after="0" w:line="219" w:lineRule="auto"/>
        <w:tabs>
          <w:tab w:leader="none" w:pos="840" w:val="left"/>
        </w:tabs>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32.2</w:t>
        </w:r>
      </w:hyperlink>
      <w:r>
        <w:rPr>
          <w:rFonts w:ascii="Arial" w:cs="Arial" w:eastAsia="Arial" w:hAnsi="Arial"/>
          <w:sz w:val="18"/>
          <w:szCs w:val="18"/>
          <w:u w:val="single" w:color="auto"/>
          <w:color w:val="0000EE"/>
        </w:rPr>
        <w:tab/>
      </w:r>
      <w:hyperlink w:anchor="page98">
        <w:r>
          <w:rPr>
            <w:rFonts w:ascii="Arial" w:cs="Arial" w:eastAsia="Arial" w:hAnsi="Arial"/>
            <w:sz w:val="18"/>
            <w:szCs w:val="18"/>
            <w:u w:val="single" w:color="auto"/>
            <w:color w:val="0000EE"/>
          </w:rPr>
          <w:t>Certification of Principal Financial Officer pursuant to 18 U.S.C. §1350, as adopted pursuant to Section 906 of</w:t>
        </w:r>
      </w:hyperlink>
      <w:r>
        <w:rPr>
          <w:rFonts w:ascii="Arial" w:cs="Arial" w:eastAsia="Arial" w:hAnsi="Arial"/>
          <w:sz w:val="18"/>
          <w:szCs w:val="18"/>
          <w:u w:val="single" w:color="auto"/>
          <w:color w:val="0000EE"/>
        </w:rPr>
        <w:t xml:space="preserve"> </w:t>
      </w:r>
      <w:hyperlink w:anchor="page98">
        <w:r>
          <w:rPr>
            <w:rFonts w:ascii="Arial" w:cs="Arial" w:eastAsia="Arial" w:hAnsi="Arial"/>
            <w:sz w:val="18"/>
            <w:szCs w:val="18"/>
            <w:u w:val="single" w:color="auto"/>
            <w:color w:val="0000EE"/>
          </w:rPr>
          <w:t>the Sarbanes-Oxley Act of 2002 (furnished herewith).</w:t>
        </w:r>
      </w:hyperlink>
    </w:p>
    <w:p>
      <w:pPr>
        <w:ind w:left="860" w:right="119" w:hanging="654"/>
        <w:spacing w:after="0" w:line="229" w:lineRule="auto"/>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Interactive data files pursuant to Rule 405 of Regulation S-T: (i) Consolidated Balance Sheets, (ii) Consolidated Statements of Operations, (iii) Consolidated Statements of Cash Flows, and (iv) the Notes to Consolidated Financial Statements.</w:t>
      </w:r>
    </w:p>
    <w:p>
      <w:pPr>
        <w:spacing w:after="0" w:line="200" w:lineRule="exact"/>
        <w:rPr>
          <w:rFonts w:ascii="Arial" w:cs="Arial" w:eastAsia="Arial" w:hAnsi="Arial"/>
          <w:sz w:val="18"/>
          <w:szCs w:val="18"/>
          <w:u w:val="single" w:color="auto"/>
          <w:color w:val="0000EE"/>
        </w:rPr>
      </w:pPr>
    </w:p>
    <w:p>
      <w:pPr>
        <w:spacing w:after="0" w:line="366" w:lineRule="exact"/>
        <w:rPr>
          <w:rFonts w:ascii="Arial" w:cs="Arial" w:eastAsia="Arial" w:hAnsi="Arial"/>
          <w:sz w:val="18"/>
          <w:szCs w:val="18"/>
          <w:u w:val="single" w:color="auto"/>
          <w:color w:val="0000EE"/>
        </w:rPr>
      </w:pPr>
    </w:p>
    <w:p>
      <w:pPr>
        <w:jc w:val="center"/>
        <w:ind w:right="-20"/>
        <w:spacing w:after="0"/>
        <w:rPr>
          <w:sz w:val="20"/>
          <w:szCs w:val="20"/>
          <w:color w:val="auto"/>
        </w:rPr>
      </w:pPr>
      <w:r>
        <w:rPr>
          <w:rFonts w:ascii="Arial" w:cs="Arial" w:eastAsia="Arial" w:hAnsi="Arial"/>
          <w:sz w:val="18"/>
          <w:szCs w:val="18"/>
          <w:color w:val="auto"/>
        </w:rPr>
        <w:t>89</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89" w:name="page90"/>
    <w:bookmarkEnd w:id="8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59" w:firstLine="648"/>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AXSOME THERAPEUTICS, INC.</w:t>
      </w:r>
    </w:p>
    <w:p>
      <w:pPr>
        <w:spacing w:after="0" w:line="171" w:lineRule="exact"/>
        <w:rPr>
          <w:sz w:val="20"/>
          <w:szCs w:val="20"/>
          <w:color w:val="auto"/>
        </w:rPr>
      </w:pPr>
    </w:p>
    <w:p>
      <w:pPr>
        <w:ind w:left="80"/>
        <w:spacing w:after="0"/>
        <w:tabs>
          <w:tab w:leader="none" w:pos="4680" w:val="left"/>
          <w:tab w:leader="none" w:pos="5120" w:val="left"/>
        </w:tabs>
        <w:rPr>
          <w:sz w:val="20"/>
          <w:szCs w:val="20"/>
          <w:color w:val="auto"/>
        </w:rPr>
      </w:pPr>
      <w:r>
        <w:rPr>
          <w:rFonts w:ascii="Arial" w:cs="Arial" w:eastAsia="Arial" w:hAnsi="Arial"/>
          <w:sz w:val="18"/>
          <w:szCs w:val="18"/>
          <w:color w:val="auto"/>
        </w:rPr>
        <w:t>Date: August 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3260725</wp:posOffset>
            </wp:positionH>
            <wp:positionV relativeFrom="paragraph">
              <wp:posOffset>6350</wp:posOffset>
            </wp:positionV>
            <wp:extent cx="244411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Herriot Tabuteau, M.D.</w:t>
      </w:r>
    </w:p>
    <w:p>
      <w:pPr>
        <w:ind w:left="5140"/>
        <w:spacing w:after="0" w:line="219" w:lineRule="auto"/>
        <w:rPr>
          <w:sz w:val="20"/>
          <w:szCs w:val="20"/>
          <w:color w:val="auto"/>
        </w:rPr>
      </w:pPr>
      <w:r>
        <w:rPr>
          <w:rFonts w:ascii="Arial" w:cs="Arial" w:eastAsia="Arial" w:hAnsi="Arial"/>
          <w:sz w:val="18"/>
          <w:szCs w:val="18"/>
          <w:i w:val="1"/>
          <w:iCs w:val="1"/>
          <w:color w:val="auto"/>
        </w:rPr>
        <w:t>President and Chief Executive Officer</w:t>
      </w:r>
    </w:p>
    <w:p>
      <w:pPr>
        <w:ind w:left="5140"/>
        <w:spacing w:after="0"/>
        <w:rPr>
          <w:sz w:val="20"/>
          <w:szCs w:val="20"/>
          <w:color w:val="auto"/>
        </w:rPr>
      </w:pPr>
      <w:r>
        <w:rPr>
          <w:rFonts w:ascii="Arial" w:cs="Arial" w:eastAsia="Arial" w:hAnsi="Arial"/>
          <w:sz w:val="18"/>
          <w:szCs w:val="18"/>
          <w:i w:val="1"/>
          <w:iCs w:val="1"/>
          <w:color w:val="auto"/>
        </w:rPr>
        <w:t>(Principal Executive Officer)</w:t>
      </w:r>
    </w:p>
    <w:p>
      <w:pPr>
        <w:spacing w:after="0" w:line="358" w:lineRule="exact"/>
        <w:rPr>
          <w:sz w:val="20"/>
          <w:szCs w:val="20"/>
          <w:color w:val="auto"/>
        </w:rPr>
      </w:pPr>
    </w:p>
    <w:p>
      <w:pPr>
        <w:ind w:left="80"/>
        <w:spacing w:after="0"/>
        <w:tabs>
          <w:tab w:leader="none" w:pos="4680" w:val="left"/>
          <w:tab w:leader="none" w:pos="5120" w:val="left"/>
        </w:tabs>
        <w:rPr>
          <w:sz w:val="20"/>
          <w:szCs w:val="20"/>
          <w:color w:val="auto"/>
        </w:rPr>
      </w:pPr>
      <w:r>
        <w:rPr>
          <w:rFonts w:ascii="Arial" w:cs="Arial" w:eastAsia="Arial" w:hAnsi="Arial"/>
          <w:sz w:val="18"/>
          <w:szCs w:val="18"/>
          <w:color w:val="auto"/>
        </w:rPr>
        <w:t>Date: August 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3260725</wp:posOffset>
            </wp:positionH>
            <wp:positionV relativeFrom="paragraph">
              <wp:posOffset>6350</wp:posOffset>
            </wp:positionV>
            <wp:extent cx="244411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Nick Pizzie</w:t>
      </w:r>
    </w:p>
    <w:p>
      <w:pPr>
        <w:ind w:left="5140"/>
        <w:spacing w:after="0" w:line="219" w:lineRule="auto"/>
        <w:rPr>
          <w:sz w:val="20"/>
          <w:szCs w:val="20"/>
          <w:color w:val="auto"/>
        </w:rPr>
      </w:pPr>
      <w:r>
        <w:rPr>
          <w:rFonts w:ascii="Arial" w:cs="Arial" w:eastAsia="Arial" w:hAnsi="Arial"/>
          <w:sz w:val="18"/>
          <w:szCs w:val="18"/>
          <w:i w:val="1"/>
          <w:iCs w:val="1"/>
          <w:color w:val="auto"/>
        </w:rPr>
        <w:t>Chief Financial Officer</w:t>
      </w:r>
    </w:p>
    <w:p>
      <w:pPr>
        <w:ind w:left="51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90" w:name="page91"/>
    <w:bookmarkEnd w:id="90"/>
    <w:p>
      <w:pPr>
        <w:ind w:left="6620"/>
        <w:spacing w:after="0"/>
        <w:rPr>
          <w:sz w:val="20"/>
          <w:szCs w:val="20"/>
          <w:color w:val="auto"/>
        </w:rPr>
      </w:pPr>
      <w:r>
        <w:rPr>
          <w:rFonts w:ascii="Arial" w:cs="Arial" w:eastAsia="Arial" w:hAnsi="Arial"/>
          <w:sz w:val="18"/>
          <w:szCs w:val="18"/>
          <w:b w:val="1"/>
          <w:bCs w:val="1"/>
          <w:color w:val="767171"/>
        </w:rPr>
        <w:t>Exhibit 10.1</w:t>
      </w:r>
    </w:p>
    <w:p>
      <w:pPr>
        <w:spacing w:after="0" w:line="21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767171"/>
        </w:rPr>
        <w:t>Axsome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-50800</wp:posOffset>
            </wp:positionV>
            <wp:extent cx="1586230" cy="4718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586230" cy="47180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Arial" w:cs="Arial" w:eastAsia="Arial" w:hAnsi="Arial"/>
          <w:sz w:val="18"/>
          <w:szCs w:val="18"/>
          <w:color w:val="767171"/>
        </w:rPr>
        <w:t>25 Broadway</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767171"/>
        </w:rPr>
        <w:t>9</w:t>
      </w:r>
      <w:r>
        <w:rPr>
          <w:rFonts w:ascii="Arial" w:cs="Arial" w:eastAsia="Arial" w:hAnsi="Arial"/>
          <w:sz w:val="8"/>
          <w:szCs w:val="8"/>
          <w:color w:val="767171"/>
        </w:rPr>
        <w:t>th</w:t>
      </w:r>
      <w:r>
        <w:rPr>
          <w:rFonts w:ascii="Arial" w:cs="Arial" w:eastAsia="Arial" w:hAnsi="Arial"/>
          <w:sz w:val="18"/>
          <w:szCs w:val="18"/>
          <w:color w:val="767171"/>
        </w:rPr>
        <w:t xml:space="preserve"> Floor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767171"/>
        </w:rPr>
        <w:t>New York, NY 10004</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767171"/>
        </w:rPr>
        <w:t>Tel: +1 212.332.3241</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767171"/>
        </w:rPr>
        <w:t>Fax: +1 212.320.0245</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767171"/>
        </w:rPr>
        <w:t>www.axsome.com</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April 16, 2018</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Nick X. Pizzie, C.P.A., M.B.A.</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2 Smithwold Road</w:t>
      </w:r>
    </w:p>
    <w:p>
      <w:pPr>
        <w:spacing w:after="0"/>
        <w:rPr>
          <w:sz w:val="20"/>
          <w:szCs w:val="20"/>
          <w:color w:val="auto"/>
        </w:rPr>
      </w:pPr>
      <w:r>
        <w:rPr>
          <w:rFonts w:ascii="Arial" w:cs="Arial" w:eastAsia="Arial" w:hAnsi="Arial"/>
          <w:sz w:val="20"/>
          <w:szCs w:val="20"/>
          <w:color w:val="auto"/>
        </w:rPr>
        <w:t>Somerset, NJ 08873</w:t>
      </w: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color w:val="auto"/>
        </w:rPr>
        <w:t>Dear Nick:</w:t>
      </w:r>
    </w:p>
    <w:p>
      <w:pPr>
        <w:spacing w:after="0" w:line="10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 am pleased to officially offer you the opportunity to join us at Axsome Therapeutics, Inc. (the “Company”). I truly believe that you will be a great addition to our team. Subject to compliance with the terms and conditions of this letter, we are pleased to offer you employment in the position of Chief Financial Officer. The terms of your employment will include:</w:t>
      </w:r>
    </w:p>
    <w:p>
      <w:pPr>
        <w:spacing w:after="0" w:line="83" w:lineRule="exact"/>
        <w:rPr>
          <w:sz w:val="20"/>
          <w:szCs w:val="20"/>
          <w:color w:val="auto"/>
        </w:rPr>
      </w:pPr>
    </w:p>
    <w:p>
      <w:pPr>
        <w:jc w:val="both"/>
        <w:ind w:left="660" w:hanging="333"/>
        <w:spacing w:after="0" w:line="255"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9"/>
          <w:szCs w:val="19"/>
          <w:color w:val="auto"/>
        </w:rPr>
        <w:t>Your initial annual base salary will be $325,000 with an anticipated start date of May 16, 2018. Your base salary, less payroll deductions and required withholdings, will be payable in accordance with the Company’s normal payroll practices. You may also receive a discretionary cash bonus up to 40% of your base salary, contingent upon your performance and that of the Company against goals established by the Board of Directors of the Company (“the Board”), and availability of funds. Your bonus for 2018 will be non-prorated, which for the avoidance of doubt means you are eligible, subject to your performance during 2018, to receive the full 2018 bonus amount you would have been eligible for if you were an employee of the Company for the entirety of the 2018 performance year. You will receive a sign-on payment of $15,000. You shall be required to immediately repay to the Company in full all amounts you receive as part of your non-prorated 2018 bonus and the sign-on payment if you terminate your employment with the Company on or prior to the one-year anniversary of your first day of employment with the Company.</w:t>
      </w:r>
    </w:p>
    <w:p>
      <w:pPr>
        <w:spacing w:after="0" w:line="77" w:lineRule="exact"/>
        <w:rPr>
          <w:rFonts w:ascii="Arial" w:cs="Arial" w:eastAsia="Arial" w:hAnsi="Arial"/>
          <w:sz w:val="17"/>
          <w:szCs w:val="17"/>
          <w:color w:val="auto"/>
        </w:rPr>
      </w:pPr>
    </w:p>
    <w:p>
      <w:pPr>
        <w:jc w:val="both"/>
        <w:ind w:left="660" w:hanging="333"/>
        <w:spacing w:after="0" w:line="273"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8"/>
          <w:szCs w:val="18"/>
          <w:color w:val="auto"/>
        </w:rPr>
        <w:t>Subject to approval by the Board, you will receive options to purchase 132,000 shares (the “Shares”) of common stock under the Company’s Equity Compensation Plan (the “Plan”). Such date on which the options are granted to you is referred to as the “Date of Grant.” The options will have an exercise price equal to the fair market value on the Date of Grant, which will be determined by the Board on such date. The options, if approved, will vest over a four-year period as follows: 25% of the Shares will vest on the first anniversary of the Date of Grant, and the remaining 75% of the Shares in equal increments thereafter each quarter of the remaining three years. The options are governed and subject to the Plan and any grant agreements, which you will receive under separate cover.</w:t>
      </w:r>
    </w:p>
    <w:p>
      <w:pPr>
        <w:spacing w:after="0" w:line="61" w:lineRule="exact"/>
        <w:rPr>
          <w:rFonts w:ascii="Arial" w:cs="Arial" w:eastAsia="Arial" w:hAnsi="Arial"/>
          <w:sz w:val="16"/>
          <w:szCs w:val="16"/>
          <w:color w:val="auto"/>
        </w:rPr>
      </w:pPr>
    </w:p>
    <w:p>
      <w:pPr>
        <w:jc w:val="both"/>
        <w:ind w:left="660" w:hanging="333"/>
        <w:spacing w:after="0" w:line="250"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20"/>
          <w:szCs w:val="20"/>
          <w:color w:val="auto"/>
        </w:rPr>
        <w:t>Naturally, your compensation, including base salary, bonus and options, is contingent upon your continued employment with the Company. Your title and compensation will be reviewed periodically (not less often than annually) by the Chief Executive Officer and the Board.</w:t>
      </w:r>
    </w:p>
    <w:p>
      <w:pPr>
        <w:spacing w:after="0" w:line="78" w:lineRule="exact"/>
        <w:rPr>
          <w:rFonts w:ascii="Arial" w:cs="Arial" w:eastAsia="Arial" w:hAnsi="Arial"/>
          <w:sz w:val="18"/>
          <w:szCs w:val="18"/>
          <w:color w:val="auto"/>
        </w:rPr>
      </w:pPr>
    </w:p>
    <w:p>
      <w:pPr>
        <w:jc w:val="both"/>
        <w:ind w:left="660" w:hanging="333"/>
        <w:spacing w:after="0" w:line="260"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9"/>
          <w:szCs w:val="19"/>
          <w:color w:val="auto"/>
        </w:rPr>
        <w:t>You will be eligible to participate in all employee benefit plans or programs of the Company established hereafter and offered generally to similarly situated employees of the Company, subject to the terms and provisions of such plans including applicable waiting periods. Details about these benefits will be made available for your review. The Company retains the right to modify, replace or terminate any or all of its employee benefits plans or programs from time to time.</w:t>
      </w:r>
    </w:p>
    <w:p>
      <w:pPr>
        <w:spacing w:after="0" w:line="72" w:lineRule="exact"/>
        <w:rPr>
          <w:rFonts w:ascii="Arial" w:cs="Arial" w:eastAsia="Arial" w:hAnsi="Arial"/>
          <w:sz w:val="17"/>
          <w:szCs w:val="17"/>
          <w:color w:val="auto"/>
        </w:rPr>
      </w:pPr>
    </w:p>
    <w:p>
      <w:pPr>
        <w:ind w:left="660" w:hanging="333"/>
        <w:spacing w:after="0" w:line="316"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8"/>
          <w:szCs w:val="18"/>
          <w:color w:val="auto"/>
        </w:rPr>
        <w:t>You may terminate your employment with the Company at any time and for any reason whatsoever. Likewise, the Company may terminate your employment at any time and for any reason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161925</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91" w:name="page92"/>
    <w:bookmarkEnd w:id="91"/>
    <w:p>
      <w:pPr>
        <w:ind w:left="640"/>
        <w:spacing w:after="0" w:line="262" w:lineRule="auto"/>
        <w:rPr>
          <w:sz w:val="20"/>
          <w:szCs w:val="20"/>
          <w:color w:val="auto"/>
        </w:rPr>
      </w:pPr>
      <w:r>
        <w:rPr>
          <w:rFonts w:ascii="Arial" w:cs="Arial" w:eastAsia="Arial" w:hAnsi="Arial"/>
          <w:sz w:val="20"/>
          <w:szCs w:val="20"/>
          <w:color w:val="auto"/>
        </w:rPr>
        <w:t>with or without cause or advance notice. This at-will employment relationship cannot be changed except in writing signed by the Chief Executive Officer of the Company.</w:t>
      </w:r>
    </w:p>
    <w:p>
      <w:pPr>
        <w:spacing w:after="0" w:line="66" w:lineRule="exact"/>
        <w:rPr>
          <w:sz w:val="20"/>
          <w:szCs w:val="20"/>
          <w:color w:val="auto"/>
        </w:rPr>
      </w:pPr>
    </w:p>
    <w:p>
      <w:pPr>
        <w:jc w:val="both"/>
        <w:ind w:left="640" w:hanging="333"/>
        <w:spacing w:after="0" w:line="267" w:lineRule="auto"/>
        <w:tabs>
          <w:tab w:leader="none" w:pos="640" w:val="left"/>
        </w:tabs>
        <w:numPr>
          <w:ilvl w:val="0"/>
          <w:numId w:val="41"/>
        </w:numPr>
        <w:rPr>
          <w:rFonts w:ascii="Arial" w:cs="Arial" w:eastAsia="Arial" w:hAnsi="Arial"/>
          <w:sz w:val="16"/>
          <w:szCs w:val="16"/>
          <w:color w:val="auto"/>
        </w:rPr>
      </w:pPr>
      <w:r>
        <w:rPr>
          <w:rFonts w:ascii="Arial" w:cs="Arial" w:eastAsia="Arial" w:hAnsi="Arial"/>
          <w:sz w:val="18"/>
          <w:szCs w:val="18"/>
          <w:color w:val="auto"/>
        </w:rPr>
        <w:t xml:space="preserve">Notwithstanding your at-will employment, in the event the Company terminates your employment without Cause within 12 months of a Change in Control of the Company, you will be eligible to receive severance payments equal to six (6) months of your then existing base salary, with payment beginning within 10 days after the Release (as defined below) becomes irrevocable, effective and enforceable. Payments shall be made in equal monthly installments over a period of 6 months from the date on which the Release becomes irrevocable, effective and enforceable, with each such payment due by the 15th of each month thereafter with the exception of the first payment, which shall be due within 10 days after the Release become irrevocable, effective and enforceable. The Company’s obligation to make any payment or provide any benefit pursuant to this paragraph is contingent upon, and is the consideration for, you executing a comprehensive separation and general release agreement that includes provisions relating to cooperation, non-admissions, non-disclosure, non-disparagement, return of all property and other terms in a form acceptable to the Company (“the Release”) and that becomes effective in accordance with its terms on or before the 60th day after the date of termination. You also must comply and continue to comply with your obligations under the Release and the attached </w:t>
      </w:r>
      <w:r>
        <w:rPr>
          <w:rFonts w:ascii="Arial" w:cs="Arial" w:eastAsia="Arial" w:hAnsi="Arial"/>
          <w:sz w:val="18"/>
          <w:szCs w:val="18"/>
          <w:i w:val="1"/>
          <w:iCs w:val="1"/>
          <w:color w:val="auto"/>
        </w:rPr>
        <w:t>Employee Proprietary Information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Inventions Agreement</w:t>
      </w:r>
      <w:r>
        <w:rPr>
          <w:rFonts w:ascii="Arial" w:cs="Arial" w:eastAsia="Arial" w:hAnsi="Arial"/>
          <w:sz w:val="18"/>
          <w:szCs w:val="18"/>
          <w:color w:val="auto"/>
        </w:rPr>
        <w:t>, and you must reasonably cooperate and be responsive and available upon</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requests by the Company to assist the Company pertaining to areas of the Company’s business of which you have knowledge as a result of your employment hereunder. For the purposes of this paragraph, “Cause” means (i) your repeated intentional failure to perform, or repeated gross negligence in the performance of, one or more of your essential duties and responsibilities to the Company and/or your failure to follow the lawful directives of the Company; (ii) your extended or repeated absence from the Company’s offices or unavailability to perform services hereunder other than as a result of Company-related travel or paid time off; (iii) your conviction of a felony or your commission of any act of fraud, embezzlement, dishonesty or any other willful misconduct that has caused or is reasonably expected to result in material injury to the Company; (iv) your unauthorized use or disclosure of any material proprietary information or trade secrets of the Company or any other party to whom you owe an obligation of nondisclosure as a result of your relationship with the Company; (v) any material breach by you of this Agreement or any related agreements with the Company including, but not limited to, any non-competition or non-solicitation provision; (vi) your deliberate and material violation of any Company policy; (vii) your death or any disability that renders you, in the good faith determination of the Company, unable to perform the essential duties and responsibilities of your job with or without a reasonable accommodation. “Change in Control” means the sale of all or substantially all the assets of the Company; any merger, consolidation or acquisition of the Company with, by or into another corporation, entity or person; or any change in the ownership of more than fifty percent (50%) of the voting capital stock of the Company in one or more related transactions.</w:t>
      </w:r>
    </w:p>
    <w:p>
      <w:pPr>
        <w:spacing w:after="0" w:line="84" w:lineRule="exact"/>
        <w:rPr>
          <w:rFonts w:ascii="Arial" w:cs="Arial" w:eastAsia="Arial" w:hAnsi="Arial"/>
          <w:sz w:val="16"/>
          <w:szCs w:val="16"/>
          <w:color w:val="auto"/>
        </w:rPr>
      </w:pPr>
    </w:p>
    <w:p>
      <w:pPr>
        <w:jc w:val="both"/>
        <w:ind w:left="640" w:hanging="333"/>
        <w:spacing w:after="0" w:line="328" w:lineRule="auto"/>
        <w:tabs>
          <w:tab w:leader="none" w:pos="640" w:val="left"/>
        </w:tabs>
        <w:numPr>
          <w:ilvl w:val="0"/>
          <w:numId w:val="41"/>
        </w:numPr>
        <w:rPr>
          <w:rFonts w:ascii="Arial" w:cs="Arial" w:eastAsia="Arial" w:hAnsi="Arial"/>
          <w:sz w:val="15"/>
          <w:szCs w:val="15"/>
          <w:color w:val="auto"/>
        </w:rPr>
      </w:pPr>
      <w:r>
        <w:rPr>
          <w:rFonts w:ascii="Arial" w:cs="Arial" w:eastAsia="Arial" w:hAnsi="Arial"/>
          <w:sz w:val="16"/>
          <w:szCs w:val="16"/>
          <w:color w:val="auto"/>
        </w:rPr>
        <w:t>Without the express written consent of the Chief Executive Officer, you shall have no apparent or implied authority to pledge the credit of the Company, to bind the Company under any contract, note, mortgage or other agreement outside the ordinary course of the Company’s business, to release or discharge any debt due to the Company, or to sell, mortgage, transfer or otherwise dispose of any assets of the Company.</w:t>
      </w:r>
    </w:p>
    <w:p>
      <w:pPr>
        <w:spacing w:after="0" w:line="20" w:lineRule="exact"/>
        <w:rPr>
          <w:rFonts w:ascii="Arial" w:cs="Arial" w:eastAsia="Arial" w:hAnsi="Arial"/>
          <w:sz w:val="15"/>
          <w:szCs w:val="15"/>
          <w:color w:val="auto"/>
        </w:rPr>
      </w:pPr>
    </w:p>
    <w:p>
      <w:pPr>
        <w:jc w:val="both"/>
        <w:ind w:left="640" w:hanging="333"/>
        <w:spacing w:after="0" w:line="256" w:lineRule="auto"/>
        <w:tabs>
          <w:tab w:leader="none" w:pos="640" w:val="left"/>
        </w:tabs>
        <w:numPr>
          <w:ilvl w:val="0"/>
          <w:numId w:val="41"/>
        </w:numPr>
        <w:rPr>
          <w:rFonts w:ascii="Arial" w:cs="Arial" w:eastAsia="Arial" w:hAnsi="Arial"/>
          <w:sz w:val="17"/>
          <w:szCs w:val="17"/>
          <w:color w:val="auto"/>
        </w:rPr>
      </w:pPr>
      <w:r>
        <w:rPr>
          <w:rFonts w:ascii="Arial" w:cs="Arial" w:eastAsia="Arial" w:hAnsi="Arial"/>
          <w:sz w:val="19"/>
          <w:szCs w:val="19"/>
          <w:color w:val="auto"/>
        </w:rPr>
        <w:t xml:space="preserve">You will abide by the Company’s rules and regulations, now existing or established hereafter, including without limitation the Company’s Insider Trading Policy and Code of Conduct and Ethics. As a condition of employment, you must sign and comply with the </w:t>
      </w:r>
      <w:r>
        <w:rPr>
          <w:rFonts w:ascii="Arial" w:cs="Arial" w:eastAsia="Arial" w:hAnsi="Arial"/>
          <w:sz w:val="19"/>
          <w:szCs w:val="19"/>
          <w:i w:val="1"/>
          <w:iCs w:val="1"/>
          <w:color w:val="auto"/>
        </w:rPr>
        <w:t>Employee Proprietary Information and Inventions</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Agreement </w:t>
      </w:r>
      <w:r>
        <w:rPr>
          <w:rFonts w:ascii="Arial" w:cs="Arial" w:eastAsia="Arial" w:hAnsi="Arial"/>
          <w:sz w:val="19"/>
          <w:szCs w:val="19"/>
          <w:color w:val="auto"/>
        </w:rPr>
        <w:t>attached hereto as</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Exhibit A</w:t>
      </w:r>
      <w:r>
        <w:rPr>
          <w:rFonts w:ascii="Arial" w:cs="Arial" w:eastAsia="Arial" w:hAnsi="Arial"/>
          <w:sz w:val="19"/>
          <w:szCs w:val="19"/>
          <w:color w:val="auto"/>
        </w:rPr>
        <w:t>, which includes a prohibition on the unauthorized use or</w:t>
      </w:r>
      <w:r>
        <w:rPr>
          <w:rFonts w:ascii="Arial" w:cs="Arial" w:eastAsia="Arial" w:hAnsi="Arial"/>
          <w:sz w:val="19"/>
          <w:szCs w:val="19"/>
          <w:i w:val="1"/>
          <w:iCs w:val="1"/>
          <w:color w:val="auto"/>
        </w:rPr>
        <w:t xml:space="preserve"> </w:t>
      </w:r>
      <w:r>
        <w:rPr>
          <w:rFonts w:ascii="Arial" w:cs="Arial" w:eastAsia="Arial" w:hAnsi="Arial"/>
          <w:sz w:val="19"/>
          <w:szCs w:val="19"/>
          <w:color w:val="auto"/>
        </w:rPr>
        <w:t>disclosure of the Company’s confidential or proprietary information, a prohibition against engaging in competitive activities or soliciting employees of the Company during, and for one year after the end of, your employment with the Company, and provisions acknowledging the Company’s ownership in, and assigning to the Company all rights to, any inventions developed by you during your employment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196850</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40" w:top="122" w:right="1419" w:bottom="1440" w:gutter="0" w:footer="0" w:header="0"/>
        </w:sectPr>
      </w:pPr>
    </w:p>
    <w:bookmarkStart w:id="92" w:name="page93"/>
    <w:bookmarkEnd w:id="92"/>
    <w:p>
      <w:pPr>
        <w:jc w:val="both"/>
        <w:ind w:left="660" w:hanging="333"/>
        <w:spacing w:after="0" w:line="273"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8"/>
          <w:szCs w:val="18"/>
          <w:color w:val="auto"/>
        </w:rPr>
        <w:t>You represent to the Company that your performance will not breach any other agreement to which you are a party and that you have not, and will not during the term of your employment with the Company, enter into any oral or written agreement in conflict with any of the provisions of this letter agreement or the Company’s policies. You will not use or disclose to any person associated with the Company, any confidential or proprietary information belonging to any former employer or other third party with respect to which you owe an obligation of confidentiality under any agreement or otherwise. The Company does not need and will not use such information and we will assist you in any way possible to preserve and protect the confidentiality of proprietary information belonging to third parties.</w:t>
      </w:r>
    </w:p>
    <w:p>
      <w:pPr>
        <w:spacing w:after="0" w:line="62" w:lineRule="exact"/>
        <w:rPr>
          <w:rFonts w:ascii="Arial" w:cs="Arial" w:eastAsia="Arial" w:hAnsi="Arial"/>
          <w:sz w:val="16"/>
          <w:szCs w:val="16"/>
          <w:color w:val="auto"/>
        </w:rPr>
      </w:pPr>
    </w:p>
    <w:p>
      <w:pPr>
        <w:jc w:val="both"/>
        <w:ind w:left="660" w:hanging="333"/>
        <w:spacing w:after="0" w:line="282"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8"/>
          <w:szCs w:val="18"/>
          <w:color w:val="auto"/>
        </w:rPr>
        <w:t>In the event of a breach by you of any of your obligations of this letter agreement, including Exhibit A, you shall cease to be entitled to any further benefits under this letter agreement. You agree that all bonuses, equity compensation and other incentive compensation provided by the Company shall be subject to any applicable clawback policy implemented by the Board of Directors from time to time.</w:t>
      </w:r>
    </w:p>
    <w:p>
      <w:pPr>
        <w:spacing w:after="0" w:line="53" w:lineRule="exact"/>
        <w:rPr>
          <w:rFonts w:ascii="Arial" w:cs="Arial" w:eastAsia="Arial" w:hAnsi="Arial"/>
          <w:sz w:val="16"/>
          <w:szCs w:val="16"/>
          <w:color w:val="auto"/>
        </w:rPr>
      </w:pPr>
    </w:p>
    <w:p>
      <w:pPr>
        <w:jc w:val="both"/>
        <w:ind w:left="660" w:hanging="333"/>
        <w:spacing w:after="0" w:line="321" w:lineRule="auto"/>
        <w:tabs>
          <w:tab w:leader="none" w:pos="660" w:val="left"/>
        </w:tabs>
        <w:numPr>
          <w:ilvl w:val="0"/>
          <w:numId w:val="42"/>
        </w:numPr>
        <w:rPr>
          <w:rFonts w:ascii="Arial" w:cs="Arial" w:eastAsia="Arial" w:hAnsi="Arial"/>
          <w:sz w:val="15"/>
          <w:szCs w:val="15"/>
          <w:color w:val="auto"/>
        </w:rPr>
      </w:pPr>
      <w:r>
        <w:rPr>
          <w:rFonts w:ascii="Arial" w:cs="Arial" w:eastAsia="Arial" w:hAnsi="Arial"/>
          <w:sz w:val="16"/>
          <w:szCs w:val="16"/>
          <w:color w:val="auto"/>
        </w:rPr>
        <w:t>This letter agreement is binding upon and inures to the benefit of both parties and the Company’s assigns and successors, including without limitation any entity with which, or into which, the Company may be merged or which may succeed to the Company’s assets or business, provided, however, that any assignee, or successor in interest, assumes the Company’s obligations hereunder. Your rights and obligations under this letter agreement are personal and cannot be transferred or assigned by you at any time.</w:t>
      </w:r>
    </w:p>
    <w:p>
      <w:pPr>
        <w:spacing w:after="0" w:line="25" w:lineRule="exact"/>
        <w:rPr>
          <w:rFonts w:ascii="Arial" w:cs="Arial" w:eastAsia="Arial" w:hAnsi="Arial"/>
          <w:sz w:val="15"/>
          <w:szCs w:val="15"/>
          <w:color w:val="auto"/>
        </w:rPr>
      </w:pPr>
    </w:p>
    <w:p>
      <w:pPr>
        <w:jc w:val="both"/>
        <w:ind w:left="660" w:hanging="333"/>
        <w:spacing w:after="0" w:line="256"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9"/>
          <w:szCs w:val="19"/>
          <w:color w:val="auto"/>
        </w:rPr>
        <w:t>This letter agreement, together with (i) any equity award agreements, and (ii) all agreements attached hereto or referenced herein, constitute the entire agreement and understanding of the Company and you with respect to the terms and conditions of your employment with the Company and the eligibility for any potential severance payments following separation from employment with the Company, and this letter agreement shall supersede all prior and contemporaneous written or oral agreements, promises and understandings between you and the Company relating to such subject matter. This letter agreement may only be amended by written instrument signed by you and the Chief Executive Officer. This letter agreement shall be construed and interpreted under the laws of the State of New York without regard to the conflicts of laws provisions thereof.</w:t>
      </w:r>
    </w:p>
    <w:p>
      <w:pPr>
        <w:spacing w:after="0" w:line="76" w:lineRule="exact"/>
        <w:rPr>
          <w:rFonts w:ascii="Arial" w:cs="Arial" w:eastAsia="Arial" w:hAnsi="Arial"/>
          <w:sz w:val="17"/>
          <w:szCs w:val="17"/>
          <w:color w:val="auto"/>
        </w:rPr>
      </w:pPr>
    </w:p>
    <w:p>
      <w:pPr>
        <w:jc w:val="both"/>
        <w:ind w:left="660" w:hanging="333"/>
        <w:spacing w:after="0" w:line="233" w:lineRule="exact"/>
        <w:tabs>
          <w:tab w:leader="none" w:pos="660" w:val="left"/>
        </w:tabs>
        <w:numPr>
          <w:ilvl w:val="0"/>
          <w:numId w:val="42"/>
        </w:numPr>
        <w:rPr>
          <w:rFonts w:ascii="Arial" w:cs="Arial" w:eastAsia="Arial" w:hAnsi="Arial"/>
          <w:sz w:val="18"/>
          <w:szCs w:val="18"/>
          <w:color w:val="auto"/>
        </w:rPr>
      </w:pPr>
      <w:r>
        <w:rPr>
          <w:rFonts w:ascii="Arial" w:cs="Arial" w:eastAsia="Arial" w:hAnsi="Arial"/>
          <w:sz w:val="20"/>
          <w:szCs w:val="20"/>
          <w:color w:val="auto"/>
        </w:rPr>
        <w:t>You will be required to complete and return a W</w:t>
      </w:r>
      <w:r>
        <w:rPr>
          <w:rFonts w:ascii="MS PGothic" w:cs="MS PGothic" w:eastAsia="MS PGothic" w:hAnsi="MS PGothic"/>
          <w:sz w:val="20"/>
          <w:szCs w:val="20"/>
          <w:color w:val="auto"/>
        </w:rPr>
        <w:t>‑</w:t>
      </w:r>
      <w:r>
        <w:rPr>
          <w:rFonts w:ascii="Arial" w:cs="Arial" w:eastAsia="Arial" w:hAnsi="Arial"/>
          <w:sz w:val="20"/>
          <w:szCs w:val="20"/>
          <w:color w:val="auto"/>
        </w:rPr>
        <w:t>9 federal tax withholding form so that we can process your first pay period. In preparing your W</w:t>
      </w:r>
      <w:r>
        <w:rPr>
          <w:rFonts w:ascii="MS PGothic" w:cs="MS PGothic" w:eastAsia="MS PGothic" w:hAnsi="MS PGothic"/>
          <w:sz w:val="20"/>
          <w:szCs w:val="20"/>
          <w:color w:val="auto"/>
        </w:rPr>
        <w:t>‑</w:t>
      </w:r>
      <w:r>
        <w:rPr>
          <w:rFonts w:ascii="Arial" w:cs="Arial" w:eastAsia="Arial" w:hAnsi="Arial"/>
          <w:sz w:val="20"/>
          <w:szCs w:val="20"/>
          <w:color w:val="auto"/>
        </w:rPr>
        <w:t>9, remember to write your name exactly as it appears on your social security card or work visa. To the extent required by law, this offer is subject to satisfactory proof of your right to work in the United States. This offer is contingent upon the successful completion of reference and background checks.</w:t>
      </w:r>
    </w:p>
    <w:p>
      <w:pPr>
        <w:spacing w:after="0" w:line="91" w:lineRule="exact"/>
        <w:rPr>
          <w:rFonts w:ascii="Arial" w:cs="Arial" w:eastAsia="Arial" w:hAnsi="Arial"/>
          <w:sz w:val="18"/>
          <w:szCs w:val="18"/>
          <w:color w:val="auto"/>
        </w:rPr>
      </w:pPr>
    </w:p>
    <w:p>
      <w:pPr>
        <w:ind w:left="660" w:hanging="333"/>
        <w:spacing w:after="0" w:line="260"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20"/>
          <w:szCs w:val="20"/>
          <w:color w:val="auto"/>
        </w:rPr>
        <w:t>By signing below, you represent that you are not relying on any representation, promise or agreement that is not expressly written in this letter agreement or in Exhibit A.</w:t>
      </w:r>
    </w:p>
    <w:p>
      <w:pPr>
        <w:spacing w:after="0" w:line="6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Once again, I am thrilled you are joining us. I believe you are really going to enjoy working here, and I know you will add tremendous value. Feel free to call me with any questions.</w:t>
      </w:r>
    </w:p>
    <w:p>
      <w:pPr>
        <w:spacing w:after="0" w:line="200" w:lineRule="exact"/>
        <w:rPr>
          <w:sz w:val="20"/>
          <w:szCs w:val="20"/>
          <w:color w:val="auto"/>
        </w:rPr>
      </w:pPr>
    </w:p>
    <w:p>
      <w:pPr>
        <w:spacing w:after="0" w:line="220"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Sincerely,</w:t>
      </w:r>
    </w:p>
    <w:p>
      <w:pPr>
        <w:spacing w:after="0" w:line="15"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/s/ Herriot Tabuteau, MD</w:t>
      </w:r>
    </w:p>
    <w:p>
      <w:pPr>
        <w:ind w:left="5320"/>
        <w:spacing w:after="0"/>
        <w:rPr>
          <w:sz w:val="20"/>
          <w:szCs w:val="20"/>
          <w:color w:val="auto"/>
        </w:rPr>
      </w:pPr>
      <w:r>
        <w:rPr>
          <w:rFonts w:ascii="Arial" w:cs="Arial" w:eastAsia="Arial" w:hAnsi="Arial"/>
          <w:sz w:val="20"/>
          <w:szCs w:val="20"/>
          <w:color w:val="auto"/>
        </w:rPr>
        <w:t>Herriot Tabuteau, MD</w:t>
      </w:r>
    </w:p>
    <w:p>
      <w:pPr>
        <w:ind w:left="5320"/>
        <w:spacing w:after="0"/>
        <w:rPr>
          <w:sz w:val="20"/>
          <w:szCs w:val="20"/>
          <w:color w:val="auto"/>
        </w:rPr>
      </w:pPr>
      <w:r>
        <w:rPr>
          <w:rFonts w:ascii="Arial" w:cs="Arial" w:eastAsia="Arial" w:hAnsi="Arial"/>
          <w:sz w:val="20"/>
          <w:szCs w:val="20"/>
          <w:color w:val="auto"/>
        </w:rPr>
        <w:t>Chief Executive Officer</w:t>
      </w:r>
    </w:p>
    <w:p>
      <w:pPr>
        <w:ind w:left="120"/>
        <w:spacing w:after="0"/>
        <w:rPr>
          <w:sz w:val="20"/>
          <w:szCs w:val="20"/>
          <w:color w:val="auto"/>
        </w:rPr>
      </w:pPr>
      <w:r>
        <w:rPr>
          <w:rFonts w:ascii="Arial" w:cs="Arial" w:eastAsia="Arial" w:hAnsi="Arial"/>
          <w:sz w:val="20"/>
          <w:szCs w:val="20"/>
          <w:b w:val="1"/>
          <w:bCs w:val="1"/>
          <w:color w:val="auto"/>
        </w:rPr>
        <w:t>AGREED TO AND ACCEPTED: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 xml:space="preserve">/s/ </w:t>
      </w:r>
      <w:r>
        <w:rPr>
          <w:rFonts w:ascii="Arial" w:cs="Arial" w:eastAsia="Arial" w:hAnsi="Arial"/>
          <w:sz w:val="20"/>
          <w:szCs w:val="20"/>
          <w:color w:val="auto"/>
        </w:rPr>
        <w:t>Nick X.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20751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pacing w:after="0" w:line="6" w:lineRule="exact"/>
        <w:rPr>
          <w:sz w:val="20"/>
          <w:szCs w:val="20"/>
          <w:color w:val="auto"/>
        </w:rPr>
      </w:pPr>
    </w:p>
    <w:p>
      <w:pPr>
        <w:ind w:left="120"/>
        <w:spacing w:after="0"/>
        <w:rPr>
          <w:sz w:val="20"/>
          <w:szCs w:val="20"/>
          <w:color w:val="auto"/>
        </w:rPr>
      </w:pPr>
      <w:r>
        <w:rPr>
          <w:rFonts w:ascii="Arial" w:cs="Arial" w:eastAsia="Arial" w:hAnsi="Arial"/>
          <w:sz w:val="20"/>
          <w:szCs w:val="20"/>
          <w:color w:val="auto"/>
        </w:rPr>
        <w:t>Nick X. Pizzie, C.P.A., M.B.A.</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20"/>
          <w:szCs w:val="20"/>
          <w:color w:val="auto"/>
        </w:rPr>
        <w:t>Date: April 17,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274955</wp:posOffset>
            </wp:positionV>
            <wp:extent cx="575437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93" w:name="page94"/>
    <w:bookmarkEnd w:id="93"/>
    <w:p>
      <w:pPr>
        <w:jc w:val="center"/>
        <w:ind w:right="-20"/>
        <w:spacing w:after="0"/>
        <w:rPr>
          <w:sz w:val="20"/>
          <w:szCs w:val="20"/>
          <w:color w:val="auto"/>
        </w:rPr>
      </w:pPr>
      <w:r>
        <w:rPr>
          <w:rFonts w:ascii="Arial" w:cs="Arial" w:eastAsia="Arial" w:hAnsi="Arial"/>
          <w:sz w:val="20"/>
          <w:szCs w:val="20"/>
          <w:color w:val="auto"/>
        </w:rPr>
        <w:t>EXHIBIT A</w:t>
      </w: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EMPLOYEE PROPRIETARY INFORMATION AND INVENTIONS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369570</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31.1</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 Herriot Tabuteau, M.D., certify that:</w:t>
      </w:r>
    </w:p>
    <w:p>
      <w:pPr>
        <w:spacing w:after="0" w:line="144" w:lineRule="exact"/>
        <w:rPr>
          <w:sz w:val="20"/>
          <w:szCs w:val="20"/>
          <w:color w:val="auto"/>
        </w:rPr>
      </w:pPr>
    </w:p>
    <w:p>
      <w:pPr>
        <w:ind w:left="320" w:hanging="317"/>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Axsome Therapeutics, Inc.;</w:t>
      </w:r>
    </w:p>
    <w:p>
      <w:pPr>
        <w:spacing w:after="0" w:line="144" w:lineRule="exact"/>
        <w:rPr>
          <w:rFonts w:ascii="Arial" w:cs="Arial" w:eastAsia="Arial" w:hAnsi="Arial"/>
          <w:sz w:val="18"/>
          <w:szCs w:val="18"/>
          <w:color w:val="auto"/>
        </w:rPr>
      </w:pPr>
    </w:p>
    <w:p>
      <w:pPr>
        <w:jc w:val="both"/>
        <w:ind w:left="320" w:right="200" w:hanging="317"/>
        <w:spacing w:after="0" w:line="224" w:lineRule="auto"/>
        <w:tabs>
          <w:tab w:leader="none" w:pos="311"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320" w:right="160" w:hanging="317"/>
        <w:spacing w:after="0" w:line="224" w:lineRule="auto"/>
        <w:tabs>
          <w:tab w:leader="none" w:pos="311"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320" w:right="80" w:hanging="317"/>
        <w:spacing w:after="0" w:line="238" w:lineRule="auto"/>
        <w:tabs>
          <w:tab w:leader="none" w:pos="308"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660" w:right="40" w:hanging="333"/>
        <w:spacing w:after="0" w:line="219" w:lineRule="auto"/>
        <w:tabs>
          <w:tab w:leader="none" w:pos="656"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660" w:right="20" w:hanging="333"/>
        <w:spacing w:after="0" w:line="219" w:lineRule="auto"/>
        <w:tabs>
          <w:tab w:leader="none" w:pos="666"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660" w:right="60" w:hanging="333"/>
        <w:spacing w:after="0" w:line="224" w:lineRule="auto"/>
        <w:tabs>
          <w:tab w:leader="none" w:pos="656" w:val="left"/>
        </w:tabs>
        <w:numPr>
          <w:ilvl w:val="1"/>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660" w:right="180" w:hanging="333"/>
        <w:spacing w:after="0" w:line="219" w:lineRule="auto"/>
        <w:tabs>
          <w:tab w:leader="none" w:pos="666"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320" w:right="40" w:hanging="317"/>
        <w:spacing w:after="0" w:line="224" w:lineRule="auto"/>
        <w:tabs>
          <w:tab w:leader="none" w:pos="30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660" w:right="240" w:hanging="333"/>
        <w:spacing w:after="0" w:line="224" w:lineRule="auto"/>
        <w:tabs>
          <w:tab w:leader="none" w:pos="646"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660" w:right="60" w:hanging="333"/>
        <w:spacing w:after="0" w:line="235" w:lineRule="auto"/>
        <w:tabs>
          <w:tab w:leader="none" w:pos="656"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August 8, 2018</w:t>
      </w:r>
      <w:r>
        <w:rPr>
          <w:sz w:val="20"/>
          <w:szCs w:val="20"/>
          <w:color w:val="auto"/>
        </w:rPr>
        <w:tab/>
      </w:r>
      <w:r>
        <w:rPr>
          <w:rFonts w:ascii="Arial" w:cs="Arial" w:eastAsia="Arial" w:hAnsi="Arial"/>
          <w:sz w:val="16"/>
          <w:szCs w:val="16"/>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Herriot Tabuteau, M.D.</w:t>
      </w:r>
    </w:p>
    <w:p>
      <w:pPr>
        <w:ind w:left="4540"/>
        <w:spacing w:after="0" w:line="204" w:lineRule="auto"/>
        <w:rPr>
          <w:sz w:val="20"/>
          <w:szCs w:val="20"/>
          <w:color w:val="auto"/>
        </w:rPr>
      </w:pPr>
      <w:r>
        <w:rPr>
          <w:rFonts w:ascii="Arial" w:cs="Arial" w:eastAsia="Arial" w:hAnsi="Arial"/>
          <w:sz w:val="18"/>
          <w:szCs w:val="18"/>
          <w:color w:val="auto"/>
        </w:rPr>
        <w:t>Chief Executive Officer</w:t>
      </w:r>
    </w:p>
    <w:p>
      <w:pPr>
        <w:ind w:left="45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347980</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31.2</w:t>
      </w:r>
    </w:p>
    <w:p>
      <w:pPr>
        <w:spacing w:after="0" w:line="1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PERIODIC REPORT PURSUANT TO SECTION 302 OF THE</w:t>
      </w: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 Nick Pizzie, certify that:</w:t>
      </w:r>
    </w:p>
    <w:p>
      <w:pPr>
        <w:spacing w:after="0" w:line="144" w:lineRule="exact"/>
        <w:rPr>
          <w:sz w:val="20"/>
          <w:szCs w:val="20"/>
          <w:color w:val="auto"/>
        </w:rPr>
      </w:pPr>
    </w:p>
    <w:p>
      <w:pPr>
        <w:ind w:left="320" w:hanging="317"/>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Axsome Therapeutics, Inc.;</w:t>
      </w:r>
    </w:p>
    <w:p>
      <w:pPr>
        <w:spacing w:after="0" w:line="144" w:lineRule="exact"/>
        <w:rPr>
          <w:rFonts w:ascii="Arial" w:cs="Arial" w:eastAsia="Arial" w:hAnsi="Arial"/>
          <w:sz w:val="18"/>
          <w:szCs w:val="18"/>
          <w:color w:val="auto"/>
        </w:rPr>
      </w:pPr>
    </w:p>
    <w:p>
      <w:pPr>
        <w:jc w:val="both"/>
        <w:ind w:left="320" w:right="200" w:hanging="317"/>
        <w:spacing w:after="0" w:line="224" w:lineRule="auto"/>
        <w:tabs>
          <w:tab w:leader="none" w:pos="311"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320" w:right="160" w:hanging="317"/>
        <w:spacing w:after="0" w:line="224" w:lineRule="auto"/>
        <w:tabs>
          <w:tab w:leader="none" w:pos="311"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320" w:right="80" w:hanging="317"/>
        <w:spacing w:after="0" w:line="238" w:lineRule="auto"/>
        <w:tabs>
          <w:tab w:leader="none" w:pos="308"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660" w:right="40" w:hanging="333"/>
        <w:spacing w:after="0" w:line="219" w:lineRule="auto"/>
        <w:tabs>
          <w:tab w:leader="none" w:pos="656"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660" w:right="20" w:hanging="333"/>
        <w:spacing w:after="0" w:line="219" w:lineRule="auto"/>
        <w:tabs>
          <w:tab w:leader="none" w:pos="666"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660" w:right="60" w:hanging="333"/>
        <w:spacing w:after="0" w:line="224" w:lineRule="auto"/>
        <w:tabs>
          <w:tab w:leader="none" w:pos="656"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660" w:right="180" w:hanging="333"/>
        <w:spacing w:after="0" w:line="219" w:lineRule="auto"/>
        <w:tabs>
          <w:tab w:leader="none" w:pos="666"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320" w:right="40" w:hanging="317"/>
        <w:spacing w:after="0" w:line="224" w:lineRule="auto"/>
        <w:tabs>
          <w:tab w:leader="none" w:pos="308"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660" w:right="240" w:hanging="333"/>
        <w:spacing w:after="0" w:line="224" w:lineRule="auto"/>
        <w:tabs>
          <w:tab w:leader="none" w:pos="646"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660" w:right="60" w:hanging="333"/>
        <w:spacing w:after="0" w:line="235" w:lineRule="auto"/>
        <w:tabs>
          <w:tab w:leader="none" w:pos="656"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August 8, 2018</w:t>
      </w:r>
      <w:r>
        <w:rPr>
          <w:sz w:val="20"/>
          <w:szCs w:val="20"/>
          <w:color w:val="auto"/>
        </w:rPr>
        <w:tab/>
      </w:r>
      <w:r>
        <w:rPr>
          <w:rFonts w:ascii="Arial" w:cs="Arial" w:eastAsia="Arial" w:hAnsi="Arial"/>
          <w:sz w:val="17"/>
          <w:szCs w:val="17"/>
          <w:color w:val="auto"/>
        </w:rPr>
        <w:t>/s/ 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Nick Pizzie</w:t>
      </w:r>
    </w:p>
    <w:p>
      <w:pPr>
        <w:ind w:left="4540"/>
        <w:spacing w:after="0" w:line="204" w:lineRule="auto"/>
        <w:rPr>
          <w:sz w:val="20"/>
          <w:szCs w:val="20"/>
          <w:color w:val="auto"/>
        </w:rPr>
      </w:pPr>
      <w:r>
        <w:rPr>
          <w:rFonts w:ascii="Arial" w:cs="Arial" w:eastAsia="Arial" w:hAnsi="Arial"/>
          <w:sz w:val="18"/>
          <w:szCs w:val="18"/>
          <w:color w:val="auto"/>
        </w:rPr>
        <w:t>Chief Financial Officer</w:t>
      </w:r>
    </w:p>
    <w:p>
      <w:pPr>
        <w:ind w:left="454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32.1</w:t>
      </w:r>
    </w:p>
    <w:p>
      <w:pPr>
        <w:spacing w:after="0" w:line="133"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STATEMENT OF PRINCIPAL EXECUTIVE OFFICER OF</w:t>
      </w:r>
    </w:p>
    <w:p>
      <w:pPr>
        <w:ind w:left="3180"/>
        <w:spacing w:after="0" w:line="203" w:lineRule="auto"/>
        <w:rPr>
          <w:sz w:val="20"/>
          <w:szCs w:val="20"/>
          <w:color w:val="auto"/>
        </w:rPr>
      </w:pPr>
      <w:r>
        <w:rPr>
          <w:rFonts w:ascii="Arial" w:cs="Arial" w:eastAsia="Arial" w:hAnsi="Arial"/>
          <w:sz w:val="18"/>
          <w:szCs w:val="18"/>
          <w:b w:val="1"/>
          <w:bCs w:val="1"/>
          <w:color w:val="auto"/>
        </w:rPr>
        <w:t>AXSOME THERAPEUTICS, INC.</w:t>
      </w:r>
    </w:p>
    <w:p>
      <w:pPr>
        <w:ind w:left="2840"/>
        <w:spacing w:after="0" w:line="204" w:lineRule="auto"/>
        <w:rPr>
          <w:sz w:val="20"/>
          <w:szCs w:val="20"/>
          <w:color w:val="auto"/>
        </w:rPr>
      </w:pPr>
      <w:r>
        <w:rPr>
          <w:rFonts w:ascii="Arial" w:cs="Arial" w:eastAsia="Arial" w:hAnsi="Arial"/>
          <w:sz w:val="18"/>
          <w:szCs w:val="18"/>
          <w:b w:val="1"/>
          <w:bCs w:val="1"/>
          <w:color w:val="auto"/>
        </w:rPr>
        <w:t>PURSUANT TO 18 U.S.C. SECTION 1350,</w:t>
      </w:r>
    </w:p>
    <w:p>
      <w:pPr>
        <w:ind w:left="3280"/>
        <w:spacing w:after="0" w:line="203"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8" w:lineRule="exact"/>
        <w:rPr>
          <w:sz w:val="20"/>
          <w:szCs w:val="20"/>
          <w:color w:val="auto"/>
        </w:rPr>
      </w:pPr>
    </w:p>
    <w:p>
      <w:pPr>
        <w:ind w:right="60" w:firstLine="432"/>
        <w:spacing w:after="0" w:line="219" w:lineRule="auto"/>
        <w:rPr>
          <w:sz w:val="20"/>
          <w:szCs w:val="20"/>
          <w:color w:val="auto"/>
        </w:rPr>
      </w:pPr>
      <w:r>
        <w:rPr>
          <w:rFonts w:ascii="Arial" w:cs="Arial" w:eastAsia="Arial" w:hAnsi="Arial"/>
          <w:sz w:val="18"/>
          <w:szCs w:val="18"/>
          <w:color w:val="auto"/>
        </w:rPr>
        <w:t>In connection with the quarterly report of Axsome Therapeutics, Inc. (the “Company”) on Form 10-Q for the quarter ended June 30, 2018 as filed with the Securities and Exchange Commission (the “Report”), I, Herriot Tabuteau, M.D., Chief Executive Officer of the Company, certify, pursuant to 18 U.S.C. §1350, as adopted pursuant to §906 of the Sarbanes-Oxley Act of 2002, that, based on my knowledge:</w:t>
      </w:r>
    </w:p>
    <w:p>
      <w:pPr>
        <w:spacing w:after="0" w:line="122" w:lineRule="exact"/>
        <w:rPr>
          <w:sz w:val="20"/>
          <w:szCs w:val="20"/>
          <w:color w:val="auto"/>
        </w:rPr>
      </w:pPr>
    </w:p>
    <w:p>
      <w:pPr>
        <w:ind w:left="320" w:right="180" w:firstLine="7"/>
        <w:spacing w:after="0" w:line="235" w:lineRule="auto"/>
        <w:tabs>
          <w:tab w:leader="none" w:pos="60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21" w:lineRule="exact"/>
        <w:rPr>
          <w:rFonts w:ascii="Arial" w:cs="Arial" w:eastAsia="Arial" w:hAnsi="Arial"/>
          <w:sz w:val="18"/>
          <w:szCs w:val="18"/>
          <w:color w:val="auto"/>
        </w:rPr>
      </w:pPr>
    </w:p>
    <w:p>
      <w:pPr>
        <w:ind w:left="320" w:right="40" w:firstLine="7"/>
        <w:spacing w:after="0" w:line="235" w:lineRule="auto"/>
        <w:tabs>
          <w:tab w:leader="none" w:pos="60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3"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August 8, 2018</w:t>
      </w:r>
      <w:r>
        <w:rPr>
          <w:sz w:val="20"/>
          <w:szCs w:val="20"/>
          <w:color w:val="auto"/>
        </w:rPr>
        <w:tab/>
      </w:r>
      <w:r>
        <w:rPr>
          <w:rFonts w:ascii="Arial" w:cs="Arial" w:eastAsia="Arial" w:hAnsi="Arial"/>
          <w:sz w:val="16"/>
          <w:szCs w:val="16"/>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Herriot Tabuteau, M.D.</w:t>
      </w:r>
    </w:p>
    <w:p>
      <w:pPr>
        <w:ind w:left="4540"/>
        <w:spacing w:after="0" w:line="204" w:lineRule="auto"/>
        <w:rPr>
          <w:sz w:val="20"/>
          <w:szCs w:val="20"/>
          <w:color w:val="auto"/>
        </w:rPr>
      </w:pPr>
      <w:r>
        <w:rPr>
          <w:rFonts w:ascii="Arial" w:cs="Arial" w:eastAsia="Arial" w:hAnsi="Arial"/>
          <w:sz w:val="18"/>
          <w:szCs w:val="18"/>
          <w:color w:val="auto"/>
        </w:rPr>
        <w:t>Chief Executive Officer</w:t>
      </w:r>
    </w:p>
    <w:p>
      <w:pPr>
        <w:ind w:left="45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32.2</w:t>
      </w:r>
    </w:p>
    <w:p>
      <w:pPr>
        <w:spacing w:after="0" w:line="144" w:lineRule="exact"/>
        <w:rPr>
          <w:sz w:val="20"/>
          <w:szCs w:val="20"/>
          <w:color w:val="auto"/>
        </w:rPr>
      </w:pPr>
    </w:p>
    <w:p>
      <w:pPr>
        <w:jc w:val="center"/>
        <w:spacing w:after="0" w:line="217" w:lineRule="auto"/>
        <w:rPr>
          <w:sz w:val="20"/>
          <w:szCs w:val="20"/>
          <w:color w:val="auto"/>
        </w:rPr>
      </w:pPr>
      <w:r>
        <w:rPr>
          <w:rFonts w:ascii="Arial" w:cs="Arial" w:eastAsia="Arial" w:hAnsi="Arial"/>
          <w:sz w:val="18"/>
          <w:szCs w:val="18"/>
          <w:b w:val="1"/>
          <w:bCs w:val="1"/>
          <w:color w:val="auto"/>
        </w:rPr>
        <w:t>STATEMENT OF PRINCIPAL FINANCIAL OFFICER OF AXSOME THERAPEUTICS, INC. PURSUANT TO 18 U.S.C. SECTION 1350, AS ADOPTED PURSUANT TO SECTION 906 OF THE SARBANES-OXLEY ACT OF 2002</w:t>
      </w:r>
    </w:p>
    <w:p>
      <w:pPr>
        <w:spacing w:after="0" w:line="122" w:lineRule="exact"/>
        <w:rPr>
          <w:sz w:val="20"/>
          <w:szCs w:val="20"/>
          <w:color w:val="auto"/>
        </w:rPr>
      </w:pPr>
    </w:p>
    <w:p>
      <w:pPr>
        <w:ind w:right="200" w:firstLine="432"/>
        <w:spacing w:after="0" w:line="219" w:lineRule="auto"/>
        <w:rPr>
          <w:sz w:val="20"/>
          <w:szCs w:val="20"/>
          <w:color w:val="auto"/>
        </w:rPr>
      </w:pPr>
      <w:r>
        <w:rPr>
          <w:rFonts w:ascii="Arial" w:cs="Arial" w:eastAsia="Arial" w:hAnsi="Arial"/>
          <w:sz w:val="18"/>
          <w:szCs w:val="18"/>
          <w:color w:val="auto"/>
        </w:rPr>
        <w:t>In connection with the quarterly report of Axsome Therapeutics, Inc. (the “Company”) on Form 10-Q for the quarter ended June 30, 2018 as filed with the Securities and Exchange Commission (the “Report”), I, Nick Pizzie, Chief Financial Officer of the Company, certify, pursuant to 18 U.S.C. §1350, as adopted pursuant to §906 of the Sarbanes-Oxley Act of 2002, that, based on my knowledge:</w:t>
      </w:r>
    </w:p>
    <w:p>
      <w:pPr>
        <w:spacing w:after="0" w:line="122" w:lineRule="exact"/>
        <w:rPr>
          <w:sz w:val="20"/>
          <w:szCs w:val="20"/>
          <w:color w:val="auto"/>
        </w:rPr>
      </w:pPr>
    </w:p>
    <w:p>
      <w:pPr>
        <w:ind w:left="320" w:right="180" w:firstLine="7"/>
        <w:spacing w:after="0" w:line="235" w:lineRule="auto"/>
        <w:tabs>
          <w:tab w:leader="none" w:pos="60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21" w:lineRule="exact"/>
        <w:rPr>
          <w:rFonts w:ascii="Arial" w:cs="Arial" w:eastAsia="Arial" w:hAnsi="Arial"/>
          <w:sz w:val="18"/>
          <w:szCs w:val="18"/>
          <w:color w:val="auto"/>
        </w:rPr>
      </w:pPr>
    </w:p>
    <w:p>
      <w:pPr>
        <w:ind w:left="320" w:right="40" w:firstLine="7"/>
        <w:spacing w:after="0" w:line="235" w:lineRule="auto"/>
        <w:tabs>
          <w:tab w:leader="none" w:pos="60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3"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August 8, 2018</w:t>
      </w:r>
      <w:r>
        <w:rPr>
          <w:sz w:val="20"/>
          <w:szCs w:val="20"/>
          <w:color w:val="auto"/>
        </w:rPr>
        <w:tab/>
      </w:r>
      <w:r>
        <w:rPr>
          <w:rFonts w:ascii="Arial" w:cs="Arial" w:eastAsia="Arial" w:hAnsi="Arial"/>
          <w:sz w:val="17"/>
          <w:szCs w:val="17"/>
          <w:color w:val="auto"/>
        </w:rPr>
        <w:t>/s/ 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Nick Pizzie</w:t>
      </w:r>
    </w:p>
    <w:p>
      <w:pPr>
        <w:ind w:left="4540"/>
        <w:spacing w:after="0" w:line="204" w:lineRule="auto"/>
        <w:rPr>
          <w:sz w:val="20"/>
          <w:szCs w:val="20"/>
          <w:color w:val="auto"/>
        </w:rPr>
      </w:pPr>
      <w:r>
        <w:rPr>
          <w:rFonts w:ascii="Arial" w:cs="Arial" w:eastAsia="Arial" w:hAnsi="Arial"/>
          <w:sz w:val="18"/>
          <w:szCs w:val="18"/>
          <w:color w:val="auto"/>
        </w:rPr>
        <w:t>Chief Financial Officer</w:t>
      </w:r>
    </w:p>
    <w:p>
      <w:pPr>
        <w:ind w:left="454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1)"/>
      <w:numFmt w:val="decimal"/>
      <w:start w:val="2"/>
    </w:lvl>
  </w:abstractNum>
  <w:abstractNum w:abstractNumId="12">
    <w:nsid w:val="3A95F874"/>
    <w:multiLevelType w:val="hybridMultilevel"/>
    <w:lvl w:ilvl="0">
      <w:lvlJc w:val="left"/>
      <w:lvlText w:val="(%1)"/>
      <w:numFmt w:val="decimal"/>
      <w:start w:val="2"/>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1."/>
      <w:numFmt w:val="decimal"/>
      <w:start w:val="2"/>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1)"/>
      <w:numFmt w:val="decimal"/>
      <w:start w:val="2"/>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1"/>
      <w:numFmt w:val="decimal"/>
      <w:start w:val="10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2019-12-28T20:36:15Z</dcterms:created>
  <dcterms:modified xsi:type="dcterms:W3CDTF">2019-12-28T20:36:15Z</dcterms:modified>
</cp:coreProperties>
</file>