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July 07,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001-37635</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45-4241907</w:t>
            </w:r>
          </w:p>
        </w:tc>
      </w:tr>
      <w:tr>
        <w:trPr>
          <w:trHeight w:val="163"/>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5"/>
              </w:rPr>
              <w:t>(State or Other Jurisdiction</w:t>
            </w:r>
          </w:p>
        </w:tc>
        <w:tc>
          <w:tcPr>
            <w:tcW w:w="3120" w:type="dxa"/>
            <w:vAlign w:val="bottom"/>
          </w:tcPr>
          <w:p>
            <w:pPr>
              <w:jc w:val="center"/>
              <w:ind w:right="34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6"/>
              </w:rPr>
              <w:t>of Incorporation)</w:t>
            </w:r>
          </w:p>
        </w:tc>
        <w:tc>
          <w:tcPr>
            <w:tcW w:w="312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One World Trade Center, 22nd Floor</w:t>
            </w:r>
          </w:p>
        </w:tc>
        <w:tc>
          <w:tcPr>
            <w:tcW w:w="3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New York, New York</w:t>
            </w:r>
          </w:p>
        </w:tc>
        <w:tc>
          <w:tcPr>
            <w:tcW w:w="312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10007</w:t>
            </w:r>
          </w:p>
        </w:tc>
      </w:tr>
      <w:tr>
        <w:trPr>
          <w:trHeight w:val="188"/>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12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8"/>
              </w:rPr>
              <w:t>Common Stock, Par Value $0.0001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On July 7, 2023, Axsome Therapeutics, Inc. (the “Company”) issued a press release announcing the dosing of the first patient in the Company’s FOCUS (Forward Treatment of Attention Deficit and Hyperactivity Using Solriamfetol) Phase 3 trial of solriamfetol for the treatment of attention deficit hyperactivity disorder in adults.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7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99.1</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60" w:type="dxa"/>
            <w:vAlign w:val="bottom"/>
            <w:gridSpan w:val="2"/>
          </w:tcPr>
          <w:p>
            <w:pPr>
              <w:spacing w:after="0" w:line="189" w:lineRule="exact"/>
              <w:rPr>
                <w:sz w:val="20"/>
                <w:szCs w:val="20"/>
                <w:color w:val="auto"/>
              </w:rPr>
            </w:pPr>
            <w:r>
              <w:rPr>
                <w:rFonts w:ascii="Arial" w:cs="Arial" w:eastAsia="Arial" w:hAnsi="Arial"/>
                <w:sz w:val="18"/>
                <w:szCs w:val="18"/>
                <w:color w:val="0000FF"/>
              </w:rPr>
              <w:t>Press Release dated July 7, 2023.</w:t>
            </w:r>
          </w:p>
        </w:tc>
      </w:tr>
      <w:tr>
        <w:trPr>
          <w:trHeight w:val="20"/>
        </w:trPr>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63"/>
        </w:trPr>
        <w:tc>
          <w:tcPr>
            <w:tcW w:w="1100" w:type="dxa"/>
            <w:vAlign w:val="bottom"/>
          </w:tcPr>
          <w:p>
            <w:pPr>
              <w:ind w:left="20"/>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77"/>
        </w:trPr>
        <w:tc>
          <w:tcPr>
            <w:tcW w:w="1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642"/>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July 7, 2023</w:t>
            </w:r>
          </w:p>
        </w:tc>
        <w:tc>
          <w:tcPr>
            <w:tcW w:w="2700" w:type="dxa"/>
            <w:vAlign w:val="bottom"/>
          </w:tcPr>
          <w:p>
            <w:pPr>
              <w:ind w:left="20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215"/>
        </w:trPr>
        <w:tc>
          <w:tcPr>
            <w:tcW w:w="5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00" w:type="dxa"/>
            <w:vAlign w:val="bottom"/>
          </w:tcPr>
          <w:p>
            <w:pPr>
              <w:ind w:left="2020"/>
              <w:spacing w:after="0"/>
              <w:rPr>
                <w:sz w:val="20"/>
                <w:szCs w:val="20"/>
                <w:color w:val="auto"/>
              </w:rPr>
            </w:pPr>
            <w:r>
              <w:rPr>
                <w:rFonts w:ascii="Arial" w:cs="Arial" w:eastAsia="Arial" w:hAnsi="Arial"/>
                <w:sz w:val="18"/>
                <w:szCs w:val="18"/>
                <w:color w:val="auto"/>
              </w:rPr>
              <w:t>Name:</w:t>
            </w:r>
          </w:p>
        </w:tc>
        <w:tc>
          <w:tcPr>
            <w:tcW w:w="4920" w:type="dxa"/>
            <w:vAlign w:val="bottom"/>
          </w:tcPr>
          <w:p>
            <w:pPr>
              <w:ind w:left="20"/>
              <w:spacing w:after="0"/>
              <w:rPr>
                <w:sz w:val="20"/>
                <w:szCs w:val="20"/>
                <w:color w:val="auto"/>
              </w:rPr>
            </w:pPr>
            <w:r>
              <w:rPr>
                <w:rFonts w:ascii="Arial" w:cs="Arial" w:eastAsia="Arial" w:hAnsi="Arial"/>
                <w:sz w:val="18"/>
                <w:szCs w:val="18"/>
                <w:color w:val="auto"/>
              </w:rPr>
              <w:t>Herriot Tabuteau, M.D.</w:t>
            </w:r>
          </w:p>
        </w:tc>
      </w:tr>
      <w:tr>
        <w:trPr>
          <w:trHeight w:val="244"/>
        </w:trPr>
        <w:tc>
          <w:tcPr>
            <w:tcW w:w="5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700" w:type="dxa"/>
            <w:vAlign w:val="bottom"/>
          </w:tcPr>
          <w:p>
            <w:pPr>
              <w:ind w:left="2020"/>
              <w:spacing w:after="0"/>
              <w:rPr>
                <w:sz w:val="20"/>
                <w:szCs w:val="20"/>
                <w:color w:val="auto"/>
              </w:rPr>
            </w:pPr>
            <w:r>
              <w:rPr>
                <w:rFonts w:ascii="Arial" w:cs="Arial" w:eastAsia="Arial" w:hAnsi="Arial"/>
                <w:sz w:val="18"/>
                <w:szCs w:val="18"/>
                <w:color w:val="auto"/>
              </w:rPr>
              <w:t>Title:</w:t>
            </w:r>
          </w:p>
        </w:tc>
        <w:tc>
          <w:tcPr>
            <w:tcW w:w="49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938"/>
        </w:trPr>
        <w:tc>
          <w:tcPr>
            <w:tcW w:w="5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96925"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69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line="285" w:lineRule="auto"/>
        <w:rPr>
          <w:sz w:val="20"/>
          <w:szCs w:val="20"/>
          <w:color w:val="auto"/>
        </w:rPr>
      </w:pPr>
      <w:r>
        <w:rPr>
          <w:rFonts w:ascii="Arial" w:cs="Arial" w:eastAsia="Arial" w:hAnsi="Arial"/>
          <w:sz w:val="18"/>
          <w:szCs w:val="18"/>
          <w:b w:val="1"/>
          <w:bCs w:val="1"/>
          <w:color w:val="auto"/>
        </w:rPr>
        <w:t>Axsome Therapeutics Initiates FOCUS Phase 3 Trial of Solriamfetol for the Treatment of Attention Deficit Hyperactivity Disorder (ADHD) in Adults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NEW YORK, July 7, 2023 (Globe Newswire) – Axsome Therapeutics, Inc. (NASDAQ: AXSM), a biopharmaceutical company developing and delivering novel therapies for the management of central nervous system (CNS) disorders, today announced that it has dosed the first patient in the FOCUS Phase 3 trial of solriamfetol, an investigational treatment for attention deficit hyperactivity disorder (ADHD) in adults.</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FOCUS (Forward Treatment of Attention Deficit and Hyperactivity Using Solriamfetol) is a Phase 3, randomized, double-blind, placebo-controlled, multicenter trial to assess the efficacy and safety of solriamfetol for the treatment of ADHD in adults. Approximately 450 patients will be randomized in a 1:1:1 ratio to receive solriamfetol (150 mg or 300 mg) or placebo for 6 weeks. The primary endpoint will be change in the Adult ADHD Investigator Symptom Report Scale (AISRS).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Attention Deficit Hyperactivity Disorder (ADHD)</w:t>
      </w:r>
    </w:p>
    <w:p>
      <w:pPr>
        <w:spacing w:after="0" w:line="18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ADHD is a chronic neurobiological and developmental disorder characterized by a persistent pattern of inattention, hyperactivity or impulsivity, that interferes with functioning or development.</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Impairments in cognition are apparent in attention, planning and problem solving, working memory, and behavioral inhibition.</w:t>
      </w:r>
      <w:r>
        <w:rPr>
          <w:rFonts w:ascii="Arial" w:cs="Arial" w:eastAsia="Arial" w:hAnsi="Arial"/>
          <w:sz w:val="24"/>
          <w:szCs w:val="24"/>
          <w:color w:val="auto"/>
          <w:vertAlign w:val="superscript"/>
        </w:rPr>
        <w:t>2,3</w:t>
      </w:r>
      <w:r>
        <w:rPr>
          <w:rFonts w:ascii="Arial" w:cs="Arial" w:eastAsia="Arial" w:hAnsi="Arial"/>
          <w:sz w:val="18"/>
          <w:szCs w:val="18"/>
          <w:color w:val="auto"/>
        </w:rPr>
        <w:t xml:space="preserve"> An estimated 11.4 million adults in the U.S. are diagnosed with ADHD, and the condition affects an estimated 5% of children and adolescents.</w:t>
      </w:r>
      <w:r>
        <w:rPr>
          <w:rFonts w:ascii="Arial" w:cs="Arial" w:eastAsia="Arial" w:hAnsi="Arial"/>
          <w:sz w:val="24"/>
          <w:szCs w:val="24"/>
          <w:color w:val="auto"/>
          <w:vertAlign w:val="superscript"/>
        </w:rPr>
        <w:t>4,5</w:t>
      </w:r>
      <w:r>
        <w:rPr>
          <w:rFonts w:ascii="Arial" w:cs="Arial" w:eastAsia="Arial" w:hAnsi="Arial"/>
          <w:sz w:val="18"/>
          <w:szCs w:val="18"/>
          <w:color w:val="auto"/>
        </w:rPr>
        <w:t xml:space="preserve"> Approximately two-thirds or more of children with ADHD continue to have symptoms and challenges in adulthood.</w:t>
      </w:r>
      <w:r>
        <w:rPr>
          <w:rFonts w:ascii="Arial" w:cs="Arial" w:eastAsia="Arial" w:hAnsi="Arial"/>
          <w:sz w:val="24"/>
          <w:szCs w:val="24"/>
          <w:color w:val="auto"/>
          <w:vertAlign w:val="superscript"/>
        </w:rPr>
        <w:t>6</w:t>
      </w:r>
      <w:r>
        <w:rPr>
          <w:rFonts w:ascii="Arial" w:cs="Arial" w:eastAsia="Arial" w:hAnsi="Arial"/>
          <w:sz w:val="18"/>
          <w:szCs w:val="18"/>
          <w:color w:val="auto"/>
        </w:rPr>
        <w:t xml:space="preserve"> The total annual societal excess costs associated with adult ADHD in the U.S. have been estimated at $122.8 billion.</w:t>
      </w:r>
      <w:r>
        <w:rPr>
          <w:rFonts w:ascii="Arial" w:cs="Arial" w:eastAsia="Arial" w:hAnsi="Arial"/>
          <w:sz w:val="24"/>
          <w:szCs w:val="24"/>
          <w:color w:val="auto"/>
          <w:vertAlign w:val="superscript"/>
        </w:rPr>
        <w:t>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Solriamfetol</w:t>
      </w:r>
    </w:p>
    <w:p>
      <w:pPr>
        <w:spacing w:after="0" w:line="11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Solriamfetol is a dopamine and norepinephrine reuptake inhibitor. In vitro studies have also shown that solriamfetol has agonist activity at trace amine-associated receptor 1 (TAAR1) and 5HT</w:t>
      </w:r>
      <w:r>
        <w:rPr>
          <w:rFonts w:ascii="Arial" w:cs="Arial" w:eastAsia="Arial" w:hAnsi="Arial"/>
          <w:sz w:val="24"/>
          <w:szCs w:val="24"/>
          <w:color w:val="auto"/>
          <w:vertAlign w:val="subscript"/>
        </w:rPr>
        <w:t>1a</w:t>
      </w:r>
      <w:r>
        <w:rPr>
          <w:rFonts w:ascii="Arial" w:cs="Arial" w:eastAsia="Arial" w:hAnsi="Arial"/>
          <w:sz w:val="18"/>
          <w:szCs w:val="18"/>
          <w:color w:val="auto"/>
        </w:rPr>
        <w:t xml:space="preserve"> receptors. Solriamfetol is not approved by the FDA for the treatment of ADHD.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1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4" w:lineRule="auto"/>
        <w:rPr>
          <w:sz w:val="20"/>
          <w:szCs w:val="20"/>
          <w:color w:val="auto"/>
        </w:rPr>
      </w:pPr>
      <w:r>
        <w:rPr>
          <w:rFonts w:ascii="Arial" w:cs="Arial" w:eastAsia="Arial" w:hAnsi="Arial"/>
          <w:sz w:val="18"/>
          <w:szCs w:val="18"/>
          <w:color w:val="auto"/>
        </w:rPr>
        <w:t>Mark Jacobson</w:t>
      </w:r>
    </w:p>
    <w:p>
      <w:pPr>
        <w:spacing w:after="0" w:line="235"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One World Trade Center, 22nd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4" w:lineRule="auto"/>
        <w:rPr>
          <w:sz w:val="20"/>
          <w:szCs w:val="20"/>
          <w:color w:val="auto"/>
        </w:rPr>
      </w:pPr>
      <w:r>
        <w:rPr>
          <w:rFonts w:ascii="Arial" w:cs="Arial" w:eastAsia="Arial" w:hAnsi="Arial"/>
          <w:sz w:val="18"/>
          <w:szCs w:val="18"/>
          <w:color w:val="auto"/>
        </w:rPr>
        <w:t>Tel: 212-332-3243</w:t>
      </w:r>
    </w:p>
    <w:p>
      <w:pPr>
        <w:spacing w:after="0" w:line="235"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One World Trade Center, 22nd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929-837-1065</w:t>
      </w:r>
    </w:p>
    <w:p>
      <w:pPr>
        <w:spacing w:after="0" w:line="234" w:lineRule="auto"/>
        <w:rPr>
          <w:sz w:val="20"/>
          <w:szCs w:val="20"/>
          <w:color w:val="auto"/>
        </w:rPr>
      </w:pPr>
      <w:r>
        <w:rPr>
          <w:rFonts w:ascii="Arial" w:cs="Arial" w:eastAsia="Arial" w:hAnsi="Arial"/>
          <w:sz w:val="18"/>
          <w:szCs w:val="18"/>
          <w:color w:val="auto"/>
        </w:rPr>
        <w:t>Email: dopland@axsome.com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References:</w:t>
      </w:r>
    </w:p>
    <w:p>
      <w:pPr>
        <w:spacing w:after="0" w:line="18" w:lineRule="exact"/>
        <w:rPr>
          <w:sz w:val="20"/>
          <w:szCs w:val="20"/>
          <w:color w:val="auto"/>
        </w:rPr>
      </w:pPr>
    </w:p>
    <w:p>
      <w:pPr>
        <w:ind w:left="760" w:right="80" w:hanging="378"/>
        <w:spacing w:after="0" w:line="242"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American Psychiatric Association, Diagnostic and Statistical Manual of Mental Disorders, 5 ed., Arlington, VA: American Psychiatric Publishing, 2013.</w:t>
      </w:r>
    </w:p>
    <w:p>
      <w:pPr>
        <w:spacing w:after="0" w:line="1" w:lineRule="exact"/>
        <w:rPr>
          <w:rFonts w:ascii="Arial" w:cs="Arial" w:eastAsia="Arial" w:hAnsi="Arial"/>
          <w:sz w:val="18"/>
          <w:szCs w:val="18"/>
          <w:color w:val="auto"/>
        </w:rPr>
      </w:pPr>
    </w:p>
    <w:p>
      <w:pPr>
        <w:ind w:left="760" w:right="420" w:hanging="378"/>
        <w:spacing w:after="0" w:line="234"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 E. Brown, "ADD/ADHD and impaired executive function in clinical practice," Current Psychiatry Reports, vol. 10, p. 407–411, 2008. doi. 10.1037/pne0000271</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 Nestler, S. Hyman and R. Malenka, Molecular Neuropharmacology: A Foundation for Clinical Neuroscience, Second Edition, 2nd</w:t>
      </w:r>
    </w:p>
    <w:p>
      <w:pPr>
        <w:ind w:left="760"/>
        <w:spacing w:after="0" w:line="234" w:lineRule="auto"/>
        <w:rPr>
          <w:rFonts w:ascii="Arial" w:cs="Arial" w:eastAsia="Arial" w:hAnsi="Arial"/>
          <w:sz w:val="18"/>
          <w:szCs w:val="18"/>
          <w:color w:val="auto"/>
        </w:rPr>
      </w:pPr>
      <w:r>
        <w:rPr>
          <w:rFonts w:ascii="Arial" w:cs="Arial" w:eastAsia="Arial" w:hAnsi="Arial"/>
          <w:sz w:val="18"/>
          <w:szCs w:val="18"/>
          <w:color w:val="auto"/>
        </w:rPr>
        <w:t>edition ed., New York: McGraw-Hill Professional, 2008.</w:t>
      </w:r>
    </w:p>
    <w:p>
      <w:pPr>
        <w:ind w:left="760" w:right="400" w:hanging="378"/>
        <w:spacing w:after="0" w:line="234"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Faraone, S., Asherson, P., Banaschewski, T. et al. Attention-deficit/hyperactivity disorder. Nat Rev Dis Primers 1, 15020 (2015). https://doi.org/10.1038/nrdp.2015.20</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Kessler RC, et al. The prevalence and correlates of adult ADHD in the United States: results from the National Comorbidity Survey</w:t>
      </w:r>
    </w:p>
    <w:p>
      <w:pPr>
        <w:ind w:left="760"/>
        <w:spacing w:after="0" w:line="234" w:lineRule="auto"/>
        <w:rPr>
          <w:rFonts w:ascii="Arial" w:cs="Arial" w:eastAsia="Arial" w:hAnsi="Arial"/>
          <w:sz w:val="18"/>
          <w:szCs w:val="18"/>
          <w:color w:val="auto"/>
        </w:rPr>
      </w:pPr>
      <w:r>
        <w:rPr>
          <w:rFonts w:ascii="Arial" w:cs="Arial" w:eastAsia="Arial" w:hAnsi="Arial"/>
          <w:sz w:val="18"/>
          <w:szCs w:val="18"/>
          <w:color w:val="auto"/>
        </w:rPr>
        <w:t>Replication. Am J Psychiatry. 2006 Apr;163(4):716-23. doi: 10.1176/ajp.2006.163.4.716</w:t>
      </w:r>
    </w:p>
    <w:p>
      <w:pPr>
        <w:ind w:left="760" w:right="260" w:hanging="378"/>
        <w:spacing w:after="0" w:line="234"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Sibley, MH et al. Variable Patterns of Remission From ADHD in the Multimodal Treatment Study of ADHD. Am J Psychiatry. 2022 Feb;179(2):142-151. doi: 10.1176/appi.ajp.2021.21010032.</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Schein J, et al. Economic burden of attention-deficit/hyperactivity disorder among adults in the United States: a societal perspective.</w:t>
      </w:r>
    </w:p>
    <w:p>
      <w:pPr>
        <w:spacing w:after="0" w:line="7"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JMCP. 2022. 28:2, 168-179. doi: 10.18553/jmcp.2021.21290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2023-07-07T07:29:48Z</dcterms:created>
  <dcterms:modified xsi:type="dcterms:W3CDTF">2023-07-07T07:29:48Z</dcterms:modified>
</cp:coreProperties>
</file>