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serif" w:hAnsi="Times New Roman;serif"/>
          <w:b/>
          <w:sz w:val="18"/>
        </w:rPr>
      </w:pPr>
      <w:bookmarkStart w:id="0" w:name="s-8_espp_2023.htm"/>
      <w:bookmarkStart w:id="1" w:name="kss8_espp_2023"/>
      <w:bookmarkEnd w:id="0"/>
      <w:bookmarkEnd w:id="1"/>
      <w:r>
        <w:rPr>
          <w:rFonts w:ascii="Times New Roman;serif" w:hAnsi="Times New Roman;serif"/>
          <w:b/>
          <w:sz w:val="18"/>
        </w:rPr>
        <w:t>As filed with the Securities and Exchange Commission on June 23, 2023</w:t>
      </w:r>
    </w:p>
    <w:p>
      <w:pPr>
        <w:pStyle w:val="TextBody"/>
        <w:bidi w:val="0"/>
        <w:spacing w:before="0" w:after="0"/>
        <w:jc w:val="right"/>
        <w:rPr>
          <w:rFonts w:ascii="Times New Roman" w:hAnsi="Times New Roman"/>
          <w:sz w:val="20"/>
        </w:rPr>
      </w:pPr>
      <w:r>
        <w:rPr>
          <w:rFonts w:ascii="Times New Roman;serif" w:hAnsi="Times New Roman;serif"/>
          <w:b/>
          <w:sz w:val="18"/>
        </w:rPr>
        <w:t>Registration No. 333-</w:t>
      </w:r>
      <w:r>
        <w:rPr>
          <w:rFonts w:ascii="Times New Roman" w:hAnsi="Times New Roman"/>
          <w:sz w:val="20"/>
        </w:rPr>
        <w:t xml:space="preserve"> </w:t>
      </w:r>
    </w:p>
    <w:p>
      <w:pPr>
        <w:pStyle w:val="TextBody"/>
        <w:bidi w:val="0"/>
        <w:spacing w:before="0" w:after="0"/>
        <w:jc w:val="right"/>
        <w:rPr/>
      </w:pPr>
      <w:r>
        <w:rPr/>
        <w:t> </w:t>
      </w:r>
    </w:p>
    <w:p>
      <w:pPr>
        <w:pStyle w:val="TextBody"/>
        <w:bidi w:val="0"/>
        <w:spacing w:before="0" w:after="0"/>
        <w:jc w:val="center"/>
        <w:rPr>
          <w:rFonts w:ascii="Times New Roman;serif" w:hAnsi="Times New Roman;serif"/>
          <w:b/>
          <w:sz w:val="34"/>
        </w:rPr>
      </w:pPr>
      <w:r>
        <w:rPr>
          <w:rFonts w:ascii="Times New Roman;serif" w:hAnsi="Times New Roman;serif"/>
          <w:b/>
          <w:sz w:val="34"/>
        </w:rPr>
        <w:t>SECURITIES AND EXCHANGE COMMISSION</w:t>
      </w:r>
    </w:p>
    <w:p>
      <w:pPr>
        <w:pStyle w:val="TextBody"/>
        <w:bidi w:val="0"/>
        <w:spacing w:before="0" w:after="0"/>
        <w:jc w:val="center"/>
        <w:rPr>
          <w:rFonts w:ascii="Times New Roman;serif" w:hAnsi="Times New Roman;serif"/>
          <w:b/>
          <w:sz w:val="18"/>
        </w:rPr>
      </w:pPr>
      <w:r>
        <w:rPr>
          <w:rFonts w:ascii="Times New Roman;serif" w:hAnsi="Times New Roman;serif"/>
          <w:b/>
          <w:sz w:val="18"/>
        </w:rPr>
        <w:t>Washington, D.C. 20549</w:t>
      </w:r>
    </w:p>
    <w:p>
      <w:pPr>
        <w:pStyle w:val="TextBody"/>
        <w:bidi w:val="0"/>
        <w:spacing w:before="0" w:after="0"/>
        <w:jc w:val="center"/>
        <w:rPr>
          <w:rFonts w:ascii="Times New Roman;serif" w:hAnsi="Times New Roman;serif"/>
          <w:b/>
          <w:sz w:val="34"/>
        </w:rPr>
      </w:pPr>
      <w:r>
        <w:rPr>
          <w:rFonts w:ascii="Times New Roman;serif" w:hAnsi="Times New Roman;serif"/>
          <w:b/>
          <w:sz w:val="34"/>
        </w:rPr>
        <w:t>FORM S-8</w:t>
      </w:r>
    </w:p>
    <w:p>
      <w:pPr>
        <w:pStyle w:val="TextBody"/>
        <w:bidi w:val="0"/>
        <w:spacing w:before="0" w:after="0"/>
        <w:jc w:val="center"/>
        <w:rPr>
          <w:rFonts w:ascii="Times New Roman;serif" w:hAnsi="Times New Roman;serif"/>
          <w:b/>
          <w:sz w:val="22"/>
        </w:rPr>
      </w:pPr>
      <w:r>
        <w:rPr>
          <w:rFonts w:ascii="Times New Roman;serif" w:hAnsi="Times New Roman;serif"/>
          <w:b/>
          <w:sz w:val="22"/>
        </w:rPr>
        <w:t>REGISTRATION STATEMENT</w:t>
      </w:r>
    </w:p>
    <w:p>
      <w:pPr>
        <w:pStyle w:val="TextBody"/>
        <w:bidi w:val="0"/>
        <w:spacing w:before="0" w:after="0"/>
        <w:jc w:val="center"/>
        <w:rPr>
          <w:rFonts w:ascii="Times New Roman;serif" w:hAnsi="Times New Roman;serif"/>
          <w:b/>
          <w:sz w:val="22"/>
        </w:rPr>
      </w:pPr>
      <w:r>
        <w:rPr>
          <w:rFonts w:ascii="Times New Roman;serif" w:hAnsi="Times New Roman;serif"/>
          <w:b/>
          <w:sz w:val="22"/>
        </w:rPr>
        <w:t>Under</w:t>
      </w:r>
    </w:p>
    <w:p>
      <w:pPr>
        <w:pStyle w:val="TextBody"/>
        <w:bidi w:val="0"/>
        <w:spacing w:before="0" w:after="0"/>
        <w:jc w:val="center"/>
        <w:rPr>
          <w:rFonts w:ascii="Times New Roman;serif" w:hAnsi="Times New Roman;serif"/>
          <w:b/>
          <w:sz w:val="22"/>
        </w:rPr>
      </w:pPr>
      <w:r>
        <w:rPr>
          <w:rFonts w:ascii="Times New Roman;serif" w:hAnsi="Times New Roman;serif"/>
          <w:b/>
          <w:sz w:val="22"/>
        </w:rPr>
        <w:t>The Securities Act of 1933</w:t>
      </w:r>
    </w:p>
    <w:p>
      <w:pPr>
        <w:pStyle w:val="TextBody"/>
        <w:bidi w:val="0"/>
        <w:spacing w:before="0" w:after="0"/>
        <w:jc w:val="center"/>
        <w:rPr>
          <w:rFonts w:ascii="Times New Roman;serif" w:hAnsi="Times New Roman;serif"/>
          <w:b/>
          <w:sz w:val="34"/>
        </w:rPr>
      </w:pPr>
      <w:r>
        <w:rPr>
          <w:rFonts w:ascii="Times New Roman;serif" w:hAnsi="Times New Roman;serif"/>
          <w:b/>
          <w:sz w:val="34"/>
        </w:rPr>
        <w:t>AXSOME THERAPEUTICS, INC.</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(Exact name of registrant as specified in its charter)</w:t>
      </w:r>
    </w:p>
    <w:tbl>
      <w:tblPr>
        <w:tblW w:w="5158" w:type="dxa"/>
        <w:jc w:val="left"/>
        <w:tblInd w:w="0" w:type="dxa"/>
        <w:tblLayout w:type="fixed"/>
        <w:tblCellMar>
          <w:top w:w="28" w:type="dxa"/>
          <w:left w:w="28" w:type="dxa"/>
          <w:bottom w:w="28" w:type="dxa"/>
          <w:right w:w="28" w:type="dxa"/>
        </w:tblCellMar>
      </w:tblPr>
      <w:tblGrid>
        <w:gridCol w:w="2431"/>
        <w:gridCol w:w="146"/>
        <w:gridCol w:w="258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45-4241907</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(State or other jurisdiction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(IRS Employer Identification No.)</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8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One World Trade Center</w:t>
      </w:r>
    </w:p>
    <w:p>
      <w:pPr>
        <w:pStyle w:val="TextBody"/>
        <w:bidi w:val="0"/>
        <w:spacing w:before="0" w:after="0"/>
        <w:jc w:val="center"/>
        <w:rPr>
          <w:rFonts w:ascii="Times New Roman;serif" w:hAnsi="Times New Roman;serif"/>
          <w:b/>
          <w:sz w:val="18"/>
        </w:rPr>
      </w:pPr>
      <w:r>
        <w:rPr>
          <w:rFonts w:ascii="Times New Roman;serif" w:hAnsi="Times New Roman;serif"/>
          <w:b/>
          <w:sz w:val="18"/>
        </w:rPr>
        <w:t>22nd Floor</w:t>
      </w:r>
    </w:p>
    <w:p>
      <w:pPr>
        <w:pStyle w:val="TextBody"/>
        <w:bidi w:val="0"/>
        <w:spacing w:before="0" w:after="0"/>
        <w:jc w:val="center"/>
        <w:rPr>
          <w:rFonts w:ascii="Times New Roman;serif" w:hAnsi="Times New Roman;serif"/>
          <w:b/>
          <w:sz w:val="18"/>
        </w:rPr>
      </w:pPr>
      <w:r>
        <w:rPr>
          <w:rFonts w:ascii="Times New Roman;serif" w:hAnsi="Times New Roman;serif"/>
          <w:b/>
          <w:sz w:val="18"/>
        </w:rPr>
        <w:t>New York, New York 10007</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(Address of principal executive offices) (Zip Code)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Axsome Therapeutics, Inc. 2023 Employee Stock Purchase Plan</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(Full title of the Plans)</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 xml:space="preserve">Herriot Tabuteau, M.D. </w:t>
        <w:br/>
        <w:t xml:space="preserve">President and Chief Executive Officer </w:t>
        <w:br/>
        <w:t xml:space="preserve">Axsome Therapeutics, Inc. </w:t>
        <w:br/>
        <w:t>One World Trade Center</w:t>
        <w:br/>
        <w:t>22nd Floor</w:t>
      </w:r>
    </w:p>
    <w:p>
      <w:pPr>
        <w:pStyle w:val="TextBody"/>
        <w:bidi w:val="0"/>
        <w:spacing w:before="0" w:after="0"/>
        <w:jc w:val="center"/>
        <w:rPr>
          <w:rFonts w:ascii="Times New Roman;serif" w:hAnsi="Times New Roman;serif"/>
          <w:b/>
          <w:sz w:val="18"/>
        </w:rPr>
      </w:pPr>
      <w:r>
        <w:rPr>
          <w:rFonts w:ascii="Times New Roman;serif" w:hAnsi="Times New Roman;serif"/>
          <w:b/>
          <w:sz w:val="18"/>
        </w:rPr>
        <w:t>New York, New York 10007</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(Name and address of agent for service)</w:t>
      </w:r>
    </w:p>
    <w:p>
      <w:pPr>
        <w:pStyle w:val="TextBody"/>
        <w:bidi w:val="0"/>
        <w:spacing w:before="0" w:after="0"/>
        <w:jc w:val="center"/>
        <w:rPr>
          <w:rFonts w:ascii="Times New Roman;serif" w:hAnsi="Times New Roman;serif"/>
          <w:b/>
          <w:sz w:val="18"/>
        </w:rPr>
      </w:pPr>
      <w:r>
        <w:rPr>
          <w:rFonts w:ascii="Times New Roman;serif" w:hAnsi="Times New Roman;serif"/>
          <w:b/>
          <w:sz w:val="18"/>
        </w:rPr>
        <w:t>(212) 332-3241</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(Telephone number, including area code, of agent for service)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Copies to:</w:t>
      </w:r>
    </w:p>
    <w:p>
      <w:pPr>
        <w:pStyle w:val="TextBody"/>
        <w:bidi w:val="0"/>
        <w:spacing w:before="0" w:after="0"/>
        <w:jc w:val="center"/>
        <w:rPr/>
      </w:pPr>
      <w:r>
        <w:rPr/>
        <w:t> </w:t>
      </w:r>
    </w:p>
    <w:tbl>
      <w:tblPr>
        <w:tblW w:w="6482" w:type="dxa"/>
        <w:jc w:val="left"/>
        <w:tblInd w:w="0" w:type="dxa"/>
        <w:tblLayout w:type="fixed"/>
        <w:tblCellMar>
          <w:top w:w="28" w:type="dxa"/>
          <w:left w:w="28" w:type="dxa"/>
          <w:bottom w:w="28" w:type="dxa"/>
          <w:right w:w="28" w:type="dxa"/>
        </w:tblCellMar>
      </w:tblPr>
      <w:tblGrid>
        <w:gridCol w:w="3061"/>
        <w:gridCol w:w="3421"/>
      </w:tblGrid>
      <w:tr>
        <w:trPr/>
        <w:tc>
          <w:tcPr>
            <w:tcW w:w="3061"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left"/>
              <w:rPr>
                <w:rFonts w:ascii="Times New Roman" w:hAnsi="Times New Roman"/>
                <w:sz w:val="18"/>
              </w:rPr>
            </w:pPr>
            <w:r>
              <w:rPr>
                <w:rFonts w:ascii="Times New Roman;serif" w:hAnsi="Times New Roman;serif"/>
                <w:b/>
                <w:sz w:val="18"/>
              </w:rPr>
              <w:t>Emilio Ragosa</w:t>
            </w:r>
            <w:r>
              <w:rPr>
                <w:rFonts w:ascii="Times New Roman" w:hAnsi="Times New Roman"/>
                <w:sz w:val="18"/>
              </w:rPr>
              <w:t xml:space="preserve"> </w:t>
            </w:r>
          </w:p>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DLA Piper LLP (US)</w:t>
            </w:r>
          </w:p>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51 John F. Kennedy Parkway, Suite 120</w:t>
            </w:r>
            <w:r>
              <w:rPr>
                <w:rFonts w:ascii="Times New Roman" w:hAnsi="Times New Roman"/>
                <w:sz w:val="18"/>
              </w:rPr>
              <w:t xml:space="preserve"> </w:t>
            </w:r>
          </w:p>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Short Hills, New Jersey 07078</w:t>
            </w:r>
          </w:p>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Telephone: (973) 520-2550</w:t>
            </w:r>
          </w:p>
        </w:tc>
        <w:tc>
          <w:tcPr>
            <w:tcW w:w="342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8"/>
              </w:rPr>
              <w:t>Hunter Murdock</w:t>
            </w:r>
          </w:p>
          <w:p>
            <w:pPr>
              <w:pStyle w:val="TableContents"/>
              <w:bidi w:val="0"/>
              <w:spacing w:before="0" w:after="0"/>
              <w:ind w:left="0" w:right="0" w:hanging="0"/>
              <w:jc w:val="center"/>
              <w:rPr/>
            </w:pPr>
            <w:r>
              <w:rPr/>
              <w:t>    </w:t>
            </w:r>
            <w:r>
              <w:rPr>
                <w:rFonts w:ascii="Times New Roman;serif" w:hAnsi="Times New Roman;serif"/>
                <w:b w:val="false"/>
                <w:sz w:val="18"/>
              </w:rPr>
              <w:t>General Counsel</w:t>
            </w:r>
          </w:p>
          <w:p>
            <w:pPr>
              <w:pStyle w:val="TableContents"/>
              <w:bidi w:val="0"/>
              <w:spacing w:before="0" w:after="0"/>
              <w:ind w:left="0" w:right="0" w:hanging="0"/>
              <w:jc w:val="center"/>
              <w:rPr/>
            </w:pPr>
            <w:r>
              <w:rPr/>
              <w:t>                    </w:t>
            </w:r>
            <w:r>
              <w:rPr>
                <w:rFonts w:ascii="Times New Roman;serif" w:hAnsi="Times New Roman;serif"/>
                <w:b w:val="false"/>
                <w:sz w:val="18"/>
              </w:rPr>
              <w:t>Axsome Therapeutics, Inc.</w:t>
            </w:r>
          </w:p>
          <w:p>
            <w:pPr>
              <w:pStyle w:val="TableContents"/>
              <w:bidi w:val="0"/>
              <w:spacing w:before="0" w:after="0"/>
              <w:ind w:left="0" w:right="0" w:hanging="0"/>
              <w:jc w:val="center"/>
              <w:rPr/>
            </w:pPr>
            <w:r>
              <w:rPr/>
              <w:t>                 </w:t>
            </w:r>
            <w:r>
              <w:rPr>
                <w:rFonts w:ascii="Times New Roman;serif" w:hAnsi="Times New Roman;serif"/>
                <w:b w:val="false"/>
                <w:sz w:val="18"/>
              </w:rPr>
              <w:t>One World Trade Center</w:t>
            </w:r>
          </w:p>
          <w:p>
            <w:pPr>
              <w:pStyle w:val="TableContents"/>
              <w:bidi w:val="0"/>
              <w:spacing w:before="0" w:after="0"/>
              <w:ind w:left="0" w:right="0" w:hanging="0"/>
              <w:jc w:val="left"/>
              <w:rPr/>
            </w:pPr>
            <w:r>
              <w:rPr/>
              <w:t>                                        </w:t>
            </w:r>
            <w:r>
              <w:rPr>
                <w:rFonts w:ascii="Times New Roman;serif" w:hAnsi="Times New Roman;serif"/>
                <w:b w:val="false"/>
                <w:sz w:val="18"/>
              </w:rPr>
              <w:t>22nd Floor</w:t>
            </w:r>
          </w:p>
          <w:p>
            <w:pPr>
              <w:pStyle w:val="TableContents"/>
              <w:bidi w:val="0"/>
              <w:spacing w:before="0" w:after="0"/>
              <w:ind w:left="0" w:right="0" w:hanging="0"/>
              <w:jc w:val="center"/>
              <w:rPr/>
            </w:pPr>
            <w:r>
              <w:rPr/>
              <w:t>             </w:t>
            </w:r>
            <w:r>
              <w:rPr>
                <w:rFonts w:ascii="Times New Roman;serif" w:hAnsi="Times New Roman;serif"/>
                <w:b w:val="false"/>
                <w:sz w:val="18"/>
              </w:rPr>
              <w:t>New York, NY 10007</w:t>
            </w:r>
          </w:p>
          <w:p>
            <w:pPr>
              <w:pStyle w:val="TableContents"/>
              <w:bidi w:val="0"/>
              <w:spacing w:before="0" w:after="0"/>
              <w:ind w:left="0" w:right="0" w:hanging="0"/>
              <w:jc w:val="center"/>
              <w:rPr/>
            </w:pPr>
            <w:r>
              <w:rPr/>
              <w:t>                      </w:t>
            </w:r>
            <w:r>
              <w:rPr>
                <w:rFonts w:ascii="Times New Roman;serif" w:hAnsi="Times New Roman;serif"/>
                <w:b w:val="false"/>
                <w:sz w:val="18"/>
              </w:rPr>
              <w:t>Telephone: (212) 332-3241</w:t>
            </w:r>
          </w:p>
          <w:p>
            <w:pPr>
              <w:pStyle w:val="TableContents"/>
              <w:bidi w:val="0"/>
              <w:spacing w:before="0" w:after="0"/>
              <w:ind w:left="0" w:right="0" w:hanging="0"/>
              <w:jc w:val="center"/>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318" w:type="dxa"/>
        <w:jc w:val="left"/>
        <w:tblInd w:w="0" w:type="dxa"/>
        <w:tblLayout w:type="fixed"/>
        <w:tblCellMar>
          <w:top w:w="28" w:type="dxa"/>
          <w:left w:w="28" w:type="dxa"/>
          <w:bottom w:w="28" w:type="dxa"/>
          <w:right w:w="28" w:type="dxa"/>
        </w:tblCellMar>
      </w:tblPr>
      <w:tblGrid>
        <w:gridCol w:w="1876"/>
        <w:gridCol w:w="146"/>
        <w:gridCol w:w="229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sz w:val="18"/>
              </w:rPr>
              <w:t xml:space="preserve">Large accelerated filer </w:t>
            </w:r>
            <w:r>
              <w:rPr>
                <w:rFonts w:ascii="Times New Roman" w:hAnsi="Times New Roman"/>
                <w:sz w:val="18"/>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sz w:val="18"/>
              </w:rPr>
              <w:t xml:space="preserve">Accelerated filer </w:t>
            </w:r>
            <w:r>
              <w:rPr>
                <w:rFonts w:ascii="Times New Roman" w:hAnsi="Times New Roman"/>
                <w:sz w:val="18"/>
              </w:rPr>
              <w:t>☐</w:t>
            </w:r>
          </w:p>
        </w:tc>
      </w:tr>
      <w:tr>
        <w:trPr/>
        <w:tc>
          <w:tcPr>
            <w:tcW w:w="18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sz w:val="18"/>
              </w:rPr>
              <w:t xml:space="preserve">Non-accelerated filer </w:t>
            </w:r>
            <w:r>
              <w:rPr>
                <w:rFonts w:ascii="Times New Roman" w:hAnsi="Times New Roman"/>
                <w:sz w:val="18"/>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sz w:val="18"/>
              </w:rPr>
              <w:t xml:space="preserve">Smaller reporting company </w:t>
            </w:r>
            <w:r>
              <w:rPr>
                <w:rFonts w:ascii="Times New Roman" w:hAnsi="Times New Roman"/>
                <w:sz w:val="18"/>
              </w:rPr>
              <w:t>☐</w:t>
            </w:r>
          </w:p>
        </w:tc>
      </w:tr>
      <w:tr>
        <w:trPr/>
        <w:tc>
          <w:tcPr>
            <w:tcW w:w="187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val="false"/>
                <w:sz w:val="18"/>
              </w:rPr>
              <w:t xml:space="preserve">Emerging growth company </w:t>
            </w:r>
            <w:r>
              <w:rPr>
                <w:rFonts w:ascii="Times New Roman" w:hAnsi="Times New Roman"/>
                <w:sz w:val="18"/>
              </w:rPr>
              <w:t>☐</w:t>
            </w:r>
          </w:p>
        </w:tc>
      </w:tr>
    </w:tbl>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PART I</w:t>
      </w:r>
    </w:p>
    <w:p>
      <w:pPr>
        <w:pStyle w:val="TextBody"/>
        <w:bidi w:val="0"/>
        <w:spacing w:before="0" w:after="0"/>
        <w:jc w:val="center"/>
        <w:rPr>
          <w:rFonts w:ascii="Times New Roman;serif" w:hAnsi="Times New Roman;serif"/>
          <w:b/>
          <w:sz w:val="20"/>
        </w:rPr>
      </w:pPr>
      <w:r>
        <w:rPr>
          <w:rFonts w:ascii="Times New Roman;serif" w:hAnsi="Times New Roman;serif"/>
          <w:b/>
          <w:sz w:val="20"/>
        </w:rPr>
        <w:t>Information Required in the Section 10(a) Prospectus</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1. </w:t>
      </w:r>
      <w:r>
        <w:rPr>
          <w:rFonts w:ascii="Times New Roman;serif" w:hAnsi="Times New Roman;serif"/>
          <w:b w:val="false"/>
          <w:sz w:val="20"/>
          <w:u w:val="single"/>
        </w:rPr>
        <w:t>Plan Information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information required by Item 1 is included in documents sent or given to participants in the plans covered by this Registration Statement pursuant to Rule 428(b)(1) of the Securities Act of 1933, as amended (the “1933 Act”).</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2. </w:t>
      </w:r>
      <w:r>
        <w:rPr>
          <w:rFonts w:ascii="Times New Roman;serif" w:hAnsi="Times New Roman;serif"/>
          <w:b w:val="false"/>
          <w:sz w:val="20"/>
          <w:u w:val="single"/>
        </w:rPr>
        <w:t>Registrant Information and Employee Plan Annual Information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written statement required by Item 2 is included in documents sent or given to participants in the plans covered by this Registration Statement pursuant to Rule 428(b)(1) of the 1933 Act.</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PART II</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Information Required in the Registration Statement</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3. </w:t>
      </w:r>
      <w:r>
        <w:rPr>
          <w:rFonts w:ascii="Times New Roman;serif" w:hAnsi="Times New Roman;serif"/>
          <w:b w:val="false"/>
          <w:sz w:val="20"/>
          <w:u w:val="single"/>
        </w:rPr>
        <w:t>Incorporation of Documents by Reference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Axsome Therapeutics, Inc. (the “Registrant”) is subject to the informational and reporting requirements of Sections 13(a), 14 and 15(d) of the Securities Exchange Act of 1934, as amended (the “1934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pStyle w:val="TextBody"/>
        <w:bidi w:val="0"/>
        <w:spacing w:before="0" w:after="0"/>
        <w:jc w:val="left"/>
        <w:rPr/>
      </w:pPr>
      <w:r>
        <w:rPr>
          <w:rFonts w:ascii="Times New Roman;serif" w:hAnsi="Times New Roman;serif"/>
          <w:b w:val="false"/>
          <w:sz w:val="20"/>
        </w:rPr>
        <w:t xml:space="preserve">(a) The Registrant’s </w:t>
      </w:r>
      <w:hyperlink r:id="rId2">
        <w:r>
          <w:rPr>
            <w:rStyle w:val="InternetLink"/>
            <w:rFonts w:ascii="Times New Roman;serif" w:hAnsi="Times New Roman;serif"/>
            <w:b w:val="false"/>
            <w:sz w:val="20"/>
            <w:u w:val="single"/>
          </w:rPr>
          <w:t>Annual Report on Form 10-K for the year ended December 31, 2022, filed with the Commission on February 28, 2023</w:t>
        </w:r>
      </w:hyperlink>
      <w:r>
        <w:rPr>
          <w:rFonts w:ascii="Times New Roman;serif" w:hAnsi="Times New Roman;serif"/>
          <w:b w:val="false"/>
          <w:sz w:val="20"/>
        </w:rPr>
        <w:t>, which contains the Registrant’s audited financial statements for the latest fiscal year for which such statements have been filed with the Commission;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 All other reports filed pursuant to Section 13(a) or 15(d) of the 1934 Act since the end of the fiscal year covered by the Registrant’s Annual Report on Form 10-K for the year ended December 31, 2022 referred to in (a) above; and</w:t>
      </w:r>
    </w:p>
    <w:p>
      <w:pPr>
        <w:pStyle w:val="TextBody"/>
        <w:bidi w:val="0"/>
        <w:spacing w:before="0" w:after="0"/>
        <w:jc w:val="left"/>
        <w:rPr/>
      </w:pPr>
      <w:r>
        <w:rPr>
          <w:rFonts w:ascii="Times New Roman;serif" w:hAnsi="Times New Roman;serif"/>
          <w:b w:val="false"/>
          <w:sz w:val="20"/>
        </w:rPr>
        <w:t xml:space="preserve">(c) The Registrant’s Registration Statement (File No. 001-37365) on </w:t>
      </w:r>
      <w:hyperlink r:id="rId3">
        <w:r>
          <w:rPr>
            <w:rStyle w:val="InternetLink"/>
            <w:rFonts w:ascii="Times New Roman;serif" w:hAnsi="Times New Roman;serif"/>
            <w:b w:val="false"/>
            <w:sz w:val="20"/>
            <w:u w:val="single"/>
          </w:rPr>
          <w:t>Form 8-A filed with the Commission on November 16, 2015</w:t>
        </w:r>
      </w:hyperlink>
      <w:r>
        <w:rPr>
          <w:rFonts w:ascii="Times New Roman" w:hAnsi="Times New Roman"/>
          <w:sz w:val="20"/>
        </w:rPr>
        <w:t xml:space="preserve"> </w:t>
      </w:r>
      <w:r>
        <w:rPr>
          <w:rFonts w:ascii="Times New Roman;serif" w:hAnsi="Times New Roman;serif"/>
          <w:b w:val="false"/>
          <w:sz w:val="20"/>
        </w:rPr>
        <w:t>pursuant to Section 12(b) of the 1934 Act, in which there is described the terms, rights, and provisions applicable to the Registrant’s outstanding common stock, par value $0.0001 per share.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reports and definitive proxy or information statements filed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1934 Act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4. </w:t>
      </w:r>
      <w:r>
        <w:rPr>
          <w:rFonts w:ascii="Times New Roman;serif" w:hAnsi="Times New Roman;serif"/>
          <w:b w:val="false"/>
          <w:sz w:val="20"/>
          <w:u w:val="single"/>
        </w:rPr>
        <w:t>Description of Securities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5. </w:t>
      </w:r>
      <w:r>
        <w:rPr>
          <w:rFonts w:ascii="Times New Roman;serif" w:hAnsi="Times New Roman;serif"/>
          <w:b w:val="false"/>
          <w:sz w:val="20"/>
          <w:u w:val="single"/>
        </w:rPr>
        <w:t>Interests of Named Experts and Counsel</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6. </w:t>
      </w:r>
      <w:r>
        <w:rPr>
          <w:rFonts w:ascii="Times New Roman;serif" w:hAnsi="Times New Roman;serif"/>
          <w:b w:val="false"/>
          <w:sz w:val="20"/>
          <w:u w:val="single"/>
        </w:rPr>
        <w:t>Indemnification of Directors and Officers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permitted by the Delaware General Corporation Law, the Registrant has adopted provisions in its amended and restated certificate of incorporation and amended and restated by-laws that limit or eliminate the personal liability of its directors. Consequently, a director will not be personally liable to the Registrant or the Registrant’s stockholders for monetary damages for breach of fiduciary duty as a director, except for liability for: (i) any breach of the director’s duty of loyalty to the Registrant or the Registrant’s stockholders; (ii) any act or omission not in good faith or that involves intentional misconduct or a knowing violation of law; (iii) any unlawful payments related to dividends or unlawful stock repurchases, redemptions or other distributions; or (iv) any transaction from which the director derived an improper personal benefit.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These limitations of liability do not alter director liability under the federal securities laws and do not affect the availability of equitable remedies such as an injunction or rescission.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addition, the Registrant’s amended and restated by-laws provide that: (i) the Registrant will indemnify its directors, officers and, in the discretion of its board of directors, certain employees to the fullest extent permitted by the Delaware General Corporation Law; and (ii) advance expenses, including attorneys’ fees, to the Registrant’s directors and, in the discretion of the Registrant’s board of directors, to its officers and certain employees, in connection with legal proceedings, subject to limited exceptions.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Registrant’s amended and restated certificate of incorporation that became effective immediately prior to the completion of its initial public offering provides that the Registrant will indemnify each of its directors to the fullest extent permitted by the Delaware General Corporation Law and advance expenses to each indemnitee in connection with any proceeding in which indemnification is available.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Registrant also maintains general liability insurance to provide insurance coverage to its directors and officers for losses arising out of claims based on acts or omissions in their capacities as directors or officers, including liabilities under the 1933 Act. Insofar as indemnification for liabilities arising under the 1933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These provisions may discourage stockholders from bringing a lawsuit against the Registrant’s directors in the future for any breach of their fiduciary duty. These provisions may also have the effect of reducing the likelihood of derivative litigation against directors and officers, even though such an action, if successful, might otherwise benefit the Registrant and its stockholders. Furthermore, a stockholder’s investment may be adversely affected to the extent the Registrant pays the costs of settlement and damage awards against directors, officers and certain employees pursuant to these indemnification provisions. The Registrant believes that these provisions, the indemnification agreements and the insurance are necessary to attract and retain talented and experienced directors and officers.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7. </w:t>
      </w:r>
      <w:r>
        <w:rPr>
          <w:rFonts w:ascii="Times New Roman;serif" w:hAnsi="Times New Roman;serif"/>
          <w:b w:val="false"/>
          <w:sz w:val="20"/>
          <w:u w:val="single"/>
        </w:rPr>
        <w:t>Exemption from Registration Claimed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serif" w:hAnsi="Times New Roman;serif"/>
          <w:b w:val="false"/>
          <w:sz w:val="20"/>
        </w:rPr>
        <w:t xml:space="preserve">Item 8. </w:t>
      </w:r>
      <w:r>
        <w:rPr>
          <w:rFonts w:ascii="Times New Roman;serif" w:hAnsi="Times New Roman;serif"/>
          <w:b w:val="false"/>
          <w:sz w:val="20"/>
          <w:u w:val="single"/>
        </w:rPr>
        <w:t>Exhibits</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Exhibit</w:t>
              <w:b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8"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Exhibit</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Amended and Restated Certificate of Incorporation of the Company (Incorporated by reference, Exhibit 3.1 to the Company’s Form 8-K (No. 001-37635) filed November 24, 2015).</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Amended and Restated Bylaws of the Company (Incorporated by reference, Exhibit 3.2 to the Company’s Form 8-K (No. 001-37635) filed November 24, 2015).</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Specimen Certificate evidencing shares of Company’s common stock (Incorporated by reference, Exhibit 4.1 to Amendment No. 1 to the Company’s Registration Statement on Form S-1 (No. 333</w:t>
                <w:noBreakHyphen/>
                <w:t>207393) filed October 30, 2015).</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Description of Securities (Incorporated by reference, Exhibit 4.13, to the Company’s Annual Report on Form 10-K, filed March 12, 2020).</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xsm-ex5_1.htm">
              <w:r>
                <w:rPr>
                  <w:rStyle w:val="InternetLink"/>
                  <w:rFonts w:ascii="Times New Roman;serif" w:hAnsi="Times New Roman;serif"/>
                  <w:b w:val="false"/>
                  <w:sz w:val="20"/>
                  <w:u w:val="single"/>
                </w:rPr>
                <w:t>Opinion and Consent of DLA Piper LLP (US).</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xsm-ex5_1.htm">
              <w:r>
                <w:rPr>
                  <w:rStyle w:val="InternetLink"/>
                  <w:rFonts w:ascii="Times New Roman;serif" w:hAnsi="Times New Roman;serif"/>
                  <w:b w:val="false"/>
                  <w:sz w:val="20"/>
                  <w:u w:val="single"/>
                </w:rPr>
                <w:t>Consent of DLA Piper LLP (US) is contained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xsm-ex23_2.htm">
              <w:r>
                <w:rPr>
                  <w:rStyle w:val="InternetLink"/>
                  <w:rFonts w:ascii="Times New Roman;serif" w:hAnsi="Times New Roman;serif"/>
                  <w:b w:val="false"/>
                  <w:sz w:val="20"/>
                  <w:u w:val="single"/>
                </w:rPr>
                <w:t>Consent of Ernst &amp; Young LLP,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ower_attorney">
              <w:r>
                <w:rPr>
                  <w:rStyle w:val="InternetLink"/>
                  <w:rFonts w:ascii="Times New Roman;serif" w:hAnsi="Times New Roman;serif"/>
                  <w:b w:val="false"/>
                  <w:sz w:val="20"/>
                  <w:u w:val="single"/>
                </w:rPr>
                <w:t>Power of Attorney. Reference is made to page 6 of this Registration Statement.</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Axsome Therapeutics, Inc. 2023 Employee Stock Purchase Plan (Incorporated by reference, Exhibit 10.1 to Registrant’s Current Report on Form 8-K, filed on June 8, 2023).</w:t>
              </w:r>
            </w:hyperlink>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4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xsm-exfiling_fees.htm">
              <w:r>
                <w:rPr>
                  <w:rStyle w:val="InternetLink"/>
                  <w:rFonts w:ascii="Times New Roman;serif" w:hAnsi="Times New Roman;serif"/>
                  <w:b w:val="false"/>
                  <w:sz w:val="20"/>
                  <w:u w:val="single"/>
                </w:rPr>
                <w:t>Filing Fee Table.</w:t>
              </w:r>
            </w:hyperlink>
            <w:hyperlink w:anchor="axsm-exfiling_fees.htm">
              <w:r>
                <w:rPr>
                  <w:rStyle w:val="InternetLink"/>
                  <w:rFonts w:ascii="Times New Roman" w:hAnsi="Times New Roman"/>
                  <w:sz w:val="24"/>
                </w:rPr>
                <w:t xml:space="preserve"> </w:t>
              </w:r>
            </w:hyperlink>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Item 9. </w:t>
      </w:r>
      <w:r>
        <w:rPr>
          <w:rFonts w:ascii="Times New Roman;serif" w:hAnsi="Times New Roman;serif"/>
          <w:b w:val="false"/>
          <w:sz w:val="20"/>
          <w:u w:val="single"/>
        </w:rPr>
        <w:t>Undertakings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The undersigned Registrant hereby undertakes: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To file, during any period in which offers or sales are being made, a post-effective amendment to this Registration Statement: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To include any prospectus required by Section 10(a)(3) of the Securities Act;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(iii) To include any material information with respect to the plan of distribution not previously disclosed in this Registration Statement or any material change to such information in this Registration Statement; provided, however, that paragraphs (a)(1)(i) and (a)(1)(ii) do not apply if the information required to be included in a post-effective amendment by those paragraphs is contained in periodic reports filed with or furnished to the Commission by Registrant pursuant to Section 13 or Section 15(d) of the Exchange Act that are incorporated by reference in this Registration Statement.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(3) To remove from registration by means of a post-effective amendment any of the securities being registered which remain unsold at the termination of the offering.</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 The undersigned Registrant hereby undertakes that, for purposes of determining any liability under the Securities Act, each filing of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0"/>
        <w:jc w:val="left"/>
        <w:rPr>
          <w:rFonts w:ascii="Times New Roman" w:hAnsi="Times New Roman"/>
          <w:sz w:val="20"/>
        </w:rPr>
      </w:pPr>
      <w:r>
        <w:rPr>
          <w:rFonts w:ascii="Times New Roman;serif" w:hAnsi="Times New Roman;serif"/>
          <w:b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23</w:t>
      </w:r>
      <w:r>
        <w:rPr>
          <w:rFonts w:ascii="Times New Roman;serif" w:hAnsi="Times New Roman;serif"/>
          <w:b w:val="false"/>
          <w:sz w:val="13"/>
        </w:rPr>
        <w:t>rd</w:t>
      </w:r>
      <w:r>
        <w:rPr>
          <w:rFonts w:ascii="Times New Roman" w:hAnsi="Times New Roman"/>
          <w:sz w:val="20"/>
        </w:rPr>
        <w:t xml:space="preserve"> </w:t>
      </w:r>
      <w:r>
        <w:rPr>
          <w:rFonts w:ascii="Times New Roman;serif" w:hAnsi="Times New Roman;serif"/>
          <w:b w:val="false"/>
          <w:sz w:val="20"/>
        </w:rPr>
        <w:t>day of June, 2023.</w:t>
      </w:r>
    </w:p>
    <w:tbl>
      <w:tblPr>
        <w:tblW w:w="3206" w:type="dxa"/>
        <w:jc w:val="left"/>
        <w:tblInd w:w="0" w:type="dxa"/>
        <w:tblLayout w:type="fixed"/>
        <w:tblCellMar>
          <w:top w:w="28" w:type="dxa"/>
          <w:left w:w="28" w:type="dxa"/>
          <w:bottom w:w="28" w:type="dxa"/>
          <w:right w:w="28" w:type="dxa"/>
        </w:tblCellMar>
      </w:tblPr>
      <w:tblGrid>
        <w:gridCol w:w="161"/>
        <w:gridCol w:w="403"/>
        <w:gridCol w:w="2642"/>
      </w:tblGrid>
      <w:tr>
        <w:trPr/>
        <w:tc>
          <w:tcPr>
            <w:tcW w:w="1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045"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AXSOME THERAPEUTICS, INC.</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64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642"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Herriot Tabuteau, M.D.</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6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Herriot Tabuteau, M.D.</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6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sz w:val="20"/>
          <w:u w:val="single"/>
        </w:rPr>
      </w:pPr>
      <w:bookmarkStart w:id="2" w:name="power_attorney"/>
      <w:bookmarkEnd w:id="2"/>
      <w:r>
        <w:rPr>
          <w:rFonts w:ascii="Times New Roman;serif" w:hAnsi="Times New Roman;serif"/>
          <w:b/>
          <w:sz w:val="20"/>
          <w:u w:val="single"/>
        </w:rPr>
        <w:t>POWER OF ATTORNEY</w:t>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KNOW ALL PERSONS BY THESE PRESENTS: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Pursuant to the requirements of the Securities Act of 1933, as amended, this Registration Statement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2241"/>
        <w:gridCol w:w="146"/>
        <w:gridCol w:w="6410"/>
        <w:gridCol w:w="146"/>
        <w:gridCol w:w="1262"/>
      </w:tblGrid>
      <w:tr>
        <w:trPr/>
        <w:tc>
          <w:tcPr>
            <w:tcW w:w="2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2241"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10"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2"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2241"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Herriot Tabuteau, M.D.</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0" w:type="dxa"/>
            <w:vMerge w:val="restart"/>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Chairman of the Board (Principal Executive Officer)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2023</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Herriot Tabuteau, M.D.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Nick Pizzie, CPA, MBA</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2023</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Nick Pizzie, CPA, MBA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Mark Coleman, M.D.</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2023</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Mark Coleman, M.D.</w:t>
            </w:r>
          </w:p>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Roger Jeffs, Ph.D.</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2023</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Roger Jeffs, Ph.D.</w:t>
            </w:r>
          </w:p>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241" w:type="dxa"/>
            <w:tcBorders>
              <w:bottom w:val="single" w:sz="8" w:space="0" w:color="000000"/>
            </w:tcBorders>
            <w:tcMar>
              <w:top w:w="0" w:type="dxa"/>
              <w:left w:w="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Mark Saad</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10"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23, 2023</w:t>
            </w:r>
          </w:p>
        </w:tc>
      </w:tr>
      <w:tr>
        <w:trPr/>
        <w:tc>
          <w:tcPr>
            <w:tcW w:w="22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Mark Saad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6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 w:name="axsm-ex5_1.htm"/>
      <w:bookmarkStart w:id="4" w:name="ksaxsmex5_1"/>
      <w:bookmarkEnd w:id="3"/>
      <w:bookmarkEnd w:id="4"/>
      <w:r>
        <w:rPr>
          <w:rFonts w:ascii="Times New Roman;serif" w:hAnsi="Times New Roman;serif"/>
          <w:b/>
          <w:sz w:val="20"/>
        </w:rPr>
        <w:t>Exhibit 5.1</w:t>
      </w:r>
      <w:r>
        <w:br w:type="page"/>
      </w:r>
    </w:p>
    <w:p>
      <w:pPr>
        <w:pStyle w:val="TextBody"/>
        <w:bidi w:val="0"/>
        <w:spacing w:before="0" w:after="0"/>
        <w:jc w:val="right"/>
        <w:rPr/>
      </w:pPr>
      <w:r>
        <w:rPr/>
        <w:t> </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DLA Piper LLP (US)</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51 John F. Kennedy Parkway, Suite 120</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Short Hills, New Jersey 07078</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www.dlapiper.com</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T: 973-520-2550</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F: 973-520-2551</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Attorney Responsible for Short Hills Office:</w:t>
      </w:r>
    </w:p>
    <w:p>
      <w:pPr>
        <w:pStyle w:val="TextBody"/>
        <w:bidi w:val="0"/>
        <w:spacing w:before="0" w:after="0"/>
        <w:jc w:val="right"/>
        <w:rPr>
          <w:rFonts w:ascii="Times New Roman;serif" w:hAnsi="Times New Roman;serif"/>
          <w:b w:val="false"/>
          <w:sz w:val="20"/>
        </w:rPr>
      </w:pPr>
      <w:r>
        <w:rPr>
          <w:rFonts w:ascii="Times New Roman;serif" w:hAnsi="Times New Roman;serif"/>
          <w:b w:val="false"/>
          <w:sz w:val="20"/>
        </w:rPr>
        <w:t>Emilio Ragosa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June 23, 2023</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Axsome Therapeutics, Inc.</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One World Trade Center, 22nd Floor</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New York, New York 10007</w:t>
      </w:r>
    </w:p>
    <w:p>
      <w:pPr>
        <w:pStyle w:val="TextBody"/>
        <w:bidi w:val="0"/>
        <w:spacing w:before="0" w:after="0"/>
        <w:jc w:val="both"/>
        <w:rPr/>
      </w:pPr>
      <w:r>
        <w:rPr/>
        <w:t> </w:t>
      </w:r>
    </w:p>
    <w:tbl>
      <w:tblPr>
        <w:tblW w:w="5792" w:type="dxa"/>
        <w:jc w:val="left"/>
        <w:tblInd w:w="0" w:type="dxa"/>
        <w:tblLayout w:type="fixed"/>
        <w:tblCellMar>
          <w:top w:w="28" w:type="dxa"/>
          <w:left w:w="28" w:type="dxa"/>
          <w:bottom w:w="28" w:type="dxa"/>
          <w:right w:w="28" w:type="dxa"/>
        </w:tblCellMar>
      </w:tblPr>
      <w:tblGrid>
        <w:gridCol w:w="406"/>
        <w:gridCol w:w="5386"/>
      </w:tblGrid>
      <w:tr>
        <w:trPr/>
        <w:tc>
          <w:tcPr>
            <w:tcW w:w="40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Re:</w:t>
            </w:r>
          </w:p>
        </w:tc>
        <w:tc>
          <w:tcPr>
            <w:tcW w:w="5386" w:type="dxa"/>
            <w:tcBorders/>
            <w:tcMar>
              <w:top w:w="0" w:type="dxa"/>
              <w:left w:w="0" w:type="dxa"/>
              <w:bottom w:w="0" w:type="dxa"/>
              <w:right w:w="0" w:type="dxa"/>
            </w:tcMar>
            <w:vAlign w:val="center"/>
          </w:tcPr>
          <w:p>
            <w:pPr>
              <w:pStyle w:val="TableContents"/>
              <w:pBdr>
                <w:bottom w:val="single" w:sz="8" w:space="1" w:color="000000"/>
              </w:pBdr>
              <w:bidi w:val="0"/>
              <w:spacing w:before="0" w:after="0"/>
              <w:ind w:left="0" w:right="0" w:hanging="0"/>
              <w:jc w:val="both"/>
              <w:rPr>
                <w:rFonts w:ascii="Times New Roman" w:hAnsi="Times New Roman"/>
                <w:sz w:val="20"/>
              </w:rPr>
            </w:pPr>
            <w:r>
              <w:rPr>
                <w:rFonts w:ascii="Times New Roman;serif" w:hAnsi="Times New Roman;serif"/>
                <w:b w:val="false"/>
                <w:sz w:val="20"/>
              </w:rPr>
              <w:t>Axsome Therapeutics, Inc. - Registration Statement on Form S-8</w:t>
            </w:r>
            <w:r>
              <w:rPr>
                <w:rFonts w:ascii="Times New Roman" w:hAnsi="Times New Roman"/>
                <w:sz w:val="20"/>
              </w:rPr>
              <w:t xml:space="preserve"> </w:t>
            </w:r>
          </w:p>
        </w:tc>
      </w:tr>
    </w:tbl>
    <w:p>
      <w:pPr>
        <w:pStyle w:val="TextBody"/>
        <w:bidi w:val="0"/>
        <w:spacing w:before="120" w:after="0"/>
        <w:jc w:val="both"/>
        <w:rPr>
          <w:rFonts w:ascii="Times New Roman" w:hAnsi="Times New Roman"/>
          <w:sz w:val="20"/>
        </w:rPr>
      </w:pPr>
      <w:r>
        <w:rPr>
          <w:rFonts w:ascii="Times New Roman;serif" w:hAnsi="Times New Roman;serif"/>
          <w:b w:val="false"/>
          <w:sz w:val="20"/>
        </w:rPr>
        <w:t>Dear Ladies and Gentlemen: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have acted as counsel to Axsome Therapeutics, Inc., a Delaware corporation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in connection with the preparation of a Registration Statement on Form S-8 (the “</w:t>
      </w:r>
      <w:r>
        <w:rPr>
          <w:rFonts w:ascii="Times New Roman;serif" w:hAnsi="Times New Roman;serif"/>
          <w:b/>
          <w:i/>
          <w:sz w:val="20"/>
        </w:rPr>
        <w:t>Registration Statement</w:t>
      </w:r>
      <w:r>
        <w:rPr>
          <w:rFonts w:ascii="Times New Roman" w:hAnsi="Times New Roman"/>
          <w:sz w:val="20"/>
        </w:rPr>
        <w:t>”</w:t>
      </w:r>
      <w:r>
        <w:rPr>
          <w:rFonts w:ascii="Times New Roman;serif" w:hAnsi="Times New Roman;serif"/>
          <w:b w:val="false"/>
          <w:sz w:val="20"/>
        </w:rPr>
        <w:t>) pursuant to the Securities Act of 1933, as amended (the “</w:t>
      </w:r>
      <w:r>
        <w:rPr>
          <w:rFonts w:ascii="Times New Roman;serif" w:hAnsi="Times New Roman;serif"/>
          <w:b/>
          <w:i/>
          <w:sz w:val="20"/>
        </w:rPr>
        <w:t>Securities Act</w:t>
      </w:r>
      <w:r>
        <w:rPr>
          <w:rFonts w:ascii="Times New Roman" w:hAnsi="Times New Roman"/>
          <w:sz w:val="20"/>
        </w:rPr>
        <w:t>”</w:t>
      </w:r>
      <w:r>
        <w:rPr>
          <w:rFonts w:ascii="Times New Roman;serif" w:hAnsi="Times New Roman;serif"/>
          <w:b w:val="false"/>
          <w:sz w:val="20"/>
        </w:rPr>
        <w:t>). The Registration Statement relates to the registration of 1,100,000 shares (the “</w:t>
      </w:r>
      <w:r>
        <w:rPr>
          <w:rFonts w:ascii="Times New Roman;serif" w:hAnsi="Times New Roman;serif"/>
          <w:b/>
          <w:i/>
          <w:sz w:val="20"/>
        </w:rPr>
        <w:t>Shares</w:t>
      </w:r>
      <w:r>
        <w:rPr>
          <w:rFonts w:ascii="Times New Roman" w:hAnsi="Times New Roman"/>
          <w:sz w:val="20"/>
        </w:rPr>
        <w:t>”</w:t>
      </w:r>
      <w:r>
        <w:rPr>
          <w:rFonts w:ascii="Times New Roman;serif" w:hAnsi="Times New Roman;serif"/>
          <w:b w:val="false"/>
          <w:sz w:val="20"/>
        </w:rPr>
        <w:t>) of common stock, $0.0001 par value per share, of the Company, that may be issued pursuant to the Axsome Therapeutics, Inc. 2023 Employee Stock Purchase Plan (the “</w:t>
      </w:r>
      <w:r>
        <w:rPr>
          <w:rFonts w:ascii="Times New Roman;serif" w:hAnsi="Times New Roman;serif"/>
          <w:b/>
          <w:i/>
          <w:sz w:val="20"/>
        </w:rPr>
        <w:t>ESPP</w:t>
      </w:r>
      <w:r>
        <w:rPr>
          <w:rFonts w:ascii="Times New Roman" w:hAnsi="Times New Roman"/>
          <w:sz w:val="20"/>
        </w:rPr>
        <w:t>”</w:t>
      </w:r>
      <w:r>
        <w:rPr>
          <w:rFonts w:ascii="Times New Roman;serif" w:hAnsi="Times New Roman;serif"/>
          <w:b w:val="false"/>
          <w:sz w:val="20"/>
        </w:rPr>
        <w:t>), as referenced in the Registration Statement.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Based upon the foregoing, we are of the opinion that the Shares have been duly authorized and, when and to the extent issued in accordance with the terms of the ESPP and any subscription agreement entered into under the ESPP, the Shares will be validly issued, fully paid and nonassessable.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opinion expressed herein is limited to the Delaware General Corporation Law.</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hereby consent to the use of this opinion as Exhibit 5.1 to the Registration Statement. In giving such consent, we do not hereby admit that we are acting within the category of persons whose consent is required under Section 7 of the Securities Act or the rules or regulations of the U.S. Securities and Exchange Commission thereunder.</w:t>
      </w:r>
    </w:p>
    <w:p>
      <w:pPr>
        <w:pStyle w:val="TextBody"/>
        <w:bidi w:val="0"/>
        <w:spacing w:before="120" w:after="0"/>
        <w:jc w:val="both"/>
        <w:rPr>
          <w:rFonts w:ascii="Times New Roman" w:hAnsi="Times New Roman"/>
          <w:sz w:val="20"/>
        </w:rPr>
      </w:pPr>
      <w:r>
        <w:rPr>
          <w:rFonts w:ascii="Times New Roman;serif" w:hAnsi="Times New Roman;serif"/>
          <w:b w:val="false"/>
          <w:sz w:val="20"/>
        </w:rPr>
        <w:t>Very truly yours,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/s/ DLA Piper LLP (US)</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serif" w:hAnsi="Times New Roman;serif"/>
          <w:b/>
          <w:sz w:val="24"/>
        </w:rPr>
      </w:pPr>
      <w:bookmarkStart w:id="5" w:name="axsm-ex23_2.htm"/>
      <w:bookmarkStart w:id="6" w:name="ksaxsmex23_2"/>
      <w:bookmarkEnd w:id="5"/>
      <w:bookmarkEnd w:id="6"/>
      <w:r>
        <w:rPr>
          <w:rFonts w:ascii="Times New Roman;serif" w:hAnsi="Times New Roman;serif"/>
          <w:b/>
          <w:sz w:val="24"/>
        </w:rPr>
        <w:t>Exhibit 23.2</w:t>
      </w:r>
      <w:r>
        <w:br w:type="page"/>
      </w:r>
    </w:p>
    <w:p>
      <w:pPr>
        <w:pStyle w:val="TextBody"/>
        <w:bidi w:val="0"/>
        <w:spacing w:before="0" w:after="160"/>
        <w:jc w:val="center"/>
        <w:rPr>
          <w:rFonts w:ascii="Times New Roman;serif" w:hAnsi="Times New Roman;serif"/>
          <w:b/>
          <w:sz w:val="24"/>
        </w:rPr>
      </w:pPr>
      <w:r>
        <w:rPr>
          <w:rFonts w:ascii="Times New Roman;serif" w:hAnsi="Times New Roman;serif"/>
          <w:b/>
          <w:sz w:val="24"/>
        </w:rPr>
        <w:t>Consent of Independent Registered Public Accounting Firm</w:t>
      </w:r>
    </w:p>
    <w:p>
      <w:pPr>
        <w:pStyle w:val="TextBody"/>
        <w:bidi w:val="0"/>
        <w:spacing w:before="0" w:after="160"/>
        <w:jc w:val="both"/>
        <w:rPr>
          <w:rFonts w:ascii="Times New Roman" w:hAnsi="Times New Roman"/>
          <w:sz w:val="20"/>
        </w:rPr>
      </w:pPr>
      <w:r>
        <w:rPr>
          <w:rFonts w:ascii="Times New Roman;serif" w:hAnsi="Times New Roman;serif"/>
          <w:b w:val="false"/>
          <w:sz w:val="21"/>
        </w:rPr>
        <w:t>We consent to the incorporation by reference in the Registration Statement (Form S-8) pertaining to the Axsome Therapeutics, Inc. 2023 Employee Stock Purchase Plan of our reports dated February 27, 2023, with respect to the consolidated financial statements of Axsome Therapeutics, Inc. and the effectiveness of internal control over financial reporting of Axsome Therapeutics, Inc. included in its Annual Report (Form 10-K) for the year ended December 31, 2022, filed with the Securities and Exchange Commission.</w:t>
      </w:r>
      <w:r>
        <w:rPr>
          <w:rFonts w:ascii="Times New Roman" w:hAnsi="Times New Roman"/>
          <w:sz w:val="20"/>
        </w:rPr>
        <w:t xml:space="preserve"> </w:t>
      </w:r>
    </w:p>
    <w:p>
      <w:pPr>
        <w:pStyle w:val="TextBody"/>
        <w:bidi w:val="0"/>
        <w:spacing w:before="0" w:after="160"/>
        <w:jc w:val="both"/>
        <w:rPr/>
      </w:pPr>
      <w:r>
        <w:rPr/>
        <w:t> </w:t>
      </w:r>
    </w:p>
    <w:p>
      <w:pPr>
        <w:pStyle w:val="TextBody"/>
        <w:bidi w:val="0"/>
        <w:spacing w:before="0" w:after="160"/>
        <w:jc w:val="left"/>
        <w:rPr>
          <w:rFonts w:ascii="Times New Roman;serif" w:hAnsi="Times New Roman;serif"/>
          <w:b w:val="false"/>
          <w:sz w:val="24"/>
        </w:rPr>
      </w:pPr>
      <w:r>
        <w:rPr>
          <w:rFonts w:ascii="Times New Roman;serif" w:hAnsi="Times New Roman;serif"/>
          <w:b w:val="false"/>
          <w:sz w:val="24"/>
        </w:rPr>
        <w:t>/s/ Ernst &amp; Young LLP</w:t>
        <w:br/>
        <w:t>New York, NY</w:t>
        <w:br/>
        <w:t>June 23, 2023</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caps/>
          <w:sz w:val="20"/>
        </w:rPr>
      </w:pPr>
      <w:bookmarkStart w:id="7" w:name="axsm-exfiling_fees.htm"/>
      <w:bookmarkStart w:id="8" w:name="ksaxsmexfiling_fees"/>
      <w:bookmarkEnd w:id="7"/>
      <w:bookmarkEnd w:id="8"/>
      <w:r>
        <w:rPr>
          <w:rFonts w:ascii="Times New Roman;serif" w:hAnsi="Times New Roman;serif"/>
          <w:b/>
          <w:caps/>
          <w:sz w:val="20"/>
        </w:rPr>
        <w:t>Exhibit 107</w:t>
      </w:r>
      <w:r>
        <w:br w:type="page"/>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Calculation Of Filing Fee Tables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 S-8</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 Type)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Axsome Therapeutics,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Table 1: Newly Registered Securities</w:t>
      </w:r>
    </w:p>
    <w:p>
      <w:pPr>
        <w:pStyle w:val="TextBody"/>
        <w:bidi w:val="0"/>
        <w:spacing w:before="0" w:after="0"/>
        <w:jc w:val="center"/>
        <w:rPr/>
      </w:pPr>
      <w:r>
        <w:rPr/>
        <w:t> </w:t>
      </w:r>
    </w:p>
    <w:tbl>
      <w:tblPr>
        <w:tblW w:w="10289" w:type="dxa"/>
        <w:jc w:val="left"/>
        <w:tblInd w:w="0" w:type="dxa"/>
        <w:tblLayout w:type="fixed"/>
        <w:tblCellMar>
          <w:top w:w="28" w:type="dxa"/>
          <w:left w:w="28" w:type="dxa"/>
          <w:bottom w:w="28" w:type="dxa"/>
          <w:right w:w="28" w:type="dxa"/>
        </w:tblCellMar>
      </w:tblPr>
      <w:tblGrid>
        <w:gridCol w:w="796"/>
        <w:gridCol w:w="146"/>
        <w:gridCol w:w="856"/>
        <w:gridCol w:w="146"/>
        <w:gridCol w:w="1066"/>
        <w:gridCol w:w="146"/>
        <w:gridCol w:w="146"/>
        <w:gridCol w:w="931"/>
        <w:gridCol w:w="226"/>
        <w:gridCol w:w="146"/>
        <w:gridCol w:w="255"/>
        <w:gridCol w:w="691"/>
        <w:gridCol w:w="226"/>
        <w:gridCol w:w="146"/>
        <w:gridCol w:w="211"/>
        <w:gridCol w:w="1036"/>
        <w:gridCol w:w="146"/>
        <w:gridCol w:w="146"/>
        <w:gridCol w:w="211"/>
        <w:gridCol w:w="991"/>
        <w:gridCol w:w="146"/>
        <w:gridCol w:w="146"/>
        <w:gridCol w:w="211"/>
        <w:gridCol w:w="931"/>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Security Type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Security Class</w:t>
              <w:b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Fee</w:t>
              <w:br/>
              <w:t>Calculation</w:t>
              <w:br/>
              <w:t>Rule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Amount</w:t>
              <w:br/>
              <w:t>Registered</w:t>
            </w:r>
            <w:r>
              <w:rPr>
                <w:rFonts w:ascii="Times New Roman;serif" w:hAnsi="Times New Roman;serif"/>
                <w:b w:val="false"/>
                <w:sz w:val="13"/>
              </w:rPr>
              <w:t>(1)</w:t>
            </w:r>
          </w:p>
        </w:tc>
        <w:tc>
          <w:tcPr>
            <w:tcW w:w="2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Proposed</w:t>
              <w:br/>
              <w:t>Maximum</w:t>
              <w:br/>
              <w:t>Offering</w:t>
              <w:br/>
              <w:t>Price Per</w:t>
              <w:br/>
              <w:t>Unit</w:t>
            </w:r>
          </w:p>
        </w:tc>
        <w:tc>
          <w:tcPr>
            <w:tcW w:w="2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Maximum</w:t>
              <w:br/>
              <w:t>Aggregate</w:t>
              <w:br/>
              <w:t>Offering Price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Fee 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Amount of</w:t>
              <w:br/>
              <w:t>Registration</w:t>
              <w:br/>
              <w:t>Fee</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Equity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Rule 457(c) and Rule 457(h)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1,100,000</w:t>
            </w:r>
          </w:p>
        </w:tc>
        <w:tc>
          <w:tcPr>
            <w:tcW w:w="2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84.04</w:t>
            </w:r>
          </w:p>
        </w:tc>
        <w:tc>
          <w:tcPr>
            <w:tcW w:w="2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92,444,000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0.0001102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10,187.33</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3" w:type="dxa"/>
            <w:gridSpan w:val="8"/>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Offering Amounts</w:t>
            </w:r>
          </w:p>
        </w:tc>
        <w:tc>
          <w:tcPr>
            <w:tcW w:w="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10,187.33</w:t>
            </w:r>
          </w:p>
        </w:tc>
        <w:tc>
          <w:tcPr>
            <w:tcW w:w="191" w:type="dxa"/>
            <w:tcBorders/>
            <w:vAlign w:val="center"/>
          </w:tcPr>
          <w:p>
            <w:pPr>
              <w:pStyle w:val="TableContents"/>
              <w:bidi w:val="0"/>
              <w:spacing w:before="0" w:after="0"/>
              <w:ind w:left="0" w:right="0" w:hanging="0"/>
              <w:jc w:val="left"/>
              <w:rPr/>
            </w:pPr>
            <w:r>
              <w:rPr/>
              <w:t> </w:t>
            </w:r>
          </w:p>
        </w:tc>
      </w:tr>
      <w:tr>
        <w:trPr/>
        <w:tc>
          <w:tcPr>
            <w:tcW w:w="4233" w:type="dxa"/>
            <w:gridSpan w:val="8"/>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Fee Offsets</w:t>
            </w:r>
          </w:p>
        </w:tc>
        <w:tc>
          <w:tcPr>
            <w:tcW w:w="2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2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33" w:type="dxa"/>
            <w:gridSpan w:val="8"/>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Fee Due</w:t>
            </w:r>
          </w:p>
        </w:tc>
        <w:tc>
          <w:tcPr>
            <w:tcW w:w="2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2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10,187.33</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2"/>
        <w:gridCol w:w="9762"/>
      </w:tblGrid>
      <w:tr>
        <w:trPr/>
        <w:tc>
          <w:tcPr>
            <w:tcW w:w="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9762"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Pursuant to Rule 416(a) under the Securities Act of 1933, as amended (the “Securities Act”), this registration statement (the “Registration Statement”) shall also cover any additional shares of the Registrant’s common stock, $0.0001 par value per share (the “Common Stock”) that becomes issuable under the Registrant’s 2023 Employee Stock Purchase Plan (the “Plan”) by reason of any stock dividend, stock split, recapitalization or other similar transaction effected without the receipt of consideration that increases the number of the Registrant’s outstanding shares of Common Stock.</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25"/>
        <w:gridCol w:w="9719"/>
      </w:tblGrid>
      <w:tr>
        <w:trPr/>
        <w:tc>
          <w:tcPr>
            <w:tcW w:w="1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19"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7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This Registration Statement covers 1,100,000 shares of the Registrant’s Common Stock, which are issuable pursuant to the Plan.</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4"/>
        <w:gridCol w:w="9750"/>
      </w:tblGrid>
      <w:tr>
        <w:trPr/>
        <w:tc>
          <w:tcPr>
            <w:tcW w:w="16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50"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7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Estimated in accordance with Rule 457(c) and (h) under the Securities Act solely for the purpose of calculating the registration fee on the basis of $84.04, the average of the high and low prices of the Registrant’s common stock as reported on The Nasdaq Global Market on June 16, 2023.</w:t>
            </w:r>
          </w:p>
        </w:tc>
      </w:tr>
    </w:tbl>
    <w:p>
      <w:pPr>
        <w:pStyle w:val="TextBody"/>
        <w:bidi w:val="0"/>
        <w:spacing w:before="24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79428/000095017023004728/axsm-20221231.htm" TargetMode="External"/><Relationship Id="rId3" Type="http://schemas.openxmlformats.org/officeDocument/2006/relationships/hyperlink" Target="https://www.sec.gov/Archives/edgar/data/1579428/000110465915079272/a15-17626_68a12b.htm" TargetMode="External"/><Relationship Id="rId4" Type="http://schemas.openxmlformats.org/officeDocument/2006/relationships/hyperlink" Target="https://www.sec.gov/Archives/edgar/data/1579428/000110465915081125/a15-24048_1ex3d1.htm" TargetMode="External"/><Relationship Id="rId5" Type="http://schemas.openxmlformats.org/officeDocument/2006/relationships/hyperlink" Target="https://www.sec.gov/Archives/edgar/data/1579428/000110465915081125/a15-24048_1ex3d2.htm" TargetMode="External"/><Relationship Id="rId6" Type="http://schemas.openxmlformats.org/officeDocument/2006/relationships/hyperlink" Target="https://www.sec.gov/Archives/edgar/data/1579428/000104746915008199/a2226320zex-4_1.htm" TargetMode="External"/><Relationship Id="rId7" Type="http://schemas.openxmlformats.org/officeDocument/2006/relationships/hyperlink" Target="https://www.sec.gov/Archives/edgar/data/1579428/000155837020002573/axsm-20191231ex4132a1d5e.htm" TargetMode="External"/><Relationship Id="rId8" Type="http://schemas.openxmlformats.org/officeDocument/2006/relationships/hyperlink" Target="https://www.sec.gov/Archives/edgar/data/1579428/000095017023027059/axsm-ex10_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3160</Words>
  <Characters>17360</Characters>
  <CharactersWithSpaces>20666</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