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415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15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Mahony Susan</w:t>
              </w:r>
            </w:hyperlink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Axsome Therapeutics,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AXSM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AXSOME THERAPEUTICS, INC.</w:t>
            </w:r>
          </w:p>
        </w:tc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ONE WORLD TRADE CENTER, 29TH FLOOR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2040" w:type="dxa"/>
            <w:vAlign w:val="bottom"/>
            <w:gridSpan w:val="6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5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6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6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1,429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1,429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0"/>
              </w:rPr>
              <w:t>300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237.21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1,129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(3)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7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2"/>
                <w:vertAlign w:val="subscript"/>
              </w:rPr>
              <w:t>300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2"/>
              </w:rPr>
              <w:t>(4)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246.18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1,429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1,429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units ("RSUs") convert into common stock on a one-for-one basis.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 June 6, 2025, the Reporting Person was granted 1,429 RSUs, all of which vested upon the one-year anniversary of the date of grant.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3. Such transaction was pursuant to a pre-approved 10b5-1 plan, which has now been completed.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10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4. These shares were sold to cover taxes associated with the settlement of RSUs that were initially granted to the Reporting Person on June 6, 2025.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Nick Pizzie,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5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9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-3415030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63321" TargetMode="External"/><Relationship Id="rId14" Type="http://schemas.openxmlformats.org/officeDocument/2006/relationships/hyperlink" Target="http://www.sec.gov/cgi-bin/browse-edgar?action=getcompany&amp;CIK=000157942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2026-06-10T20:50:34Z</dcterms:created>
  <dcterms:modified xsi:type="dcterms:W3CDTF">2026-06-10T20:50:34Z</dcterms:modified>
</cp:coreProperties>
</file>