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23,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160020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360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001-37635</w:t>
            </w:r>
          </w:p>
        </w:tc>
        <w:tc>
          <w:tcPr>
            <w:tcW w:w="2460" w:type="dxa"/>
            <w:vAlign w:val="bottom"/>
          </w:tcPr>
          <w:p>
            <w:pPr>
              <w:jc w:val="right"/>
              <w:ind w:right="150"/>
              <w:spacing w:after="0"/>
              <w:rPr>
                <w:sz w:val="20"/>
                <w:szCs w:val="20"/>
                <w:color w:val="auto"/>
              </w:rPr>
            </w:pPr>
            <w:r>
              <w:rPr>
                <w:rFonts w:ascii="Arial" w:cs="Arial" w:eastAsia="Arial" w:hAnsi="Arial"/>
                <w:sz w:val="18"/>
                <w:szCs w:val="18"/>
                <w:b w:val="1"/>
                <w:bCs w:val="1"/>
                <w:color w:val="auto"/>
              </w:rPr>
              <w:t>45-4241907</w:t>
            </w:r>
          </w:p>
        </w:tc>
      </w:tr>
      <w:tr>
        <w:trPr>
          <w:trHeight w:val="216"/>
        </w:trPr>
        <w:tc>
          <w:tcPr>
            <w:tcW w:w="3600" w:type="dxa"/>
            <w:vAlign w:val="bottom"/>
          </w:tcPr>
          <w:p>
            <w:pPr>
              <w:jc w:val="center"/>
              <w:ind w:right="670"/>
              <w:spacing w:after="0"/>
              <w:rPr>
                <w:sz w:val="20"/>
                <w:szCs w:val="20"/>
                <w:color w:val="auto"/>
              </w:rPr>
            </w:pPr>
            <w:r>
              <w:rPr>
                <w:rFonts w:ascii="Arial" w:cs="Arial" w:eastAsia="Arial" w:hAnsi="Arial"/>
                <w:sz w:val="18"/>
                <w:szCs w:val="18"/>
                <w:color w:val="auto"/>
                <w:w w:val="91"/>
              </w:rPr>
              <w:t>(State or other jurisdiction</w:t>
            </w:r>
          </w:p>
        </w:tc>
        <w:tc>
          <w:tcPr>
            <w:tcW w:w="2880" w:type="dxa"/>
            <w:vAlign w:val="bottom"/>
          </w:tcPr>
          <w:p>
            <w:pPr>
              <w:jc w:val="center"/>
              <w:ind w:right="270"/>
              <w:spacing w:after="0"/>
              <w:rPr>
                <w:sz w:val="20"/>
                <w:szCs w:val="20"/>
                <w:color w:val="auto"/>
              </w:rPr>
            </w:pPr>
            <w:r>
              <w:rPr>
                <w:rFonts w:ascii="Arial" w:cs="Arial" w:eastAsia="Arial" w:hAnsi="Arial"/>
                <w:sz w:val="18"/>
                <w:szCs w:val="18"/>
                <w:color w:val="auto"/>
                <w:w w:val="91"/>
              </w:rPr>
              <w:t>(Commission</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3"/>
              </w:rPr>
              <w:t>(IRS Employer</w:t>
            </w:r>
          </w:p>
        </w:tc>
      </w:tr>
      <w:tr>
        <w:trPr>
          <w:trHeight w:val="230"/>
        </w:trPr>
        <w:tc>
          <w:tcPr>
            <w:tcW w:w="3600" w:type="dxa"/>
            <w:vAlign w:val="bottom"/>
          </w:tcPr>
          <w:p>
            <w:pPr>
              <w:jc w:val="center"/>
              <w:ind w:right="670"/>
              <w:spacing w:after="0"/>
              <w:rPr>
                <w:sz w:val="20"/>
                <w:szCs w:val="20"/>
                <w:color w:val="auto"/>
              </w:rPr>
            </w:pPr>
            <w:r>
              <w:rPr>
                <w:rFonts w:ascii="Arial" w:cs="Arial" w:eastAsia="Arial" w:hAnsi="Arial"/>
                <w:sz w:val="18"/>
                <w:szCs w:val="18"/>
                <w:color w:val="auto"/>
                <w:w w:val="95"/>
              </w:rPr>
              <w:t>of incorporation)</w:t>
            </w:r>
          </w:p>
        </w:tc>
        <w:tc>
          <w:tcPr>
            <w:tcW w:w="2880" w:type="dxa"/>
            <w:vAlign w:val="bottom"/>
          </w:tcPr>
          <w:p>
            <w:pPr>
              <w:jc w:val="center"/>
              <w:ind w:right="270"/>
              <w:spacing w:after="0"/>
              <w:rPr>
                <w:sz w:val="20"/>
                <w:szCs w:val="20"/>
                <w:color w:val="auto"/>
              </w:rPr>
            </w:pPr>
            <w:r>
              <w:rPr>
                <w:rFonts w:ascii="Arial" w:cs="Arial" w:eastAsia="Arial" w:hAnsi="Arial"/>
                <w:sz w:val="18"/>
                <w:szCs w:val="18"/>
                <w:color w:val="auto"/>
                <w:w w:val="92"/>
              </w:rPr>
              <w:t>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r>
      <w:tr>
        <w:trPr>
          <w:trHeight w:val="427"/>
        </w:trPr>
        <w:tc>
          <w:tcPr>
            <w:tcW w:w="3600" w:type="dxa"/>
            <w:vAlign w:val="bottom"/>
          </w:tcPr>
          <w:p>
            <w:pPr>
              <w:jc w:val="center"/>
              <w:ind w:right="670"/>
              <w:spacing w:after="0"/>
              <w:rPr>
                <w:sz w:val="20"/>
                <w:szCs w:val="20"/>
                <w:color w:val="auto"/>
              </w:rPr>
            </w:pPr>
            <w:r>
              <w:rPr>
                <w:rFonts w:ascii="Arial" w:cs="Arial" w:eastAsia="Arial" w:hAnsi="Arial"/>
                <w:sz w:val="18"/>
                <w:szCs w:val="18"/>
                <w:b w:val="1"/>
                <w:bCs w:val="1"/>
                <w:color w:val="auto"/>
                <w:w w:val="92"/>
              </w:rPr>
              <w:t>22 Cortlandt Street, 16</w:t>
            </w:r>
            <w:r>
              <w:rPr>
                <w:rFonts w:ascii="Arial" w:cs="Arial" w:eastAsia="Arial" w:hAnsi="Arial"/>
                <w:sz w:val="15"/>
                <w:szCs w:val="15"/>
                <w:b w:val="1"/>
                <w:bCs w:val="1"/>
                <w:color w:val="auto"/>
                <w:w w:val="92"/>
              </w:rPr>
              <w:t>th</w:t>
            </w:r>
            <w:r>
              <w:rPr>
                <w:rFonts w:ascii="Arial" w:cs="Arial" w:eastAsia="Arial" w:hAnsi="Arial"/>
                <w:sz w:val="18"/>
                <w:szCs w:val="18"/>
                <w:b w:val="1"/>
                <w:bCs w:val="1"/>
                <w:color w:val="auto"/>
                <w:w w:val="92"/>
              </w:rPr>
              <w:t xml:space="preserve"> Floor</w:t>
            </w:r>
          </w:p>
        </w:tc>
        <w:tc>
          <w:tcPr>
            <w:tcW w:w="28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0"/>
        </w:trPr>
        <w:tc>
          <w:tcPr>
            <w:tcW w:w="3600" w:type="dxa"/>
            <w:vAlign w:val="bottom"/>
          </w:tcPr>
          <w:p>
            <w:pPr>
              <w:jc w:val="center"/>
              <w:ind w:right="650"/>
              <w:spacing w:after="0"/>
              <w:rPr>
                <w:sz w:val="20"/>
                <w:szCs w:val="20"/>
                <w:color w:val="auto"/>
              </w:rPr>
            </w:pPr>
            <w:r>
              <w:rPr>
                <w:rFonts w:ascii="Arial" w:cs="Arial" w:eastAsia="Arial" w:hAnsi="Arial"/>
                <w:sz w:val="18"/>
                <w:szCs w:val="18"/>
                <w:b w:val="1"/>
                <w:bCs w:val="1"/>
                <w:color w:val="auto"/>
                <w:w w:val="93"/>
              </w:rPr>
              <w:t>New York, New York</w:t>
            </w:r>
          </w:p>
        </w:tc>
        <w:tc>
          <w:tcPr>
            <w:tcW w:w="2880" w:type="dxa"/>
            <w:vAlign w:val="bottom"/>
          </w:tcPr>
          <w:p>
            <w:pPr>
              <w:spacing w:after="0"/>
              <w:rPr>
                <w:sz w:val="19"/>
                <w:szCs w:val="19"/>
                <w:color w:val="auto"/>
              </w:rPr>
            </w:pPr>
          </w:p>
        </w:tc>
        <w:tc>
          <w:tcPr>
            <w:tcW w:w="2460" w:type="dxa"/>
            <w:vAlign w:val="bottom"/>
          </w:tcPr>
          <w:p>
            <w:pPr>
              <w:jc w:val="right"/>
              <w:ind w:right="350"/>
              <w:spacing w:after="0"/>
              <w:rPr>
                <w:sz w:val="20"/>
                <w:szCs w:val="20"/>
                <w:color w:val="auto"/>
              </w:rPr>
            </w:pPr>
            <w:r>
              <w:rPr>
                <w:rFonts w:ascii="Arial" w:cs="Arial" w:eastAsia="Arial" w:hAnsi="Arial"/>
                <w:sz w:val="18"/>
                <w:szCs w:val="18"/>
                <w:b w:val="1"/>
                <w:bCs w:val="1"/>
                <w:color w:val="auto"/>
              </w:rPr>
              <w:t>10007</w:t>
            </w:r>
          </w:p>
        </w:tc>
      </w:tr>
      <w:tr>
        <w:trPr>
          <w:trHeight w:val="230"/>
        </w:trPr>
        <w:tc>
          <w:tcPr>
            <w:tcW w:w="3600" w:type="dxa"/>
            <w:vAlign w:val="bottom"/>
          </w:tcPr>
          <w:p>
            <w:pPr>
              <w:jc w:val="center"/>
              <w:ind w:right="670"/>
              <w:spacing w:after="0"/>
              <w:rPr>
                <w:sz w:val="20"/>
                <w:szCs w:val="20"/>
                <w:color w:val="auto"/>
              </w:rPr>
            </w:pPr>
            <w:r>
              <w:rPr>
                <w:rFonts w:ascii="Arial" w:cs="Arial" w:eastAsia="Arial" w:hAnsi="Arial"/>
                <w:sz w:val="18"/>
                <w:szCs w:val="18"/>
                <w:color w:val="auto"/>
                <w:w w:val="92"/>
              </w:rPr>
              <w:t>(Address of principal executive offices)</w:t>
            </w:r>
          </w:p>
        </w:tc>
        <w:tc>
          <w:tcPr>
            <w:tcW w:w="2880" w:type="dxa"/>
            <w:vAlign w:val="bottom"/>
          </w:tcPr>
          <w:p>
            <w:pPr>
              <w:spacing w:after="0"/>
              <w:rPr>
                <w:sz w:val="20"/>
                <w:szCs w:val="20"/>
                <w:color w:val="auto"/>
              </w:rPr>
            </w:pPr>
          </w:p>
        </w:tc>
        <w:tc>
          <w:tcPr>
            <w:tcW w:w="2460" w:type="dxa"/>
            <w:vAlign w:val="bottom"/>
          </w:tcPr>
          <w:p>
            <w:pPr>
              <w:jc w:val="center"/>
              <w:ind w:left="1050"/>
              <w:spacing w:after="0"/>
              <w:rPr>
                <w:sz w:val="20"/>
                <w:szCs w:val="20"/>
                <w:color w:val="auto"/>
              </w:rPr>
            </w:pPr>
            <w:r>
              <w:rPr>
                <w:rFonts w:ascii="Arial" w:cs="Arial" w:eastAsia="Arial" w:hAnsi="Arial"/>
                <w:sz w:val="18"/>
                <w:szCs w:val="18"/>
                <w:color w:val="auto"/>
                <w:w w:val="94"/>
              </w:rPr>
              <w:t>(Zip Code)</w:t>
            </w:r>
          </w:p>
        </w:tc>
      </w:tr>
    </w:tbl>
    <w:p>
      <w:pPr>
        <w:spacing w:after="0" w:line="3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30"/>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AXSM</w:t>
            </w:r>
          </w:p>
        </w:tc>
        <w:tc>
          <w:tcPr>
            <w:tcW w:w="100" w:type="dxa"/>
            <w:vAlign w:val="bottom"/>
          </w:tcPr>
          <w:p>
            <w:pPr>
              <w:spacing w:after="0"/>
              <w:rPr>
                <w:sz w:val="20"/>
                <w:szCs w:val="20"/>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153670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3"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3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849630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89"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On August 23, 2021, Axsome Therapeutics, Inc. (the “Company”) issued a press release announcing that the U.S. Food and Drug Administration informed the Company in a teleconference on August 20, 2021, that its review of the new drug application for AXS-05 for the treatment of major depressive disorder would not be completed by the Prescription Drug User Fee Act target action date of August 22, 2021.</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720" w:type="dxa"/>
            <w:vAlign w:val="bottom"/>
          </w:tcPr>
          <w:p>
            <w:pPr>
              <w:spacing w:after="0"/>
              <w:rPr>
                <w:sz w:val="14"/>
                <w:szCs w:val="14"/>
                <w:color w:val="auto"/>
              </w:rPr>
            </w:pPr>
          </w:p>
        </w:tc>
        <w:tc>
          <w:tcPr>
            <w:tcW w:w="7280" w:type="dxa"/>
            <w:vAlign w:val="bottom"/>
          </w:tcPr>
          <w:p>
            <w:pPr>
              <w:ind w:left="1920"/>
              <w:spacing w:after="0"/>
              <w:rPr>
                <w:sz w:val="20"/>
                <w:szCs w:val="20"/>
                <w:color w:val="auto"/>
              </w:rPr>
            </w:pPr>
            <w:r>
              <w:rPr>
                <w:rFonts w:ascii="Arial" w:cs="Arial" w:eastAsia="Arial" w:hAnsi="Arial"/>
                <w:sz w:val="14"/>
                <w:szCs w:val="14"/>
                <w:b w:val="1"/>
                <w:bCs w:val="1"/>
                <w:color w:val="auto"/>
              </w:rPr>
              <w:t>Description</w:t>
            </w:r>
          </w:p>
        </w:tc>
      </w:tr>
      <w:tr>
        <w:trPr>
          <w:trHeight w:val="210"/>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2720" w:type="dxa"/>
            <w:vAlign w:val="bottom"/>
            <w:tcBorders>
              <w:top w:val="single" w:sz="8" w:color="auto"/>
              <w:bottom w:val="single" w:sz="8" w:color="0000EE"/>
            </w:tcBorders>
          </w:tcPr>
          <w:p>
            <w:pPr>
              <w:ind w:left="20"/>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Press Release dated August 23, 2021.</w:t>
              </w:r>
            </w:hyperlink>
          </w:p>
        </w:tc>
        <w:tc>
          <w:tcPr>
            <w:tcW w:w="7280" w:type="dxa"/>
            <w:vAlign w:val="bottom"/>
            <w:tcBorders>
              <w:top w:val="single" w:sz="8" w:color="auto"/>
            </w:tcBorders>
          </w:tcPr>
          <w:p>
            <w:pPr>
              <w:spacing w:after="0"/>
              <w:rPr>
                <w:sz w:val="18"/>
                <w:szCs w:val="18"/>
                <w:color w:val="auto"/>
              </w:rPr>
            </w:pPr>
          </w:p>
        </w:tc>
      </w:tr>
    </w:tbl>
    <w:p>
      <w:pPr>
        <w:spacing w:after="0" w:line="13" w:lineRule="exact"/>
        <w:rPr>
          <w:sz w:val="20"/>
          <w:szCs w:val="20"/>
          <w:color w:val="auto"/>
        </w:rPr>
      </w:pPr>
    </w:p>
    <w:p>
      <w:pPr>
        <w:ind w:left="5580" w:right="4160" w:hanging="5572"/>
        <w:spacing w:after="0" w:line="809" w:lineRule="auto"/>
        <w:tabs>
          <w:tab w:leader="none" w:pos="1251"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b w:val="1"/>
                <w:bCs w:val="1"/>
                <w:color w:val="auto"/>
              </w:rPr>
              <w:t>Axsome Therapeutics, Inc.</w:t>
            </w:r>
          </w:p>
        </w:tc>
      </w:tr>
      <w:tr>
        <w:trPr>
          <w:trHeight w:val="466"/>
        </w:trPr>
        <w:tc>
          <w:tcPr>
            <w:tcW w:w="3660" w:type="dxa"/>
            <w:vAlign w:val="bottom"/>
          </w:tcPr>
          <w:p>
            <w:pPr>
              <w:spacing w:after="0"/>
              <w:rPr>
                <w:sz w:val="20"/>
                <w:szCs w:val="20"/>
                <w:color w:val="auto"/>
              </w:rPr>
            </w:pPr>
            <w:r>
              <w:rPr>
                <w:rFonts w:ascii="Arial" w:cs="Arial" w:eastAsia="Arial" w:hAnsi="Arial"/>
                <w:sz w:val="18"/>
                <w:szCs w:val="18"/>
                <w:color w:val="auto"/>
              </w:rPr>
              <w:t>Dated: August 23, 2021</w:t>
            </w:r>
          </w:p>
        </w:tc>
        <w:tc>
          <w:tcPr>
            <w:tcW w:w="2860" w:type="dxa"/>
            <w:vAlign w:val="bottom"/>
          </w:tcPr>
          <w:p>
            <w:pPr>
              <w:ind w:left="198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r>
      <w:tr>
        <w:trPr>
          <w:trHeight w:val="215"/>
        </w:trPr>
        <w:tc>
          <w:tcPr>
            <w:tcW w:w="3660" w:type="dxa"/>
            <w:vAlign w:val="bottom"/>
          </w:tcPr>
          <w:p>
            <w:pPr>
              <w:spacing w:after="0"/>
              <w:rPr>
                <w:sz w:val="18"/>
                <w:szCs w:val="18"/>
                <w:color w:val="auto"/>
              </w:rPr>
            </w:pPr>
          </w:p>
        </w:tc>
        <w:tc>
          <w:tcPr>
            <w:tcW w:w="2860" w:type="dxa"/>
            <w:vAlign w:val="bottom"/>
          </w:tcPr>
          <w:p>
            <w:pPr>
              <w:ind w:left="1980"/>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Herriot Tabuteau, M.D.</w:t>
            </w:r>
          </w:p>
        </w:tc>
      </w:tr>
      <w:tr>
        <w:trPr>
          <w:trHeight w:val="230"/>
        </w:trPr>
        <w:tc>
          <w:tcPr>
            <w:tcW w:w="3660" w:type="dxa"/>
            <w:vAlign w:val="bottom"/>
          </w:tcPr>
          <w:p>
            <w:pPr>
              <w:spacing w:after="0"/>
              <w:rPr>
                <w:sz w:val="20"/>
                <w:szCs w:val="20"/>
                <w:color w:val="auto"/>
              </w:rPr>
            </w:pPr>
          </w:p>
        </w:tc>
        <w:tc>
          <w:tcPr>
            <w:tcW w:w="2860" w:type="dxa"/>
            <w:vAlign w:val="bottom"/>
          </w:tcPr>
          <w:p>
            <w:pPr>
              <w:ind w:left="1980"/>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75"/>
        </w:trPr>
        <w:tc>
          <w:tcPr>
            <w:tcW w:w="3660" w:type="dxa"/>
            <w:vAlign w:val="bottom"/>
          </w:tcPr>
          <w:p>
            <w:pPr>
              <w:spacing w:after="0"/>
              <w:rPr>
                <w:sz w:val="24"/>
                <w:szCs w:val="24"/>
                <w:color w:val="auto"/>
              </w:rPr>
            </w:pPr>
          </w:p>
        </w:tc>
        <w:tc>
          <w:tcPr>
            <w:tcW w:w="2860" w:type="dxa"/>
            <w:vAlign w:val="bottom"/>
          </w:tcPr>
          <w:p>
            <w:pPr>
              <w:ind w:left="1920"/>
              <w:spacing w:after="0"/>
              <w:rPr>
                <w:sz w:val="20"/>
                <w:szCs w:val="20"/>
                <w:color w:val="auto"/>
              </w:rPr>
            </w:pPr>
            <w:r>
              <w:rPr>
                <w:rFonts w:ascii="Arial" w:cs="Arial" w:eastAsia="Arial" w:hAnsi="Arial"/>
                <w:sz w:val="18"/>
                <w:szCs w:val="18"/>
                <w:color w:val="auto"/>
              </w:rPr>
              <w:t>2</w:t>
            </w:r>
          </w:p>
        </w:tc>
        <w:tc>
          <w:tcPr>
            <w:tcW w:w="4720" w:type="dxa"/>
            <w:vAlign w:val="bottom"/>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ind w:left="1014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440180" cy="805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18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Provides Update on the New Drug Application for AXS-05 for the Treatment of Major Depressive Disorder</w:t>
      </w:r>
    </w:p>
    <w:p>
      <w:pPr>
        <w:spacing w:after="0" w:line="22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NEW YORK, August 23, 2021 (Globe Newswire) – Axsome Therapeutics, Inc. (NASDAQ: AXSM), a biopharmaceutical company developing novel therapies for the management of central nervous system (CNS) disorders, today announced that the U.S. Food and Drug Administration (FDA) informed the Company in a teleconference on August 20, 2021, that its review of the new drug application (NDA) for AXS-05 for the treatment of major depressive disorder would not be completed by the Prescription Drug User Fee Act (PDUFA) target action date of August 22, 2021. The FDA did not request additional information from the Company, and the review of the application is ongoing.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Major Depressive Disorder</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Major depressive disorder (MDD) is a debilitating, chronic, biologically-based disorder characterized by low mood, inability to feel pleasure, feelings of guilt and worthlessness, low energy, and other emotional and physical symptoms, and which impairs social, occupational, educational, or other important functioning. In severe cases, MDD can result in suicide. According to the National Institutes of Health, an estimated 7% of U.S. adults, or approximately 19 million, experience MDD each year</w:t>
      </w:r>
      <w:r>
        <w:rPr>
          <w:rFonts w:ascii="Arial" w:cs="Arial" w:eastAsia="Arial" w:hAnsi="Arial"/>
          <w:sz w:val="15"/>
          <w:szCs w:val="15"/>
          <w:color w:val="auto"/>
        </w:rPr>
        <w:t>1</w:t>
      </w:r>
      <w:r>
        <w:rPr>
          <w:rFonts w:ascii="Arial" w:cs="Arial" w:eastAsia="Arial" w:hAnsi="Arial"/>
          <w:sz w:val="18"/>
          <w:szCs w:val="18"/>
          <w:color w:val="auto"/>
        </w:rPr>
        <w:t>. According to the World Health Organization (WHO), depression is the leading cause of disability worldwide, and is a major contributor to the overall global burden of disease</w:t>
      </w:r>
      <w:r>
        <w:rPr>
          <w:rFonts w:ascii="Arial" w:cs="Arial" w:eastAsia="Arial" w:hAnsi="Arial"/>
          <w:sz w:val="15"/>
          <w:szCs w:val="15"/>
          <w:color w:val="auto"/>
        </w:rPr>
        <w:t>2</w:t>
      </w:r>
      <w:r>
        <w:rPr>
          <w:rFonts w:ascii="Arial" w:cs="Arial" w:eastAsia="Arial" w:hAnsi="Arial"/>
          <w:sz w:val="18"/>
          <w:szCs w:val="18"/>
          <w:color w:val="auto"/>
        </w:rPr>
        <w:t>. Nearly two-thirds of diagnosed and treated patients do not experience adequate treatment response with currently available first-line therapy</w:t>
      </w:r>
      <w:r>
        <w:rPr>
          <w:rFonts w:ascii="Arial" w:cs="Arial" w:eastAsia="Arial" w:hAnsi="Arial"/>
          <w:sz w:val="15"/>
          <w:szCs w:val="15"/>
          <w:color w:val="auto"/>
        </w:rPr>
        <w:t>3</w:t>
      </w:r>
      <w:r>
        <w:rPr>
          <w:rFonts w:ascii="Arial" w:cs="Arial" w:eastAsia="Arial" w:hAnsi="Arial"/>
          <w:sz w:val="18"/>
          <w:szCs w:val="18"/>
          <w:color w:val="auto"/>
        </w:rPr>
        <w:t>, highlighting the need for additional therapies with new mechanisms of action.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AXS-05</w:t>
      </w:r>
    </w:p>
    <w:p>
      <w:pPr>
        <w:spacing w:after="0" w:line="19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AXS-05 (dextromethorphan-bupropion) is a novel, oral, patent-protected, investigational NMDA receptor antagonist with multimodal activity under development for the treatment of major depressive disorder and other central nervous system (CNS) disorders. AXS-05 utilizes a proprietary formulation and dose of dextromethorphan and bupropion, and Axsome’s metabolic inhibition technology, to modulate the delivery of the components. The dextromethorphan component of AXS-05 is an uncompetitive N-methyl-D-aspartate (NMDA) receptor antagonist, also known as a glutamate receptor modulator, which is a novel mechanism of action, meaning it works differently than currently approved oral therapies for major depressive disorder. The dextromethorphan component of AXS-05 is also a sigma-1 receptor agonist. The bupropion component of AXS-05 serves to increase the bioavailability of dextromethorphan, and is a norepinephrine and dopamine reuptake inhibitor. AXS-05 is currently covered by more than 100 issued U.S. and international patents, with expiration dates out to 2040. AXS-05 has been granted U.S. Food and Drug Administration (FDA) Breakthrough Therapy designations for the treatment of MDD and for treatment of Alzheimer’s disease agitation. A new drug application (NDA) for AXS-05 for the treatment of major depressive disorder is under review by the FDA. AXS-05 is not approved by the FDA.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Axsome Therapeutics, Inc. is a biopharmaceutical company developing novel therapies for central nervous system (CNS) conditions that have limited treatment options. Through development of therapeutic options with novel mechanisms of action, we are transforming the approach to treating CNS conditions. At Axsome, we are intensely committed to developing products that meaningfully improve the lives of patients and provide additional therapeutic options for physicians. For more information, please visit the Company’s website at axsome.com. The Company may occasionally disseminate material, nonpublic information on the company website.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References</w:t>
      </w:r>
    </w:p>
    <w:p>
      <w:pPr>
        <w:spacing w:after="0" w:line="193" w:lineRule="exact"/>
        <w:rPr>
          <w:sz w:val="20"/>
          <w:szCs w:val="20"/>
          <w:color w:val="auto"/>
        </w:rPr>
      </w:pPr>
    </w:p>
    <w:p>
      <w:pPr>
        <w:ind w:left="400" w:right="20" w:hanging="392"/>
        <w:spacing w:after="0" w:line="246"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Substance Abuse and Mental Health Services Administration. (2020). Results from the 2019 National Survey on Drug Use and Health. Retrieved from </w:t>
      </w:r>
      <w:r>
        <w:rPr>
          <w:rFonts w:ascii="Arial" w:cs="Arial" w:eastAsia="Arial" w:hAnsi="Arial"/>
          <w:sz w:val="18"/>
          <w:szCs w:val="18"/>
          <w:u w:val="single" w:color="auto"/>
          <w:color w:val="auto"/>
        </w:rPr>
        <w:t>https://www.samhsa.gov/data/</w:t>
      </w:r>
      <w:r>
        <w:rPr>
          <w:rFonts w:ascii="Arial" w:cs="Arial" w:eastAsia="Arial" w:hAnsi="Arial"/>
          <w:sz w:val="18"/>
          <w:szCs w:val="18"/>
          <w:color w:val="auto"/>
        </w:rPr>
        <w:t>.</w:t>
      </w:r>
    </w:p>
    <w:p>
      <w:pPr>
        <w:spacing w:after="0" w:line="156" w:lineRule="exact"/>
        <w:rPr>
          <w:rFonts w:ascii="Arial" w:cs="Arial" w:eastAsia="Arial" w:hAnsi="Arial"/>
          <w:sz w:val="18"/>
          <w:szCs w:val="18"/>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World Health Organization. Fact Sheets: Depression.</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Rush AJ, et al. (2007) Am J. Psychiatry 163:11, pp. 1905-1917 (STAR*D Study).</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potential filing issues or issues identified by FDA during the substantive review may impact the potential approvability of the Company’s NDA submission for AXS-05 in MDD or the timing of such approval, and whether the FDA will agree with the Company’s discontinuation of the bupropion treatment arm of the ADVANCE study in accordance with the independent data monitoring committee’s recommendations); the acceptance and approval by the FDA of an NDA for AXS-07 for the acute treatment of migraine in adults with or without aura, pursuant to our special protocol assessment for the MOMENTUM clinical trial;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Company’s commercial launch of its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235" w:lineRule="auto"/>
        <w:rPr>
          <w:sz w:val="20"/>
          <w:szCs w:val="20"/>
          <w:color w:val="auto"/>
        </w:rPr>
      </w:pPr>
      <w:r>
        <w:rPr>
          <w:rFonts w:ascii="Arial" w:cs="Arial" w:eastAsia="Arial" w:hAnsi="Arial"/>
          <w:sz w:val="18"/>
          <w:szCs w:val="18"/>
          <w:color w:val="auto"/>
        </w:rPr>
        <w:t>22 Cortlandt Street, 16th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212-332-3243</w:t>
      </w:r>
    </w:p>
    <w:p>
      <w:pPr>
        <w:spacing w:after="0" w:line="234" w:lineRule="auto"/>
        <w:rPr>
          <w:sz w:val="20"/>
          <w:szCs w:val="20"/>
          <w:color w:val="auto"/>
        </w:rPr>
      </w:pPr>
      <w:r>
        <w:rPr>
          <w:rFonts w:ascii="Arial" w:cs="Arial" w:eastAsia="Arial" w:hAnsi="Arial"/>
          <w:sz w:val="18"/>
          <w:szCs w:val="18"/>
          <w:color w:val="auto"/>
        </w:rPr>
        <w:t>Email: mjacobson@axsome.com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2021-08-23T06:02:32Z</dcterms:created>
  <dcterms:modified xsi:type="dcterms:W3CDTF">2021-08-23T06:02:32Z</dcterms:modified>
</cp:coreProperties>
</file>