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Coleman Mark</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AXSOME THERAPEUTICS,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11/18/2021</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22 CORTLANDT STREET, 16TH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5"/>
            <w:vMerge w:val="restart"/>
          </w:tcPr>
          <w:p>
            <w:pPr>
              <w:ind w:left="800"/>
              <w:spacing w:after="0"/>
              <w:rPr>
                <w:sz w:val="20"/>
                <w:szCs w:val="20"/>
                <w:color w:val="auto"/>
              </w:rPr>
            </w:pPr>
            <w:r>
              <w:rPr>
                <w:rFonts w:ascii="Arial" w:cs="Arial" w:eastAsia="Arial" w:hAnsi="Arial"/>
                <w:sz w:val="17"/>
                <w:szCs w:val="17"/>
                <w:color w:val="0000FF"/>
              </w:rPr>
              <w:t>11/18/2021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409</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35.07</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421,407</w:t>
            </w:r>
          </w:p>
        </w:tc>
        <w:tc>
          <w:tcPr>
            <w:tcW w:w="300" w:type="dxa"/>
            <w:vAlign w:val="bottom"/>
          </w:tcPr>
          <w:p>
            <w:pPr>
              <w:spacing w:after="0"/>
              <w:rPr>
                <w:sz w:val="22"/>
                <w:szCs w:val="22"/>
                <w:color w:val="auto"/>
              </w:rPr>
            </w:pPr>
          </w:p>
        </w:tc>
        <w:tc>
          <w:tcPr>
            <w:tcW w:w="56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5"/>
            <w:vMerge w:val="restart"/>
          </w:tcPr>
          <w:p>
            <w:pPr>
              <w:ind w:left="800"/>
              <w:spacing w:after="0"/>
              <w:rPr>
                <w:sz w:val="20"/>
                <w:szCs w:val="20"/>
                <w:color w:val="auto"/>
              </w:rPr>
            </w:pPr>
            <w:r>
              <w:rPr>
                <w:rFonts w:ascii="Arial" w:cs="Arial" w:eastAsia="Arial" w:hAnsi="Arial"/>
                <w:sz w:val="17"/>
                <w:szCs w:val="17"/>
                <w:color w:val="0000FF"/>
              </w:rPr>
              <w:t>11/18/2021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rPr>
              <w:t>1,021</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422,428</w:t>
            </w:r>
          </w:p>
        </w:tc>
        <w:tc>
          <w:tcPr>
            <w:tcW w:w="300" w:type="dxa"/>
            <w:vAlign w:val="bottom"/>
          </w:tcPr>
          <w:p>
            <w:pPr>
              <w:spacing w:after="0"/>
              <w:rPr>
                <w:sz w:val="22"/>
                <w:szCs w:val="22"/>
                <w:color w:val="auto"/>
              </w:rPr>
            </w:pPr>
          </w:p>
        </w:tc>
        <w:tc>
          <w:tcPr>
            <w:tcW w:w="56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85"/>
              </w:rPr>
              <w:t>4,100</w:t>
            </w:r>
            <w:r>
              <w:rPr>
                <w:rFonts w:ascii="Arial" w:cs="Arial" w:eastAsia="Arial" w:hAnsi="Arial"/>
                <w:sz w:val="22"/>
                <w:szCs w:val="22"/>
                <w:color w:val="008000"/>
                <w:w w:val="85"/>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8"/>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were purchased by an entity, of which the reporting person has voting and dispositive power, and therefore, the reporting person is deemed to be the indirect beneficial owner of such shares.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additional shares held directly by the reporting person prior to November 18, 2021.</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Mark Coleman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11/22/2021</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2021-11-22T06:32:07Z</dcterms:created>
  <dcterms:modified xsi:type="dcterms:W3CDTF">2021-11-22T06:32:07Z</dcterms:modified>
</cp:coreProperties>
</file>