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axsm-20260715.htm"/>
      <w:bookmarkStart w:id="1" w:name="ksaxsm20260715"/>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15,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Axsome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422" w:type="dxa"/>
        <w:jc w:val="left"/>
        <w:tblInd w:w="0" w:type="dxa"/>
        <w:tblLayout w:type="fixed"/>
        <w:tblCellMar>
          <w:top w:w="28" w:type="dxa"/>
          <w:left w:w="28" w:type="dxa"/>
          <w:bottom w:w="28" w:type="dxa"/>
          <w:right w:w="28" w:type="dxa"/>
        </w:tblCellMar>
      </w:tblPr>
      <w:tblGrid>
        <w:gridCol w:w="1145"/>
        <w:gridCol w:w="1045"/>
        <w:gridCol w:w="1050"/>
        <w:gridCol w:w="1846"/>
        <w:gridCol w:w="1336"/>
      </w:tblGrid>
      <w:tr>
        <w:trPr/>
        <w:tc>
          <w:tcPr>
            <w:tcW w:w="1145"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001-37635</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45-4241907</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1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5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One World Trade Center, 29th Floor</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New York, New York</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10007</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(212)</w:t>
            </w:r>
            <w:r>
              <w:rPr>
                <w:rFonts w:ascii="Times New Roman" w:hAnsi="Times New Roman"/>
                <w:color w:val="000000"/>
                <w:sz w:val="20"/>
              </w:rPr>
              <w:t xml:space="preserve"> </w:t>
            </w:r>
            <w:r>
              <w:rPr>
                <w:rFonts w:ascii="Times New Roman" w:hAnsi="Times New Roman"/>
                <w:b/>
                <w:color w:val="000000"/>
                <w:sz w:val="20"/>
              </w:rPr>
              <w:t>332-3241</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830" w:type="dxa"/>
        <w:jc w:val="left"/>
        <w:tblInd w:w="0" w:type="dxa"/>
        <w:tblLayout w:type="fixed"/>
        <w:tblCellMar>
          <w:top w:w="28" w:type="dxa"/>
          <w:left w:w="28" w:type="dxa"/>
          <w:bottom w:w="28" w:type="dxa"/>
          <w:right w:w="28" w:type="dxa"/>
        </w:tblCellMar>
      </w:tblPr>
      <w:tblGrid>
        <w:gridCol w:w="3766"/>
        <w:gridCol w:w="146"/>
        <w:gridCol w:w="946"/>
        <w:gridCol w:w="146"/>
        <w:gridCol w:w="3826"/>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6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AXSM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8.01 Other Events.</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On July 15, 2026, Axsome Therapeutics, Inc. (the “Company”) issued a press release announcing that the U.S. Food and Drug Administration has accepted for filing the Company's New Drug Application for AXS-12 (reboxetine) for the treatment of cataplexy in narcolepsy.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full text of the press release is filed as Exhibit 99.1 hereto and is incorporated herein by reference.</w:t>
      </w:r>
    </w:p>
    <w:p>
      <w:pPr>
        <w:pStyle w:val="Heading2"/>
        <w:bidi w:val="0"/>
        <w:spacing w:before="200" w:after="283"/>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 Exhibits</w:t>
      </w:r>
    </w:p>
    <w:tbl>
      <w:tblPr>
        <w:tblW w:w="7738" w:type="dxa"/>
        <w:jc w:val="left"/>
        <w:tblInd w:w="0" w:type="dxa"/>
        <w:tblLayout w:type="fixed"/>
        <w:tblCellMar>
          <w:top w:w="28" w:type="dxa"/>
          <w:left w:w="28" w:type="dxa"/>
          <w:bottom w:w="28" w:type="dxa"/>
          <w:right w:w="28" w:type="dxa"/>
        </w:tblCellMar>
      </w:tblPr>
      <w:tblGrid>
        <w:gridCol w:w="946"/>
        <w:gridCol w:w="146"/>
        <w:gridCol w:w="6646"/>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4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9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axsm-ex99_1.htm">
              <w:r>
                <w:rPr>
                  <w:rStyle w:val="InternetLink"/>
                  <w:rFonts w:ascii="Times New Roman" w:hAnsi="Times New Roman"/>
                  <w:color w:val="0000FF"/>
                  <w:sz w:val="20"/>
                  <w:u w:val="single"/>
                </w:rPr>
                <w:t>Press Release dated July 15, 2026.</w:t>
              </w:r>
            </w:hyperlink>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614" w:type="dxa"/>
        <w:jc w:val="left"/>
        <w:tblInd w:w="0" w:type="dxa"/>
        <w:tblLayout w:type="fixed"/>
        <w:tblCellMar>
          <w:top w:w="28" w:type="dxa"/>
          <w:left w:w="28" w:type="dxa"/>
          <w:bottom w:w="28" w:type="dxa"/>
          <w:right w:w="28" w:type="dxa"/>
        </w:tblCellMar>
      </w:tblPr>
      <w:tblGrid>
        <w:gridCol w:w="556"/>
        <w:gridCol w:w="1216"/>
        <w:gridCol w:w="631"/>
        <w:gridCol w:w="3211"/>
      </w:tblGrid>
      <w:tr>
        <w:trPr/>
        <w:tc>
          <w:tcPr>
            <w:tcW w:w="55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Axsome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July 15, 2026</w:t>
            </w:r>
          </w:p>
        </w:tc>
        <w:tc>
          <w:tcPr>
            <w:tcW w:w="63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21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Herriot Tabuteau, M.D.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Name:</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21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Herriot Tabuteau, M.D.</w:t>
              <w:br/>
              <w:t>President and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axsm-ex99_1.htm"/>
      <w:bookmarkStart w:id="3" w:name="ksaxsmex99_1"/>
      <w:bookmarkEnd w:id="2"/>
      <w:bookmarkEnd w:id="3"/>
      <w:r>
        <w:rPr/>
        <w:drawing>
          <wp:inline distT="0" distB="0" distL="0" distR="0">
            <wp:extent cx="962025"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62025" cy="542925"/>
                    </a:xfrm>
                    <a:prstGeom prst="rect">
                      <a:avLst/>
                    </a:prstGeom>
                  </pic:spPr>
                </pic:pic>
              </a:graphicData>
            </a:graphic>
          </wp:inline>
        </w:drawing>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2" w:after="200"/>
        <w:jc w:val="center"/>
        <w:rPr/>
      </w:pPr>
      <w:r>
        <w:rPr/>
        <w:t> </w:t>
      </w:r>
    </w:p>
    <w:p>
      <w:pPr>
        <w:pStyle w:val="TextBody"/>
        <w:bidi w:val="0"/>
        <w:spacing w:before="0" w:after="200"/>
        <w:jc w:val="center"/>
        <w:rPr>
          <w:rFonts w:ascii="Arial" w:hAnsi="Arial"/>
          <w:b/>
          <w:color w:val="000000"/>
          <w:sz w:val="20"/>
        </w:rPr>
      </w:pPr>
      <w:r>
        <w:rPr>
          <w:rFonts w:ascii="Arial" w:hAnsi="Arial"/>
          <w:b/>
          <w:color w:val="000000"/>
          <w:sz w:val="20"/>
        </w:rPr>
        <w:t>Axsome Therapeutics Announces FDA Acceptance of New Drug Application for AXS-12 for the Treatment of Cataplexy in Narcolepsy</w:t>
      </w:r>
    </w:p>
    <w:p>
      <w:pPr>
        <w:pStyle w:val="TextBody"/>
        <w:bidi w:val="0"/>
        <w:spacing w:before="0" w:after="200"/>
        <w:jc w:val="center"/>
        <w:rPr>
          <w:rFonts w:ascii="Arial" w:hAnsi="Arial"/>
          <w:i/>
          <w:color w:val="000000"/>
          <w:sz w:val="20"/>
        </w:rPr>
      </w:pPr>
      <w:r>
        <w:rPr>
          <w:rFonts w:ascii="Arial" w:hAnsi="Arial"/>
          <w:i/>
          <w:color w:val="000000"/>
          <w:sz w:val="20"/>
        </w:rPr>
        <w:t>FDA sets PDUFA target action date of May 1, 2027</w:t>
      </w:r>
    </w:p>
    <w:p>
      <w:pPr>
        <w:pStyle w:val="TextBody"/>
        <w:bidi w:val="0"/>
        <w:spacing w:before="0" w:after="200"/>
        <w:jc w:val="both"/>
        <w:rPr>
          <w:rFonts w:ascii="Arial" w:hAnsi="Arial"/>
          <w:color w:val="000000"/>
          <w:sz w:val="20"/>
        </w:rPr>
      </w:pPr>
      <w:r>
        <w:rPr>
          <w:rFonts w:ascii="Arial" w:hAnsi="Arial"/>
          <w:color w:val="000000"/>
          <w:sz w:val="20"/>
        </w:rPr>
        <w:t>NEW YORK, July 15, 2026 (Globe Newswire) – Axsome Therapeutics, Inc. (NASDAQ: AXSM), a biopharmaceutical company leading a new era in the treatment of central nervous system (CNS) disorders, today announced that the U.S. Food and Drug Administration (FDA) has accepted for filing the Company’s New Drug Application (NDA) for AXS-12 (reboxetine) for the treatment of cataplexy in narcolepsy. The FDA has set a Prescription Drug User Fee Act (PDUFA) target action date of May 1, 2027. The FDA also indicated that it does not currently plan to hold an advisory committee meeting to discuss the application.</w:t>
      </w:r>
    </w:p>
    <w:p>
      <w:pPr>
        <w:pStyle w:val="TextBody"/>
        <w:bidi w:val="0"/>
        <w:spacing w:before="0" w:after="200"/>
        <w:jc w:val="both"/>
        <w:rPr>
          <w:rFonts w:ascii="Times New Roman" w:hAnsi="Times New Roman"/>
          <w:sz w:val="20"/>
        </w:rPr>
      </w:pPr>
      <w:r>
        <w:rPr>
          <w:rFonts w:ascii="Arial" w:hAnsi="Arial"/>
          <w:b/>
          <w:color w:val="000000"/>
          <w:sz w:val="20"/>
        </w:rPr>
        <w:t>About Narcolepsy</w:t>
      </w:r>
      <w:r>
        <w:rPr>
          <w:rFonts w:ascii="Times New Roman" w:hAnsi="Times New Roman"/>
          <w:color w:val="000000"/>
          <w:sz w:val="20"/>
        </w:rPr>
        <w:t xml:space="preserve"> </w:t>
      </w:r>
    </w:p>
    <w:p>
      <w:pPr>
        <w:pStyle w:val="TextBody"/>
        <w:bidi w:val="0"/>
        <w:spacing w:before="0" w:after="200"/>
        <w:jc w:val="both"/>
        <w:rPr>
          <w:rFonts w:ascii="Times New Roman" w:hAnsi="Times New Roman"/>
          <w:sz w:val="20"/>
        </w:rPr>
      </w:pPr>
      <w:r>
        <w:rPr>
          <w:rFonts w:ascii="Arial" w:hAnsi="Arial"/>
          <w:color w:val="000000"/>
          <w:sz w:val="20"/>
        </w:rPr>
        <w:t>Narcolepsy is a serious and debilitating orphan neurological condition that causes dysregulation of the sleep-wake cycle and is characterized clinically by excessive daytime sleepiness, cataplexy, hypnagogic hallucinations, sleep paralysis, and disrupted nocturnal sleep.</w:t>
      </w:r>
      <w:r>
        <w:rPr>
          <w:rFonts w:ascii="Arial" w:hAnsi="Arial"/>
          <w:color w:val="000000"/>
          <w:sz w:val="13"/>
        </w:rPr>
        <w:t>1-3</w:t>
      </w:r>
      <w:r>
        <w:rPr>
          <w:rFonts w:ascii="Times New Roman" w:hAnsi="Times New Roman"/>
          <w:color w:val="000000"/>
          <w:sz w:val="20"/>
        </w:rPr>
        <w:t xml:space="preserve"> </w:t>
      </w:r>
      <w:r>
        <w:rPr>
          <w:rFonts w:ascii="Arial" w:hAnsi="Arial"/>
          <w:color w:val="000000"/>
          <w:sz w:val="20"/>
        </w:rPr>
        <w:t>Cataplexy is seen in an estimated 70% of narcolepsy patients and is a sudden reduction or loss of muscle tone while a patient is awake, typically triggered by strong emotions such as laughter, fear, anger, stress, or excitement.</w:t>
      </w:r>
      <w:r>
        <w:rPr>
          <w:rFonts w:ascii="Arial" w:hAnsi="Arial"/>
          <w:color w:val="000000"/>
          <w:sz w:val="13"/>
        </w:rPr>
        <w:t>4-5</w:t>
      </w:r>
      <w:r>
        <w:rPr>
          <w:rFonts w:ascii="Times New Roman" w:hAnsi="Times New Roman"/>
          <w:color w:val="000000"/>
          <w:sz w:val="20"/>
        </w:rPr>
        <w:t xml:space="preserve"> </w:t>
      </w:r>
      <w:r>
        <w:rPr>
          <w:rFonts w:ascii="Arial" w:hAnsi="Arial"/>
          <w:color w:val="000000"/>
          <w:sz w:val="20"/>
        </w:rPr>
        <w:t>Narcolepsy is a life-long condition that interferes with cognitive, psychological, and social functioning, increases the risk of work- and driving-related accidents, and is associated with a 1.5-fold higher mortality rate.</w:t>
      </w:r>
      <w:r>
        <w:rPr>
          <w:rFonts w:ascii="Arial" w:hAnsi="Arial"/>
          <w:color w:val="000000"/>
          <w:sz w:val="13"/>
        </w:rPr>
        <w:t>6-8</w:t>
      </w:r>
      <w:r>
        <w:rPr>
          <w:rFonts w:ascii="Times New Roman" w:hAnsi="Times New Roman"/>
          <w:color w:val="000000"/>
          <w:sz w:val="20"/>
        </w:rPr>
        <w:t xml:space="preserve"> </w:t>
      </w:r>
    </w:p>
    <w:p>
      <w:pPr>
        <w:pStyle w:val="TextBody"/>
        <w:bidi w:val="0"/>
        <w:spacing w:before="0" w:after="200"/>
        <w:jc w:val="both"/>
        <w:rPr>
          <w:rFonts w:ascii="Times New Roman" w:hAnsi="Times New Roman"/>
          <w:sz w:val="20"/>
        </w:rPr>
      </w:pPr>
      <w:r>
        <w:rPr>
          <w:rFonts w:ascii="Arial" w:hAnsi="Arial"/>
          <w:b/>
          <w:color w:val="000000"/>
          <w:sz w:val="20"/>
        </w:rPr>
        <w:t>About AXS-12</w:t>
      </w:r>
      <w:r>
        <w:rPr>
          <w:rFonts w:ascii="Times New Roman" w:hAnsi="Times New Roman"/>
          <w:color w:val="000000"/>
          <w:sz w:val="20"/>
        </w:rPr>
        <w:t xml:space="preserve"> </w:t>
      </w:r>
    </w:p>
    <w:p>
      <w:pPr>
        <w:pStyle w:val="TextBody"/>
        <w:bidi w:val="0"/>
        <w:spacing w:before="0" w:after="200"/>
        <w:jc w:val="both"/>
        <w:rPr>
          <w:rFonts w:ascii="Arial" w:hAnsi="Arial"/>
          <w:color w:val="000000"/>
          <w:sz w:val="20"/>
        </w:rPr>
      </w:pPr>
      <w:r>
        <w:rPr>
          <w:rFonts w:ascii="Arial" w:hAnsi="Arial"/>
          <w:color w:val="000000"/>
          <w:sz w:val="20"/>
        </w:rPr>
        <w:t>AXS-12 (reboxetine) is a highly selective and potent norepinephrine reuptake inhibitor and cortical dopamine modulator under development for the treatment of narcolepsy. AXS-12 is thought to modulate noradrenergic activity to maintain muscle tone during wakefulness, and noradrenergic and cortical dopaminergic signaling to promote wakefulness and cognition function. AXS-12 has been granted U.S. Food and Drug Administration (FDA) Orphan Drug Designation for the treatment of narcolepsy. AXS-12 is not approved by the FDA.</w:t>
      </w:r>
    </w:p>
    <w:p>
      <w:pPr>
        <w:pStyle w:val="TextBody"/>
        <w:bidi w:val="0"/>
        <w:spacing w:before="0" w:after="200"/>
        <w:jc w:val="both"/>
        <w:rPr>
          <w:rFonts w:ascii="Arial" w:hAnsi="Arial"/>
          <w:b/>
          <w:color w:val="000000"/>
          <w:sz w:val="20"/>
        </w:rPr>
      </w:pPr>
      <w:r>
        <w:rPr>
          <w:rFonts w:ascii="Arial" w:hAnsi="Arial"/>
          <w:b/>
          <w:color w:val="000000"/>
          <w:sz w:val="20"/>
        </w:rPr>
        <w:t>About Axsome Therapeutics</w:t>
      </w:r>
    </w:p>
    <w:p>
      <w:pPr>
        <w:pStyle w:val="TextBody"/>
        <w:bidi w:val="0"/>
        <w:spacing w:before="0" w:after="200"/>
        <w:jc w:val="both"/>
        <w:rPr>
          <w:rFonts w:ascii="Times New Roman" w:hAnsi="Times New Roman"/>
          <w:sz w:val="20"/>
        </w:rPr>
      </w:pPr>
      <w:r>
        <w:rPr>
          <w:rFonts w:ascii="Arial" w:hAnsi="Arial"/>
          <w:color w:val="000000"/>
          <w:sz w:val="20"/>
        </w:rPr>
        <w:t xml:space="preserve">Axsome Therapeutics is a biopharmaceutical company leading a new era in the treatment of central nervous system (CNS) conditions. We deliver scientific breakthroughs by identifying critical gaps in care and develop differentiated products with a focus on novel mechanisms of action that enable meaningful advancements in patient outcomes. Our industry-leading neuroscience portfolio includes FDA-approved treatments for major depressive disorder, agitation associated with dementia due to Alzheimer’s disease, excessive daytime sleepiness associated with narcolepsy and obstructive sleep apnea, and migraine, as well as multiple novel product candidates addressing a broad range of serious neurological and psychiatric conditions that impact over 150 million people in the United States. Together, we are on a mission to solve some of the brain’s biggest problems so patients and their loved ones can flourish. For more information, please visit us at </w:t>
      </w:r>
      <w:r>
        <w:rPr>
          <w:rFonts w:ascii="Arial" w:hAnsi="Arial"/>
          <w:sz w:val="20"/>
        </w:rPr>
        <w:t>www.axsome.com</w:t>
      </w:r>
      <w:r>
        <w:rPr>
          <w:rFonts w:ascii="Times New Roman" w:hAnsi="Times New Roman"/>
          <w:color w:val="000000"/>
          <w:sz w:val="20"/>
        </w:rPr>
        <w:t xml:space="preserve"> </w:t>
      </w:r>
      <w:r>
        <w:rPr>
          <w:rFonts w:ascii="Arial" w:hAnsi="Arial"/>
          <w:color w:val="000000"/>
          <w:sz w:val="20"/>
        </w:rPr>
        <w:t xml:space="preserve">and follow us on </w:t>
      </w:r>
      <w:r>
        <w:rPr>
          <w:rFonts w:ascii="Arial" w:hAnsi="Arial"/>
          <w:sz w:val="20"/>
        </w:rPr>
        <w:t>LinkedIn</w:t>
      </w:r>
      <w:r>
        <w:rPr>
          <w:rFonts w:ascii="Times New Roman" w:hAnsi="Times New Roman"/>
          <w:color w:val="000000"/>
          <w:sz w:val="20"/>
        </w:rPr>
        <w:t xml:space="preserve"> </w:t>
      </w:r>
      <w:r>
        <w:rPr>
          <w:rFonts w:ascii="Arial" w:hAnsi="Arial"/>
          <w:color w:val="000000"/>
          <w:sz w:val="20"/>
        </w:rPr>
        <w:t xml:space="preserve">and </w:t>
      </w:r>
      <w:r>
        <w:rPr>
          <w:rFonts w:ascii="Arial" w:hAnsi="Arial"/>
          <w:sz w:val="20"/>
        </w:rPr>
        <w:t>X</w:t>
      </w:r>
      <w:r>
        <w:rPr>
          <w:rFonts w:ascii="Arial" w:hAnsi="Arial"/>
          <w:color w:val="000000"/>
          <w:sz w:val="20"/>
        </w:rPr>
        <w:t>.</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spacing w:before="2" w:after="200"/>
        <w:jc w:val="both"/>
        <w:rPr>
          <w:rFonts w:ascii="Arial" w:hAnsi="Arial"/>
          <w:b/>
          <w:color w:val="000000"/>
          <w:sz w:val="20"/>
        </w:rPr>
      </w:pPr>
      <w:r>
        <w:rPr>
          <w:rFonts w:ascii="Arial" w:hAnsi="Arial"/>
          <w:b/>
          <w:color w:val="000000"/>
          <w:sz w:val="20"/>
        </w:rPr>
        <w:t>Forward Looking Statements</w:t>
      </w:r>
    </w:p>
    <w:p>
      <w:pPr>
        <w:pStyle w:val="TextBody"/>
        <w:bidi w:val="0"/>
        <w:spacing w:before="0" w:after="200"/>
        <w:jc w:val="both"/>
        <w:rPr>
          <w:rFonts w:ascii="Times New Roman" w:hAnsi="Times New Roman"/>
          <w:sz w:val="20"/>
        </w:rPr>
      </w:pPr>
      <w:r>
        <w:rPr>
          <w:rFonts w:ascii="Arial" w:hAnsi="Arial"/>
          <w:color w:val="000000"/>
          <w:sz w:val="20"/>
        </w:rPr>
        <w:t>Certain matters discussed in this press release are “forward-looking statements”. The Company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commercial success of the Company’s SUNOSI</w:t>
      </w:r>
      <w:r>
        <w:rPr>
          <w:rFonts w:ascii="Arial" w:hAnsi="Arial"/>
          <w:color w:val="000000"/>
          <w:sz w:val="13"/>
        </w:rPr>
        <w:t>®</w:t>
      </w:r>
      <w:r>
        <w:rPr>
          <w:rFonts w:ascii="Arial" w:hAnsi="Arial"/>
          <w:color w:val="000000"/>
          <w:sz w:val="20"/>
        </w:rPr>
        <w:t>, AUVELITY</w:t>
      </w:r>
      <w:r>
        <w:rPr>
          <w:rFonts w:ascii="Arial" w:hAnsi="Arial"/>
          <w:color w:val="000000"/>
          <w:sz w:val="13"/>
        </w:rPr>
        <w:t>®</w:t>
      </w:r>
      <w:r>
        <w:rPr>
          <w:rFonts w:ascii="Arial" w:hAnsi="Arial"/>
          <w:color w:val="000000"/>
          <w:sz w:val="20"/>
        </w:rPr>
        <w:t>, and SYMBRAVO</w:t>
      </w:r>
      <w:r>
        <w:rPr>
          <w:rFonts w:ascii="Arial" w:hAnsi="Arial"/>
          <w:color w:val="000000"/>
          <w:sz w:val="13"/>
        </w:rPr>
        <w:t>®</w:t>
      </w:r>
      <w:r>
        <w:rPr>
          <w:rFonts w:ascii="Times New Roman" w:hAnsi="Times New Roman"/>
          <w:color w:val="000000"/>
          <w:sz w:val="20"/>
        </w:rPr>
        <w:t xml:space="preserve"> </w:t>
      </w:r>
      <w:r>
        <w:rPr>
          <w:rFonts w:ascii="Arial" w:hAnsi="Arial"/>
          <w:color w:val="000000"/>
          <w:sz w:val="20"/>
        </w:rPr>
        <w:t>products and the success of the Company’s efforts to obtain any additional indication(s) with respect to solriamfetol and/or AXS-05; the Company’s ability to maintain and expand payer coverage; the success, timing and cost of the Company’s ongoing clinical trials and anticipated clinical trials for the Company’s current product candidates, including statements regarding the timing of initiation, pace of enrollment and completion of the trials (including the Company’s ability to fully fund the Company’s disclosed clinical trials, which assumes no material changes to the Company’s currently projected revenues or expenses), futility analyses and receipt of interim results, which are not necessarily indicative of the final results of the Company’s ongoing clinical trials, and/or data readouts, and the number or type of studies or nature of results necessary to support the filing of a new drug application (“NDA”) for any of the Company’s current product candidates; the Company’s ability to fund additional clinical trials to continue the advancement of the Company’s product candidates; the timing of and the Company’s ability to obtain and maintain U.S. Food and Drug Administration (“FDA”) or other regulatory authority approval of, or other action with respect to, the Company’s product candidates, including statements regarding the timing of any NDA submission; the Company’s ability to successfully defend its intellectual property or obtain the necessary licenses at a cost acceptable to the Company, if at all; the Company’s ability to successfully resolve any intellectual property litigation, and even if such disputes are settled, whether the applicable federal agencies will approve of such settlements; the successful implementation of the Company’s research and development programs and collaborations; the success of the Company’s license agreements; the acceptance by the market of the Company’s products and product candidates, if approved; the Company’s anticipated capital requirements, including the amount of capital required for the commercialization of SUNOSI, AUVELITY, and SYMBRAVO and for the Company’s commercial launch of its other product candidates, if approved, and the potential impact on the Company’s anticipated cash runway; the Company’s ability to convert sales to recognized revenue and maintain a favorable gross to net sales; unforeseen circumstances or other disruptions to normal business operations arising from or related to domestic political climate, geo-political conflicts or a global pandemic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circumstances.</w:t>
      </w:r>
    </w:p>
    <w:p>
      <w:pPr>
        <w:pStyle w:val="TextBody"/>
        <w:bidi w:val="0"/>
        <w:spacing w:before="0" w:after="2"/>
        <w:jc w:val="left"/>
        <w:rPr>
          <w:rFonts w:ascii="Arial" w:hAnsi="Arial"/>
          <w:b/>
          <w:color w:val="000000"/>
          <w:sz w:val="20"/>
        </w:rPr>
      </w:pPr>
      <w:r>
        <w:rPr>
          <w:rFonts w:ascii="Arial" w:hAnsi="Arial"/>
          <w:b/>
          <w:color w:val="000000"/>
          <w:sz w:val="20"/>
        </w:rPr>
        <w:t>Investors:</w:t>
      </w:r>
    </w:p>
    <w:p>
      <w:pPr>
        <w:pStyle w:val="TextBody"/>
        <w:bidi w:val="0"/>
        <w:spacing w:before="0" w:after="2"/>
        <w:jc w:val="both"/>
        <w:rPr>
          <w:rFonts w:ascii="Arial" w:hAnsi="Arial"/>
          <w:color w:val="000000"/>
          <w:sz w:val="20"/>
        </w:rPr>
      </w:pPr>
      <w:r>
        <w:rPr>
          <w:rFonts w:ascii="Arial" w:hAnsi="Arial"/>
          <w:color w:val="000000"/>
          <w:sz w:val="20"/>
        </w:rPr>
        <w:t>Ashley Dong</w:t>
      </w:r>
    </w:p>
    <w:p>
      <w:pPr>
        <w:pStyle w:val="TextBody"/>
        <w:bidi w:val="0"/>
        <w:spacing w:before="0" w:after="2"/>
        <w:jc w:val="both"/>
        <w:rPr>
          <w:rFonts w:ascii="Arial" w:hAnsi="Arial"/>
          <w:color w:val="000000"/>
          <w:sz w:val="20"/>
        </w:rPr>
      </w:pPr>
      <w:r>
        <w:rPr>
          <w:rFonts w:ascii="Arial" w:hAnsi="Arial"/>
          <w:color w:val="000000"/>
          <w:sz w:val="20"/>
        </w:rPr>
        <w:t>Senior Director, Investor Relations</w:t>
      </w:r>
    </w:p>
    <w:p>
      <w:pPr>
        <w:pStyle w:val="TextBody"/>
        <w:bidi w:val="0"/>
        <w:spacing w:before="0" w:after="2"/>
        <w:jc w:val="both"/>
        <w:rPr>
          <w:rFonts w:ascii="Arial" w:hAnsi="Arial"/>
          <w:color w:val="000000"/>
          <w:sz w:val="20"/>
        </w:rPr>
      </w:pPr>
      <w:r>
        <w:rPr>
          <w:rFonts w:ascii="Arial" w:hAnsi="Arial"/>
          <w:color w:val="000000"/>
          <w:sz w:val="20"/>
        </w:rPr>
        <w:t>(929) 687-1614</w:t>
      </w:r>
    </w:p>
    <w:p>
      <w:pPr>
        <w:pStyle w:val="TextBody"/>
        <w:bidi w:val="0"/>
        <w:spacing w:before="0" w:after="200"/>
        <w:jc w:val="both"/>
        <w:rPr>
          <w:rFonts w:ascii="Arial" w:hAnsi="Arial"/>
          <w:color w:val="0563C1"/>
          <w:sz w:val="20"/>
        </w:rPr>
      </w:pPr>
      <w:r>
        <w:rPr>
          <w:rFonts w:ascii="Arial" w:hAnsi="Arial"/>
          <w:color w:val="0563C1"/>
          <w:sz w:val="20"/>
        </w:rPr>
        <w:t>adong@axsome.com</w:t>
      </w:r>
    </w:p>
    <w:p>
      <w:pPr>
        <w:pStyle w:val="TextBody"/>
        <w:bidi w:val="0"/>
        <w:spacing w:before="0" w:after="2"/>
        <w:jc w:val="both"/>
        <w:rPr>
          <w:rFonts w:ascii="Arial" w:hAnsi="Arial"/>
          <w:b/>
          <w:color w:val="000000"/>
          <w:sz w:val="20"/>
        </w:rPr>
      </w:pPr>
      <w:r>
        <w:rPr>
          <w:rFonts w:ascii="Arial" w:hAnsi="Arial"/>
          <w:b/>
          <w:color w:val="000000"/>
          <w:sz w:val="20"/>
        </w:rPr>
        <w:t>Media:</w:t>
      </w:r>
    </w:p>
    <w:p>
      <w:pPr>
        <w:pStyle w:val="TextBody"/>
        <w:bidi w:val="0"/>
        <w:spacing w:before="0" w:after="2"/>
        <w:jc w:val="both"/>
        <w:rPr>
          <w:rFonts w:ascii="Arial" w:hAnsi="Arial"/>
          <w:color w:val="000000"/>
          <w:sz w:val="20"/>
        </w:rPr>
      </w:pPr>
      <w:r>
        <w:rPr>
          <w:rFonts w:ascii="Arial" w:hAnsi="Arial"/>
          <w:color w:val="000000"/>
          <w:sz w:val="20"/>
        </w:rPr>
        <w:t>Darren Opland</w:t>
      </w:r>
    </w:p>
    <w:p>
      <w:pPr>
        <w:pStyle w:val="TextBody"/>
        <w:bidi w:val="0"/>
        <w:spacing w:before="0" w:after="2"/>
        <w:jc w:val="both"/>
        <w:rPr>
          <w:rFonts w:ascii="Arial" w:hAnsi="Arial"/>
          <w:color w:val="000000"/>
          <w:sz w:val="20"/>
        </w:rPr>
      </w:pPr>
      <w:r>
        <w:rPr>
          <w:rFonts w:ascii="Arial" w:hAnsi="Arial"/>
          <w:color w:val="000000"/>
          <w:sz w:val="20"/>
        </w:rPr>
        <w:t>Senior Director, Corporate Communications</w:t>
      </w:r>
    </w:p>
    <w:p>
      <w:pPr>
        <w:pStyle w:val="TextBody"/>
        <w:bidi w:val="0"/>
        <w:spacing w:before="0" w:after="2"/>
        <w:jc w:val="both"/>
        <w:rPr>
          <w:rFonts w:ascii="Arial" w:hAnsi="Arial"/>
          <w:color w:val="000000"/>
          <w:sz w:val="20"/>
        </w:rPr>
      </w:pPr>
      <w:r>
        <w:rPr>
          <w:rFonts w:ascii="Arial" w:hAnsi="Arial"/>
          <w:color w:val="000000"/>
          <w:sz w:val="20"/>
        </w:rPr>
        <w:t>(929) 837-1065</w:t>
      </w:r>
    </w:p>
    <w:p>
      <w:pPr>
        <w:pStyle w:val="TextBody"/>
        <w:bidi w:val="0"/>
        <w:spacing w:before="0" w:after="2"/>
        <w:jc w:val="both"/>
        <w:rPr>
          <w:rFonts w:ascii="Arial" w:hAnsi="Arial"/>
          <w:color w:val="0563C1"/>
          <w:sz w:val="20"/>
        </w:rPr>
      </w:pPr>
      <w:r>
        <w:rPr>
          <w:rFonts w:ascii="Arial" w:hAnsi="Arial"/>
          <w:color w:val="0563C1"/>
          <w:sz w:val="20"/>
        </w:rPr>
        <w:t>dopland@axsome.com</w:t>
      </w:r>
    </w:p>
    <w:p>
      <w:pPr>
        <w:pStyle w:val="TextBody"/>
        <w:bidi w:val="0"/>
        <w:spacing w:before="0" w:after="20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spacing w:before="0" w:after="200"/>
        <w:jc w:val="both"/>
        <w:rPr>
          <w:rFonts w:ascii="Times New Roman" w:hAnsi="Times New Roman"/>
          <w:sz w:val="20"/>
        </w:rPr>
      </w:pPr>
      <w:r>
        <w:rPr>
          <w:rFonts w:ascii="Arial" w:hAnsi="Arial"/>
          <w:b/>
          <w:color w:val="000000"/>
          <w:sz w:val="20"/>
        </w:rPr>
        <w:t>References</w:t>
      </w:r>
      <w:r>
        <w:rPr>
          <w:rFonts w:ascii="Times New Roman" w:hAnsi="Times New Roman"/>
          <w:color w:val="000000"/>
          <w:sz w:val="20"/>
        </w:rPr>
        <w:t xml:space="preserve"> </w:t>
      </w:r>
    </w:p>
    <w:p>
      <w:pPr>
        <w:pStyle w:val="TextBody"/>
        <w:bidi w:val="0"/>
        <w:spacing w:before="0" w:after="200"/>
        <w:jc w:val="both"/>
        <w:rPr>
          <w:rFonts w:ascii="Arial" w:hAnsi="Arial"/>
          <w:color w:val="000000"/>
          <w:sz w:val="20"/>
        </w:rPr>
      </w:pPr>
      <w:r>
        <w:rPr>
          <w:rFonts w:ascii="Arial" w:hAnsi="Arial"/>
          <w:color w:val="000000"/>
          <w:sz w:val="20"/>
        </w:rPr>
        <w:t>1.</w:t>
      </w:r>
    </w:p>
    <w:p>
      <w:pPr>
        <w:pStyle w:val="TextBody"/>
        <w:bidi w:val="0"/>
        <w:spacing w:before="0" w:after="200"/>
        <w:jc w:val="both"/>
        <w:rPr>
          <w:rFonts w:ascii="Arial" w:hAnsi="Arial"/>
          <w:color w:val="000000"/>
          <w:sz w:val="20"/>
        </w:rPr>
      </w:pPr>
      <w:r>
        <w:rPr>
          <w:rFonts w:ascii="Arial" w:hAnsi="Arial"/>
          <w:color w:val="000000"/>
          <w:sz w:val="20"/>
        </w:rPr>
        <w:t xml:space="preserve">American Academy of Sleep Medicine. The International Classification of Sleep Disorders. Third Edition (ICSD-3). 2014. </w:t>
      </w:r>
    </w:p>
    <w:p>
      <w:pPr>
        <w:pStyle w:val="TextBody"/>
        <w:bidi w:val="0"/>
        <w:spacing w:before="0" w:after="200"/>
        <w:jc w:val="both"/>
        <w:rPr>
          <w:rFonts w:ascii="Arial" w:hAnsi="Arial"/>
          <w:color w:val="000000"/>
          <w:sz w:val="20"/>
        </w:rPr>
      </w:pPr>
      <w:r>
        <w:rPr>
          <w:rFonts w:ascii="Arial" w:hAnsi="Arial"/>
          <w:color w:val="000000"/>
          <w:sz w:val="20"/>
        </w:rPr>
        <w:t>2.</w:t>
      </w:r>
    </w:p>
    <w:p>
      <w:pPr>
        <w:pStyle w:val="TextBody"/>
        <w:bidi w:val="0"/>
        <w:spacing w:before="0" w:after="200"/>
        <w:jc w:val="both"/>
        <w:rPr>
          <w:rFonts w:ascii="Arial" w:hAnsi="Arial"/>
          <w:color w:val="000000"/>
          <w:sz w:val="20"/>
        </w:rPr>
      </w:pPr>
      <w:r>
        <w:rPr>
          <w:rFonts w:ascii="Arial" w:hAnsi="Arial"/>
          <w:color w:val="000000"/>
          <w:sz w:val="20"/>
        </w:rPr>
        <w:t xml:space="preserve">National Institute of Neurological Disorders and Stroke. Narcolepsy. https://www.ninds.nih.gov/health-information/disorders/narcolepsy. Accessed September 2024. </w:t>
      </w:r>
    </w:p>
    <w:p>
      <w:pPr>
        <w:pStyle w:val="TextBody"/>
        <w:bidi w:val="0"/>
        <w:spacing w:before="0" w:after="200"/>
        <w:jc w:val="both"/>
        <w:rPr>
          <w:rFonts w:ascii="Arial" w:hAnsi="Arial"/>
          <w:color w:val="000000"/>
          <w:sz w:val="20"/>
        </w:rPr>
      </w:pPr>
      <w:r>
        <w:rPr>
          <w:rFonts w:ascii="Arial" w:hAnsi="Arial"/>
          <w:color w:val="000000"/>
          <w:sz w:val="20"/>
        </w:rPr>
        <w:t>3.</w:t>
      </w:r>
    </w:p>
    <w:p>
      <w:pPr>
        <w:pStyle w:val="TextBody"/>
        <w:bidi w:val="0"/>
        <w:spacing w:before="0" w:after="200"/>
        <w:jc w:val="both"/>
        <w:rPr>
          <w:rFonts w:ascii="Arial" w:hAnsi="Arial"/>
          <w:color w:val="000000"/>
          <w:sz w:val="20"/>
        </w:rPr>
      </w:pPr>
      <w:r>
        <w:rPr>
          <w:rFonts w:ascii="Arial" w:hAnsi="Arial"/>
          <w:color w:val="000000"/>
          <w:sz w:val="20"/>
        </w:rPr>
        <w:t xml:space="preserve">España RA, Scammell TE. Sleep neurobiology from a clinical perspective. Sleep. 2011 Jul 1;34(7):845-58. </w:t>
      </w:r>
    </w:p>
    <w:p>
      <w:pPr>
        <w:pStyle w:val="TextBody"/>
        <w:bidi w:val="0"/>
        <w:spacing w:before="0" w:after="200"/>
        <w:jc w:val="both"/>
        <w:rPr>
          <w:rFonts w:ascii="Arial" w:hAnsi="Arial"/>
          <w:color w:val="000000"/>
          <w:sz w:val="20"/>
        </w:rPr>
      </w:pPr>
      <w:r>
        <w:rPr>
          <w:rFonts w:ascii="Arial" w:hAnsi="Arial"/>
          <w:color w:val="000000"/>
          <w:sz w:val="20"/>
        </w:rPr>
        <w:t>4.</w:t>
      </w:r>
    </w:p>
    <w:p>
      <w:pPr>
        <w:pStyle w:val="TextBody"/>
        <w:bidi w:val="0"/>
        <w:spacing w:before="0" w:after="200"/>
        <w:jc w:val="both"/>
        <w:rPr>
          <w:rFonts w:ascii="Arial" w:hAnsi="Arial"/>
          <w:color w:val="000000"/>
          <w:sz w:val="20"/>
        </w:rPr>
      </w:pPr>
      <w:r>
        <w:rPr>
          <w:rFonts w:ascii="Arial" w:hAnsi="Arial"/>
          <w:color w:val="000000"/>
          <w:sz w:val="20"/>
        </w:rPr>
        <w:t xml:space="preserve">Narcolepsy Network. About Narcolepsy. https://narcolepsynetwork.org/about-narcolepsy/. Accessed September 2024. </w:t>
      </w:r>
    </w:p>
    <w:p>
      <w:pPr>
        <w:pStyle w:val="TextBody"/>
        <w:bidi w:val="0"/>
        <w:spacing w:before="0" w:after="200"/>
        <w:jc w:val="both"/>
        <w:rPr>
          <w:rFonts w:ascii="Arial" w:hAnsi="Arial"/>
          <w:color w:val="000000"/>
          <w:sz w:val="20"/>
        </w:rPr>
      </w:pPr>
      <w:r>
        <w:rPr>
          <w:rFonts w:ascii="Arial" w:hAnsi="Arial"/>
          <w:color w:val="000000"/>
          <w:sz w:val="20"/>
        </w:rPr>
        <w:t>5.</w:t>
      </w:r>
    </w:p>
    <w:p>
      <w:pPr>
        <w:pStyle w:val="TextBody"/>
        <w:bidi w:val="0"/>
        <w:spacing w:before="0" w:after="200"/>
        <w:jc w:val="both"/>
        <w:rPr>
          <w:rFonts w:ascii="Arial" w:hAnsi="Arial"/>
          <w:color w:val="000000"/>
          <w:sz w:val="20"/>
        </w:rPr>
      </w:pPr>
      <w:r>
        <w:rPr>
          <w:rFonts w:ascii="Arial" w:hAnsi="Arial"/>
          <w:color w:val="000000"/>
          <w:sz w:val="20"/>
        </w:rPr>
        <w:t xml:space="preserve">Swick TJ. Treatment paradigms for cataplexy in narcolepsy: past, present, and future. Nat Sci Sleep. 2015 Dec 11;7:159-69. </w:t>
      </w:r>
    </w:p>
    <w:p>
      <w:pPr>
        <w:pStyle w:val="TextBody"/>
        <w:bidi w:val="0"/>
        <w:spacing w:before="0" w:after="200"/>
        <w:jc w:val="both"/>
        <w:rPr>
          <w:rFonts w:ascii="Arial" w:hAnsi="Arial"/>
          <w:color w:val="000000"/>
          <w:sz w:val="20"/>
        </w:rPr>
      </w:pPr>
      <w:r>
        <w:rPr>
          <w:rFonts w:ascii="Arial" w:hAnsi="Arial"/>
          <w:color w:val="000000"/>
          <w:sz w:val="20"/>
        </w:rPr>
        <w:t>6.</w:t>
      </w:r>
    </w:p>
    <w:p>
      <w:pPr>
        <w:pStyle w:val="TextBody"/>
        <w:bidi w:val="0"/>
        <w:spacing w:before="0" w:after="200"/>
        <w:jc w:val="both"/>
        <w:rPr>
          <w:rFonts w:ascii="Arial" w:hAnsi="Arial"/>
          <w:color w:val="000000"/>
          <w:sz w:val="20"/>
        </w:rPr>
      </w:pPr>
      <w:r>
        <w:rPr>
          <w:rFonts w:ascii="Arial" w:hAnsi="Arial"/>
          <w:color w:val="000000"/>
          <w:sz w:val="20"/>
        </w:rPr>
        <w:t xml:space="preserve">Tadrous R, O'Rourke D, Mockler D, Broderick J. Health-related quality of life in narcolepsy: A systematic review and meta-analysis. J Sleep Res. 2021 Dec;30(6):e13383. </w:t>
      </w:r>
    </w:p>
    <w:p>
      <w:pPr>
        <w:pStyle w:val="TextBody"/>
        <w:bidi w:val="0"/>
        <w:spacing w:before="0" w:after="200"/>
        <w:jc w:val="both"/>
        <w:rPr>
          <w:rFonts w:ascii="Arial" w:hAnsi="Arial"/>
          <w:color w:val="000000"/>
          <w:sz w:val="20"/>
        </w:rPr>
      </w:pPr>
      <w:r>
        <w:rPr>
          <w:rFonts w:ascii="Arial" w:hAnsi="Arial"/>
          <w:color w:val="000000"/>
          <w:sz w:val="20"/>
        </w:rPr>
        <w:t>7.</w:t>
      </w:r>
    </w:p>
    <w:p>
      <w:pPr>
        <w:pStyle w:val="TextBody"/>
        <w:bidi w:val="0"/>
        <w:spacing w:before="0" w:after="200"/>
        <w:jc w:val="both"/>
        <w:rPr>
          <w:rFonts w:ascii="Arial" w:hAnsi="Arial"/>
          <w:color w:val="000000"/>
          <w:sz w:val="20"/>
        </w:rPr>
      </w:pPr>
      <w:r>
        <w:rPr>
          <w:rFonts w:ascii="Arial" w:hAnsi="Arial"/>
          <w:color w:val="000000"/>
          <w:sz w:val="20"/>
        </w:rPr>
        <w:t xml:space="preserve">Patil SP, Ayappa IA, Caples SM, Kimoff RJ, Patel SR, Harrod CG. Treatment of Adult Obstructive Sleep Apnea With Positive Airway Pressure: An American Academy of Sleep Medicine Systematic Review, Meta-Analysis, and GRADE Assessment. J Clin Sleep Med. 2019 Feb 15;15(2):301-334. </w:t>
      </w:r>
    </w:p>
    <w:p>
      <w:pPr>
        <w:pStyle w:val="TextBody"/>
        <w:bidi w:val="0"/>
        <w:spacing w:before="0" w:after="200"/>
        <w:jc w:val="both"/>
        <w:rPr>
          <w:rFonts w:ascii="Arial" w:hAnsi="Arial"/>
          <w:color w:val="000000"/>
          <w:sz w:val="20"/>
        </w:rPr>
      </w:pPr>
      <w:r>
        <w:rPr>
          <w:rFonts w:ascii="Arial" w:hAnsi="Arial"/>
          <w:color w:val="000000"/>
          <w:sz w:val="20"/>
        </w:rPr>
        <w:t>8.</w:t>
      </w:r>
    </w:p>
    <w:p>
      <w:pPr>
        <w:pStyle w:val="TextBody"/>
        <w:bidi w:val="0"/>
        <w:spacing w:before="0" w:after="200"/>
        <w:jc w:val="both"/>
        <w:rPr>
          <w:rFonts w:ascii="Arial" w:hAnsi="Arial"/>
          <w:color w:val="000000"/>
          <w:sz w:val="20"/>
        </w:rPr>
      </w:pPr>
      <w:r>
        <w:rPr>
          <w:rFonts w:ascii="Arial" w:hAnsi="Arial"/>
          <w:color w:val="000000"/>
          <w:sz w:val="20"/>
        </w:rPr>
        <w:t>Ohayon MM, Black J, Lai C, Eller M, Guinta D, Bhattacharyya A. Increased mortality in narcolepsy. Sleep. 2014 Mar 1;37(3):439-44.</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1611</Words>
  <Characters>9609</Characters>
  <CharactersWithSpaces>11186</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